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59"/>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ind w:right="459"/>
        <w:spacing w:after="0"/>
        <w:rPr>
          <w:sz w:val="20"/>
          <w:szCs w:val="20"/>
          <w:color w:val="auto"/>
        </w:rPr>
      </w:pPr>
      <w:r>
        <w:rPr>
          <w:rFonts w:ascii="Arial" w:cs="Arial" w:eastAsia="Arial" w:hAnsi="Arial"/>
          <w:sz w:val="18"/>
          <w:szCs w:val="18"/>
          <w:b w:val="1"/>
          <w:bCs w:val="1"/>
          <w:color w:val="auto"/>
        </w:rPr>
        <w:t>Registration No. 333- 272913</w:t>
      </w:r>
    </w:p>
    <w:p>
      <w:pPr>
        <w:spacing w:after="0" w:line="126"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111760</wp:posOffset>
            </wp:positionV>
            <wp:extent cx="159448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PRESTO AUTOMATION INC.</w:t>
      </w:r>
    </w:p>
    <w:p>
      <w:pPr>
        <w:spacing w:after="0" w:line="231" w:lineRule="exact"/>
        <w:rPr>
          <w:sz w:val="24"/>
          <w:szCs w:val="24"/>
          <w:color w:val="auto"/>
        </w:rPr>
      </w:pPr>
    </w:p>
    <w:p>
      <w:pPr>
        <w:ind w:left="980"/>
        <w:spacing w:after="0"/>
        <w:rPr>
          <w:sz w:val="20"/>
          <w:szCs w:val="20"/>
          <w:color w:val="auto"/>
        </w:rPr>
      </w:pPr>
      <w:r>
        <w:rPr>
          <w:rFonts w:ascii="Arial" w:cs="Arial" w:eastAsia="Arial" w:hAnsi="Arial"/>
          <w:sz w:val="24"/>
          <w:szCs w:val="24"/>
          <w:b w:val="1"/>
          <w:bCs w:val="1"/>
          <w:color w:val="auto"/>
        </w:rPr>
        <w:t>7,260,500 Shares of Common Stock by the Selling Securityholders</w:t>
      </w:r>
    </w:p>
    <w:p>
      <w:pPr>
        <w:spacing w:after="0" w:line="151" w:lineRule="exact"/>
        <w:rPr>
          <w:sz w:val="24"/>
          <w:szCs w:val="24"/>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This prospectus relates to the resale from time to time by the selling securityholders named in this prospectus (together with their respective donees, transferees or other successors in interest, referred to as the Selling Securityholders) of up to 7,260,500 shares of our common stock, par value $0.0001 per share (the “Common Stock”). These 7,260,500 shares of Common Stock consist of:</w:t>
      </w:r>
    </w:p>
    <w:p>
      <w:pPr>
        <w:spacing w:after="0" w:line="92" w:lineRule="exact"/>
        <w:rPr>
          <w:sz w:val="24"/>
          <w:szCs w:val="24"/>
          <w:color w:val="auto"/>
        </w:rPr>
      </w:pPr>
    </w:p>
    <w:p>
      <w:pPr>
        <w:jc w:val="both"/>
        <w:ind w:left="1320" w:right="459" w:hanging="434"/>
        <w:spacing w:after="0" w:line="259" w:lineRule="auto"/>
        <w:tabs>
          <w:tab w:leader="none" w:pos="1316" w:val="left"/>
        </w:tabs>
        <w:numPr>
          <w:ilvl w:val="0"/>
          <w:numId w:val="1"/>
        </w:numPr>
        <w:rPr>
          <w:rFonts w:ascii="Arial" w:cs="Arial" w:eastAsia="Arial" w:hAnsi="Arial"/>
          <w:sz w:val="18"/>
          <w:szCs w:val="18"/>
          <w:color w:val="auto"/>
        </w:rPr>
      </w:pPr>
      <w:r>
        <w:rPr>
          <w:rFonts w:ascii="Arial" w:cs="Arial" w:eastAsia="Arial" w:hAnsi="Arial"/>
          <w:sz w:val="18"/>
          <w:szCs w:val="18"/>
          <w:color w:val="auto"/>
        </w:rPr>
        <w:t>4,760,500 shares of Common Stock (the “PIPE Shares”) that were issued at a purchase price of $2.00 per share in a private placement (the “Private Placement”) pursuant to that certain securities purchase agreement, dated as of May 22, 2023, by and among us and certain accredited investors named therein (the “Purchase Agreement”);</w:t>
      </w:r>
    </w:p>
    <w:p>
      <w:pPr>
        <w:spacing w:after="0" w:line="105" w:lineRule="exact"/>
        <w:rPr>
          <w:rFonts w:ascii="Arial" w:cs="Arial" w:eastAsia="Arial" w:hAnsi="Arial"/>
          <w:sz w:val="18"/>
          <w:szCs w:val="18"/>
          <w:color w:val="auto"/>
        </w:rPr>
      </w:pPr>
    </w:p>
    <w:p>
      <w:pPr>
        <w:jc w:val="both"/>
        <w:ind w:left="1320" w:right="459" w:hanging="434"/>
        <w:spacing w:after="0" w:line="257" w:lineRule="auto"/>
        <w:tabs>
          <w:tab w:leader="none" w:pos="1316" w:val="left"/>
        </w:tabs>
        <w:numPr>
          <w:ilvl w:val="0"/>
          <w:numId w:val="1"/>
        </w:numPr>
        <w:rPr>
          <w:rFonts w:ascii="Arial" w:cs="Arial" w:eastAsia="Arial" w:hAnsi="Arial"/>
          <w:sz w:val="18"/>
          <w:szCs w:val="18"/>
          <w:color w:val="auto"/>
        </w:rPr>
      </w:pPr>
      <w:r>
        <w:rPr>
          <w:rFonts w:ascii="Arial" w:cs="Arial" w:eastAsia="Arial" w:hAnsi="Arial"/>
          <w:sz w:val="18"/>
          <w:szCs w:val="18"/>
          <w:color w:val="auto"/>
        </w:rPr>
        <w:t>500,000 shares of Common Stock (the “Conversion Warrants Shares”) issuable upon the exercise of warrants, with an exercise price of $0.01 per share (the “Conversion Warrants”), that were issued pursuant to that certain second amendment to credit agreement, dated as of May 22, 2023, by and among us, E La Carte, LLC, Metropolitan and the Metropolitan Entities (the “Second Amendment”); and</w:t>
      </w:r>
    </w:p>
    <w:p>
      <w:pPr>
        <w:spacing w:after="0" w:line="93" w:lineRule="exact"/>
        <w:rPr>
          <w:rFonts w:ascii="Arial" w:cs="Arial" w:eastAsia="Arial" w:hAnsi="Arial"/>
          <w:sz w:val="18"/>
          <w:szCs w:val="18"/>
          <w:color w:val="auto"/>
        </w:rPr>
      </w:pPr>
    </w:p>
    <w:p>
      <w:pPr>
        <w:jc w:val="both"/>
        <w:ind w:left="1320" w:right="459" w:hanging="434"/>
        <w:spacing w:after="0" w:line="273" w:lineRule="auto"/>
        <w:tabs>
          <w:tab w:leader="none" w:pos="1316" w:val="left"/>
        </w:tabs>
        <w:numPr>
          <w:ilvl w:val="0"/>
          <w:numId w:val="1"/>
        </w:numPr>
        <w:rPr>
          <w:rFonts w:ascii="Arial" w:cs="Arial" w:eastAsia="Arial" w:hAnsi="Arial"/>
          <w:sz w:val="17"/>
          <w:szCs w:val="17"/>
          <w:color w:val="auto"/>
        </w:rPr>
      </w:pPr>
      <w:r>
        <w:rPr>
          <w:rFonts w:ascii="Arial" w:cs="Arial" w:eastAsia="Arial" w:hAnsi="Arial"/>
          <w:sz w:val="17"/>
          <w:szCs w:val="17"/>
          <w:color w:val="auto"/>
        </w:rPr>
        <w:t>2,000,000 shares of Common Stock (the “Second Amendment Warrants Shares” and, together with the PIPE Shares and the Conversion Warrants Shares, the “Resale Shares”) issuable upon the exercise of warrants, with an exercise price of $0.01 per share (the “Second Amendment Warrants” and, together with the Conversion Warrants, the “Resale Warrants”), that were issued pursuant to that certain second amended and restated fee letter, dated as of May 22, 2023, by and among us, E La Carte, LLC and Metropolitan (the “Fee Letter”).</w:t>
      </w:r>
    </w:p>
    <w:p>
      <w:pPr>
        <w:spacing w:after="0" w:line="83" w:lineRule="exact"/>
        <w:rPr>
          <w:sz w:val="24"/>
          <w:szCs w:val="24"/>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will not receive any of the proceeds from the sale of the Resale Shares by the Selling Securityholders. We will receive only nominal proceeds upon the exercise of the Resale Warrants, if the Resale Warrants are exercised for cash.</w:t>
      </w:r>
    </w:p>
    <w:p>
      <w:pPr>
        <w:spacing w:after="0" w:line="103" w:lineRule="exact"/>
        <w:rPr>
          <w:sz w:val="24"/>
          <w:szCs w:val="24"/>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registration of the securities covered by this prospectus does not mean that the Selling Securityholders will offer or sell any of the Resale Shares. The Selling Securityholders may sell the Resale Shares covered by this prospectus in a number of different ways and at varying prices. We provide additional information about how the Selling Securityholders may sell the Resale Shares in the section entitled “</w:t>
      </w:r>
      <w:r>
        <w:rPr>
          <w:rFonts w:ascii="Arial" w:cs="Arial" w:eastAsia="Arial" w:hAnsi="Arial"/>
          <w:sz w:val="18"/>
          <w:szCs w:val="18"/>
          <w:i w:val="1"/>
          <w:iCs w:val="1"/>
          <w:color w:val="auto"/>
        </w:rPr>
        <w:t>Plan of</w:t>
      </w:r>
      <w:r>
        <w:rPr>
          <w:rFonts w:ascii="Arial" w:cs="Arial" w:eastAsia="Arial" w:hAnsi="Arial"/>
          <w:sz w:val="18"/>
          <w:szCs w:val="18"/>
          <w:color w:val="auto"/>
        </w:rPr>
        <w:t xml:space="preserve"> </w:t>
      </w:r>
      <w:r>
        <w:rPr>
          <w:rFonts w:ascii="Arial" w:cs="Arial" w:eastAsia="Arial" w:hAnsi="Arial"/>
          <w:sz w:val="18"/>
          <w:szCs w:val="18"/>
          <w:i w:val="1"/>
          <w:iCs w:val="1"/>
          <w:color w:val="auto"/>
        </w:rPr>
        <w:t>Distribution</w:t>
      </w:r>
      <w:r>
        <w:rPr>
          <w:rFonts w:ascii="Arial" w:cs="Arial" w:eastAsia="Arial" w:hAnsi="Arial"/>
          <w:sz w:val="18"/>
          <w:szCs w:val="18"/>
          <w:color w:val="auto"/>
        </w:rPr>
        <w:t>” beginning on page 112 of this prospectus.</w:t>
      </w:r>
    </w:p>
    <w:p>
      <w:pPr>
        <w:spacing w:after="0" w:line="93" w:lineRule="exact"/>
        <w:rPr>
          <w:sz w:val="24"/>
          <w:szCs w:val="24"/>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You should read this prospectus and any prospectus supplement or amendment carefully before you invest in our securities.</w:t>
      </w:r>
    </w:p>
    <w:p>
      <w:pPr>
        <w:spacing w:after="0" w:line="76" w:lineRule="exact"/>
        <w:rPr>
          <w:sz w:val="24"/>
          <w:szCs w:val="24"/>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shares of Common Stock are listed on the Nasdaq Stock Market under the symbol “PRST.” On June 15, 2023, the closing sale price of shares of our Common Stock was $4.00. Our warrants are listed on the Nasdaq Stock Market under the symbol “PRSTW.” On June 15, 2023, the closing sale price of our warrants was $0.09 per warrant.</w:t>
      </w:r>
    </w:p>
    <w:p>
      <w:pPr>
        <w:spacing w:after="0" w:line="106" w:lineRule="exact"/>
        <w:rPr>
          <w:sz w:val="24"/>
          <w:szCs w:val="24"/>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are an “emerging growth company” and a “smaller reporting company” as such terms are defined under the federal securities laws and, as such, are subject to certain reduced public company reporting requirements.</w:t>
      </w:r>
    </w:p>
    <w:p>
      <w:pPr>
        <w:spacing w:after="0" w:line="85" w:lineRule="exact"/>
        <w:rPr>
          <w:sz w:val="24"/>
          <w:szCs w:val="24"/>
          <w:color w:val="auto"/>
        </w:rPr>
      </w:pPr>
    </w:p>
    <w:p>
      <w:pPr>
        <w:jc w:val="both"/>
        <w:ind w:left="460" w:right="459" w:firstLine="432"/>
        <w:spacing w:after="0" w:line="282" w:lineRule="auto"/>
        <w:rPr>
          <w:sz w:val="20"/>
          <w:szCs w:val="20"/>
          <w:color w:val="auto"/>
        </w:rPr>
      </w:pPr>
      <w:r>
        <w:rPr>
          <w:rFonts w:ascii="Arial" w:cs="Arial" w:eastAsia="Arial" w:hAnsi="Arial"/>
          <w:sz w:val="18"/>
          <w:szCs w:val="18"/>
          <w:b w:val="1"/>
          <w:bCs w:val="1"/>
          <w:color w:val="auto"/>
        </w:rPr>
        <w:t>Investing in shares of our Common Stock or warrants involves risks that are described in the “Risk Factors” section beginning on page 6 of this prospectus.</w:t>
      </w:r>
    </w:p>
    <w:p>
      <w:pPr>
        <w:spacing w:after="0" w:line="67" w:lineRule="exact"/>
        <w:rPr>
          <w:sz w:val="24"/>
          <w:szCs w:val="24"/>
          <w:color w:val="auto"/>
        </w:rPr>
      </w:pPr>
    </w:p>
    <w:p>
      <w:pPr>
        <w:jc w:val="both"/>
        <w:ind w:left="460" w:right="459" w:firstLine="432"/>
        <w:spacing w:after="0" w:line="289"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July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 w:name="page2"/>
    <w:bookmarkEnd w:id="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47"/>
        </w:trPr>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196"/>
        </w:trPr>
        <w:tc>
          <w:tcPr>
            <w:tcW w:w="7260" w:type="dxa"/>
            <w:vAlign w:val="bottom"/>
            <w:gridSpan w:val="25"/>
            <w:shd w:val="clear" w:color="auto" w:fill="CCEEFF"/>
          </w:tcPr>
          <w:p>
            <w:pPr>
              <w:spacing w:after="0" w:line="196" w:lineRule="exact"/>
              <w:rPr>
                <w:sz w:val="20"/>
                <w:szCs w:val="20"/>
                <w:color w:val="auto"/>
              </w:rPr>
            </w:pPr>
            <w:r>
              <w:rPr>
                <w:rFonts w:ascii="Arial" w:cs="Arial" w:eastAsia="Arial" w:hAnsi="Arial"/>
                <w:sz w:val="18"/>
                <w:szCs w:val="18"/>
                <w:color w:val="0000EE"/>
              </w:rPr>
              <w:t>TRADEMARKS</w:t>
            </w:r>
          </w:p>
        </w:tc>
        <w:tc>
          <w:tcPr>
            <w:tcW w:w="8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iii</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03"/>
        </w:trPr>
        <w:tc>
          <w:tcPr>
            <w:tcW w:w="7260" w:type="dxa"/>
            <w:vAlign w:val="bottom"/>
            <w:gridSpan w:val="25"/>
          </w:tcPr>
          <w:p>
            <w:pPr>
              <w:spacing w:after="0" w:line="202" w:lineRule="exact"/>
              <w:rPr>
                <w:sz w:val="20"/>
                <w:szCs w:val="20"/>
                <w:color w:val="auto"/>
              </w:rPr>
            </w:pPr>
            <w:r>
              <w:rPr>
                <w:rFonts w:ascii="Arial" w:cs="Arial" w:eastAsia="Arial" w:hAnsi="Arial"/>
                <w:sz w:val="18"/>
                <w:szCs w:val="18"/>
                <w:color w:val="0000EE"/>
              </w:rPr>
              <w:t>FREQUENTLY USED TERMS</w:t>
            </w: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rPr>
              <w:t>iv</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3"/>
        </w:trPr>
        <w:tc>
          <w:tcPr>
            <w:tcW w:w="7260" w:type="dxa"/>
            <w:vAlign w:val="bottom"/>
            <w:gridSpan w:val="25"/>
            <w:shd w:val="clear" w:color="auto" w:fill="CCEEFF"/>
          </w:tcPr>
          <w:p>
            <w:pPr>
              <w:spacing w:after="0" w:line="202" w:lineRule="exact"/>
              <w:rPr>
                <w:sz w:val="20"/>
                <w:szCs w:val="20"/>
                <w:color w:val="auto"/>
              </w:rPr>
            </w:pPr>
            <w:r>
              <w:rPr>
                <w:rFonts w:ascii="Arial" w:cs="Arial" w:eastAsia="Arial" w:hAnsi="Arial"/>
                <w:sz w:val="18"/>
                <w:szCs w:val="18"/>
                <w:color w:val="0000EE"/>
              </w:rPr>
              <w:t>CAUTIONARY STATEMENT REGARDING FORWARD-LOOKING STATEMENTS</w:t>
            </w: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vii</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28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03"/>
        </w:trPr>
        <w:tc>
          <w:tcPr>
            <w:tcW w:w="7260" w:type="dxa"/>
            <w:vAlign w:val="bottom"/>
            <w:gridSpan w:val="25"/>
          </w:tcPr>
          <w:p>
            <w:pPr>
              <w:spacing w:after="0" w:line="202" w:lineRule="exact"/>
              <w:rPr>
                <w:sz w:val="20"/>
                <w:szCs w:val="20"/>
                <w:color w:val="auto"/>
              </w:rPr>
            </w:pPr>
            <w:r>
              <w:rPr>
                <w:rFonts w:ascii="Arial" w:cs="Arial" w:eastAsia="Arial" w:hAnsi="Arial"/>
                <w:sz w:val="18"/>
                <w:szCs w:val="18"/>
                <w:color w:val="0000EE"/>
              </w:rPr>
              <w:t>SUMMARY OF THE PROSPECTUS</w:t>
            </w: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79"/>
              </w:rPr>
              <w:t>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3"/>
        </w:trPr>
        <w:tc>
          <w:tcPr>
            <w:tcW w:w="7260" w:type="dxa"/>
            <w:vAlign w:val="bottom"/>
            <w:gridSpan w:val="25"/>
            <w:shd w:val="clear" w:color="auto" w:fill="CCEEFF"/>
          </w:tcPr>
          <w:p>
            <w:pPr>
              <w:spacing w:after="0" w:line="202" w:lineRule="exact"/>
              <w:rPr>
                <w:sz w:val="20"/>
                <w:szCs w:val="20"/>
                <w:color w:val="auto"/>
              </w:rPr>
            </w:pPr>
            <w:r>
              <w:rPr>
                <w:rFonts w:ascii="Arial" w:cs="Arial" w:eastAsia="Arial" w:hAnsi="Arial"/>
                <w:sz w:val="18"/>
                <w:szCs w:val="18"/>
                <w:color w:val="0000EE"/>
              </w:rPr>
              <w:t>THE OFFERING</w:t>
            </w: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03"/>
        </w:trPr>
        <w:tc>
          <w:tcPr>
            <w:tcW w:w="7260" w:type="dxa"/>
            <w:vAlign w:val="bottom"/>
            <w:gridSpan w:val="25"/>
          </w:tcPr>
          <w:p>
            <w:pPr>
              <w:spacing w:after="0" w:line="202" w:lineRule="exact"/>
              <w:rPr>
                <w:sz w:val="20"/>
                <w:szCs w:val="20"/>
                <w:color w:val="auto"/>
              </w:rPr>
            </w:pPr>
            <w:r>
              <w:rPr>
                <w:rFonts w:ascii="Arial" w:cs="Arial" w:eastAsia="Arial" w:hAnsi="Arial"/>
                <w:sz w:val="18"/>
                <w:szCs w:val="18"/>
                <w:color w:val="0000EE"/>
              </w:rPr>
              <w:t>RISK FACTORS</w:t>
            </w: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79"/>
              </w:rPr>
              <w:t>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3"/>
        </w:trPr>
        <w:tc>
          <w:tcPr>
            <w:tcW w:w="7260" w:type="dxa"/>
            <w:vAlign w:val="bottom"/>
            <w:gridSpan w:val="25"/>
            <w:shd w:val="clear" w:color="auto" w:fill="CCEEFF"/>
          </w:tcPr>
          <w:p>
            <w:pPr>
              <w:spacing w:after="0" w:line="202" w:lineRule="exact"/>
              <w:rPr>
                <w:sz w:val="20"/>
                <w:szCs w:val="20"/>
                <w:color w:val="auto"/>
              </w:rPr>
            </w:pPr>
            <w:r>
              <w:rPr>
                <w:rFonts w:ascii="Arial" w:cs="Arial" w:eastAsia="Arial" w:hAnsi="Arial"/>
                <w:sz w:val="18"/>
                <w:szCs w:val="18"/>
                <w:color w:val="0000EE"/>
              </w:rPr>
              <w:t>USE OF PROCEEDS</w:t>
            </w: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176"/>
        </w:trPr>
        <w:tc>
          <w:tcPr>
            <w:tcW w:w="6320" w:type="dxa"/>
            <w:vAlign w:val="bottom"/>
            <w:tcBorders>
              <w:bottom w:val="single" w:sz="8" w:color="0000EE"/>
            </w:tcBorders>
            <w:gridSpan w:val="22"/>
          </w:tcPr>
          <w:p>
            <w:pPr>
              <w:spacing w:after="0" w:line="176" w:lineRule="exact"/>
              <w:rPr>
                <w:sz w:val="20"/>
                <w:szCs w:val="20"/>
                <w:color w:val="auto"/>
              </w:rPr>
            </w:pPr>
            <w:r>
              <w:rPr>
                <w:rFonts w:ascii="Arial" w:cs="Arial" w:eastAsia="Arial" w:hAnsi="Arial"/>
                <w:sz w:val="18"/>
                <w:szCs w:val="18"/>
                <w:color w:val="0000EE"/>
                <w:w w:val="96"/>
              </w:rPr>
              <w:t>MARKET PRICE OF OUR COMMON STOCK AND WARRANTS AND DIVIDEND</w:t>
            </w:r>
          </w:p>
        </w:tc>
        <w:tc>
          <w:tcPr>
            <w:tcW w:w="940" w:type="dxa"/>
            <w:vAlign w:val="bottom"/>
            <w:gridSpan w:val="3"/>
          </w:tcPr>
          <w:p>
            <w:pPr>
              <w:spacing w:after="0"/>
              <w:rPr>
                <w:sz w:val="15"/>
                <w:szCs w:val="15"/>
                <w:color w:val="auto"/>
              </w:rPr>
            </w:pPr>
          </w:p>
        </w:tc>
        <w:tc>
          <w:tcPr>
            <w:tcW w:w="8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080" w:type="dxa"/>
            <w:vAlign w:val="bottom"/>
            <w:gridSpan w:val="24"/>
          </w:tcPr>
          <w:p>
            <w:pPr>
              <w:spacing w:after="0" w:line="196" w:lineRule="exact"/>
              <w:rPr>
                <w:sz w:val="20"/>
                <w:szCs w:val="20"/>
                <w:color w:val="auto"/>
              </w:rPr>
            </w:pPr>
            <w:r>
              <w:rPr>
                <w:rFonts w:ascii="Arial" w:cs="Arial" w:eastAsia="Arial" w:hAnsi="Arial"/>
                <w:sz w:val="18"/>
                <w:szCs w:val="18"/>
                <w:color w:val="0000EE"/>
              </w:rPr>
              <w:t>INFORMATION</w:t>
            </w: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89"/>
              </w:rPr>
              <w:t>40</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3"/>
        </w:trPr>
        <w:tc>
          <w:tcPr>
            <w:tcW w:w="7260" w:type="dxa"/>
            <w:vAlign w:val="bottom"/>
            <w:gridSpan w:val="25"/>
            <w:shd w:val="clear" w:color="auto" w:fill="CCEEFF"/>
          </w:tcPr>
          <w:p>
            <w:pPr>
              <w:spacing w:after="0" w:line="202" w:lineRule="exact"/>
              <w:rPr>
                <w:sz w:val="20"/>
                <w:szCs w:val="20"/>
                <w:color w:val="auto"/>
              </w:rPr>
            </w:pPr>
            <w:r>
              <w:rPr>
                <w:rFonts w:ascii="Arial" w:cs="Arial" w:eastAsia="Arial" w:hAnsi="Arial"/>
                <w:sz w:val="18"/>
                <w:szCs w:val="18"/>
                <w:color w:val="0000EE"/>
              </w:rPr>
              <w:t>BUSINESS</w:t>
            </w: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176"/>
        </w:trPr>
        <w:tc>
          <w:tcPr>
            <w:tcW w:w="7260" w:type="dxa"/>
            <w:vAlign w:val="bottom"/>
            <w:gridSpan w:val="25"/>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w:t>
            </w:r>
          </w:p>
        </w:tc>
        <w:tc>
          <w:tcPr>
            <w:tcW w:w="84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460" w:type="dxa"/>
            <w:vAlign w:val="bottom"/>
            <w:tcBorders>
              <w:top w:val="single" w:sz="8" w:color="0000EE"/>
            </w:tcBorders>
            <w:gridSpan w:val="23"/>
          </w:tcPr>
          <w:p>
            <w:pPr>
              <w:spacing w:after="0" w:line="196" w:lineRule="exact"/>
              <w:rPr>
                <w:sz w:val="20"/>
                <w:szCs w:val="20"/>
                <w:color w:val="auto"/>
              </w:rPr>
            </w:pPr>
            <w:r>
              <w:rPr>
                <w:rFonts w:ascii="Arial" w:cs="Arial" w:eastAsia="Arial" w:hAnsi="Arial"/>
                <w:sz w:val="18"/>
                <w:szCs w:val="18"/>
                <w:color w:val="0000EE"/>
              </w:rPr>
              <w:t>RESULTS OF OPERATIONS</w:t>
            </w:r>
          </w:p>
        </w:tc>
        <w:tc>
          <w:tcPr>
            <w:tcW w:w="62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89"/>
              </w:rPr>
              <w:t>50</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3"/>
        </w:trPr>
        <w:tc>
          <w:tcPr>
            <w:tcW w:w="7260" w:type="dxa"/>
            <w:vAlign w:val="bottom"/>
            <w:gridSpan w:val="25"/>
            <w:shd w:val="clear" w:color="auto" w:fill="CCEEFF"/>
          </w:tcPr>
          <w:p>
            <w:pPr>
              <w:spacing w:after="0" w:line="202" w:lineRule="exact"/>
              <w:rPr>
                <w:sz w:val="20"/>
                <w:szCs w:val="20"/>
                <w:color w:val="auto"/>
              </w:rPr>
            </w:pPr>
            <w:r>
              <w:rPr>
                <w:rFonts w:ascii="Arial" w:cs="Arial" w:eastAsia="Arial" w:hAnsi="Arial"/>
                <w:sz w:val="18"/>
                <w:szCs w:val="18"/>
                <w:color w:val="0000EE"/>
              </w:rPr>
              <w:t>MANAGEMENT</w:t>
            </w: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80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03"/>
        </w:trPr>
        <w:tc>
          <w:tcPr>
            <w:tcW w:w="7260" w:type="dxa"/>
            <w:vAlign w:val="bottom"/>
            <w:gridSpan w:val="25"/>
          </w:tcPr>
          <w:p>
            <w:pPr>
              <w:spacing w:after="0" w:line="202" w:lineRule="exact"/>
              <w:rPr>
                <w:sz w:val="20"/>
                <w:szCs w:val="20"/>
                <w:color w:val="auto"/>
              </w:rPr>
            </w:pPr>
            <w:r>
              <w:rPr>
                <w:rFonts w:ascii="Arial" w:cs="Arial" w:eastAsia="Arial" w:hAnsi="Arial"/>
                <w:sz w:val="18"/>
                <w:szCs w:val="18"/>
                <w:color w:val="0000EE"/>
              </w:rPr>
              <w:t>EXECUTIVE AND DIRECTOR COMPENSATION</w:t>
            </w: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89"/>
              </w:rPr>
              <w:t>87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3"/>
        </w:trPr>
        <w:tc>
          <w:tcPr>
            <w:tcW w:w="7260" w:type="dxa"/>
            <w:vAlign w:val="bottom"/>
            <w:gridSpan w:val="25"/>
            <w:shd w:val="clear" w:color="auto" w:fill="CCEEFF"/>
          </w:tcPr>
          <w:p>
            <w:pPr>
              <w:spacing w:after="0" w:line="202" w:lineRule="exact"/>
              <w:rPr>
                <w:sz w:val="20"/>
                <w:szCs w:val="20"/>
                <w:color w:val="auto"/>
              </w:rPr>
            </w:pPr>
            <w:r>
              <w:rPr>
                <w:rFonts w:ascii="Arial" w:cs="Arial" w:eastAsia="Arial" w:hAnsi="Arial"/>
                <w:sz w:val="18"/>
                <w:szCs w:val="18"/>
                <w:color w:val="0000EE"/>
              </w:rPr>
              <w:t>BENEFICIAL OWNERSHIP OF SECURITIES</w:t>
            </w: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94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03"/>
        </w:trPr>
        <w:tc>
          <w:tcPr>
            <w:tcW w:w="7260" w:type="dxa"/>
            <w:vAlign w:val="bottom"/>
            <w:gridSpan w:val="25"/>
          </w:tcPr>
          <w:p>
            <w:pPr>
              <w:spacing w:after="0" w:line="202" w:lineRule="exact"/>
              <w:rPr>
                <w:sz w:val="20"/>
                <w:szCs w:val="20"/>
                <w:color w:val="auto"/>
              </w:rPr>
            </w:pPr>
            <w:r>
              <w:rPr>
                <w:rFonts w:ascii="Arial" w:cs="Arial" w:eastAsia="Arial" w:hAnsi="Arial"/>
                <w:sz w:val="18"/>
                <w:szCs w:val="18"/>
                <w:color w:val="0000EE"/>
              </w:rPr>
              <w:t>SELLING SECURITYHOLDERS</w:t>
            </w: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89"/>
              </w:rPr>
              <w:t>96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3"/>
        </w:trPr>
        <w:tc>
          <w:tcPr>
            <w:tcW w:w="7260" w:type="dxa"/>
            <w:vAlign w:val="bottom"/>
            <w:gridSpan w:val="25"/>
            <w:shd w:val="clear" w:color="auto" w:fill="CCEEFF"/>
          </w:tcPr>
          <w:p>
            <w:pPr>
              <w:spacing w:after="0" w:line="202" w:lineRule="exact"/>
              <w:rPr>
                <w:sz w:val="20"/>
                <w:szCs w:val="20"/>
                <w:color w:val="auto"/>
              </w:rPr>
            </w:pPr>
            <w:r>
              <w:rPr>
                <w:rFonts w:ascii="Arial" w:cs="Arial" w:eastAsia="Arial" w:hAnsi="Arial"/>
                <w:sz w:val="18"/>
                <w:szCs w:val="18"/>
                <w:color w:val="0000EE"/>
              </w:rPr>
              <w:t>CERTAIN RELATIONSHIPS AND RELATED PERSON TRANSACTIONS</w:t>
            </w: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99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28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176"/>
        </w:trPr>
        <w:tc>
          <w:tcPr>
            <w:tcW w:w="7260" w:type="dxa"/>
            <w:vAlign w:val="bottom"/>
            <w:gridSpan w:val="25"/>
          </w:tcPr>
          <w:p>
            <w:pPr>
              <w:spacing w:after="0" w:line="176" w:lineRule="exact"/>
              <w:rPr>
                <w:sz w:val="20"/>
                <w:szCs w:val="20"/>
                <w:color w:val="auto"/>
              </w:rPr>
            </w:pPr>
            <w:r>
              <w:rPr>
                <w:rFonts w:ascii="Arial" w:cs="Arial" w:eastAsia="Arial" w:hAnsi="Arial"/>
                <w:sz w:val="18"/>
                <w:szCs w:val="18"/>
                <w:color w:val="0000EE"/>
              </w:rPr>
              <w:t>MATERIAL UNITED STATES FEDERAL INCOME TAX CONSIDERATIONS FOR</w:t>
            </w:r>
          </w:p>
        </w:tc>
        <w:tc>
          <w:tcPr>
            <w:tcW w:w="84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08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NON-U.S. HOLDERS</w:t>
            </w:r>
          </w:p>
        </w:tc>
        <w:tc>
          <w:tcPr>
            <w:tcW w:w="1000" w:type="dxa"/>
            <w:vAlign w:val="bottom"/>
            <w:gridSpan w:val="4"/>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3"/>
              </w:rPr>
              <w:t>101</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3"/>
        </w:trPr>
        <w:tc>
          <w:tcPr>
            <w:tcW w:w="7260" w:type="dxa"/>
            <w:vAlign w:val="bottom"/>
            <w:gridSpan w:val="25"/>
            <w:shd w:val="clear" w:color="auto" w:fill="CCEEFF"/>
          </w:tcPr>
          <w:p>
            <w:pPr>
              <w:spacing w:after="0" w:line="202" w:lineRule="exact"/>
              <w:rPr>
                <w:sz w:val="20"/>
                <w:szCs w:val="20"/>
                <w:color w:val="auto"/>
              </w:rPr>
            </w:pPr>
            <w:r>
              <w:rPr>
                <w:rFonts w:ascii="Arial" w:cs="Arial" w:eastAsia="Arial" w:hAnsi="Arial"/>
                <w:sz w:val="18"/>
                <w:szCs w:val="18"/>
                <w:color w:val="0000EE"/>
              </w:rPr>
              <w:t>DESCRIPTION OF SECURITIES</w:t>
            </w: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105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03"/>
        </w:trPr>
        <w:tc>
          <w:tcPr>
            <w:tcW w:w="7260" w:type="dxa"/>
            <w:vAlign w:val="bottom"/>
            <w:gridSpan w:val="25"/>
          </w:tcPr>
          <w:p>
            <w:pPr>
              <w:spacing w:after="0" w:line="202" w:lineRule="exact"/>
              <w:rPr>
                <w:sz w:val="20"/>
                <w:szCs w:val="20"/>
                <w:color w:val="auto"/>
              </w:rPr>
            </w:pPr>
            <w:r>
              <w:rPr>
                <w:rFonts w:ascii="Arial" w:cs="Arial" w:eastAsia="Arial" w:hAnsi="Arial"/>
                <w:sz w:val="18"/>
                <w:szCs w:val="18"/>
                <w:color w:val="0000EE"/>
              </w:rPr>
              <w:t>SECURITIES ACT RESTRICTIONS ON RESALE OF SECURITIES</w:t>
            </w: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93"/>
              </w:rPr>
              <w:t>110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280" w:type="dxa"/>
            <w:vAlign w:val="bottom"/>
            <w:tcBorders>
              <w:top w:val="single" w:sz="8" w:color="0000EE"/>
            </w:tcBorders>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3"/>
        </w:trPr>
        <w:tc>
          <w:tcPr>
            <w:tcW w:w="7260" w:type="dxa"/>
            <w:vAlign w:val="bottom"/>
            <w:gridSpan w:val="25"/>
            <w:shd w:val="clear" w:color="auto" w:fill="CCEEFF"/>
          </w:tcPr>
          <w:p>
            <w:pPr>
              <w:spacing w:after="0" w:line="202" w:lineRule="exact"/>
              <w:rPr>
                <w:sz w:val="20"/>
                <w:szCs w:val="20"/>
                <w:color w:val="auto"/>
              </w:rPr>
            </w:pPr>
            <w:r>
              <w:rPr>
                <w:rFonts w:ascii="Arial" w:cs="Arial" w:eastAsia="Arial" w:hAnsi="Arial"/>
                <w:sz w:val="18"/>
                <w:szCs w:val="18"/>
                <w:color w:val="0000EE"/>
              </w:rPr>
              <w:t>PLAN OF DISTRIBUTION</w:t>
            </w: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112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03"/>
        </w:trPr>
        <w:tc>
          <w:tcPr>
            <w:tcW w:w="7260" w:type="dxa"/>
            <w:vAlign w:val="bottom"/>
            <w:gridSpan w:val="25"/>
          </w:tcPr>
          <w:p>
            <w:pPr>
              <w:spacing w:after="0" w:line="202" w:lineRule="exact"/>
              <w:rPr>
                <w:sz w:val="20"/>
                <w:szCs w:val="20"/>
                <w:color w:val="auto"/>
              </w:rPr>
            </w:pPr>
            <w:r>
              <w:rPr>
                <w:rFonts w:ascii="Arial" w:cs="Arial" w:eastAsia="Arial" w:hAnsi="Arial"/>
                <w:sz w:val="18"/>
                <w:szCs w:val="18"/>
                <w:color w:val="0000EE"/>
              </w:rPr>
              <w:t>LEGAL MATTERS</w:t>
            </w: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93"/>
              </w:rPr>
              <w:t>114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3"/>
        </w:trPr>
        <w:tc>
          <w:tcPr>
            <w:tcW w:w="7260" w:type="dxa"/>
            <w:vAlign w:val="bottom"/>
            <w:gridSpan w:val="25"/>
            <w:shd w:val="clear" w:color="auto" w:fill="CCEEFF"/>
          </w:tcPr>
          <w:p>
            <w:pPr>
              <w:spacing w:after="0" w:line="202" w:lineRule="exact"/>
              <w:rPr>
                <w:sz w:val="20"/>
                <w:szCs w:val="20"/>
                <w:color w:val="auto"/>
              </w:rPr>
            </w:pPr>
            <w:r>
              <w:rPr>
                <w:rFonts w:ascii="Arial" w:cs="Arial" w:eastAsia="Arial" w:hAnsi="Arial"/>
                <w:sz w:val="18"/>
                <w:szCs w:val="18"/>
                <w:color w:val="0000EE"/>
              </w:rPr>
              <w:t>EXPERTS</w:t>
            </w: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114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03"/>
        </w:trPr>
        <w:tc>
          <w:tcPr>
            <w:tcW w:w="7260" w:type="dxa"/>
            <w:vAlign w:val="bottom"/>
            <w:gridSpan w:val="25"/>
          </w:tcPr>
          <w:p>
            <w:pPr>
              <w:spacing w:after="0" w:line="202" w:lineRule="exact"/>
              <w:rPr>
                <w:sz w:val="20"/>
                <w:szCs w:val="20"/>
                <w:color w:val="auto"/>
              </w:rPr>
            </w:pPr>
            <w:r>
              <w:rPr>
                <w:rFonts w:ascii="Arial" w:cs="Arial" w:eastAsia="Arial" w:hAnsi="Arial"/>
                <w:sz w:val="18"/>
                <w:szCs w:val="18"/>
                <w:color w:val="0000EE"/>
              </w:rPr>
              <w:t>WHERE YOU CAN FIND MORE INFORMATION</w:t>
            </w: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93"/>
              </w:rPr>
              <w:t>114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3"/>
        </w:trPr>
        <w:tc>
          <w:tcPr>
            <w:tcW w:w="7260" w:type="dxa"/>
            <w:vAlign w:val="bottom"/>
            <w:gridSpan w:val="25"/>
            <w:shd w:val="clear" w:color="auto" w:fill="CCEEFF"/>
          </w:tcPr>
          <w:p>
            <w:pPr>
              <w:spacing w:after="0" w:line="202" w:lineRule="exact"/>
              <w:rPr>
                <w:sz w:val="20"/>
                <w:szCs w:val="20"/>
                <w:color w:val="auto"/>
              </w:rPr>
            </w:pPr>
            <w:r>
              <w:rPr>
                <w:rFonts w:ascii="Arial" w:cs="Arial" w:eastAsia="Arial" w:hAnsi="Arial"/>
                <w:sz w:val="18"/>
                <w:szCs w:val="18"/>
                <w:color w:val="0000EE"/>
              </w:rPr>
              <w:t>INDEX TO FINANCIAL STATEMENTS</w:t>
            </w: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 w:name="page3"/>
    <w:bookmarkEnd w:id="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This prospectus is part of a registration statement on Form S-1 that we filed with the Securities and Exchange Commission (the “SEC”) using a “shelf” registration process. Under this shelf registration process, the Selling Securityholders may sell up to an aggregate of 7,260,500 shares of Common Stock from time to time through any means described in the section entitled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 More specific terms of any securities that the Selling Securityholders offer and sell may be provided in a prospectus supplement that describes, among other things, the specific amounts and prices of the common stock being offered and the terms of the offering.</w:t>
      </w:r>
    </w:p>
    <w:p>
      <w:pPr>
        <w:spacing w:after="0" w:line="127"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99"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0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8"/>
          <w:szCs w:val="18"/>
          <w:i w:val="1"/>
          <w:iCs w:val="1"/>
          <w:color w:val="auto"/>
        </w:rPr>
        <w:t>Where You</w:t>
      </w:r>
      <w:r>
        <w:rPr>
          <w:rFonts w:ascii="Arial" w:cs="Arial" w:eastAsia="Arial" w:hAnsi="Arial"/>
          <w:sz w:val="18"/>
          <w:szCs w:val="18"/>
          <w:color w:val="auto"/>
        </w:rPr>
        <w:t xml:space="preserve"> </w:t>
      </w:r>
      <w:r>
        <w:rPr>
          <w:rFonts w:ascii="Arial" w:cs="Arial" w:eastAsia="Arial" w:hAnsi="Arial"/>
          <w:sz w:val="18"/>
          <w:szCs w:val="18"/>
          <w:i w:val="1"/>
          <w:iCs w:val="1"/>
          <w:color w:val="auto"/>
        </w:rPr>
        <w:t>Can Find More Information</w:t>
      </w:r>
      <w:r>
        <w:rPr>
          <w:rFonts w:ascii="Arial" w:cs="Arial" w:eastAsia="Arial" w:hAnsi="Arial"/>
          <w:sz w:val="18"/>
          <w:szCs w:val="18"/>
          <w:color w:val="auto"/>
        </w:rPr>
        <w:t>.”</w:t>
      </w:r>
    </w:p>
    <w:p>
      <w:pPr>
        <w:spacing w:after="0" w:line="125" w:lineRule="exact"/>
        <w:rPr>
          <w:sz w:val="20"/>
          <w:szCs w:val="20"/>
          <w:color w:val="auto"/>
        </w:rPr>
      </w:pPr>
    </w:p>
    <w:p>
      <w:pPr>
        <w:jc w:val="both"/>
        <w:ind w:left="460" w:right="459" w:firstLine="432"/>
        <w:spacing w:after="0" w:line="252" w:lineRule="auto"/>
        <w:rPr>
          <w:sz w:val="20"/>
          <w:szCs w:val="20"/>
          <w:color w:val="auto"/>
        </w:rPr>
      </w:pPr>
      <w:r>
        <w:rPr>
          <w:rFonts w:ascii="Arial" w:cs="Arial" w:eastAsia="Arial" w:hAnsi="Arial"/>
          <w:sz w:val="18"/>
          <w:szCs w:val="18"/>
          <w:color w:val="auto"/>
        </w:rPr>
        <w:t>On November 10, 2021, Ventoux CCM Acquisition Corp. (“VTAQ”), Ventoux Merger Sub I Inc. (“Ventoux Merger Sub I”), Ventoux Merger Sub II LLC (“Ventoux Merger Sub II”), and E La Carte, Inc. (“Legacy Presto”) entered into an Agreement and Plan of Merger, as amended on April 1, 2022 and July 25, 2022 (the “Merger Agreement”), pursuant to which, among other transactions, on September 21, 2022 (the “Closing Date”), Ventoux Merger Sub I merged with and into Legacy Presto (the “First Merger”), with Legacy Presto surviving as a wholly-owned subsidiary of VTAQ (the “Surviving Corporation”), and immediately following the First Merger and as part of the same overall transaction as the First Merger, the Surviving Corporation merged with and into Ventoux Merger Sub II (the “Second Merger”), with Ventoux Merger Sub II surviving as a wholly-owned subsidiary of VTAQ (the First Merger and Second Merger, together with the other transactions described in the Merger Agreement, the “Business Combination”). In connection with the closing of the Business Combination, VTAQ changed its name to “Presto Automation Inc.” (sometimes referred to herein as “New Presto”).</w:t>
      </w:r>
    </w:p>
    <w:p>
      <w:pPr>
        <w:spacing w:after="0" w:line="132"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Unless the context indicates otherwise, references to the “Company,” “PRST,” “we,” “us” and “our” refer to Presto Automation Inc., a Delaware corporation, and its consolidated subsidiaries following the Business Combination. References to “Ventoux” refer to Ventoux CCM Acquisition Corp. prior to the Business Combination and references to “Legacy Presto” refer to E La Carte, Inc. prior to the Business Combination.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 w:name="page4"/>
    <w:bookmarkEnd w:id="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 w:name="page5"/>
    <w:bookmarkEnd w:id="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FREQUENTLY USED TERMS</w:t>
      </w:r>
    </w:p>
    <w:p>
      <w:pPr>
        <w:spacing w:after="0" w:line="148"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Unless otherwise stated or unless the context otherwise requires, the terms “we,” “us,” “our,” and “Presto” refer to Presto Automation Inc.</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this document:</w:t>
      </w:r>
    </w:p>
    <w:p>
      <w:pPr>
        <w:spacing w:after="0" w:line="158" w:lineRule="exact"/>
        <w:rPr>
          <w:sz w:val="20"/>
          <w:szCs w:val="20"/>
          <w:color w:val="auto"/>
        </w:rPr>
      </w:pPr>
    </w:p>
    <w:p>
      <w:pPr>
        <w:ind w:left="1320" w:right="459" w:hanging="434"/>
        <w:spacing w:after="0" w:line="277" w:lineRule="auto"/>
        <w:tabs>
          <w:tab w:leader="none" w:pos="1316" w:val="left"/>
        </w:tabs>
        <w:numPr>
          <w:ilvl w:val="0"/>
          <w:numId w:val="2"/>
        </w:numPr>
        <w:rPr>
          <w:rFonts w:ascii="Arial" w:cs="Arial" w:eastAsia="Arial" w:hAnsi="Arial"/>
          <w:sz w:val="18"/>
          <w:szCs w:val="18"/>
          <w:color w:val="auto"/>
        </w:rPr>
      </w:pPr>
      <w:r>
        <w:rPr>
          <w:rFonts w:ascii="Arial" w:cs="Arial" w:eastAsia="Arial" w:hAnsi="Arial"/>
          <w:sz w:val="18"/>
          <w:szCs w:val="18"/>
          <w:color w:val="auto"/>
        </w:rPr>
        <w:t>“2023 PIPE Registration Rights Agreement” means the registration rights agreement dated as of May 22, 2023, by and among Presto and the certain persons listed therein;</w:t>
      </w:r>
    </w:p>
    <w:p>
      <w:pPr>
        <w:spacing w:after="0" w:line="89" w:lineRule="exact"/>
        <w:rPr>
          <w:rFonts w:ascii="Arial" w:cs="Arial" w:eastAsia="Arial" w:hAnsi="Arial"/>
          <w:sz w:val="18"/>
          <w:szCs w:val="18"/>
          <w:color w:val="auto"/>
        </w:rPr>
      </w:pPr>
    </w:p>
    <w:p>
      <w:pPr>
        <w:jc w:val="both"/>
        <w:ind w:left="1320" w:right="459" w:hanging="434"/>
        <w:spacing w:after="0" w:line="271" w:lineRule="auto"/>
        <w:tabs>
          <w:tab w:leader="none" w:pos="1316" w:val="left"/>
        </w:tabs>
        <w:numPr>
          <w:ilvl w:val="0"/>
          <w:numId w:val="2"/>
        </w:numPr>
        <w:rPr>
          <w:rFonts w:ascii="Arial" w:cs="Arial" w:eastAsia="Arial" w:hAnsi="Arial"/>
          <w:sz w:val="17"/>
          <w:szCs w:val="17"/>
          <w:color w:val="auto"/>
        </w:rPr>
      </w:pPr>
      <w:r>
        <w:rPr>
          <w:rFonts w:ascii="Arial" w:cs="Arial" w:eastAsia="Arial" w:hAnsi="Arial"/>
          <w:sz w:val="17"/>
          <w:szCs w:val="17"/>
          <w:color w:val="auto"/>
        </w:rPr>
        <w:t>“Aggregate Fully Diluted Company Common Shares” means (A) the fully-diluted number of shares of Presto Common Stock outstanding immediately prior to the Effective Time minus, if any, (B) any shares of Presto Common Stock (1) issued or issuable in connection with certain permitted acquisitions undertaken by the Company prior to the Closing, (2) held in the treasury of the Company or owned by VTAQ, Ventoux Merger Sub, Ventoux Merger Sub II or the Company immediately prior to the Effective Time, and (3) owned by a holder who is entitled to demand and has properly demanded appraisal for such shares in accordance with, and who complies in all respects with, Section 262 of the Delaware General Corporation Law;</w:t>
      </w:r>
    </w:p>
    <w:p>
      <w:pPr>
        <w:spacing w:after="0" w:line="110" w:lineRule="exact"/>
        <w:rPr>
          <w:rFonts w:ascii="Arial" w:cs="Arial" w:eastAsia="Arial" w:hAnsi="Arial"/>
          <w:sz w:val="17"/>
          <w:szCs w:val="17"/>
          <w:color w:val="auto"/>
        </w:rPr>
      </w:pPr>
    </w:p>
    <w:p>
      <w:pPr>
        <w:jc w:val="both"/>
        <w:ind w:left="1320" w:right="459" w:hanging="434"/>
        <w:spacing w:after="0" w:line="259" w:lineRule="auto"/>
        <w:tabs>
          <w:tab w:leader="none" w:pos="1316"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“Amended and Restated Registration Rights Agreement” means the amended and restated registration rights agreement entered into between New Presto, the Sponsors, Cleveland Avenue, VTAQ’s directors and officers, the Note Investor and certain Presto Stockholders in connection with the consummation of the Business Combination;</w:t>
      </w:r>
    </w:p>
    <w:p>
      <w:pPr>
        <w:spacing w:after="0" w:line="119" w:lineRule="exact"/>
        <w:rPr>
          <w:rFonts w:ascii="Arial" w:cs="Arial" w:eastAsia="Arial" w:hAnsi="Arial"/>
          <w:sz w:val="18"/>
          <w:szCs w:val="18"/>
          <w:color w:val="auto"/>
        </w:rPr>
      </w:pPr>
    </w:p>
    <w:p>
      <w:pPr>
        <w:jc w:val="both"/>
        <w:ind w:left="1320" w:right="459" w:hanging="434"/>
        <w:spacing w:after="0" w:line="263" w:lineRule="auto"/>
        <w:tabs>
          <w:tab w:leader="none" w:pos="1316"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“Amended and Restated Warrant Agreement” means the amended and restated warrant agreement entered into between New Presto, the Sponsors and Continental in connection with the consummation of the Business Combination;</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
        </w:numPr>
        <w:rPr>
          <w:rFonts w:ascii="Arial" w:cs="Arial" w:eastAsia="Arial" w:hAnsi="Arial"/>
          <w:sz w:val="17"/>
          <w:szCs w:val="17"/>
          <w:color w:val="auto"/>
        </w:rPr>
      </w:pPr>
      <w:r>
        <w:rPr>
          <w:rFonts w:ascii="Arial" w:cs="Arial" w:eastAsia="Arial" w:hAnsi="Arial"/>
          <w:sz w:val="17"/>
          <w:szCs w:val="17"/>
          <w:color w:val="auto"/>
        </w:rPr>
        <w:t>“Business Combination” means the business combination pursuant to the Merger Agreement;</w:t>
      </w:r>
    </w:p>
    <w:p>
      <w:pPr>
        <w:spacing w:after="0" w:line="169" w:lineRule="exact"/>
        <w:rPr>
          <w:rFonts w:ascii="Arial" w:cs="Arial" w:eastAsia="Arial" w:hAnsi="Arial"/>
          <w:sz w:val="17"/>
          <w:szCs w:val="17"/>
          <w:color w:val="auto"/>
        </w:rPr>
      </w:pPr>
    </w:p>
    <w:p>
      <w:pPr>
        <w:ind w:left="1320" w:hanging="43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“Bylaws” means the bylaws of Presto;</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“Chardan” means Chardan Capital Markets, LLC, a New York limited liability company;</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“Chardan Investments” means Chardan International Investments, LLC, one of the Sponsors of VTAQ;</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“Charter” or “Current Charter” means Presto’s current amended and restated certificate of incorporation as filed with the Secretary of State on September 21, 2022;</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“Closing” means the closing of the Business Combination;</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“Committee” means a committee of at least two people appointed by the Presto Board to administer the Incentive Plan;</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“Continental” means Continental Stock Transfer &amp; Trust Company;</w:t>
      </w:r>
    </w:p>
    <w:p>
      <w:pPr>
        <w:spacing w:after="0" w:line="144" w:lineRule="exact"/>
        <w:rPr>
          <w:rFonts w:ascii="Arial" w:cs="Arial" w:eastAsia="Arial" w:hAnsi="Arial"/>
          <w:sz w:val="18"/>
          <w:szCs w:val="18"/>
          <w:color w:val="auto"/>
        </w:rPr>
      </w:pPr>
    </w:p>
    <w:p>
      <w:pPr>
        <w:jc w:val="both"/>
        <w:ind w:left="1320" w:right="459" w:hanging="434"/>
        <w:spacing w:after="0" w:line="263" w:lineRule="auto"/>
        <w:tabs>
          <w:tab w:leader="none" w:pos="1316"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“Contingent Consideration” means 15,000,000 additional shares of the common stock of New Presto to be issued to the securityholders of Presto, contingent on achievement of certain milestones;</w:t>
      </w:r>
    </w:p>
    <w:p>
      <w:pPr>
        <w:spacing w:after="0" w:line="116" w:lineRule="exact"/>
        <w:rPr>
          <w:rFonts w:ascii="Arial" w:cs="Arial" w:eastAsia="Arial" w:hAnsi="Arial"/>
          <w:sz w:val="18"/>
          <w:szCs w:val="18"/>
          <w:color w:val="auto"/>
        </w:rPr>
      </w:pPr>
    </w:p>
    <w:p>
      <w:pPr>
        <w:ind w:left="1320" w:hanging="43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“DGCL” means the Delaware General Corporation Law;</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“Effective Time” means the time at which the Business Combination became effective pursuant to its terms;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“Exchange Ratio” means the quotient obtained by dividing (a) 52,500,000 by (b) the number of Aggregate Fully Diluted Company Common Shares;</w:t>
      </w:r>
    </w:p>
    <w:p>
      <w:pPr>
        <w:spacing w:after="0" w:line="89" w:lineRule="exact"/>
        <w:rPr>
          <w:rFonts w:ascii="Arial" w:cs="Arial" w:eastAsia="Arial" w:hAnsi="Arial"/>
          <w:sz w:val="18"/>
          <w:szCs w:val="18"/>
          <w:color w:val="auto"/>
        </w:rPr>
      </w:pPr>
    </w:p>
    <w:p>
      <w:pPr>
        <w:ind w:left="1320" w:right="459" w:hanging="434"/>
        <w:spacing w:after="0" w:line="308" w:lineRule="auto"/>
        <w:tabs>
          <w:tab w:leader="none" w:pos="1316" w:val="left"/>
        </w:tabs>
        <w:numPr>
          <w:ilvl w:val="0"/>
          <w:numId w:val="2"/>
        </w:numPr>
        <w:rPr>
          <w:rFonts w:ascii="Arial" w:cs="Arial" w:eastAsia="Arial" w:hAnsi="Arial"/>
          <w:sz w:val="17"/>
          <w:szCs w:val="17"/>
          <w:color w:val="auto"/>
        </w:rPr>
      </w:pPr>
      <w:r>
        <w:rPr>
          <w:rFonts w:ascii="Arial" w:cs="Arial" w:eastAsia="Arial" w:hAnsi="Arial"/>
          <w:sz w:val="17"/>
          <w:szCs w:val="17"/>
          <w:color w:val="auto"/>
        </w:rPr>
        <w:t>“Financing Warrants” means 1,500,000 warrants that were newly issued to the lenders party to the Credit Agreement, bearing substantially similar terms to the Private Placement Warrants;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459" w:hanging="434"/>
        <w:spacing w:after="0" w:line="277" w:lineRule="auto"/>
        <w:tabs>
          <w:tab w:leader="none" w:pos="1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“First Merger” means the merger pursuant to which Ventoux Merger Sub will merge with and into Presto;</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“Founders Shares” means the outstanding shares of our Common Stock held by the Sponsors, current and former directors and affiliates of our management team and certain permitted transferees since December 23, 2020;</w:t>
      </w:r>
    </w:p>
    <w:p>
      <w:pPr>
        <w:spacing w:after="0" w:line="116"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“Legacy Presto” means E La Carte, Inc., a Delaware corporation, prior to the Business Combination;</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“Mergers” means the First Merger and Second Merger;</w:t>
      </w:r>
    </w:p>
    <w:p>
      <w:pPr>
        <w:spacing w:after="0" w:line="157" w:lineRule="exact"/>
        <w:rPr>
          <w:rFonts w:ascii="Arial" w:cs="Arial" w:eastAsia="Arial" w:hAnsi="Arial"/>
          <w:sz w:val="18"/>
          <w:szCs w:val="18"/>
          <w:color w:val="auto"/>
        </w:rPr>
      </w:pPr>
    </w:p>
    <w:p>
      <w:pPr>
        <w:jc w:val="both"/>
        <w:ind w:left="1320" w:right="459" w:hanging="434"/>
        <w:spacing w:after="0" w:line="301" w:lineRule="auto"/>
        <w:tabs>
          <w:tab w:leader="none" w:pos="1316" w:val="left"/>
        </w:tabs>
        <w:numPr>
          <w:ilvl w:val="0"/>
          <w:numId w:val="3"/>
        </w:numPr>
        <w:rPr>
          <w:rFonts w:ascii="Arial" w:cs="Arial" w:eastAsia="Arial" w:hAnsi="Arial"/>
          <w:sz w:val="16"/>
          <w:szCs w:val="16"/>
          <w:color w:val="auto"/>
        </w:rPr>
      </w:pPr>
      <w:r>
        <w:rPr>
          <w:rFonts w:ascii="Arial" w:cs="Arial" w:eastAsia="Arial" w:hAnsi="Arial"/>
          <w:sz w:val="16"/>
          <w:szCs w:val="16"/>
          <w:color w:val="auto"/>
        </w:rPr>
        <w:t>“Merger Agreement” means the Agreement and Plan of Merger, dated as of November 10, 2021, as amended by that certain Amendment to Agreement and Plan of Merger, dated as of April 1, 2022, as further amended by that Second Amendment to Agreement and Plan of Merger, dated as of July 25, 2022, by and among VTAQ, Ventoux Merger Sub I, Ventoux Merger Sub II and Presto;</w:t>
      </w:r>
    </w:p>
    <w:p>
      <w:pPr>
        <w:spacing w:after="0" w:line="89" w:lineRule="exact"/>
        <w:rPr>
          <w:rFonts w:ascii="Arial" w:cs="Arial" w:eastAsia="Arial" w:hAnsi="Arial"/>
          <w:sz w:val="16"/>
          <w:szCs w:val="16"/>
          <w:color w:val="auto"/>
        </w:rPr>
      </w:pPr>
    </w:p>
    <w:p>
      <w:pPr>
        <w:ind w:left="1320" w:right="459" w:hanging="434"/>
        <w:spacing w:after="0" w:line="277" w:lineRule="auto"/>
        <w:tabs>
          <w:tab w:leader="none" w:pos="1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“Metropolitan” means Metropolitan Partners Group Administration, LLC, a Delaware limited liability company;</w:t>
      </w:r>
    </w:p>
    <w:p>
      <w:pPr>
        <w:spacing w:after="0" w:line="89" w:lineRule="exact"/>
        <w:rPr>
          <w:rFonts w:ascii="Arial" w:cs="Arial" w:eastAsia="Arial" w:hAnsi="Arial"/>
          <w:sz w:val="18"/>
          <w:szCs w:val="18"/>
          <w:color w:val="auto"/>
        </w:rPr>
      </w:pPr>
    </w:p>
    <w:p>
      <w:pPr>
        <w:jc w:val="both"/>
        <w:ind w:left="1320" w:right="459" w:hanging="434"/>
        <w:spacing w:after="0" w:line="259" w:lineRule="auto"/>
        <w:tabs>
          <w:tab w:leader="none" w:pos="1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“Metropolitan Entities” means Metropolitan Levered Partners Fund VII, LP, a Delaware limited partnership, Metropolitan Partners Fund VII, LP, a Delaware limited partnership, Metropolitan Offshore Partners Fund VII, LP, a Delaware limited partnership and CEOF Holdings LP, a Delaware limited partnership;</w:t>
      </w:r>
    </w:p>
    <w:p>
      <w:pPr>
        <w:spacing w:after="0" w:line="119"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“Metropolitan Registration Rights Agreement” means the registration rights agreement dated as of March 31, 2023, by and among Presto and the Metropolitan Entities;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Presto” means VTAQ after the event in which Presto becomes a wholly-owned subsidiary of VTAQ and VTAQ changes its name to Presto Automation Inc.;</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“PIPE Investment” means the sale of an aggregate of 7,143,687 shares of Common Stock for an aggregate consideration of $55,000,000 in a private placement that closed simultaneously with the consummation of the Business Combination;</w:t>
      </w:r>
    </w:p>
    <w:p>
      <w:pPr>
        <w:spacing w:after="0" w:line="116"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“Preferred Stock” means 1,000,000 shares of preferred stock, par value $0.0001 per share, of the 51,000,000 total number of authorized shares of all classes of capital stock;</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“Presto Board” means the board of directors of Presto Automation Inc. following the Business Combination;</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“Presto Common Stock” means the common stock of New Presto, $0.0001 par value per share;</w:t>
      </w:r>
    </w:p>
    <w:p>
      <w:pPr>
        <w:spacing w:after="0" w:line="169" w:lineRule="exact"/>
        <w:rPr>
          <w:rFonts w:ascii="Arial" w:cs="Arial" w:eastAsia="Arial" w:hAnsi="Arial"/>
          <w:sz w:val="17"/>
          <w:szCs w:val="17"/>
          <w:color w:val="auto"/>
        </w:rPr>
      </w:pPr>
    </w:p>
    <w:p>
      <w:pPr>
        <w:ind w:left="1320" w:hanging="434"/>
        <w:spacing w:after="0"/>
        <w:tabs>
          <w:tab w:leader="none" w:pos="1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“Presto RSU” means each outstanding restricted stock unit in respect of Presto Common Stock;</w:t>
      </w:r>
    </w:p>
    <w:p>
      <w:pPr>
        <w:spacing w:after="0" w:line="169" w:lineRule="exact"/>
        <w:rPr>
          <w:rFonts w:ascii="Arial" w:cs="Arial" w:eastAsia="Arial" w:hAnsi="Arial"/>
          <w:sz w:val="17"/>
          <w:szCs w:val="17"/>
          <w:color w:val="auto"/>
        </w:rPr>
      </w:pPr>
    </w:p>
    <w:p>
      <w:pPr>
        <w:jc w:val="both"/>
        <w:ind w:left="1320" w:right="459" w:hanging="434"/>
        <w:spacing w:after="0" w:line="263" w:lineRule="auto"/>
        <w:tabs>
          <w:tab w:leader="none" w:pos="1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 Placement Warrants” or “Private Warrants” means 6,125,000 warrants that were sold by VTAQ to the Sponsor in a private sale prior to the VTAQ IPO and that remain outstanding as of the date of this prospectus;</w:t>
      </w:r>
    </w:p>
    <w:p>
      <w:pPr>
        <w:spacing w:after="0" w:line="102" w:lineRule="exact"/>
        <w:rPr>
          <w:rFonts w:ascii="Arial" w:cs="Arial" w:eastAsia="Arial" w:hAnsi="Arial"/>
          <w:sz w:val="18"/>
          <w:szCs w:val="18"/>
          <w:color w:val="auto"/>
        </w:rPr>
      </w:pPr>
    </w:p>
    <w:p>
      <w:pPr>
        <w:jc w:val="both"/>
        <w:ind w:left="1320" w:right="459" w:hanging="434"/>
        <w:spacing w:after="0" w:line="259" w:lineRule="auto"/>
        <w:tabs>
          <w:tab w:leader="none" w:pos="1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Warrants” means the warrants issued in the VTAQ IPO, each of which entitles the holder to purchase one-half (1/2) of a share of Common Stock, initially at an exercise price of $11.50 per share and as subsequently adjusted to an exercise price of $8.21 per share as further described herein;</w:t>
      </w:r>
    </w:p>
    <w:p>
      <w:pPr>
        <w:spacing w:after="0" w:line="119" w:lineRule="exact"/>
        <w:rPr>
          <w:rFonts w:ascii="Arial" w:cs="Arial" w:eastAsia="Arial" w:hAnsi="Arial"/>
          <w:sz w:val="18"/>
          <w:szCs w:val="18"/>
          <w:color w:val="auto"/>
        </w:rPr>
      </w:pPr>
    </w:p>
    <w:p>
      <w:pPr>
        <w:ind w:left="1320" w:hanging="43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“RSUs” means restricted stock units;</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“Second Amendment Warrants” means the Warrants to Purchase Common Stock, dated as of May 22, 2023, by and between Presto and each of the Metropolitan Entities;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“Second Merger” means the merger immediately following the First Merger between the Surviving Corporation and Ventoux Merger Sub II;</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“Securities Act” means the Securities Act of 1933, as amended;</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“Sponsors” means Ventoux Acquisition Holdings LLC and Chardan International Investments, LLC;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459" w:hanging="434"/>
        <w:spacing w:after="0" w:line="277" w:lineRule="auto"/>
        <w:tabs>
          <w:tab w:leader="none" w:pos="1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“Surviving Corporation” means the surviving entity following the First Merger and continuing (immediately following the First Merger) as a wholly-owned subsidiary of VTAQ;</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“Trust Account” means the Trust Account of VTAQ, which holds the net proceeds of the VTAQ IPO and the sale of the private units, together with interest earned thereon, less amounts released to pay franchise and income tax obligations;</w:t>
      </w:r>
    </w:p>
    <w:p>
      <w:pPr>
        <w:spacing w:after="0" w:line="116" w:lineRule="exact"/>
        <w:rPr>
          <w:rFonts w:ascii="Arial" w:cs="Arial" w:eastAsia="Arial" w:hAnsi="Arial"/>
          <w:sz w:val="18"/>
          <w:szCs w:val="18"/>
          <w:color w:val="auto"/>
        </w:rPr>
      </w:pPr>
    </w:p>
    <w:p>
      <w:pPr>
        <w:jc w:val="both"/>
        <w:ind w:left="1320" w:right="459" w:hanging="434"/>
        <w:spacing w:after="0" w:line="263" w:lineRule="auto"/>
        <w:tabs>
          <w:tab w:leader="none" w:pos="1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“Unit” means a unit consisting of one share of Common Stock, one warrant to purchase one-half (1/2) of a share of Common Stock and one right to receive one-twentieth (1/20) of a share of Common Stock;</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“Ventoux Acquisition” means Ventoux Acquisition Holdings LLC;</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“Ventoux Merger Sub I” means Ventoux Merger Sub I Inc., a Delaware corporation and a direct, wholly-owned subsidiary of VTAQ;</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“Ventoux Merger Sub II” means Ventoux Merger Sub II, LLC, a Delaware limited liability company and a direct, wholly-owned subsidiary of VTAQ;</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“VTAQ” means Ventoux CCM Acquisition Corp;</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“VTAQ Common Stock” means the common stock of VTAQ, $0.0001 par value per share; and</w:t>
      </w:r>
    </w:p>
    <w:p>
      <w:pPr>
        <w:spacing w:after="0" w:line="169" w:lineRule="exact"/>
        <w:rPr>
          <w:rFonts w:ascii="Arial" w:cs="Arial" w:eastAsia="Arial" w:hAnsi="Arial"/>
          <w:sz w:val="17"/>
          <w:szCs w:val="17"/>
          <w:color w:val="auto"/>
        </w:rPr>
      </w:pPr>
    </w:p>
    <w:p>
      <w:pPr>
        <w:ind w:left="1320" w:hanging="434"/>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“VTAQ IPO” means VTAQ’s initial public offering.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4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This prospectus contains forward-looking statements for purposes of the safe harbor provisions under the United States Private Securities Litigation Reform Act of 1995, including statements about the financial condition, results of operations, earnings outlook and prospects of Presto. In addition, any statements that refer to projections (including EBITDA, adjusted EBITDA, EBITDA margin and revenue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 The forward-looking statements are based on projections prepared by, and are the responsibility of Presto’s management teams.</w:t>
      </w:r>
    </w:p>
    <w:p>
      <w:pPr>
        <w:spacing w:after="0" w:line="101"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Factors that could cause actual results to differ from those implied by the forward-looking statements in this prospectus are more fully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and elsewhere in this prospectus. The risks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are not exhaustive. Other sections of this prospectus describe additional factors that could adversely affect the business, financial condition or results of operations of Presto. New risk factors emerge from time to time and it is not possible to predict all such risk factors, nor can Presto assess the impact of all such risk factors on the business of Presto,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Presto or persons acting on their behalf are expressly qualified in their entirety by the foregoing cautionary statements. Presto undertakes no obligations to update or revise publicly any forward-looking statements, whether as a result of new information, future events or otherwise, except as required by law.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 w:name="page9"/>
    <w:bookmarkEnd w:id="8"/>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799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7310" cy="87998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THE PROSPECTUS</w:t>
      </w:r>
    </w:p>
    <w:p>
      <w:pPr>
        <w:spacing w:after="0" w:line="135" w:lineRule="exact"/>
        <w:rPr>
          <w:sz w:val="20"/>
          <w:szCs w:val="20"/>
          <w:color w:val="auto"/>
        </w:rPr>
      </w:pPr>
    </w:p>
    <w:p>
      <w:pPr>
        <w:jc w:val="both"/>
        <w:ind w:left="540" w:right="559" w:firstLine="432"/>
        <w:spacing w:after="0" w:line="255" w:lineRule="auto"/>
        <w:rPr>
          <w:sz w:val="20"/>
          <w:szCs w:val="20"/>
          <w:color w:val="auto"/>
        </w:rPr>
      </w:pPr>
      <w:r>
        <w:rPr>
          <w:rFonts w:ascii="Arial" w:cs="Arial" w:eastAsia="Arial" w:hAnsi="Arial"/>
          <w:sz w:val="18"/>
          <w:szCs w:val="18"/>
          <w:i w:val="1"/>
          <w:iCs w:val="1"/>
          <w:color w:val="auto"/>
        </w:rPr>
        <w:t>This summary highlights selected information from this prospectus and may not contain all of the information that is important to you in making an investment decision. Before investing in our securities, you should carefully read this entire prospectus, including our financial statements and the related notes included in this prospectus and the information set forth under the headings “Risk Factors” and “Management’s Discussion and Analysis of Financial Condition and Results of Operations.” See also the section titled “Where You Can Find More Information.”</w:t>
      </w:r>
    </w:p>
    <w:p>
      <w:pPr>
        <w:spacing w:after="0" w:line="111" w:lineRule="exact"/>
        <w:rPr>
          <w:sz w:val="20"/>
          <w:szCs w:val="20"/>
          <w:color w:val="auto"/>
        </w:rPr>
      </w:pPr>
    </w:p>
    <w:p>
      <w:pPr>
        <w:jc w:val="both"/>
        <w:ind w:left="540" w:right="559" w:firstLine="432"/>
        <w:spacing w:after="0" w:line="277" w:lineRule="auto"/>
        <w:rPr>
          <w:sz w:val="20"/>
          <w:szCs w:val="20"/>
          <w:color w:val="auto"/>
        </w:rPr>
      </w:pPr>
      <w:r>
        <w:rPr>
          <w:rFonts w:ascii="Arial" w:cs="Arial" w:eastAsia="Arial" w:hAnsi="Arial"/>
          <w:sz w:val="18"/>
          <w:szCs w:val="18"/>
          <w:i w:val="1"/>
          <w:iCs w:val="1"/>
          <w:color w:val="auto"/>
        </w:rPr>
        <w:t>Unless the context otherwise requires, references in this prospectus to the “Company,” “we,” “us” or “our” are to Presto Automation Inc.</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left="540" w:right="559" w:firstLine="432"/>
        <w:spacing w:after="0" w:line="271" w:lineRule="auto"/>
        <w:rPr>
          <w:sz w:val="20"/>
          <w:szCs w:val="20"/>
          <w:color w:val="auto"/>
        </w:rPr>
      </w:pPr>
      <w:r>
        <w:rPr>
          <w:rFonts w:ascii="Arial" w:cs="Arial" w:eastAsia="Arial" w:hAnsi="Arial"/>
          <w:sz w:val="17"/>
          <w:szCs w:val="17"/>
          <w:color w:val="auto"/>
        </w:rPr>
        <w:t>Presto, a Delaware corporation headquartered in San Carlos, California, seeks to overlay next-generation digital solutions onto the approximately $3 trillion hospitality industry given the hospitality industry’s current primarily analog nature and substantial reliance on labor. At present, Presto is focused on the restaurant industry. Since its founding in 2008, Presto has shipped over 250,000 enterprise-grade digital solution systems to the restaurant hospitality industry. Presto leverages decades of deep domain experience to build a technology platform that digitizes on-premise restaurant dining rooms and drive-throughs to maximize restaurant profitability and enhance the guest dining experience. Presto offers a range of Touch and AI Platform products to restaurants.</w:t>
      </w:r>
    </w:p>
    <w:p>
      <w:pPr>
        <w:spacing w:after="0" w:line="84" w:lineRule="exact"/>
        <w:rPr>
          <w:sz w:val="20"/>
          <w:szCs w:val="20"/>
          <w:color w:val="auto"/>
        </w:rPr>
      </w:pPr>
    </w:p>
    <w:p>
      <w:pPr>
        <w:jc w:val="both"/>
        <w:ind w:left="1400" w:right="559" w:hanging="429"/>
        <w:spacing w:after="0" w:line="288" w:lineRule="auto"/>
        <w:tabs>
          <w:tab w:leader="none" w:pos="1396"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Touch </w:t>
      </w:r>
      <w:r>
        <w:rPr>
          <w:rFonts w:ascii="Arial" w:cs="Arial" w:eastAsia="Arial" w:hAnsi="Arial"/>
          <w:sz w:val="16"/>
          <w:szCs w:val="16"/>
          <w:color w:val="auto"/>
        </w:rPr>
        <w:t>— Presto’s Touch products enable self-serve ordering, payment processing,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(frequently referred to as logos herein) personalization, and gaming experiences. Presto’s latest product, Presto Flex, is an all-in-one tablet that can be deployed for a variety of applications, including serving as a tabletop device, self-serve kiosk or handheld device. Presto Flex offers Wi-Fi and LTE connectivity while weighing 25% less than an iPad with three times the battery capacity of comparable tablets. A.I. technology provides speech recognition that allows automated voice ordering by both guests and staff. Presto Flex’s front and rear cameras enable coupon scanning. Presto Flex hosts a wide range of payment options and is compliant with Payment Card Industry Data Security Standards (“PCI-DSS”). On average, Presto Flex eliminates 65% of point of sale trips increasing tables serviced and tips per server.</w:t>
      </w:r>
    </w:p>
    <w:p>
      <w:pPr>
        <w:spacing w:after="0" w:line="73" w:lineRule="exact"/>
        <w:rPr>
          <w:rFonts w:ascii="Arial" w:cs="Arial" w:eastAsia="Arial" w:hAnsi="Arial"/>
          <w:sz w:val="16"/>
          <w:szCs w:val="16"/>
          <w:color w:val="auto"/>
        </w:rPr>
      </w:pPr>
    </w:p>
    <w:p>
      <w:pPr>
        <w:jc w:val="both"/>
        <w:ind w:left="1400" w:right="559" w:hanging="429"/>
        <w:spacing w:after="0" w:line="285" w:lineRule="auto"/>
        <w:tabs>
          <w:tab w:leader="none" w:pos="1396"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AI Platform </w:t>
      </w:r>
      <w:r>
        <w:rPr>
          <w:rFonts w:ascii="Arial" w:cs="Arial" w:eastAsia="Arial" w:hAnsi="Arial"/>
          <w:sz w:val="16"/>
          <w:szCs w:val="16"/>
          <w:color w:val="auto"/>
        </w:rPr>
        <w:t>— Presto’s AI-powered computer vision application provides real-time error</w:t>
      </w:r>
      <w:r>
        <w:rPr>
          <w:rFonts w:ascii="Arial" w:cs="Arial" w:eastAsia="Arial" w:hAnsi="Arial"/>
          <w:sz w:val="16"/>
          <w:szCs w:val="16"/>
          <w:i w:val="1"/>
          <w:iCs w:val="1"/>
          <w:color w:val="auto"/>
        </w:rPr>
        <w:t xml:space="preserve"> </w:t>
      </w:r>
      <w:r>
        <w:rPr>
          <w:rFonts w:ascii="Arial" w:cs="Arial" w:eastAsia="Arial" w:hAnsi="Arial"/>
          <w:sz w:val="16"/>
          <w:szCs w:val="16"/>
          <w:color w:val="auto"/>
        </w:rPr>
        <w:t>detection, visual order tracking capabilities, and repeat guest identification. AI Platform uses strategically located cameras and powerful artificial intelligence (“AI”) algorithms to offer unique real-time insights to restaurant operations and analytics. Presto’s next generation technology quickly identifies dropouts in drive-through lines, repeat customers, errors during food preparation, and missing items in the packing process. AI Platform’s smart analytics promotes items with short preparation times when queues are long and notifies managers to deploy line-busting tablets when drive-through wait times or abandonment rates are high. The AI Platform product also helps boost order accuracy in the restaurant hospitality industry by deploying its technology to kitchens, which allows management to monitor whether orders going out the door are substantially accurate. Presto’s speech recognition technology offers guests voice-based ordering in the drive-through and other restaurant settings. The AI Platform product takes orders using automated A.I. that frees up staff by automatically transmitting orders to the restaurant’s POS system. The AI Platform technology enables faster transactions and improved order accuracy by eliminating human order taking. The AI Platform product also increases check sizes with automatic upselling and cross-selling functionality.</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Summary of Risk Factors</w:t>
      </w:r>
    </w:p>
    <w:p>
      <w:pPr>
        <w:spacing w:after="0" w:line="135" w:lineRule="exact"/>
        <w:rPr>
          <w:sz w:val="20"/>
          <w:szCs w:val="20"/>
          <w:color w:val="auto"/>
        </w:rPr>
      </w:pPr>
    </w:p>
    <w:p>
      <w:pPr>
        <w:ind w:left="540" w:right="559" w:firstLine="432"/>
        <w:spacing w:after="0" w:line="277" w:lineRule="auto"/>
        <w:rPr>
          <w:sz w:val="20"/>
          <w:szCs w:val="20"/>
          <w:color w:val="auto"/>
        </w:rPr>
      </w:pPr>
      <w:r>
        <w:rPr>
          <w:rFonts w:ascii="Arial" w:cs="Arial" w:eastAsia="Arial" w:hAnsi="Arial"/>
          <w:sz w:val="18"/>
          <w:szCs w:val="18"/>
          <w:color w:val="auto"/>
        </w:rPr>
        <w:t>Our shareholders should carefully consider the following risk factors, together with all of the other information included in this prospectus.</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Risks Related to Presto’s Business and Industry:</w:t>
      </w:r>
    </w:p>
    <w:p>
      <w:pPr>
        <w:spacing w:after="0" w:line="131" w:lineRule="exact"/>
        <w:rPr>
          <w:sz w:val="20"/>
          <w:szCs w:val="20"/>
          <w:color w:val="auto"/>
        </w:rPr>
      </w:pPr>
    </w:p>
    <w:p>
      <w:pPr>
        <w:jc w:val="both"/>
        <w:ind w:left="1400" w:right="559" w:hanging="429"/>
        <w:spacing w:after="0" w:line="286" w:lineRule="auto"/>
        <w:tabs>
          <w:tab w:leader="none" w:pos="1396"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Presto fails to manage its growth effectively, to sustain its recent revenue growth or attract new customers, it may be unable to execute its business plan, maintain high levels of service and customer satisfaction, or adequately address competitive challenges.</w:t>
      </w:r>
    </w:p>
    <w:p>
      <w:pPr>
        <w:spacing w:after="0" w:line="70" w:lineRule="exact"/>
        <w:rPr>
          <w:rFonts w:ascii="Arial" w:cs="Arial" w:eastAsia="Arial" w:hAnsi="Arial"/>
          <w:sz w:val="17"/>
          <w:szCs w:val="17"/>
          <w:color w:val="auto"/>
        </w:rPr>
      </w:pPr>
    </w:p>
    <w:p>
      <w:pPr>
        <w:jc w:val="both"/>
        <w:ind w:left="1400" w:right="559" w:hanging="429"/>
        <w:spacing w:after="0" w:line="263" w:lineRule="auto"/>
        <w:tabs>
          <w:tab w:leader="none" w:pos="1396"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Presto’s limited operating history with its new AI Platform (previously Vision and Voice) products in a new and developing market makes it difficult to evaluate its current business and future prospects and may increase the risk that it will not be successful.</w:t>
      </w:r>
    </w:p>
    <w:p>
      <w:pPr>
        <w:sectPr>
          <w:pgSz w:w="11900" w:h="16838" w:orient="portrait"/>
          <w:cols w:equalWidth="0" w:num="1">
            <w:col w:w="9019"/>
          </w:cols>
          <w:pgMar w:left="1440" w:top="274" w:right="1440" w:bottom="1440" w:gutter="0" w:footer="0" w:header="0"/>
          <w:type w:val="continuous"/>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 w:name="page10"/>
    <w:bookmarkEnd w:id="9"/>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62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836231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43" w:lineRule="exact"/>
        <w:rPr>
          <w:sz w:val="20"/>
          <w:szCs w:val="20"/>
          <w:color w:val="auto"/>
        </w:rPr>
      </w:pPr>
    </w:p>
    <w:p>
      <w:pPr>
        <w:ind w:left="1400" w:right="559" w:hanging="429"/>
        <w:spacing w:after="0" w:line="308" w:lineRule="auto"/>
        <w:tabs>
          <w:tab w:leader="none" w:pos="1396" w:val="left"/>
        </w:tabs>
        <w:numPr>
          <w:ilvl w:val="0"/>
          <w:numId w:val="7"/>
        </w:numPr>
        <w:rPr>
          <w:rFonts w:ascii="Arial" w:cs="Arial" w:eastAsia="Arial" w:hAnsi="Arial"/>
          <w:sz w:val="17"/>
          <w:szCs w:val="17"/>
          <w:color w:val="auto"/>
        </w:rPr>
      </w:pPr>
      <w:r>
        <w:rPr>
          <w:rFonts w:ascii="Arial" w:cs="Arial" w:eastAsia="Arial" w:hAnsi="Arial"/>
          <w:sz w:val="17"/>
          <w:szCs w:val="17"/>
          <w:color w:val="auto"/>
        </w:rPr>
        <w:t>Presto has a history of generating net losses, and if it is unable to achieve adequate revenue growth while its expenses increase, it may not achieve or maintain profitability in the future.</w:t>
      </w:r>
    </w:p>
    <w:p>
      <w:pPr>
        <w:spacing w:after="0" w:line="65" w:lineRule="exact"/>
        <w:rPr>
          <w:rFonts w:ascii="Arial" w:cs="Arial" w:eastAsia="Arial" w:hAnsi="Arial"/>
          <w:sz w:val="17"/>
          <w:szCs w:val="17"/>
          <w:color w:val="auto"/>
        </w:rPr>
      </w:pPr>
    </w:p>
    <w:p>
      <w:pPr>
        <w:jc w:val="both"/>
        <w:ind w:left="1400" w:right="559" w:hanging="429"/>
        <w:spacing w:after="0" w:line="286" w:lineRule="auto"/>
        <w:tabs>
          <w:tab w:leader="none" w:pos="139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ongoing COVID-19 pandemic has adversely impacted (including as a result of global supply chain shortages that Presto expects to continue for the foreseeable future) and may continue to adversely impact Presto’s results of operations and financial condition.</w:t>
      </w:r>
    </w:p>
    <w:p>
      <w:pPr>
        <w:spacing w:after="0" w:line="70" w:lineRule="exact"/>
        <w:rPr>
          <w:rFonts w:ascii="Arial" w:cs="Arial" w:eastAsia="Arial" w:hAnsi="Arial"/>
          <w:sz w:val="17"/>
          <w:szCs w:val="17"/>
          <w:color w:val="auto"/>
        </w:rPr>
      </w:pPr>
    </w:p>
    <w:p>
      <w:pPr>
        <w:jc w:val="both"/>
        <w:ind w:left="1400" w:right="559" w:hanging="429"/>
        <w:spacing w:after="0" w:line="263" w:lineRule="auto"/>
        <w:tabs>
          <w:tab w:leader="none" w:pos="1396"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Presto generates a significant portion of its revenue from its three largest customers, and the loss or decline in revenue from any of these customers could harm its business, results of operations, and financial condition.</w:t>
      </w:r>
    </w:p>
    <w:p>
      <w:pPr>
        <w:spacing w:after="0" w:line="89" w:lineRule="exact"/>
        <w:rPr>
          <w:rFonts w:ascii="Arial" w:cs="Arial" w:eastAsia="Arial" w:hAnsi="Arial"/>
          <w:sz w:val="18"/>
          <w:szCs w:val="18"/>
          <w:color w:val="auto"/>
        </w:rPr>
      </w:pPr>
    </w:p>
    <w:p>
      <w:pPr>
        <w:jc w:val="both"/>
        <w:ind w:left="1400" w:right="559" w:hanging="429"/>
        <w:spacing w:after="0" w:line="263" w:lineRule="auto"/>
        <w:tabs>
          <w:tab w:leader="none" w:pos="1396"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Presto fails to continue to improve and enhance the functionality, performance, reliability, design, security, or scalability of its platform in a manner that responds to its customers’ evolving needs, its business may be adversely affected.</w:t>
      </w:r>
    </w:p>
    <w:p>
      <w:pPr>
        <w:spacing w:after="0" w:line="102" w:lineRule="exact"/>
        <w:rPr>
          <w:rFonts w:ascii="Arial" w:cs="Arial" w:eastAsia="Arial" w:hAnsi="Arial"/>
          <w:sz w:val="18"/>
          <w:szCs w:val="18"/>
          <w:color w:val="auto"/>
        </w:rPr>
      </w:pPr>
    </w:p>
    <w:p>
      <w:pPr>
        <w:ind w:left="1400" w:right="559" w:hanging="429"/>
        <w:spacing w:after="0" w:line="308" w:lineRule="auto"/>
        <w:tabs>
          <w:tab w:leader="none" w:pos="1396" w:val="left"/>
        </w:tabs>
        <w:numPr>
          <w:ilvl w:val="0"/>
          <w:numId w:val="7"/>
        </w:numPr>
        <w:rPr>
          <w:rFonts w:ascii="Arial" w:cs="Arial" w:eastAsia="Arial" w:hAnsi="Arial"/>
          <w:sz w:val="17"/>
          <w:szCs w:val="17"/>
          <w:color w:val="auto"/>
        </w:rPr>
      </w:pPr>
      <w:r>
        <w:rPr>
          <w:rFonts w:ascii="Arial" w:cs="Arial" w:eastAsia="Arial" w:hAnsi="Arial"/>
          <w:sz w:val="17"/>
          <w:szCs w:val="17"/>
          <w:color w:val="auto"/>
        </w:rPr>
        <w:t>Since Presto recognizes revenue from the sale of its products over a multi-year term, downturns or upturns in sales are not immediately reflected in full in its results of operations.</w:t>
      </w:r>
    </w:p>
    <w:p>
      <w:pPr>
        <w:spacing w:after="0" w:line="51" w:lineRule="exact"/>
        <w:rPr>
          <w:rFonts w:ascii="Arial" w:cs="Arial" w:eastAsia="Arial" w:hAnsi="Arial"/>
          <w:sz w:val="17"/>
          <w:szCs w:val="17"/>
          <w:color w:val="auto"/>
        </w:rPr>
      </w:pPr>
    </w:p>
    <w:p>
      <w:pPr>
        <w:jc w:val="both"/>
        <w:ind w:left="1400" w:right="559" w:hanging="429"/>
        <w:spacing w:after="0" w:line="259" w:lineRule="auto"/>
        <w:tabs>
          <w:tab w:leader="none" w:pos="1396"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Presto and certain of its third-party partners, service providers, and subprocessors transmit and store personal information of its customers and consumers. If the security of this information is compromised, Presto’s reputation may be harmed, and it may be exposed to liability and loss of business.</w:t>
      </w:r>
    </w:p>
    <w:p>
      <w:pPr>
        <w:spacing w:after="0" w:line="92" w:lineRule="exact"/>
        <w:rPr>
          <w:rFonts w:ascii="Arial" w:cs="Arial" w:eastAsia="Arial" w:hAnsi="Arial"/>
          <w:sz w:val="18"/>
          <w:szCs w:val="18"/>
          <w:color w:val="auto"/>
        </w:rPr>
      </w:pPr>
    </w:p>
    <w:p>
      <w:pPr>
        <w:jc w:val="both"/>
        <w:ind w:left="1400" w:right="559" w:hanging="429"/>
        <w:spacing w:after="0" w:line="263" w:lineRule="auto"/>
        <w:tabs>
          <w:tab w:leader="none" w:pos="1396"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Presto is subject to stringent and changing privacy laws, regulations and standards, and contractual obligations related to data privacy and security, and noncompliance with such laws could adversely affect its business.</w:t>
      </w:r>
    </w:p>
    <w:p>
      <w:pPr>
        <w:spacing w:after="0" w:line="102" w:lineRule="exact"/>
        <w:rPr>
          <w:rFonts w:ascii="Arial" w:cs="Arial" w:eastAsia="Arial" w:hAnsi="Arial"/>
          <w:sz w:val="18"/>
          <w:szCs w:val="18"/>
          <w:color w:val="auto"/>
        </w:rPr>
      </w:pPr>
    </w:p>
    <w:p>
      <w:pPr>
        <w:jc w:val="both"/>
        <w:ind w:left="1400" w:right="559" w:hanging="429"/>
        <w:spacing w:after="0" w:line="263" w:lineRule="auto"/>
        <w:tabs>
          <w:tab w:leader="none" w:pos="1396"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Unfavorable conditions in the restaurant industry or the global economy, including with respect to food, labor, and occupancy costs, could limit Presto’s ability to grow its business and materially impact its financial performance.</w:t>
      </w:r>
    </w:p>
    <w:p>
      <w:pPr>
        <w:spacing w:after="0" w:line="89" w:lineRule="exact"/>
        <w:rPr>
          <w:rFonts w:ascii="Arial" w:cs="Arial" w:eastAsia="Arial" w:hAnsi="Arial"/>
          <w:sz w:val="18"/>
          <w:szCs w:val="18"/>
          <w:color w:val="auto"/>
        </w:rPr>
      </w:pPr>
    </w:p>
    <w:p>
      <w:pPr>
        <w:jc w:val="both"/>
        <w:ind w:left="1400" w:right="559" w:hanging="429"/>
        <w:spacing w:after="0" w:line="263" w:lineRule="auto"/>
        <w:tabs>
          <w:tab w:leader="none" w:pos="1396"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Presto may require additional capital, which additional financing may result in restrictions on its operations or substantial dilution to its stockholders, to support the growth of its business, and this capital might not be available on acceptable terms, if at all.</w:t>
      </w:r>
    </w:p>
    <w:p>
      <w:pPr>
        <w:spacing w:after="0" w:line="89" w:lineRule="exact"/>
        <w:rPr>
          <w:rFonts w:ascii="Arial" w:cs="Arial" w:eastAsia="Arial" w:hAnsi="Arial"/>
          <w:sz w:val="18"/>
          <w:szCs w:val="18"/>
          <w:color w:val="auto"/>
        </w:rPr>
      </w:pPr>
    </w:p>
    <w:p>
      <w:pPr>
        <w:jc w:val="both"/>
        <w:ind w:left="1400" w:right="559" w:hanging="429"/>
        <w:spacing w:after="0" w:line="263" w:lineRule="auto"/>
        <w:tabs>
          <w:tab w:leader="none" w:pos="1396"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Presto has outstanding secured debt that contains financial covenants and other restrictions on its actions that may limit its operational flexibility or otherwise adversely affect its results of operations.</w:t>
      </w:r>
    </w:p>
    <w:p>
      <w:pPr>
        <w:spacing w:after="0" w:line="102" w:lineRule="exact"/>
        <w:rPr>
          <w:rFonts w:ascii="Arial" w:cs="Arial" w:eastAsia="Arial" w:hAnsi="Arial"/>
          <w:sz w:val="18"/>
          <w:szCs w:val="18"/>
          <w:color w:val="auto"/>
        </w:rPr>
      </w:pPr>
    </w:p>
    <w:p>
      <w:pPr>
        <w:ind w:left="1400" w:right="559" w:hanging="429"/>
        <w:spacing w:after="0" w:line="277" w:lineRule="auto"/>
        <w:tabs>
          <w:tab w:leader="none" w:pos="1396"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Presto’s sales cycles can be long and unpredictable, and its sales efforts require considerable investment of time and expense.</w:t>
      </w:r>
    </w:p>
    <w:p>
      <w:pPr>
        <w:spacing w:after="0" w:line="75" w:lineRule="exact"/>
        <w:rPr>
          <w:rFonts w:ascii="Arial" w:cs="Arial" w:eastAsia="Arial" w:hAnsi="Arial"/>
          <w:sz w:val="18"/>
          <w:szCs w:val="18"/>
          <w:color w:val="auto"/>
        </w:rPr>
      </w:pPr>
    </w:p>
    <w:p>
      <w:pPr>
        <w:jc w:val="both"/>
        <w:ind w:left="1400" w:right="559" w:hanging="429"/>
        <w:spacing w:after="0" w:line="263" w:lineRule="auto"/>
        <w:tabs>
          <w:tab w:leader="none" w:pos="1396"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Presto has identified material weaknesses in its internal control over financial reporting and, if it fails to remediate these deficiencies, it may not be able to accurately or timely report its financial condition or results of operations.</w:t>
      </w:r>
    </w:p>
    <w:p>
      <w:pPr>
        <w:spacing w:after="0" w:line="89" w:lineRule="exact"/>
        <w:rPr>
          <w:rFonts w:ascii="Arial" w:cs="Arial" w:eastAsia="Arial" w:hAnsi="Arial"/>
          <w:sz w:val="18"/>
          <w:szCs w:val="18"/>
          <w:color w:val="auto"/>
        </w:rPr>
      </w:pPr>
    </w:p>
    <w:p>
      <w:pPr>
        <w:jc w:val="both"/>
        <w:ind w:left="1400" w:right="559" w:hanging="429"/>
        <w:spacing w:after="0" w:line="263" w:lineRule="auto"/>
        <w:tabs>
          <w:tab w:leader="none" w:pos="1396"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Presto’s current liquidity resources raise substantial doubt about the Company’s ability to continue as a going concern and unless Presto raises additional capital to meet its obligations, this doubt may not be alleviated.</w:t>
      </w:r>
    </w:p>
    <w:p>
      <w:pPr>
        <w:spacing w:after="0" w:line="102" w:lineRule="exact"/>
        <w:rPr>
          <w:rFonts w:ascii="Arial" w:cs="Arial" w:eastAsia="Arial" w:hAnsi="Arial"/>
          <w:sz w:val="18"/>
          <w:szCs w:val="18"/>
          <w:color w:val="auto"/>
        </w:rPr>
      </w:pPr>
    </w:p>
    <w:p>
      <w:pPr>
        <w:jc w:val="both"/>
        <w:ind w:left="1400" w:right="559" w:hanging="429"/>
        <w:spacing w:after="0" w:line="263" w:lineRule="auto"/>
        <w:tabs>
          <w:tab w:leader="none" w:pos="1396"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Recent turmoil in the banking industry may negatively impact Presto’s ability to acquire financing on acceptable terms if at all, and worsening conditions or additional bank failures could result in a loss of deposits over federally insured levels.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Risks Related to Third Parties:</w:t>
      </w:r>
    </w:p>
    <w:p>
      <w:pPr>
        <w:spacing w:after="0" w:line="144" w:lineRule="exact"/>
        <w:rPr>
          <w:sz w:val="20"/>
          <w:szCs w:val="20"/>
          <w:color w:val="auto"/>
        </w:rPr>
      </w:pPr>
    </w:p>
    <w:p>
      <w:pPr>
        <w:ind w:left="1400" w:right="559" w:hanging="429"/>
        <w:spacing w:after="0" w:line="342" w:lineRule="auto"/>
        <w:tabs>
          <w:tab w:leader="none" w:pos="1396"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Presto relies on a limited number of suppliers to provide part of the technology it offers and is therefore at risk of shortages, price increases, changes, delays or discontinuations of hardware.</w:t>
      </w:r>
    </w:p>
    <w:p>
      <w:pPr>
        <w:spacing w:after="0" w:line="56" w:lineRule="exact"/>
        <w:rPr>
          <w:rFonts w:ascii="Arial" w:cs="Arial" w:eastAsia="Arial" w:hAnsi="Arial"/>
          <w:sz w:val="16"/>
          <w:szCs w:val="16"/>
          <w:color w:val="auto"/>
        </w:rPr>
      </w:pPr>
    </w:p>
    <w:p>
      <w:pPr>
        <w:jc w:val="both"/>
        <w:ind w:left="1400" w:right="559" w:hanging="429"/>
        <w:spacing w:after="0" w:line="311" w:lineRule="auto"/>
        <w:tabs>
          <w:tab w:leader="none" w:pos="1396"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Presto relies substantially on a select few payment processors to facilitate payments made by or to guests and customers, and if it cannot manage risks related to its relationships with its payment processors, its business, financial condition, and results of operations could be adversely affected.</w:t>
      </w:r>
    </w:p>
    <w:p>
      <w:pPr>
        <w:spacing w:after="0" w:line="81" w:lineRule="exact"/>
        <w:rPr>
          <w:rFonts w:ascii="Arial" w:cs="Arial" w:eastAsia="Arial" w:hAnsi="Arial"/>
          <w:sz w:val="16"/>
          <w:szCs w:val="16"/>
          <w:color w:val="auto"/>
        </w:rPr>
      </w:pPr>
    </w:p>
    <w:p>
      <w:pPr>
        <w:ind w:left="1400" w:right="559" w:hanging="429"/>
        <w:spacing w:after="0" w:line="277" w:lineRule="auto"/>
        <w:tabs>
          <w:tab w:leader="none" w:pos="1396"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Presto relies on computer hardware, licensed software and services rendered by third parties and the interoperability thereof in order to run its business.</w:t>
      </w:r>
    </w:p>
    <w:p>
      <w:pPr>
        <w:sectPr>
          <w:pgSz w:w="11900" w:h="16838" w:orient="portrait"/>
          <w:cols w:equalWidth="0" w:num="1">
            <w:col w:w="9019"/>
          </w:cols>
          <w:pgMar w:left="1440" w:top="274" w:right="1440" w:bottom="1440" w:gutter="0" w:footer="0" w:header="0"/>
          <w:type w:val="continuous"/>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 w:name="page11"/>
    <w:bookmarkEnd w:id="10"/>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430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843089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Risks Related to Regulatory, Legal and Compliance Matters:</w:t>
      </w:r>
    </w:p>
    <w:p>
      <w:pPr>
        <w:spacing w:after="0" w:line="158" w:lineRule="exact"/>
        <w:rPr>
          <w:sz w:val="20"/>
          <w:szCs w:val="20"/>
          <w:color w:val="auto"/>
        </w:rPr>
      </w:pPr>
    </w:p>
    <w:p>
      <w:pPr>
        <w:jc w:val="both"/>
        <w:ind w:left="1400" w:right="559" w:hanging="429"/>
        <w:spacing w:after="0" w:line="279" w:lineRule="auto"/>
        <w:tabs>
          <w:tab w:leader="none" w:pos="1396" w:val="left"/>
        </w:tabs>
        <w:numPr>
          <w:ilvl w:val="0"/>
          <w:numId w:val="9"/>
        </w:numPr>
        <w:rPr>
          <w:rFonts w:ascii="Arial" w:cs="Arial" w:eastAsia="Arial" w:hAnsi="Arial"/>
          <w:sz w:val="17"/>
          <w:szCs w:val="17"/>
          <w:color w:val="auto"/>
        </w:rPr>
      </w:pPr>
      <w:r>
        <w:rPr>
          <w:rFonts w:ascii="Arial" w:cs="Arial" w:eastAsia="Arial" w:hAnsi="Arial"/>
          <w:sz w:val="17"/>
          <w:szCs w:val="17"/>
          <w:color w:val="auto"/>
        </w:rPr>
        <w:t>Presto’s business is subject to a variety of U.S. laws and regulations (including with respect to payment transaction processing), many of which are unsettled and still developing, and Presto or its customers’ failure to comply with such laws and regulations could subject it to claims or otherwise adversely affect its business, financial condition, or results of operations.</w:t>
      </w:r>
    </w:p>
    <w:p>
      <w:pPr>
        <w:spacing w:after="0" w:line="90" w:lineRule="exact"/>
        <w:rPr>
          <w:rFonts w:ascii="Arial" w:cs="Arial" w:eastAsia="Arial" w:hAnsi="Arial"/>
          <w:sz w:val="17"/>
          <w:szCs w:val="17"/>
          <w:color w:val="auto"/>
        </w:rPr>
      </w:pPr>
    </w:p>
    <w:p>
      <w:pPr>
        <w:ind w:left="1400" w:right="559" w:hanging="429"/>
        <w:spacing w:after="0" w:line="277" w:lineRule="auto"/>
        <w:tabs>
          <w:tab w:leader="none" w:pos="1396"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changes in U.S. and international trade policies that restrict imports or increase tariffs could have a material adverse effect on Presto’s results of operations.</w:t>
      </w:r>
    </w:p>
    <w:p>
      <w:pPr>
        <w:spacing w:after="0" w:line="102" w:lineRule="exact"/>
        <w:rPr>
          <w:rFonts w:ascii="Arial" w:cs="Arial" w:eastAsia="Arial" w:hAnsi="Arial"/>
          <w:sz w:val="18"/>
          <w:szCs w:val="18"/>
          <w:color w:val="auto"/>
        </w:rPr>
      </w:pPr>
    </w:p>
    <w:p>
      <w:pPr>
        <w:jc w:val="both"/>
        <w:ind w:left="1400" w:right="559" w:hanging="429"/>
        <w:spacing w:after="0" w:line="263" w:lineRule="auto"/>
        <w:tabs>
          <w:tab w:leader="none" w:pos="1396"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Presto could be required to collect additional sales taxes or be subject to other tax liabilities that may increase the costs its customers would have to pay for its products and adversely affect its results of operations.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Risks Related to Presto’s Intellectual Property:</w:t>
      </w:r>
    </w:p>
    <w:p>
      <w:pPr>
        <w:spacing w:after="0" w:line="158" w:lineRule="exact"/>
        <w:rPr>
          <w:sz w:val="20"/>
          <w:szCs w:val="20"/>
          <w:color w:val="auto"/>
        </w:rPr>
      </w:pPr>
    </w:p>
    <w:p>
      <w:pPr>
        <w:jc w:val="both"/>
        <w:ind w:left="1400" w:right="559" w:hanging="429"/>
        <w:spacing w:after="0" w:line="263" w:lineRule="auto"/>
        <w:tabs>
          <w:tab w:leader="none" w:pos="13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Presto fails to adequately protect its intellectual property rights, its competitive position could be impaired and it may lose valuable assets, generate reduced revenue and become subject to costly litigation to protect its rights.</w:t>
      </w:r>
    </w:p>
    <w:p>
      <w:pPr>
        <w:spacing w:after="0" w:line="102" w:lineRule="exact"/>
        <w:rPr>
          <w:rFonts w:ascii="Arial" w:cs="Arial" w:eastAsia="Arial" w:hAnsi="Arial"/>
          <w:sz w:val="18"/>
          <w:szCs w:val="18"/>
          <w:color w:val="auto"/>
        </w:rPr>
      </w:pPr>
    </w:p>
    <w:p>
      <w:pPr>
        <w:jc w:val="both"/>
        <w:ind w:left="1400" w:right="559" w:hanging="429"/>
        <w:spacing w:after="0" w:line="263" w:lineRule="auto"/>
        <w:tabs>
          <w:tab w:leader="none" w:pos="13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Presto has been, and may in the future be, subject to claims by third parties of intellectual property infringement, which, if successful could negatively impact operations and significantly increase costs.</w:t>
      </w:r>
    </w:p>
    <w:p>
      <w:pPr>
        <w:spacing w:after="0" w:line="116" w:lineRule="exact"/>
        <w:rPr>
          <w:rFonts w:ascii="Arial" w:cs="Arial" w:eastAsia="Arial" w:hAnsi="Arial"/>
          <w:sz w:val="18"/>
          <w:szCs w:val="18"/>
          <w:color w:val="auto"/>
        </w:rPr>
      </w:pPr>
    </w:p>
    <w:p>
      <w:pPr>
        <w:ind w:left="1400" w:right="559" w:hanging="429"/>
        <w:spacing w:after="0" w:line="277" w:lineRule="auto"/>
        <w:tabs>
          <w:tab w:leader="none" w:pos="13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Presto uses open-source software in its platform, which could negatively affect its ability to sell its services or subject it to litigation or other actions.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Purchase Agreement</w:t>
      </w:r>
    </w:p>
    <w:p>
      <w:pPr>
        <w:spacing w:after="0" w:line="158" w:lineRule="exact"/>
        <w:rPr>
          <w:sz w:val="20"/>
          <w:szCs w:val="20"/>
          <w:color w:val="auto"/>
        </w:rPr>
      </w:pPr>
    </w:p>
    <w:p>
      <w:pPr>
        <w:jc w:val="both"/>
        <w:ind w:left="540" w:right="559" w:firstLine="432"/>
        <w:spacing w:after="0" w:line="272" w:lineRule="auto"/>
        <w:rPr>
          <w:sz w:val="20"/>
          <w:szCs w:val="20"/>
          <w:color w:val="auto"/>
        </w:rPr>
      </w:pPr>
      <w:r>
        <w:rPr>
          <w:rFonts w:ascii="Arial" w:cs="Arial" w:eastAsia="Arial" w:hAnsi="Arial"/>
          <w:sz w:val="17"/>
          <w:szCs w:val="17"/>
          <w:color w:val="auto"/>
        </w:rPr>
        <w:t>On May 22, 2023, Presto entered into the Purchase Agreement with certain accredited investors named therein (collectively, the “Purchasers”), pursuant to which the Company agreed to sell an aggregate of 4,760,500 newly issued shares of the Company’s Common Stock, at a purchase price of $2.00 per share for an aggregate purchase price of approximately $9.5 million. The Purchasers include existing shareholders of the Company and new investors. The Purchase Agreement contains customary representations, warranties and covenants of the parties, and the closing was subject to customary closing conditions. The Private Placement closed on May 25, 2023.</w:t>
      </w:r>
    </w:p>
    <w:p>
      <w:pPr>
        <w:spacing w:after="0" w:line="96" w:lineRule="exact"/>
        <w:rPr>
          <w:sz w:val="20"/>
          <w:szCs w:val="20"/>
          <w:color w:val="auto"/>
        </w:rPr>
      </w:pPr>
    </w:p>
    <w:p>
      <w:pPr>
        <w:jc w:val="both"/>
        <w:ind w:left="540" w:right="559" w:firstLine="432"/>
        <w:spacing w:after="0" w:line="273" w:lineRule="auto"/>
        <w:rPr>
          <w:sz w:val="20"/>
          <w:szCs w:val="20"/>
          <w:color w:val="auto"/>
        </w:rPr>
      </w:pPr>
      <w:r>
        <w:rPr>
          <w:rFonts w:ascii="Arial" w:cs="Arial" w:eastAsia="Arial" w:hAnsi="Arial"/>
          <w:sz w:val="17"/>
          <w:szCs w:val="17"/>
          <w:color w:val="auto"/>
        </w:rPr>
        <w:t>In connection with the Purchase Agreement and the Private Placement, on May 22, 2023, Presto also entered into the 2023 PIPE Registration Rights Agreement with the Purchasers. Presto is filing this registration statement of which this prospectus forms a part pursuant to the provisions of the 2023 PIPE Registration Rights Agreement. Pursuant to the terms of the 2023 PIPE Registration Rights Agreement, Presto agreed to provide customary registration rights to the Purchasers with respect to the shares of Presto Common Stock issued in the Private Placement as described above.</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Second Amendment to Credit Agreement</w:t>
      </w:r>
    </w:p>
    <w:p>
      <w:pPr>
        <w:spacing w:after="0" w:line="158" w:lineRule="exact"/>
        <w:rPr>
          <w:sz w:val="20"/>
          <w:szCs w:val="20"/>
          <w:color w:val="auto"/>
        </w:rPr>
      </w:pPr>
    </w:p>
    <w:p>
      <w:pPr>
        <w:jc w:val="both"/>
        <w:ind w:left="540" w:right="559" w:firstLine="432"/>
        <w:spacing w:after="0" w:line="271" w:lineRule="auto"/>
        <w:rPr>
          <w:sz w:val="20"/>
          <w:szCs w:val="20"/>
          <w:color w:val="auto"/>
        </w:rPr>
      </w:pPr>
      <w:r>
        <w:rPr>
          <w:rFonts w:ascii="Arial" w:cs="Arial" w:eastAsia="Arial" w:hAnsi="Arial"/>
          <w:sz w:val="17"/>
          <w:szCs w:val="17"/>
          <w:color w:val="auto"/>
        </w:rPr>
        <w:t>On May 22, 2023, the Company entered into a Second Amendment to Credit Agreement with the lenders and the other parties party thereto and Metropolitan, the administrative, payment and collateral agent for the lenders, pursuant to which the parties amended certain covenants of the Credit Agreement (as defined below), and the lenders agreed to the exchange of an aggregate of $1,000,000 of accrued and previously capitalized interest for the Conversion Warrants. In connection with the effectiveness of the Second Amendment and in consideration for Metropolitan’s entering into the Second Amendment, the Company entered into the Fee Letter with Metropolitan, pursuant to which the Company issued the Second Amendment Warrants to the lenders as an amendment fee.</w:t>
      </w:r>
    </w:p>
    <w:p>
      <w:pPr>
        <w:spacing w:after="0" w:line="111"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color w:val="auto"/>
        </w:rPr>
        <w:t>In accordance with the terms of the Second Amendment, Presto and Metropolitan are registering the Conversion Warrants Shares and the Second Amendment Warrants Shares under the existing Metropolitan Registration Rights Agreement as Registrable Securities (as defined in the Metropolitan Registration Rights Agreement). Presto is filing this registration statement of which this prospectus forms a part pursuant to the provisions of the Metropolitan Registration</w:t>
      </w:r>
    </w:p>
    <w:p>
      <w:pPr>
        <w:sectPr>
          <w:pgSz w:w="11900" w:h="16838" w:orient="portrait"/>
          <w:cols w:equalWidth="0" w:num="1">
            <w:col w:w="9019"/>
          </w:cols>
          <w:pgMar w:left="1440" w:top="274" w:right="1440" w:bottom="1440" w:gutter="0" w:footer="0" w:header="0"/>
          <w:type w:val="continuous"/>
        </w:sect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 w:name="page12"/>
    <w:bookmarkEnd w:id="1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6193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6193155"/>
                    </a:xfrm>
                    <a:prstGeom prst="rect">
                      <a:avLst/>
                    </a:prstGeom>
                    <a:noFill/>
                  </pic:spPr>
                </pic:pic>
              </a:graphicData>
            </a:graphic>
          </wp:anchor>
        </w:drawing>
      </w:r>
    </w:p>
    <w:p>
      <w:pPr>
        <w:spacing w:after="0" w:line="327"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Rights Agreement. Pursuant to the terms of the Metropolitan Registration Rights Agreement, Presto agreed to provide customary registration rights to the Metropolitan Entities with respect to the shares of Presto Common Stock issuable upon exercise of the warrants described above.</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Departure of Chief Financial Officer</w:t>
      </w:r>
    </w:p>
    <w:p>
      <w:pPr>
        <w:spacing w:after="0" w:line="144" w:lineRule="exact"/>
        <w:rPr>
          <w:sz w:val="20"/>
          <w:szCs w:val="20"/>
          <w:color w:val="auto"/>
        </w:rPr>
      </w:pPr>
    </w:p>
    <w:p>
      <w:pPr>
        <w:jc w:val="both"/>
        <w:ind w:left="540" w:right="559" w:firstLine="432"/>
        <w:spacing w:after="0" w:line="291" w:lineRule="auto"/>
        <w:rPr>
          <w:sz w:val="20"/>
          <w:szCs w:val="20"/>
          <w:color w:val="auto"/>
        </w:rPr>
      </w:pPr>
      <w:r>
        <w:rPr>
          <w:rFonts w:ascii="Arial" w:cs="Arial" w:eastAsia="Arial" w:hAnsi="Arial"/>
          <w:sz w:val="16"/>
          <w:szCs w:val="16"/>
          <w:color w:val="auto"/>
        </w:rPr>
        <w:t>On January 3, 2023, Ashish Gupta, Presto’s Chief Financial Officer, informed Presto that he would be leaving Presto by the end of the quarter. On March 4, 2023, Presto entered into an agreement with Mr. Gupta pursuant to which his employment with Presto ended effective as of March 7, 2023, and he agreed to continue to provide services to Presto, on a contract basis until May 19, 2023 to ensure a smooth transition for Presto’s finance team and to ensure the successful filing of Presto’s Quarterly Report on Form 10-Q. On May 3, 2023, Presto entered into an amendment to the agreement with Mr. Gupta. The amendment extends Mr. Gupta’s continued services to Presto, on a contract basis until July 31, 2023.</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 xml:space="preserve">Our principal executive office is located at 985 Industrial Road, San Carlos, CA 94070. Our telephone number is (650) 817-9012. Our website address is </w:t>
      </w:r>
      <w:r>
        <w:rPr>
          <w:rFonts w:ascii="Arial" w:cs="Arial" w:eastAsia="Arial" w:hAnsi="Arial"/>
          <w:sz w:val="18"/>
          <w:szCs w:val="18"/>
          <w:i w:val="1"/>
          <w:iCs w:val="1"/>
          <w:color w:val="auto"/>
        </w:rPr>
        <w:t>www.presto.com</w:t>
      </w:r>
      <w:r>
        <w:rPr>
          <w:rFonts w:ascii="Arial" w:cs="Arial" w:eastAsia="Arial" w:hAnsi="Arial"/>
          <w:sz w:val="18"/>
          <w:szCs w:val="18"/>
          <w:color w:val="auto"/>
        </w:rPr>
        <w:t>. Information contained on our website is not a part of this prospectus, and the inclusion of our website address in this prospectus is an inactive textual reference only.</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Emerging Growth Company</w:t>
      </w:r>
    </w:p>
    <w:p>
      <w:pPr>
        <w:spacing w:after="0" w:line="162" w:lineRule="exact"/>
        <w:rPr>
          <w:sz w:val="20"/>
          <w:szCs w:val="20"/>
          <w:color w:val="auto"/>
        </w:rPr>
      </w:pPr>
    </w:p>
    <w:p>
      <w:pPr>
        <w:jc w:val="both"/>
        <w:ind w:left="540" w:right="559" w:firstLine="432"/>
        <w:spacing w:after="0" w:line="286" w:lineRule="auto"/>
        <w:rPr>
          <w:sz w:val="20"/>
          <w:szCs w:val="20"/>
          <w:color w:val="auto"/>
        </w:rPr>
      </w:pPr>
      <w:r>
        <w:rPr>
          <w:rFonts w:ascii="Arial" w:cs="Arial" w:eastAsia="Arial" w:hAnsi="Arial"/>
          <w:sz w:val="16"/>
          <w:szCs w:val="16"/>
          <w:color w:val="auto"/>
        </w:rPr>
        <w:t>Section 102(b)(1) of the Jumpstart Our Business Startups Act of 2012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Presto’s financial statements with those of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9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We will remain an emerging growth company until the earlier of: (1) the last day of the fiscal year</w:t>
      </w:r>
    </w:p>
    <w:p>
      <w:pPr>
        <w:spacing w:after="0" w:line="35" w:lineRule="exact"/>
        <w:rPr>
          <w:sz w:val="20"/>
          <w:szCs w:val="20"/>
          <w:color w:val="auto"/>
        </w:rPr>
      </w:pPr>
    </w:p>
    <w:p>
      <w:pPr>
        <w:jc w:val="both"/>
        <w:ind w:left="540" w:right="559" w:hanging="1"/>
        <w:spacing w:after="0" w:line="290" w:lineRule="auto"/>
        <w:tabs>
          <w:tab w:leader="none" w:pos="797"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following the fifth anniversary of the Closing of Ventoux’s Initial Public Offering, (b) in which we have total annual gross revenue of at least $1.235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have the meaning associated with it in the JOBS Act.</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5850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585025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9019"/>
          </w:cols>
          <w:pgMar w:left="1440" w:top="274" w:right="1440" w:bottom="1440" w:gutter="0" w:footer="0" w:header="0"/>
        </w:sectPr>
      </w:pPr>
    </w:p>
    <w:p>
      <w:pPr>
        <w:spacing w:after="0" w:line="185" w:lineRule="exact"/>
        <w:rPr>
          <w:sz w:val="20"/>
          <w:szCs w:val="20"/>
          <w:color w:val="auto"/>
        </w:rPr>
      </w:pPr>
    </w:p>
    <w:p>
      <w:pPr>
        <w:ind w:left="720" w:hanging="179"/>
        <w:spacing w:after="0" w:line="282" w:lineRule="auto"/>
        <w:rPr>
          <w:sz w:val="20"/>
          <w:szCs w:val="20"/>
          <w:color w:val="auto"/>
        </w:rPr>
      </w:pPr>
      <w:r>
        <w:rPr>
          <w:rFonts w:ascii="Arial" w:cs="Arial" w:eastAsia="Arial" w:hAnsi="Arial"/>
          <w:sz w:val="18"/>
          <w:szCs w:val="18"/>
          <w:b w:val="1"/>
          <w:bCs w:val="1"/>
          <w:color w:val="auto"/>
        </w:rPr>
        <w:t>Common Stock to be Offered by the Selling Securityholders</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8"/>
        <w:spacing w:after="0"/>
        <w:rPr>
          <w:sz w:val="20"/>
          <w:szCs w:val="20"/>
          <w:color w:val="auto"/>
        </w:rPr>
      </w:pPr>
      <w:r>
        <w:rPr>
          <w:rFonts w:ascii="Arial" w:cs="Arial" w:eastAsia="Arial" w:hAnsi="Arial"/>
          <w:sz w:val="17"/>
          <w:szCs w:val="17"/>
          <w:color w:val="auto"/>
        </w:rPr>
        <w:t>7,260,500 shares of Common Stock, which are comprised of</w:t>
      </w:r>
    </w:p>
    <w:p>
      <w:pPr>
        <w:spacing w:after="0" w:line="35" w:lineRule="exact"/>
        <w:rPr>
          <w:sz w:val="20"/>
          <w:szCs w:val="20"/>
          <w:color w:val="auto"/>
        </w:rPr>
      </w:pPr>
    </w:p>
    <w:p>
      <w:pPr>
        <w:jc w:val="both"/>
        <w:ind w:left="8" w:right="559" w:hanging="8"/>
        <w:spacing w:after="0" w:line="281" w:lineRule="auto"/>
        <w:tabs>
          <w:tab w:leader="none" w:pos="223" w:val="left"/>
        </w:tabs>
        <w:numPr>
          <w:ilvl w:val="0"/>
          <w:numId w:val="12"/>
        </w:numPr>
        <w:rPr>
          <w:rFonts w:ascii="Arial" w:cs="Arial" w:eastAsia="Arial" w:hAnsi="Arial"/>
          <w:sz w:val="16"/>
          <w:szCs w:val="16"/>
          <w:color w:val="auto"/>
        </w:rPr>
      </w:pPr>
      <w:r>
        <w:rPr>
          <w:rFonts w:ascii="Arial" w:cs="Arial" w:eastAsia="Arial" w:hAnsi="Arial"/>
          <w:sz w:val="16"/>
          <w:szCs w:val="16"/>
          <w:color w:val="auto"/>
        </w:rPr>
        <w:t>4,760,500 PIPE Shares, (ii) 500,000 shares of Common Stock issuable upon the exercise of the Conversion Warrants, and</w:t>
      </w:r>
    </w:p>
    <w:p>
      <w:pPr>
        <w:spacing w:after="0" w:line="1" w:lineRule="exact"/>
        <w:rPr>
          <w:rFonts w:ascii="Arial" w:cs="Arial" w:eastAsia="Arial" w:hAnsi="Arial"/>
          <w:sz w:val="16"/>
          <w:szCs w:val="16"/>
          <w:color w:val="auto"/>
        </w:rPr>
      </w:pPr>
    </w:p>
    <w:p>
      <w:pPr>
        <w:ind w:left="8" w:right="559" w:hanging="8"/>
        <w:spacing w:after="0" w:line="260" w:lineRule="auto"/>
        <w:tabs>
          <w:tab w:leader="none" w:pos="384"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2,000,000 shares of Common Stock issuable upon the exercise of the Second Amendment Warrants.</w:t>
      </w:r>
    </w:p>
    <w:p>
      <w:pPr>
        <w:spacing w:after="0" w:line="154" w:lineRule="exact"/>
        <w:rPr>
          <w:sz w:val="20"/>
          <w:szCs w:val="20"/>
          <w:color w:val="auto"/>
        </w:rPr>
      </w:pPr>
    </w:p>
    <w:p>
      <w:pPr>
        <w:sectPr>
          <w:pgSz w:w="11900" w:h="16838" w:orient="portrait"/>
          <w:cols w:equalWidth="0" w:num="2">
            <w:col w:w="3300" w:space="492"/>
            <w:col w:w="5227"/>
          </w:cols>
          <w:pgMar w:left="1440" w:top="274" w:right="1440" w:bottom="1440" w:gutter="0" w:footer="0" w:header="0"/>
          <w:type w:val="continuous"/>
        </w:sectPr>
      </w:pPr>
    </w:p>
    <w:p>
      <w:pPr>
        <w:ind w:left="540"/>
        <w:spacing w:after="0"/>
        <w:tabs>
          <w:tab w:leader="none" w:pos="3780" w:val="left"/>
        </w:tabs>
        <w:rPr>
          <w:sz w:val="20"/>
          <w:szCs w:val="20"/>
          <w:color w:val="auto"/>
        </w:rPr>
      </w:pPr>
      <w:r>
        <w:rPr>
          <w:rFonts w:ascii="Arial" w:cs="Arial" w:eastAsia="Arial" w:hAnsi="Arial"/>
          <w:sz w:val="18"/>
          <w:szCs w:val="18"/>
          <w:b w:val="1"/>
          <w:bCs w:val="1"/>
          <w:color w:val="auto"/>
        </w:rPr>
        <w:t>Shares of Common Stock outstanding</w:t>
      </w:r>
      <w:r>
        <w:rPr>
          <w:sz w:val="20"/>
          <w:szCs w:val="20"/>
          <w:color w:val="auto"/>
        </w:rPr>
        <w:tab/>
      </w:r>
      <w:r>
        <w:rPr>
          <w:rFonts w:ascii="Arial" w:cs="Arial" w:eastAsia="Arial" w:hAnsi="Arial"/>
          <w:sz w:val="16"/>
          <w:szCs w:val="16"/>
          <w:color w:val="auto"/>
        </w:rPr>
        <w:t>As of June 15, 2023, 56,389,005 shares of Common Stock prior</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to any exercise of the Resale Warrants. 58,889,005 shares of</w:t>
      </w:r>
    </w:p>
    <w:p>
      <w:pPr>
        <w:spacing w:after="0" w:line="21"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Common Stock after giving effect to the exercise of all of the</w:t>
      </w:r>
    </w:p>
    <w:p>
      <w:pPr>
        <w:spacing w:after="0" w:line="2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outstanding Resale Warrants.</w:t>
      </w:r>
    </w:p>
    <w:p>
      <w:pPr>
        <w:spacing w:after="0" w:line="166" w:lineRule="exact"/>
        <w:rPr>
          <w:sz w:val="20"/>
          <w:szCs w:val="20"/>
          <w:color w:val="auto"/>
        </w:rPr>
      </w:pPr>
    </w:p>
    <w:p>
      <w:pPr>
        <w:ind w:left="540"/>
        <w:spacing w:after="0"/>
        <w:tabs>
          <w:tab w:leader="none" w:pos="378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7"/>
          <w:szCs w:val="17"/>
          <w:color w:val="auto"/>
        </w:rPr>
        <w:t>We will not receive any of the proceeds from the sale of the</w:t>
      </w:r>
    </w:p>
    <w:p>
      <w:pPr>
        <w:spacing w:after="0" w:line="27"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Resale Shares by the Selling Securityholders. We will receive</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only nominal proceeds upon the exercise of the Resale Warrants,</w:t>
      </w:r>
    </w:p>
    <w:p>
      <w:pPr>
        <w:spacing w:after="0" w:line="32"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if the Resale Warrants are exercised for cash. See “</w:t>
      </w:r>
      <w:r>
        <w:rPr>
          <w:rFonts w:ascii="Arial" w:cs="Arial" w:eastAsia="Arial" w:hAnsi="Arial"/>
          <w:sz w:val="18"/>
          <w:szCs w:val="18"/>
          <w:i w:val="1"/>
          <w:iCs w:val="1"/>
          <w:color w:val="auto"/>
        </w:rPr>
        <w:t>Use of</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i w:val="1"/>
          <w:iCs w:val="1"/>
          <w:color w:val="auto"/>
        </w:rPr>
        <w:t>Proceeds</w:t>
      </w:r>
      <w:r>
        <w:rPr>
          <w:rFonts w:ascii="Arial" w:cs="Arial" w:eastAsia="Arial" w:hAnsi="Arial"/>
          <w:sz w:val="18"/>
          <w:szCs w:val="18"/>
          <w:color w:val="auto"/>
        </w:rPr>
        <w:t>.”</w:t>
      </w:r>
    </w:p>
    <w:p>
      <w:pPr>
        <w:spacing w:after="0" w:line="180" w:lineRule="exact"/>
        <w:rPr>
          <w:sz w:val="20"/>
          <w:szCs w:val="20"/>
          <w:color w:val="auto"/>
        </w:rPr>
      </w:pPr>
    </w:p>
    <w:p>
      <w:pPr>
        <w:ind w:left="540"/>
        <w:spacing w:after="0"/>
        <w:tabs>
          <w:tab w:leader="none" w:pos="3780" w:val="left"/>
        </w:tabs>
        <w:rPr>
          <w:sz w:val="20"/>
          <w:szCs w:val="20"/>
          <w:color w:val="auto"/>
        </w:rPr>
      </w:pPr>
      <w:r>
        <w:rPr>
          <w:rFonts w:ascii="Arial" w:cs="Arial" w:eastAsia="Arial" w:hAnsi="Arial"/>
          <w:sz w:val="18"/>
          <w:szCs w:val="18"/>
          <w:b w:val="1"/>
          <w:bCs w:val="1"/>
          <w:color w:val="auto"/>
        </w:rPr>
        <w:t>Ticker Symbol</w:t>
      </w:r>
      <w:r>
        <w:rPr>
          <w:sz w:val="20"/>
          <w:szCs w:val="20"/>
          <w:color w:val="auto"/>
        </w:rPr>
        <w:tab/>
      </w:r>
      <w:r>
        <w:rPr>
          <w:rFonts w:ascii="Arial" w:cs="Arial" w:eastAsia="Arial" w:hAnsi="Arial"/>
          <w:sz w:val="15"/>
          <w:szCs w:val="15"/>
          <w:color w:val="auto"/>
        </w:rPr>
        <w:t>PRST</w:t>
      </w:r>
    </w:p>
    <w:p>
      <w:pPr>
        <w:spacing w:after="0" w:line="198" w:lineRule="exact"/>
        <w:rPr>
          <w:sz w:val="20"/>
          <w:szCs w:val="20"/>
          <w:color w:val="auto"/>
        </w:rPr>
      </w:pPr>
    </w:p>
    <w:p>
      <w:pPr>
        <w:ind w:left="540"/>
        <w:spacing w:after="0"/>
        <w:tabs>
          <w:tab w:leader="none" w:pos="378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8"/>
          <w:szCs w:val="18"/>
          <w:color w:val="auto"/>
        </w:rPr>
        <w:t>See “</w:t>
      </w:r>
      <w:r>
        <w:rPr>
          <w:rFonts w:ascii="Arial" w:cs="Arial" w:eastAsia="Arial" w:hAnsi="Arial"/>
          <w:sz w:val="18"/>
          <w:szCs w:val="18"/>
          <w:i w:val="1"/>
          <w:iCs w:val="1"/>
          <w:color w:val="auto"/>
        </w:rPr>
        <w:t>Risk Factors</w:t>
      </w:r>
      <w:r>
        <w:rPr>
          <w:rFonts w:ascii="Arial" w:cs="Arial" w:eastAsia="Arial" w:hAnsi="Arial"/>
          <w:sz w:val="18"/>
          <w:szCs w:val="18"/>
          <w:color w:val="auto"/>
        </w:rPr>
        <w:t>” and other information included in this</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prospectus for a discussion of factors you should carefully</w:t>
      </w:r>
    </w:p>
    <w:p>
      <w:pPr>
        <w:spacing w:after="0" w:line="9"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consider before deciding to invest in shares of our Common</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color w:val="auto"/>
        </w:rPr>
        <w:t>Unless otherwise indicated, all information in this prospectus relating to the number of shares of our common stock outstanding is based on 56,389,005 shares of Common Stock outstanding as of June 15, 2023 and does not include:</w:t>
      </w:r>
    </w:p>
    <w:p>
      <w:pPr>
        <w:spacing w:after="0" w:line="116" w:lineRule="exact"/>
        <w:rPr>
          <w:sz w:val="20"/>
          <w:szCs w:val="20"/>
          <w:color w:val="auto"/>
        </w:rPr>
      </w:pPr>
    </w:p>
    <w:p>
      <w:pPr>
        <w:ind w:left="1400" w:hanging="429"/>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2,500,000 shares of Common Stock issuable upon the exercise of the Resale Warrants;</w:t>
      </w:r>
    </w:p>
    <w:p>
      <w:pPr>
        <w:spacing w:after="0" w:line="144" w:lineRule="exact"/>
        <w:rPr>
          <w:rFonts w:ascii="Arial" w:cs="Arial" w:eastAsia="Arial" w:hAnsi="Arial"/>
          <w:sz w:val="18"/>
          <w:szCs w:val="18"/>
          <w:color w:val="auto"/>
        </w:rPr>
      </w:pPr>
    </w:p>
    <w:p>
      <w:pPr>
        <w:jc w:val="both"/>
        <w:ind w:left="1400" w:right="559" w:hanging="429"/>
        <w:spacing w:after="0" w:line="263" w:lineRule="auto"/>
        <w:tabs>
          <w:tab w:leader="none" w:pos="13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400,000, 4,500,000 and 8,625,000 shares of Common Stock issuable upon the exercise of certain outstanding warrants that are not Resale Warrants with an exercise price of $0.01, $11.50 and $8.21 per share, respectively; and</w:t>
      </w:r>
    </w:p>
    <w:p>
      <w:pPr>
        <w:spacing w:after="0" w:line="116" w:lineRule="exact"/>
        <w:rPr>
          <w:rFonts w:ascii="Arial" w:cs="Arial" w:eastAsia="Arial" w:hAnsi="Arial"/>
          <w:sz w:val="18"/>
          <w:szCs w:val="18"/>
          <w:color w:val="auto"/>
        </w:rPr>
      </w:pPr>
    </w:p>
    <w:p>
      <w:pPr>
        <w:ind w:left="1400" w:right="559" w:hanging="429"/>
        <w:spacing w:after="0" w:line="277" w:lineRule="auto"/>
        <w:tabs>
          <w:tab w:leader="none" w:pos="13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15,748,829 shares of Common Stock underlying certain outstanding stock options previously granted under the Company’s equity incentive plans.</w:t>
      </w:r>
    </w:p>
    <w:p>
      <w:pPr>
        <w:spacing w:after="0" w:line="103" w:lineRule="exact"/>
        <w:rPr>
          <w:sz w:val="20"/>
          <w:szCs w:val="20"/>
          <w:color w:val="auto"/>
        </w:rPr>
      </w:pPr>
    </w:p>
    <w:p>
      <w:pPr>
        <w:ind w:left="540" w:right="559" w:firstLine="432"/>
        <w:spacing w:after="0" w:line="277" w:lineRule="auto"/>
        <w:rPr>
          <w:sz w:val="20"/>
          <w:szCs w:val="20"/>
          <w:color w:val="auto"/>
        </w:rPr>
      </w:pPr>
      <w:r>
        <w:rPr>
          <w:rFonts w:ascii="Arial" w:cs="Arial" w:eastAsia="Arial" w:hAnsi="Arial"/>
          <w:sz w:val="18"/>
          <w:szCs w:val="18"/>
          <w:color w:val="auto"/>
        </w:rPr>
        <w:t>Unless otherwise indicated, all information in this prospectus reflects or assumes no exercise or termination of options or warrants outstanding as of June 15, 2023.</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 w:name="page14"/>
    <w:bookmarkEnd w:id="1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i w:val="1"/>
          <w:iCs w:val="1"/>
          <w:color w:val="auto"/>
        </w:rPr>
        <w:t>The following risk factors are not exhaustive and investors are encouraged to perform their own investigation with respect to the business, prospects, financial condition and operating results of Presto. You should carefully consider the following risk factors in addition to the other information included in this prospectus, including matters addressed in the section entitled “Cautionary Statement Regarding Forward-Looking Statements.” We may face additional risks and uncertainties that are not presently known to us, or that we currently deem immaterial, which may also impair our business, prospects, financial condition or operating results. The following discussion should be read in conjunction with our financial statements and notes to the financial statements included herein.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Presto’s Business and Business Development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Relating to our Business Plan</w:t>
      </w:r>
    </w:p>
    <w:p>
      <w:pPr>
        <w:spacing w:after="0" w:line="225"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If we fail to manage our growth effectively, we may be unable to execute our business plan, maintain high levels of service and customer satisfaction, or adequately address competitive challenges.</w:t>
      </w:r>
    </w:p>
    <w:p>
      <w:pPr>
        <w:spacing w:after="0" w:line="5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operations have expanded rapidly and we expect that will continue. To manage our current and anticipated future growth effectively, we must continue to maintain and enhance our finance and accounting systems and controls, as well as our information technology (“IT”) and security infrastructure. For example, we expect we will need to invest in and seek to enhance our supply chain, inventory and IT systems and capabilities, including with respect to internal information sharing and interconnectivity between various systems within our infrastructure.</w:t>
      </w:r>
    </w:p>
    <w:p>
      <w:pPr>
        <w:spacing w:after="0" w:line="125"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must also attract, train, and retain a significant number of qualified sales and marketing personnel, client support personnel, professional services personnel, software engineers, technical personnel, and management personnel, without undermining our corporate culture of rapid innovation, teamwork, and attention to customer success that has been central to our growth.</w:t>
      </w:r>
    </w:p>
    <w:p>
      <w:pPr>
        <w:spacing w:after="0" w:line="106"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Failure to effectively manage our growth could also lead us to over-invest or under-invest in our development and operations, result in weaknesses in our infrastructure, systems, or controls, give rise to operational mistakes, financial losses, loss of productivity or business opportunities, and result in loss of employees and reduced productivity of remaining employees. To support our growth, we expect to make significant sales and marketing expenditures to increase sales of our platform and increase awareness of our brand and significant research and development expenses to increase the functionality of our platform and to introduce additional related products and services. A significant portion of our investments in our sales and marketing and research and development activities will precede the benefits from such investments, and we cannot be sure that we will receive an adequate return on our investments. If our management is unable to effectively manage our growth, our expenses may increase more than expected, our revenue may not increase or may grow more slowly than expected, and we may be unable to implement our business strategy.</w:t>
      </w:r>
    </w:p>
    <w:p>
      <w:pPr>
        <w:spacing w:after="0" w:line="17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business may be materially adversely affected if our existing and future products fail to achieve and maintain customer acceptance.</w:t>
      </w:r>
    </w:p>
    <w:p>
      <w:pPr>
        <w:spacing w:after="0" w:line="103"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Our platform is made up of our Touch and AI Platform products, of which the AI Platform products are relatively new. It is possible that these products may be difficult to sell and/or it may become evident that these products, or different products that we develop in the future, are not productive uses of our capital or time. This could result in us modifying our business and focus away from these products. There are substantial risks and uncertainties associated with these efforts, and we could invest significant capital and resources.</w:t>
      </w:r>
    </w:p>
    <w:p>
      <w:pPr>
        <w:spacing w:after="0" w:line="9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If we eliminate or phase out a product and are not able to offer and successfully market and sell an alternative product, our revenue may decrease, which could have a material adverse effect on our results of operations. Developing new products also imposes burdens on our internal teams, including management, compliance, product development and marketing. These processes are costly, and our efforts to develop, integrate and enhance our products may not be successful, or our initial timetables for the development, introduction and roll-out of new products and profitability targets may not be met. If we incur significant costs in developing new products, if we are not able to successfully market and sell these new products, or if our customers fail to widely accept these new products, there could be a material adverse effect on our results of operations due to a decrease of our revenues and a reduction of our profitability.</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 w:name="page15"/>
    <w:bookmarkEnd w:id="1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In addition, our revenues, costs, margin, and cash flow may fluctuate because new products generally require startup costs while revenues take time to develop, which may adversely impact our results of operations.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If we do not attract new customers and increase our customers’ use of our platform, our business will suffer.</w:t>
      </w:r>
    </w:p>
    <w:p>
      <w:pPr>
        <w:spacing w:after="0" w:line="19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derive, and expect to continue to derive, a majority of our revenue and cash inflows from our integrated cloud-based platform, which encompasses software and hardware components. As such, our ability to attract new customers, retain existing customers, and increase the use of our platform by existing customers is critical to our success.</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Our future revenue will depend on our success in attracting additional customers to our platform. Our ability to attract additional customers will depend on a number of factors, including the effectiveness of our sales team, the success of our marketing levels, our levels of investment in expanding our sales and marketing teams, referrals by existing customers, and the availability of competitive restaurant technology platforms. We may not experience the same levels of success with respect to our customer acquisition strategies as seen in prior periods, and if the costs associated with acquiring new customers materially rises in the future, our expenses may rise significantly.</w:t>
      </w:r>
    </w:p>
    <w:p>
      <w:pPr>
        <w:spacing w:after="0" w:line="11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In addition to attracting new customers, we will seek to expand the usage of our platform by broadening the adoption by our customers of various products included within our platform. Further, while many of our customers deploy our platform to all of their restaurant locations, some of our customers initially deploy our platform to a subset of locations. For those customers, we seek to expand the use of our platform to additional locations over time. Our ability to increase adoption of our products by our customers and to increase penetration of our existing customers’ locations will depend on a number of factors, including our customers’ satisfaction with our platform, competition, pricing and our ability to demonstrate the value proposition of our products.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able to sustain our recent revenue growth in future periods.</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have grown rapidly over the last several years, and our recent revenue growth rate and financial performance should not be considered indicative of our future performance. You should not rely on our revenue or key business metrics for any previous quarterly or annual period as indicative of our revenue, revenue growth, key business metrics, or key business metrics growth in future periods. In particular, our revenue growth rate has fluctuated in prior periods. We expect our revenue growth rate to fluctuate over the short and long term. We may experience declines in our revenue growth rate as a result of a number of factors, including slowing demand for our platform, insufficient growth in the number of customers and their guests that utilize our platform, increasing competition, changing customer and guest behaviors, a decrease in the growth of our overall market, our failure to continue to capitalize on growth opportunities, the impact of regulatory requirements, and the maturation of our business, among others.</w:t>
      </w:r>
    </w:p>
    <w:p>
      <w:pPr>
        <w:spacing w:after="0" w:line="18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COVID-19 pandemic has adversely impacted and may continue to adversely impact our business, financial condition, and results of operations.</w:t>
      </w:r>
    </w:p>
    <w:p>
      <w:pPr>
        <w:spacing w:after="0" w:line="103"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COVID-19 pandemic has adversely affected workforces, consumers, economies, and financial markets globally. The adverse impact of the pandemic has been and may continue to be particularly acute among enterprise restaurant customers, which comprise the majority of our customer base, and many franchisees have been required to cease or substantially diminish business operations for an indeterminate period of time. The pandemic also has disrupted, and may continue to disrupt, our supply chains and relationships with third-party partners. For example, during 2020 and 2021, we experienced difficulties related to equipment availability and spare parts, extended repair times and international shipping delays. These issues resulted in a delay in product expansion and maintenance revenue, as well as increased the time necessary to negotiate customer contracts and for product implementation. While we have seen these difficulties subside during 2022 and 2023, especially in regards to international shipments, there can be no assurance that these improvements will continue. Furthermore, the pandemic has also had, and may continue to have, a variety of additional effects on our business and operations, including reducing the demand for our platform, restricting our operations and sales and marketing efforts, impeding our ability to conduct product development and other important business activities, and decreasing technology spending.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However, while adversely impacting the restaurant industry and our business, the COVID-19 pandemic has also increased the focus by restaurants on the need for a digital technology platform that can address the need for safe, frictionless, contact-free experiences in restaurants and address off-premise dining. While we believe these trends may positively impact our business in the longer-term, we cannot predict the extent to which the increased focus on the need for digital solutions such as those offered by our platform will persist. For example, we cannot predict the manner and extent to which the reemergence of on-premise dining and other types of in-person activity will impact our business, including with respect to engaging with our products. Due to the uncertainty of the COVID-19 pandemic, we will continue to assess the situation, including abiding by any government-imposed restrictions, market-by-market. We are unable to accurately predict the ultimate impact that the COVID-19 pandemic will have on our operations going forward due to uncertainties that will be dictated by the length of time that the disruptions resulting from the pandemic continue, which will, in turn, depend on the currently unknowable duration and severity of the COVID-19 pandemic, the impact of governmental regulations that might be imposed in response to the pandemic, the effectiveness and wide-spread availability of the vaccines, the speed and extent to which normal economic and operating conditions will resume, and overall changes in consumer behavior. We also cannot accurately forecast the potential impact of additional outbreaks as government restrictions are relaxed, the impact of further shelter-in-place or other government restrictions that are implemented in response to such outbreaks, or the impact on our customers’ ability to remain in business, each of which could continue to have an adverse impact on our business.</w:t>
      </w:r>
    </w:p>
    <w:p>
      <w:pPr>
        <w:spacing w:after="0" w:line="10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such as those relating to our liquidity, our indebtedness, and our ability to comply with the covenants contained in the agreements that govern our indebtedness.</w:t>
      </w:r>
    </w:p>
    <w:p>
      <w:pPr>
        <w:spacing w:after="0" w:line="187" w:lineRule="exact"/>
        <w:rPr>
          <w:sz w:val="20"/>
          <w:szCs w:val="20"/>
          <w:color w:val="auto"/>
        </w:rPr>
      </w:pPr>
    </w:p>
    <w:p>
      <w:pPr>
        <w:jc w:val="both"/>
        <w:ind w:left="460" w:right="459"/>
        <w:spacing w:after="0" w:line="381" w:lineRule="auto"/>
        <w:rPr>
          <w:sz w:val="20"/>
          <w:szCs w:val="20"/>
          <w:color w:val="auto"/>
        </w:rPr>
      </w:pPr>
      <w:r>
        <w:rPr>
          <w:rFonts w:ascii="Arial" w:cs="Arial" w:eastAsia="Arial" w:hAnsi="Arial"/>
          <w:sz w:val="15"/>
          <w:szCs w:val="15"/>
          <w:b w:val="1"/>
          <w:bCs w:val="1"/>
          <w:i w:val="1"/>
          <w:iCs w:val="1"/>
          <w:color w:val="auto"/>
        </w:rPr>
        <w:t>Our limited operating history with our new products in a new and developing market makes it difficult to evaluate our current business and future prospects, and may increase the risk that we will not be successful.</w:t>
      </w:r>
    </w:p>
    <w:p>
      <w:pPr>
        <w:spacing w:after="0" w:line="3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have a limited operating history with our products, particularly our AI Platform products. As a result, we have less experience with these products and their related pricing models, which makes it difficult to accurately assess our future prospects. You should consider our future prospects in light of the challenges and uncertainties that we face, including:</w:t>
      </w:r>
    </w:p>
    <w:p>
      <w:pPr>
        <w:spacing w:after="0" w:line="106" w:lineRule="exact"/>
        <w:rPr>
          <w:sz w:val="20"/>
          <w:szCs w:val="20"/>
          <w:color w:val="auto"/>
        </w:rPr>
      </w:pPr>
    </w:p>
    <w:p>
      <w:pPr>
        <w:ind w:left="1320" w:hanging="434"/>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fact that it may not be possible to fully discern the trends that we are subject to;</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that we operate in a new and developing market with a rapidly changing competitive landscape;</w:t>
      </w:r>
    </w:p>
    <w:p>
      <w:pPr>
        <w:spacing w:after="0" w:line="169" w:lineRule="exact"/>
        <w:rPr>
          <w:rFonts w:ascii="Arial" w:cs="Arial" w:eastAsia="Arial" w:hAnsi="Arial"/>
          <w:sz w:val="17"/>
          <w:szCs w:val="17"/>
          <w:color w:val="auto"/>
        </w:rPr>
      </w:pPr>
    </w:p>
    <w:p>
      <w:pPr>
        <w:ind w:left="1320" w:right="459" w:hanging="434"/>
        <w:spacing w:after="0" w:line="277" w:lineRule="auto"/>
        <w:tabs>
          <w:tab w:leader="none" w:pos="13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we may be unable to accurately predict our revenue and operating expenses for new products that we release;</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enhance or retain our brand among customers and potential customers;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we may in the future enter into additional new and developing markets that may not develop as we expect or that our platform may not adequately address; and</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elements of our business strategy are new and subject to ongoing development</w:t>
      </w:r>
    </w:p>
    <w:p>
      <w:pPr>
        <w:spacing w:after="0" w:line="144"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We have encountered and will continue to encounter risks and difficulties frequently experienced by growing companies in rapidly changing industries, including increasing and unforeseen expenses as we continue to grow our business. If our assumptions regarding these risks and uncertainties, which we use to plan and operate our business, are incorrect or change, or if we do not manage these risks successfully, our reputation, business, results of operations, and prospects will be harmed.</w:t>
      </w:r>
    </w:p>
    <w:p>
      <w:pPr>
        <w:spacing w:after="0" w:line="176" w:lineRule="exact"/>
        <w:rPr>
          <w:sz w:val="20"/>
          <w:szCs w:val="20"/>
          <w:color w:val="auto"/>
        </w:rPr>
      </w:pPr>
    </w:p>
    <w:p>
      <w:pPr>
        <w:jc w:val="both"/>
        <w:ind w:left="460" w:right="459"/>
        <w:spacing w:after="0" w:line="381" w:lineRule="auto"/>
        <w:rPr>
          <w:sz w:val="20"/>
          <w:szCs w:val="20"/>
          <w:color w:val="auto"/>
        </w:rPr>
      </w:pPr>
      <w:r>
        <w:rPr>
          <w:rFonts w:ascii="Arial" w:cs="Arial" w:eastAsia="Arial" w:hAnsi="Arial"/>
          <w:sz w:val="15"/>
          <w:szCs w:val="15"/>
          <w:b w:val="1"/>
          <w:bCs w:val="1"/>
          <w:i w:val="1"/>
          <w:iCs w:val="1"/>
          <w:color w:val="auto"/>
        </w:rPr>
        <w:t>We currently generate significant revenue from a small number of large customers, and the loss or decline in revenue from any of these customers could harm our business, results of operations, and financial condition.</w:t>
      </w:r>
    </w:p>
    <w:p>
      <w:pPr>
        <w:spacing w:after="0" w:line="3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For the nine months ended March 31, 2023 and 2022 and the years ended June 30, 2022 and 2021, our three largest restaurant logos (including, as applicable, the franchisees of such restaurants aggregated as a single customer for reporting purposes) generated an aggregate of approximately 97%, 93%, 93% and 93% of our revenue, respectively.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Although these customers have previously entered into multi-year term contracts with us, they may reduce or terminate their usage of our platform or decide not to renew their agreements with us and we have and may continue to transition certain customer relationships between the enterprise and franchisee levels.</w:t>
      </w:r>
    </w:p>
    <w:p>
      <w:pPr>
        <w:spacing w:after="0" w:line="9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We have in the past, and we may in the future, lose one or more of our largest customers. While no such losses have been material to date, in the event that any other of our largest restaurant customers do not continue to use our platform, use fewer of our products, use our products in a more limited capacity, or not at all, our business, results of operations, and financial condition could be adversely affected in the future.</w:t>
      </w:r>
    </w:p>
    <w:p>
      <w:pPr>
        <w:spacing w:after="0" w:line="157"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we fail to continue to improve and enhance the functionality, performance, reliability, design, security, or scalability of our platform in a manner that responds to our customers’ evolving needs, our business may be adversely affected.</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Our industry is characterized by rapid technological change, frequent new product and service introductions, and evolving industry standards. Our success has been based on our ability to identify and anticipate the needs of our customers and design and maintain a platform that provides them with the tools they need to operate their businesses in a manner that is productive and meets or exceeds their expectations. Our ability to attract new customers and increase sales to both new and existing customers will depend in large part on our ability to continue to improve and enhance the functionality, performance, reliability, design, security, and scalability of our platform. Additionally, to achieve and maintain market acceptance for our platform, we must effectively integrate with new or existing software solutions that meet changing customer demands in a timely manner.</w:t>
      </w:r>
    </w:p>
    <w:p>
      <w:pPr>
        <w:spacing w:after="0" w:line="115"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As we expand our platform and services, and as the number of our customers with higher volume sales increases, we expect that we will need to offer increased functionality, scalability and support, including to keep our platform, systems, and services secure, which requires us to devote additional resources to such efforts. To the extent we are not able to enhance our platform’s functionality in order to maintain its utility and security, enhance our platform’s scalability in order to maintain its performance and availability, or improve our support functions in order to meet increased customer service demands, our business, operating results, and financial condition could be adversely affected.</w:t>
      </w:r>
    </w:p>
    <w:p>
      <w:pPr>
        <w:spacing w:after="0" w:line="11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may experience difficulties with software development that could delay or prevent the development, deployment, introduction, or implementation of new products and enhancements. Software development involves a significant amount of time, as it can take our developers months to update, code, and test new and upgraded products and integrate those products into our platform. We must also continually update, test, certify, maintain, and enhance our software platform. We may make significant investments in new products or enhancements that may not achieve expected returns. The continual improvement and enhancement of our platform requires significant investment and we may not have the resources to make such investment. Our improvements and enhancements may not result in our ability to recoup our investments in a timely manner, or at all. The improvement and enhancement of the functionality, performance, reliability, design, security, and scalability of our platform is expensive and complex, and to the extent we are not able to perform it in a manner that responds to our customers’ evolving needs, our business, operating results, and financial condition will be adversely affected.</w:t>
      </w:r>
    </w:p>
    <w:p>
      <w:pPr>
        <w:spacing w:after="0" w:line="17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brand is integral to our success. If we fail to effectively maintain, promote, and enhance our brand, our business and competitive advantage may be harmed.</w:t>
      </w:r>
    </w:p>
    <w:p>
      <w:pPr>
        <w:spacing w:after="0" w:line="103"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We believe that maintaining, promoting, and enhancing the Presto brand is critical to expanding our business. Maintaining and enhancing our brand will depend largely on our ability to continue to provide high-quality, well-designed, useful, reliable, and innovative products, which we may not do successfully in the future.</w:t>
      </w:r>
    </w:p>
    <w:p>
      <w:pPr>
        <w:spacing w:after="0" w:line="6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Errors, defects, security incidents, disruptions, or other performance problems with our platform, including with third-party applications, services, or partners, including our partners who provide payment processing services, may harm our reputation and brand. We may introduce new products or terms of service that our customers or their consumers do not like, which may negatively affect our brand. Additionally, if our customers or their consumers have a negative experience using our products or third-party solutions integrated within our platform, such an experience may affect our brand, especially as and if we continue to attract multi-location restaurant customers to our platform.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 w:name="page18"/>
    <w:bookmarkEnd w:id="1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Any unfavorable media coverage or negative publicity about our company, for example, the quality and reliability of our platform, our privacy and security practices or the loss or misuse of our customer data or consumers’ personal information, our platform changes, litigation, or regulatory activity, or regarding the actions of our partners or our customers, could seriously harm our reputation. Such negative publicity could also adversely affect the size, demographics, engagement, and loyalty of our customers, and result in decreased revenue, which could seriously harm our business.</w:t>
      </w:r>
    </w:p>
    <w:p>
      <w:pPr>
        <w:spacing w:after="0" w:line="11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believe that the importance of brand recognition will increase as competition in our market increases, which we expect to occur. In addition to our ability to provide reliable and useful products at competitive prices, successful promotion of our brand will depend on the effectiveness of our marketing efforts. While we primarily market our platform through direct sales efforts, our platform is also marketed through a number of free traffic sources, including customer referrals and word-of-mouth. Our efforts to market our brand have involved significant expenses, which we intend to increase, and as our market becomes increasingly competitive, these marketing initiatives may become increasingly difficult and expensive. Our marketing spend may not yield increased revenue, and even if it does, any increased revenue may not offset the expenses we incur in building and maintaining our brand.</w:t>
      </w:r>
    </w:p>
    <w:p>
      <w:pPr>
        <w:spacing w:after="0" w:line="18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and other key employees, the loss of any of whom could adversely affect our business, operating results, and financial condition. We may also engage the services of third parties who provide consulting services to support our business and the failure to identify and/or retain such third parties could adversely affect our business, operating results and financial condition.</w:t>
      </w:r>
    </w:p>
    <w:p>
      <w:pPr>
        <w:spacing w:after="0" w:line="120"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Our future performance depends on the continued services and contributions of our senior management and other key employees to execute on our business plan, keep our platform stable and secure, and to identify and pursue new opportunities and platform innovations. The failure to properly manage succession plans or the loss of services of senior management or other key employees could significantly delay or prevent the achievement of our strategic objectives. From time to time, there may be changes in our senior management team resulting from the hiring or departure of executives, which could disrupt our business. We do not maintain key person life insurance policies on any of our employees. The loss of the services of one or more of our senior management or other key employees for any reason could adversely affect our business, financial condition, and operating results, and require significant amounts of time, training, and resources to find suitable replacements and integrate them within our business, and could affect our corporate culture.</w:t>
      </w:r>
    </w:p>
    <w:p>
      <w:pPr>
        <w:spacing w:after="0" w:line="8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engage the services of third parties who provide us with certain consulting services to support our business. Any failure to identify and/or retain such third parties could adversely affect our business, operating results and financial condition and could require significant amounts of time and resources to find suitable replacements.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ability to recruit, retain, and develop qualified personnel is critical to our success and growth.</w:t>
      </w:r>
    </w:p>
    <w:p>
      <w:pPr>
        <w:spacing w:after="0" w:line="16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business functions at the intersection of rapidly changing technological, social, economic, and regulatory environments that require a wide range of expertise and intellectual capital. For us to successfully compete and grow, we must recruit, retain, and develop personnel who can provide the necessary expertise across a broad spectrum of disciplines. In addition, we must develop, maintain and, as necessary, implement appropriate succession plans to ensure we have the necessary human resources capable of maintaining continuity in our business.</w:t>
      </w:r>
    </w:p>
    <w:p>
      <w:pPr>
        <w:spacing w:after="0" w:line="12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market for qualified personnel is competitive, and we may not succeed in recruiting additional personnel or may fail to effectively replace current personnel who depart with qualified or effective successors. Our effort to retain and develop personnel may also result in significant additional expenses, which could adversely affect our profitability. In addition, job candidates and existing employees often consider the value of the equity awards they receive in connection with their employment. The trading price of our Common Stock following the Business Combination has been volatile, has been subject to fluctuations in response to various factors and may not appreciate. If the perceived value of our equity awards declines for these or other reasons, it may adversely affect our ability to attract and retain highly qualified employees. Our employees may receive significant proceeds from sales of our equity in the public markets following the Business Combination, which may reduce their motivation to continue to work for 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4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We may become subject to legal proceedings and claims that arise in the ordinary course of business, such as claims brought by our customers, our partners, or third parties in connection with commercial disputes or our technology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65"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If we are unable to make acquisitions and investments, or successfully integrate them into our business, our business, results of operations and financial condition could be adversely affected.</w:t>
      </w:r>
    </w:p>
    <w:p>
      <w:pPr>
        <w:spacing w:after="0" w:line="7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As part of our growth strategy, we will continue to consider a wide array of potential strategic transactions, including acquisitions of businesses, new technologies, services and other assets and strategic investments that complement our business. We may evaluate target companies and make acquisitions in the future. There is no assurance that such acquired businesses will be successfully integrated into our business or generate substantial growth or revenue.</w:t>
      </w:r>
    </w:p>
    <w:p>
      <w:pPr>
        <w:spacing w:after="0" w:line="120"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Acquisitions involve numerous risks, any of which could harm our business and negatively affect our financial condition and results of operations, including:</w:t>
      </w:r>
    </w:p>
    <w:p>
      <w:pPr>
        <w:spacing w:after="0" w:line="89" w:lineRule="exact"/>
        <w:rPr>
          <w:sz w:val="20"/>
          <w:szCs w:val="20"/>
          <w:color w:val="auto"/>
        </w:rPr>
      </w:pPr>
    </w:p>
    <w:p>
      <w:pPr>
        <w:ind w:left="1320" w:right="459" w:hanging="434"/>
        <w:spacing w:after="0" w:line="277" w:lineRule="auto"/>
        <w:tabs>
          <w:tab w:leader="none" w:pos="13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intense competition for suitable acquisition targets, which could increase prices and adversely affect our ability to consummate deals on favorable or acceptable terms;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or material delay in closing a transaction;</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need for additional capital that was not anticipated at the time of the acquisition;</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transaction-related lawsuits or claims;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integrating the technologies, operations, existing contracts and personnel of an acquired company;</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retaining key employees or business partners of an acquired company;</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 or alternative acquisition opportunities;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realize the anticipated benefits or synergies of a transaction;</w:t>
      </w:r>
    </w:p>
    <w:p>
      <w:pPr>
        <w:spacing w:after="0" w:line="157" w:lineRule="exact"/>
        <w:rPr>
          <w:rFonts w:ascii="Arial" w:cs="Arial" w:eastAsia="Arial" w:hAnsi="Arial"/>
          <w:sz w:val="18"/>
          <w:szCs w:val="18"/>
          <w:color w:val="auto"/>
        </w:rPr>
      </w:pPr>
    </w:p>
    <w:p>
      <w:pPr>
        <w:jc w:val="both"/>
        <w:ind w:left="1320" w:right="459" w:hanging="434"/>
        <w:spacing w:after="0" w:line="286" w:lineRule="auto"/>
        <w:tabs>
          <w:tab w:leader="none" w:pos="13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to identify the problems, liabilities or other shortcomings or challenges of an acquired company or technology, including issues related to intellectual property, regulatory compliance practices, litigation, accounting practices, or employee or user issues;</w:t>
      </w:r>
    </w:p>
    <w:p>
      <w:pPr>
        <w:spacing w:after="0" w:line="84" w:lineRule="exact"/>
        <w:rPr>
          <w:rFonts w:ascii="Arial" w:cs="Arial" w:eastAsia="Arial" w:hAnsi="Arial"/>
          <w:sz w:val="17"/>
          <w:szCs w:val="17"/>
          <w:color w:val="auto"/>
        </w:rPr>
      </w:pPr>
    </w:p>
    <w:p>
      <w:pPr>
        <w:ind w:left="1320" w:right="459" w:hanging="434"/>
        <w:spacing w:after="0" w:line="277" w:lineRule="auto"/>
        <w:tabs>
          <w:tab w:leader="none" w:pos="13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that regulatory bodies may enact new laws or promulgate new regulations that are adverse to an acquired company or business;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theft of our trade secrets or confidential information that we share with potential acquisition candidates;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that an acquired company or investment in new offerings cannibalizes a portion of our existing business; and</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market reaction to an acquisition.</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results of operations and financial condition could be adversely affected.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 w:name="page20"/>
    <w:bookmarkEnd w:id="1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Businesses we acquire may not have disclosure controls and procedures and internal controls over financial reporting, cybersecurity controls and data privacy compliance programs, or their existing controls and programs may be weaker than or otherwise not in conformity with ours.</w:t>
      </w:r>
    </w:p>
    <w:p>
      <w:pPr>
        <w:spacing w:after="0" w:line="84"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Depending upon the nature and scale of any future businesses we acquire, the implementation of our disclosure controls and procedures as well as the implementation of our internal controls over financial reporting, cybersecurity and data privacy at an acquired company may be a lengthy process and may divert our attention from other business operations. Our integration efforts may periodically expose deficiencies or suspected deficiencies in the controls, procedures and programs of an acquired company that were not identified in our due diligence undertaken prior to consummating the acquisition. Where there exists a risk of deficiencies in controls, procedures or programs, we may not be in a position to comply with our obligations under applicable laws, regulations, rules and listing standards or we may be required to avail ourselves of scope limitations with respect to certifications required thereunder, and, as a result, our business and financial condition may be materially harmed.</w:t>
      </w:r>
    </w:p>
    <w:p>
      <w:pPr>
        <w:spacing w:after="0" w:line="19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pricing decisions and pricing models may adversely affect our ability to attract new customers and retain existing customers.</w:t>
      </w:r>
    </w:p>
    <w:p>
      <w:pPr>
        <w:spacing w:after="0" w:line="103"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have limited experience determining the optimal prices for our newest products. We have changed our pricing model from time to time and expect to do so in the future. It may turn out that the new pricing models, or the pricing for any other products we may develop, are not optimal, which may result in our products not being profitable or not gaining market share. As competitors introduce new products that compete with ours, we may be unable to attract new customers at the same price or based on the same pricing models that we have used historically. Pricing decisions and pricing models may also impact the mix of adoption among our products and negatively impact our overall revenue. Moreover, restaurant brands may be sensitive to price increases or to the prices offered by competitors. As a result, in the future we may be required to reduce our prices, which could adversely affect our revenue, profitability, financial position, and cash flows.</w:t>
      </w:r>
    </w:p>
    <w:p>
      <w:pPr>
        <w:spacing w:after="0" w:line="166"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our technical and maintenance support services are not satisfactory to our customers, they may not buy future products, which could materially and adversely affect our future results of operations and financial condition.</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business relies on our customers’ satisfaction with the technical and maintenance support services we provide to support our products. If we fail to provide technical and maintenance support services that are responsive, satisfy our customers’ expectations, and timely resolve issues that they encounter with our products, then they may not purchase additional products from us in the future.</w:t>
      </w:r>
    </w:p>
    <w:p>
      <w:pPr>
        <w:spacing w:after="0" w:line="18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we fail to maintain a consistently high level of customer service or if we fail to manage our reputation, our brand, business and financial results may be harmed.</w:t>
      </w:r>
    </w:p>
    <w:p>
      <w:pPr>
        <w:spacing w:after="0" w:line="8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believe our focus on customer service and support is critical to attract and onboard new customers and grow our business. As a result, we have invested heavily in the quality and training of our support team, along with the tools they use to provide this service.</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number of our customers has grown significantly, which puts additional pressure on our support staff. If we are unable to provide efficient and effective customer support at scale, our ability to grow our operations may be harmed and we may need to hire additional support personnel, which could harm our margins and results of operations.</w:t>
      </w:r>
    </w:p>
    <w:p>
      <w:pPr>
        <w:spacing w:after="0" w:line="119"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If we or our third-party service providers are unable to maintain a consistently high level of customer service, we may lose existing customers. In addition, our ability to attract new customers is highly dependent on our reputation and on positive recommendations from our existing customers. Any failure to maintain a consistently high level of customer service and to help our customers quickly resolve issues and provide effective ongoing support could harm our ability to retain existing customers and attract new customers and our reputation with existing or potential customers could suffer. We may experience difficulties maintaining a consistent level of service across our international operations and third-party providers.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we cannot maintain our corporate culture as we grow, our success and our business and competitive position may be harmed.</w:t>
      </w:r>
    </w:p>
    <w:p>
      <w:pPr>
        <w:spacing w:after="0" w:line="8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believe that a key contributor to our success to date has been our corporate culture, which is based on an ownership mentality, teamwork, customer focus, integrity, and respect. Any failure to preserve our culture could negatively affect our ability to retain and recruit personnel, which is critical to our growth, and to effectively focus on and pursue our corporate objectives. Our anticipated headcount growth and our transition from a private company to a public company may make it difficult to maintain these important aspects of our culture. If we fail to maintain our corporate culture, or if we are unable to retain or hire key personnel, our business and competitive position may be harmed.</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Increases in food, labor, and occupancy costs could adversely affect results of operations</w:t>
      </w:r>
    </w:p>
    <w:p>
      <w:pPr>
        <w:spacing w:after="0" w:line="158"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Our financial success is dependent, in part, on the ability of our restaurant customers to increase the size and revenue of their business. These customers may experience increased operating costs, including as a result of changes to food, labor, occupancy, insurance, and supply costs, as well as costs of safety equipment related to the COVID-19 pandemic, rising inflation and interest rates, and they may be unable to recover these costs through increased menu prices. Various factors beyond our control, including government regulations relating to independent contractor classifications and minimum wage increases, may affect the total cost of running a restaurant. If our current or future customers are unable to maintain or increase the size and revenue of their business, or maintain profitability, our business, financial condition, and results of operations could be harmed.</w:t>
      </w:r>
    </w:p>
    <w:p>
      <w:pPr>
        <w:spacing w:after="0" w:line="16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risk management strategies may not be fully effective in mitigating our risk exposure in all market environments or against all types of risk.</w:t>
      </w:r>
    </w:p>
    <w:p>
      <w:pPr>
        <w:spacing w:after="0" w:line="103"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operate in a rapidly changing industry. Accordingly, our risk management strategies may not be fully effective to identify, monitor, and manage all risks that our business encounters. In addition, when we introduce new products, focus on expanding relationships with new types of customers, or begin to operate in new markets, we may be less able to forecast risk levels and reserve accurately for potential losses, as a result of fraud or otherwise. If our strategies are not fully effective or we are not successful in identifying and mitigating all risks to which we are or may be exposed, we may suffer uninsured liability or harm to our reputation, or be subject to litigation or regulatory actions, any of which could adversely affect our business, financial condition, and results of operations.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Provisions of our financial instruments may restrict our ability to pursue our business strategies.</w:t>
      </w:r>
    </w:p>
    <w:p>
      <w:pPr>
        <w:spacing w:after="0" w:line="156"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We are party to a credit agreement (as amended, restated, supplemented or otherwise modified from time to time, including as amended by the First Amendment (defined below) and the Second Amendment (defined below), the “Credit Agreement”) with Metropolitan, as administrative, payment and collateral agent, the lenders and other parties party thereto, pursuant to which such lenders extended us term loans having an aggregate original principal amount of $55 million, which we borrowed in full at the consummation of the Business Combination. On March 31, 2023, we entered into a Waiver and First Amendment to Credit Agreement with Metropolitan, as administrative, payment and collateral agent, the lenders and other parties party thereto, pursuant to which the parties thereto agreed to, among other things, temporarily waive compliance with certain financial covenants and permanently waive certain defaults (the “First Amendment”). The First Amendment temporarily waives compliance with certain financial covenants, including a minimum cash covenant and maximum net leverage ratio of 1.20 to 1.00, as well as amending other affirmative and restrictive covenants. On May 22, 2023, we entered into a Second Amendment to Credit Agreement, with Metropolitan as administrative, payment and collateral agent, the lenders and other parties party thereto (the “Second Amendment”), pursuant to which the parties thereto agreed to, among other things, (i) revise the definition of “minimum unrestricted cash” from (A) an amount equal to the operating expenses of the Company determined on a consolidated basis for the prior six months plus $1,100,000 to (B) $10,000,000, to be held in a separate and blocked cash collateral account and (ii) adding a new financial covenant beginning for the month ending June 30, 2023, that restricts the Company’s quarterly operating cash burn to no more than $10,000,000 for each rolling three month period, subject to certain customary operating fluctuations and adjustments. The terms of our outstanding debt may restrict our current and future operations and could adversely affect our ability to finance our future operations or capital needs or to execute business strategies in the manner desired. In addition, complying with these covenants may make it more difficult for us to successfully execute our business strategy, invest in our growth strategy, and compete against companies who are not subject to such restrictions.</w:t>
      </w:r>
    </w:p>
    <w:p>
      <w:pPr>
        <w:sectPr>
          <w:pgSz w:w="11900" w:h="16838" w:orient="portrait"/>
          <w:cols w:equalWidth="0" w:num="1">
            <w:col w:w="9019"/>
          </w:cols>
          <w:pgMar w:left="1440" w:top="274"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1" w:name="page22"/>
    <w:bookmarkEnd w:id="2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 failure by us to comply with these covenants or the payment requirements specified in our financial instruments could result in an event of default under the agreement, which would give the lenders the right to declare any and all debt outstanding, together with accrued and unpaid interest and fees, to be immediately due and payable. In addition, the lenders under the Credit Agreement would have the right to proceed against the collateral in which we granted a security interest to them, which consists of all owned goods and equipment, inventory, contract rights and general intangibles (including intellectual property), forms of obligations owing to us, cash and deposit accounts, and personal property. If our debt were to be accelerated, we may not have sufficient cash or be able to borrow sufficient funds to refinance the debt or sell sufficient assets to repay the debt, which could materially and adversely affect our cash flows, business, results of operations, and financial condition. There can be no assurance that we will remain in compliance with the covenants set forth in the Credit Agreement, and if we do not comply with such covenants, our debt may be accelerated, which could adversely affect us. Further, the terms of any new or additional financing may be on terms that are more restrictive or less desirable to us.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Presto’s Technology and Privacy</w:t>
      </w:r>
    </w:p>
    <w:p>
      <w:pPr>
        <w:spacing w:after="0" w:line="22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We and certain of our third-party partners, service providers, and subprocessors transmit and store personal information of our customers and consumers. If the security of this information is compromised or is otherwise accessed without authorization, our reputation may be harmed and we may be exposed to liability and loss of business.</w:t>
      </w:r>
    </w:p>
    <w:p>
      <w:pPr>
        <w:spacing w:after="0" w:line="11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transmit and store personal information and other confidential information of our partners, our customers, and consumers. Third-party applications integrated with our platform may also handle or store personal information, credit card information, including cardholder data and sensitive authentication data, or other confidential information. We do not proactively monitor the content that our customers upload and store, or the information provided to us through the applications integrated with our platform, and, therefore, we do not control the substance of the content on our servers, which may include personal information. Additionally, we use third-party service providers and subprocessors to help us deliver services to customers and consumers. These service providers and subprocessors may handle or store personal information, credit card information, or other confidential information. There may in the future be successful attempts by third parties to obtain unauthorized access to the personal information of our partners, our customers, and consumers. This information could also be otherwise exposed through human error, malfeasance, or otherwise. The unauthorized release, unauthorized access, or compromise of this information could have an adverse effect on our business, financial condition, and results of operations. Even if such a data breach did not arise out of our actions or inactions, or if it were to affect one or more of our competitors or our customers’ competitors, the resulting consumer concern could negatively affect our customers and our business.</w:t>
      </w:r>
    </w:p>
    <w:p>
      <w:pPr>
        <w:spacing w:after="0" w:line="100"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We integrate with a number of third-party service providers in order to meet our customers’ needs, and although we contractually require our customers to ensure the security of such service providers, a security breach of one of these providers could become negatively associated with our brand, or our assistance in responding to such a breach could tie up our internal resources. By the nature of the integrations, we could also get directly drawn into any resulting lawsuits. We are also subject to federal and state laws regarding cybersecurity and the protection of data. Our agreements with customers and partners require us to notify them in the event of certain security incidents. Additionally, some jurisdictions, as well as our contracts with certain customers, require us to use industry-standard or reasonable measures to safeguard personal information or confidential information. As cardholder data and sensitive authentication data is transmitted through our platform, we may be required by card networks and our contracts with payment processors to adhere to PCI-DSS. We are also subject to the operating rules of the National Automated Clearing House Association (“NACHA”). The NACHA Rules and Operating Guidelines impose obligations on us and our partner financial institutions, such as audit and oversight by the financial institutions and the imposition of mandatory corrective action, including termination, for serious violations.</w:t>
      </w:r>
    </w:p>
    <w:p>
      <w:pPr>
        <w:spacing w:after="0" w:line="103"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Our failure to comply with legal, regulatory or contractual requirements, and the rules of payment card networks and self-regulatory organizations, including PCI-DSS and NACHA, around the security of personal information, cardholder data, or sensitive authentication data, could lead to significant fines and penalties imposed by regulators and card networks, as well as claims by our customers, consumers, or other relevant stakeholders.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platform. In addition, if our security measures</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 w:name="page23"/>
    <w:bookmarkEnd w:id="2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fail to protect credit card information adequately, we could be liable to our partners, our customers and, consumers for their losses. As a result, we could be subject to fines, we could face regulatory or other legal action, and our customers could end their relationships with us. There can be no assurance that the limitations of liability in our contracts would be enforceable or adequate or would otherwise protect us from any such liabilities or damages with respect to any particular claim. We also cannot be sure that our existing insurance coverage and coverage for errors and omissions will continue to be available on acceptable terms or will be available in sufficient amounts to cover one or more large claims, or that our insurers will not deny coverage as to any future claim. The successful assertion of one or more large claims against us that exceeds our available insurance coverage, or changes in our insurance policies, including premium increases, or the imposition of large deductible or co-insurance requirements, could have an adverse effect on our business and results of operations.</w:t>
      </w:r>
    </w:p>
    <w:p>
      <w:pPr>
        <w:spacing w:after="0" w:line="18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We are subject to stringent and changing privacy laws, regulations and standards, and contractual obligations related to data privacy and security. Our actual or perceived failure to comply with such obligations could harm our reputation, subject us to significant fines and liability, or adversely affect our business.</w:t>
      </w:r>
    </w:p>
    <w:p>
      <w:pPr>
        <w:spacing w:after="0" w:line="119"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The regulatory framework for privacy and security issues in the United States is rapidly evolving. Laws in all 50 states require us to provide notice to customers when certain sensitive personal information has been disclosed as a result of a data breach. These laws are frequently inconsistent, and compliance in the event of a widespread data breach is costly. Moreover, states regularly enact new laws and regulations, which require us to provide consumers with certain disclosures related to our privacy practices, as well as maintain systems necessary to allow customers to invoke their rights. For example, on January 1, 2020, California adopted the California Consumer Privacy Act of 2018 (“CCPA”), which provides new data privacy rights for consumers and new operational requirements for covered businesses. The CCPA gives California residents more control over their personal information and includes a statutory damages framework and private right of action imposing civil penalties against businesses that fail to comply with certain security practices. Although the CCPA’s implementation standards and enforcement practices are likely to remain uncertain for the foreseeable future, the CCPA may increase our compliance costs and exposure to liability. Moreover, additional states that adopt privacy laws that differ from the CCPA may require us to do unanticipated and unbudgeted work in order to comply with additional privacy and data security requirements. The costs associated with compliance may impede our development and could limit the adoption of our services. Finally, any failure by our vendors to comply with applicable law or regulations could result in proceedings against us by governmental entities or others.</w:t>
      </w:r>
    </w:p>
    <w:p>
      <w:pPr>
        <w:spacing w:after="0" w:line="12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publish privacy policies, self-certifications and documentation. Although we endeavor to comply with our published policies, certifications, and documentation, we may at times fail to do so or may be perceived to have failed to do so. Such failures can subject us to potential local, state, and federal action if they are found to be deceptive, unfair, or misrepresentative of our actual practices, resulting in reputational or financial harm to the company. Furthermore, if customer concerns regarding data security increase, customers may be hesitant to provide us with the data necessary to provide our service effectively. This could generally limit the adoption of our product and the growth of our company.</w:t>
      </w:r>
    </w:p>
    <w:p>
      <w:pPr>
        <w:spacing w:after="0" w:line="177"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Security breaches, denial of service attacks, or other hacking and phishing attacks on our systems or the systems with which our platform integrates could harm our reputation or subject us to significant liability, and adversely affect our business and financial results.</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operate in an industry which is prone to cyber-attacks. In our operation as a private company, our board of directors reviews cybersecurity risks brought to its attention by members of senior management who report up to our board of directors. We have an established in-house security team which is responsible for reviewing and overseeing our cybersecurity program and bringing any cybersecurity risks to the attention of leadership and the board of directors. Failure to prevent or mitigate security breaches and improper access to or disclosure of our data, our customers’ data, or their consumers’ data, could result in the loss or misuse of such data, which could harm our business and reputation. The security measures we have integrated into our systems and processes, which are designed to prevent or minimize security breaches, may not function as expected or may not be sufficient to protect our internal networks and platform against attacks. Further, our platform also integrates with third-party applications and points of sale (“POS”) and management systems over which we exercise no control. Such third-party applications and POS and management systems are also susceptible to security breaches, which could directly or indirectly result in a breach of our platform. The failure of a customer’s third-party front-end provider to adequately protect their systems could result in an attack that we are unable to prevent from the back-end, which could result in a service outage for all customers, and may require us to take the affected customer offline to restore service to the platform for</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3" w:name="page24"/>
    <w:bookmarkEnd w:id="2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other customers. In addition, techniques used to sabotage or to obtain unauthorized access to data change frequently. As a result, we may be unable to anticipate these techniques or implement adequate measures to prevent an intrusion into our networks directly, or into our platform through the third-party applications or POS and management systems with which our platform integrates.</w:t>
      </w:r>
    </w:p>
    <w:p>
      <w:pPr>
        <w:spacing w:after="0" w:line="11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Our storage and use of our customers’ data concerning their restaurants and consumers is essential to their use of our platform, which stores, transmits and processes our customers’ proprietary information and information relating to them and consumers. If a security breach were to occur, as a result of third-party action, employee error, malfeasance, or otherwise, and the confidentiality, integrity or availability of our customers’ data was disrupted, we could incur significant liability to our customers and their consumers, and our platform may be perceived as less desirable, which could negatively affect our business and damage our reputation. In addition, any loss of customer or individual consumer data could create significant monetary damages for us that may harm our ability to operate the business.</w:t>
      </w:r>
    </w:p>
    <w:p>
      <w:pPr>
        <w:spacing w:after="0" w:line="111"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 security vulnerability in our platform or POS integration software could compromise our customers’ in-store networks, which could expose customer or consumer information beyond what we collect through our platform. As a multitenant software-as-a-service (“SaaS”) provider, despite our logical separation of data between customers, we may face an increased risk of accidentally commingling data between customers due to employee error, a software bug, or otherwise, which may result in unauthorized disclosure of data between customers. We may in the future be subject to distributed denial of service (“DDoS”) attacks, a technique used by hackers to take an internet service offline by overloading its servers. A DDoS attack could delay or interrupt service to our customers and their consumers and may deter consumers from ordering or engaging with our customers’ restaurants. Our platform and third-party applications may also be subject to DDoS attacks in the future and we cannot guarantee that applicable recovery systems, security protocols, network protection mechanisms and other procedures are or will be adequate to prevent network and service interruption, system failure, or data loss. In addition, computer malware, viruses, hacking, credential stuffing, social engineering, phishing, physical theft, and other attacks by third parties are prevalent in our industry. We may experience such attacks in the future and, as a result of our increased visibility, we believe that we are increasingly a target for such breaches and attacks.</w:t>
      </w:r>
    </w:p>
    <w:p>
      <w:pPr>
        <w:spacing w:after="0" w:line="101"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Moreover, our platform and third-party applications, services, or POS and management systems integrated with our platform, could be breached if vulnerabilities in our platform or third-party applications or POS and management systems are exploited by unauthorized third parties or due to employee error, malfeasance, or otherwise. Further, third parties may attempt to fraudulently induce employees or customers into disclosing sensitive information such as user names, passwords, or other information or otherwise compromise the security of our internal networks, electronic systems and/or physical facilities in order to gain access to our data or our customers’ data. Because techniques used to obtain unauthorized access change frequently and the size and severity of DDoS attacks and security breaches are increasing, we may be unable to implement adequate preventative measures or stop DDoS attacks or security breaches while they are occurring. In addition to our own platform and applications, some of the third parties we work with may receive information provided by us, by our customers, or by our customers’ consumers through web or mobile applications integrated with our platform. If these third parties fail to adhere to adequate data security practices, or in the event of a breach of their networks, our own and our customers’ data may be improperly accessed, used, or disclosed.</w:t>
      </w:r>
    </w:p>
    <w:p>
      <w:pPr>
        <w:spacing w:after="0" w:line="106"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Any actual or perceived DDoS attack or security breach of our platform, systems, and networks could damage our reputation and brand, expose us to a risk of litigation and possible liability and require us to expend significant capital and other resources to respond to and alleviate problems caused by the DDoS attack or security breach. Our ability to retain adequate cyber-crime and liability insurance may be reduced. Some jurisdictions have enacted laws requiring companies to notify individuals of data security breaches involving certain types of personal data and our agreements with certain customers and partners require us to notify them in the event of a security incident. Such mandatory disclosures are costly, could lead to negative publicity, and may cause our customers to lose confidence in the effectiveness of our data security measures. Moreover, if a high-profile security breach occurs with respect to another SaaS provider or one of the service providers we partner with, customers may lose trust in the security of the SaaS business model generally, which could adversely impact our ability to retain revenue from existing customers or attract new ones. Any of these events could harm our reputation or subject us to significant liability, and materially and adversely affect our business and financial results.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 w:name="page25"/>
    <w:bookmarkEnd w:id="2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technology and infrastructure may adversely affect our business and operating results.</w:t>
      </w:r>
    </w:p>
    <w:p>
      <w:pPr>
        <w:spacing w:after="0" w:line="89"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Our continued growth depends in part on the ability of our existing and potential customers to access our platform at any time and within an acceptable amount of time. Our platform is proprietary, and we rely on the expertise of members of our engineering, operations, and software development teams for our platform’s continued performance. We have experienced, and may in the future experience, disruptions, outages, and other performance problems related to our platform due to a variety of factors, including infrastructure changes, introductions of new functionality, human or software errors, delays in scaling our technical infrastructure if we do not maintain enough excess capacity and accurately predict our infrastructure requirements, capacity constraints due to an overwhelming number of users accessing our platform simultaneously, denial-of-service attacks, human error, actions or inactions attributable to third parties, earthquakes, hurricanes, floods, fires, natural disasters, power losses, disruptions in telecommunications services, fraud, military or political conflicts, terrorist attacks and other geopolitical unrest, computer viruses, ransomware, malware, or other events. Our systems also may be subject to break-ins, sabotage, theft, and intentional acts of vandalism, including by our own employees. Some of our systems are not fully redundant and our disaster recovery planning may not be sufficient for all eventualities. Further, our business and/or network interruption insurance may not be sufficient to cover all of our losses that may result from interruptions in our service as a result of systems failures and similar events.</w:t>
      </w:r>
    </w:p>
    <w:p>
      <w:pPr>
        <w:spacing w:after="0" w:line="327"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From time to time we may experience limited periods of server downtime due to server failure or other technical difficulties. In some instances, we may not be able to identify the cause or causes of these performance problems within an acceptable period of time. It may become increasingly difficult to maintain and improve our performance, especially during peak usage times and as our platform becomes more complex and our user traffic increases. If our platform is unavailable or if our users are unable to access our platform within a reasonable amount of time, or at all, our business would be adversely affected and our brand could be harmed. In the event of any of the factors described above, or certain other failures of our infrastructure, customer or guest data may be permanently lost. Moreover, a limited number of our agreements with customers may provide for limited service level commitments from time to time.</w:t>
      </w:r>
    </w:p>
    <w:p>
      <w:pPr>
        <w:spacing w:after="0" w:line="11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we experience significant periods of service downtime in the future, we may be subject to claims by our customers against these service level commitments. These events have resulted in losses in revenue, though such losses have not been material to date. System failures in the future could result in significant losses of revenue.</w:t>
      </w:r>
    </w:p>
    <w:p>
      <w:pPr>
        <w:spacing w:after="0" w:line="10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To the extent that we do not effectively address capacity constraints, upgrade our systems as needed, and continually develop our technology and network architecture to accommodate actual and anticipated changes in technology, our business and operating results may be adversely affected.</w:t>
      </w:r>
    </w:p>
    <w:p>
      <w:pPr>
        <w:spacing w:after="0" w:line="18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are dependent upon customers’ continued and unimpeded access to the internet, and upon their willingness to use the internet for commerce.</w:t>
      </w:r>
    </w:p>
    <w:p>
      <w:pPr>
        <w:spacing w:after="0" w:line="103"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Our success depends upon the general public’s ability to access the internet, including through mobile devices, and its continued willingness to use the internet to pay for purchases, communicate, access social media, research and conduct commercial transactions. The adoption of any laws or regulations that adversely affect the growth, popularity or use of the internet, including changes to laws or regulations impacting internet neutrality, could decrease the demand for our platforms, increase our operating costs, or otherwise adversely affect our business. Given uncertainty around these rules, we could experience discriminatory or anti-competitive practices that could impede both our and our customers’ growth, increase our costs or adversely affect our business. In the future, providers of internet browsers could introduce new features that would make it difficult for customers to use our platform. In addition, internet browsers for desktop, tablets or mobile devices could introduce new features, or change existing browser specifications, such that they would be incompatible with our platform. If customers become unable, unwilling or less willing to use the internet for commerce for any reason, including lack of access to high-speed communications equipment, congestion of traffic on the internet, internet outages or delays, disruptions or other damage to customers’ computers, increases in the cost of accessing the internet and security and privacy risks or the perception of such risks, our business could be adversely affected.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Defects, errors, or vulnerabilities in our applications, backend systems, hardware, or other technology systems and those of third-party technology providers could harm our reputation and brand and adversely impact our business, financial condition, and results of operations.</w:t>
      </w:r>
    </w:p>
    <w:p>
      <w:pPr>
        <w:spacing w:after="0" w:line="103"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software underlying our platform is highly complex and may contain undetected errors or vulnerabilities, some of which may only be discovered after the code has been released. Our practice is to effect frequent releases of software updates. Third-party software that we incorporate into our platform and our backend systems, hardware, or other technology systems, or those of third-party technology providers, may also be subject to defects, errors, or vulnerabilities. Any such defects, errors, or vulnerabilities could result in negative publicity, a loss of customers or loss of revenue, and access or other performance issues. Such vulnerabilities could also be exploited by bad actors and result in exposure of customer or guest data, or otherwise result in a security breach or other security incident. We may need to expend significant financial and development resources to analyze, correct, eliminate, or work around errors or defects or to address and eliminate vulnerabilities. Any failure to timely and effectively resolve any such errors, defects, or vulnerabilities could adversely affect our business, reputation, brand, financial condition, and results of operations.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Condition and Capital Requirements</w:t>
      </w:r>
    </w:p>
    <w:p>
      <w:pPr>
        <w:spacing w:after="0" w:line="22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have a history of generating net losses, and if we are unable to achieve adequate revenue growth while our expenses increase, we may not achieve or maintain profitability in the future.</w:t>
      </w:r>
    </w:p>
    <w:p>
      <w:pPr>
        <w:spacing w:after="0" w:line="103"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have incurred a net loss in each year since our inception and have a significant accumulated deficit. We incurred net losses since our inception, including net losses of $42.3 million, $21.6 million, $56.3 million and $49.8 million for the nine month periods ended March 31, 2023 and 2022 and the fiscal years ended June 30, 2022 and 2021, respectively. As of March 31, 2023, we had an accumulated deficit of $198.7 million. Our losses and accumulated deficit are a result of the substantial investments we have made to grow our business. We expect our costs will increase over time and our losses to continue as we expect to continue to invest significant additional funds in expanding our business, sales, and marketing activities, research and development as we continue to build software designed specifically for the restaurant industry, and maintaining high levels of customer support, each of which we consider critical to our continued success. We also expect to incur additional general and administrative expenses as a result of our growth and expect our costs to increase to support our operations as a public company. In addition, to support the continued growth of our business and to meet the demands of continuously changing security and operational requirements, we plan to continue investing in our operations and technology infrastructure. Historically, our costs have increased over the years due to these factors, and we expect to continue to incur increasing costs to support our anticipated future growth. If we are unable to generate adequate revenue growth and manage our expenses, we may continue to incur significant losses and may not achieve or maintain profitability.</w:t>
      </w:r>
    </w:p>
    <w:p>
      <w:pPr>
        <w:spacing w:after="0" w:line="10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Further, we may make decisions that would adversely affect our short-term operating results if we believe those decisions will improve the experiences of our customers and their guests and if we believe such decisions will improve our operating results over the long term. These decisions may not be consistent with the expectations of investors and may not produce the long-term benefits that we expect, in which case our business may be materially and adversely affected.</w:t>
      </w:r>
    </w:p>
    <w:p>
      <w:pPr>
        <w:spacing w:after="0" w:line="18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Presto’s current liquidity resources raise substantial doubt about the Company’s ability to continue as a going concern and unless Presto raises additional capital to meet its obligations, this doubt may not be alleviated.</w:t>
      </w:r>
    </w:p>
    <w:p>
      <w:pPr>
        <w:spacing w:after="0" w:line="10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Since inception, we have incurred recurring net losses and negative cash flows from operating activities, and we have financed operations primarily through financing transactions, such as the issuance of convertible promissory notes and loans, and sales of common and convertible preferred stock. As of March 31, 2023 and June 30, 2022, respectively, we had an accumulated deficit of $198.7 million and $200.8 million and we expect to continue to generate significant operating losses for the foreseeable future. Therefore, cash and cash equivalents may not be sufficient to fund operating expenses, currently anticipated expenditures and other obligations as they come due, and we may require additional capital infusion to fully fund our ongoing operations. As a result, substantial doubt exists about our ability to continue as a going concern within one year after the issuance date of our financial statements for the three and nine month periods ended March 31, 2023 and the fiscal year ended June 30, 2022.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19" w:lineRule="exact"/>
        <w:rPr>
          <w:sz w:val="20"/>
          <w:szCs w:val="20"/>
          <w:color w:val="auto"/>
        </w:rPr>
      </w:pPr>
    </w:p>
    <w:p>
      <w:pPr>
        <w:ind w:left="1320" w:hanging="43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demand for or pricing of our platform, or any of our products;</w:t>
      </w:r>
    </w:p>
    <w:p>
      <w:pPr>
        <w:spacing w:after="0" w:line="157" w:lineRule="exact"/>
        <w:rPr>
          <w:rFonts w:ascii="Arial" w:cs="Arial" w:eastAsia="Arial" w:hAnsi="Arial"/>
          <w:sz w:val="18"/>
          <w:szCs w:val="18"/>
          <w:color w:val="auto"/>
        </w:rPr>
      </w:pPr>
    </w:p>
    <w:p>
      <w:pPr>
        <w:jc w:val="both"/>
        <w:ind w:left="1320" w:right="459" w:hanging="434"/>
        <w:spacing w:after="0" w:line="259" w:lineRule="auto"/>
        <w:tabs>
          <w:tab w:leader="none" w:pos="13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usage of our platform, including due to the potential lack of durability of the growth we have experienced in the near term due to COVID-19 and the associated shelter-in-place orders on consumer preferences for digital ordering and customer adoption of new products as COVID-19 associated restrictions abate;</w:t>
      </w:r>
    </w:p>
    <w:p>
      <w:pPr>
        <w:spacing w:after="0" w:line="105" w:lineRule="exact"/>
        <w:rPr>
          <w:rFonts w:ascii="Arial" w:cs="Arial" w:eastAsia="Arial" w:hAnsi="Arial"/>
          <w:sz w:val="18"/>
          <w:szCs w:val="18"/>
          <w:color w:val="auto"/>
        </w:rPr>
      </w:pPr>
    </w:p>
    <w:p>
      <w:pPr>
        <w:ind w:left="1320" w:hanging="43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customer purchases and deployments;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expansion rates;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investment in new products relative to investments in our existing infrastructure and platform;</w:t>
      </w:r>
    </w:p>
    <w:p>
      <w:pPr>
        <w:spacing w:after="0" w:line="180" w:lineRule="exact"/>
        <w:rPr>
          <w:rFonts w:ascii="Arial" w:cs="Arial" w:eastAsia="Arial" w:hAnsi="Arial"/>
          <w:sz w:val="16"/>
          <w:szCs w:val="16"/>
          <w:color w:val="auto"/>
        </w:rPr>
      </w:pPr>
    </w:p>
    <w:p>
      <w:pPr>
        <w:ind w:left="1320" w:right="459" w:hanging="434"/>
        <w:spacing w:after="0" w:line="277" w:lineRule="auto"/>
        <w:tabs>
          <w:tab w:leader="none" w:pos="13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or delays in purchasing decisions in anticipation of new products or enhancements by us or our competitors;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customers’ budgets and in the timing of their budget cycles and purchasing decisions;</w:t>
      </w:r>
    </w:p>
    <w:p>
      <w:pPr>
        <w:spacing w:after="0" w:line="167" w:lineRule="exact"/>
        <w:rPr>
          <w:rFonts w:ascii="Arial" w:cs="Arial" w:eastAsia="Arial" w:hAnsi="Arial"/>
          <w:sz w:val="16"/>
          <w:szCs w:val="16"/>
          <w:color w:val="auto"/>
        </w:rPr>
      </w:pPr>
    </w:p>
    <w:p>
      <w:pPr>
        <w:ind w:left="1320" w:hanging="43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sales commissions;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stock-based compensation, goodwill impairments and other non-cash charges;</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effects of acquisitions and their integration;</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health epidemics or pandemics, such as the COVID-19 pandemic;</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 levels of consumer and business confidence typically associated with inflationary or recessionary environments;</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regulatory or legal environments that may cause us to incur, among other elements, expenses associated with compliance;</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customers, or our partners;</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3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modules and platform capabilities or third-party applications or POS or management systems that our platform integrates with;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342" w:lineRule="auto"/>
        <w:tabs>
          <w:tab w:leader="none" w:pos="13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hostilities or wars (such as the ongoing invasion of Ukraine by Russia), incidents of terrorism, natural disasters or responses to such events.</w:t>
      </w:r>
    </w:p>
    <w:p>
      <w:pPr>
        <w:spacing w:after="0" w:line="56"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7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Unfavorable conditions in the restaurant industry or the global economy could limit our ability to grow our business and materially impact our financial performance.</w:t>
      </w:r>
    </w:p>
    <w:p>
      <w:pPr>
        <w:spacing w:after="0" w:line="103"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Our operating results may vary based on the impact of changes in the restaurant industry or the global economy on us or our customers and their guests. Our revenue growth and potential profitability depend on demand for business management software and platforms serving the restaurant industry. Historically, during economic downturns, there have been reductions in spending on IT as well as pressure for extended billing terms and other financial concessions. If economic conditions deteriorate, our current and prospective customers may elect to decrease their IT budgets, which would limit our ability to grow our business and adversely affect our operating results.</w:t>
      </w:r>
    </w:p>
    <w:p>
      <w:pPr>
        <w:spacing w:after="0" w:line="11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 deterioration in general economic conditions (including distress in financial markets and turmoil in specific economies around the world) may adversely affect our financial performance by causing a reduction in locations through restaurant closures and reduced operating hours. A reduction in the amount of consumer spending or credit card transactions could result in a decrease of our revenue and profits. Adverse economic factors may accelerate the timing, or increase the impact of, risks to our financial performance. These factors could include:</w:t>
      </w:r>
    </w:p>
    <w:p>
      <w:pPr>
        <w:spacing w:after="0" w:line="125" w:lineRule="exact"/>
        <w:rPr>
          <w:sz w:val="20"/>
          <w:szCs w:val="20"/>
          <w:color w:val="auto"/>
        </w:rPr>
      </w:pPr>
    </w:p>
    <w:p>
      <w:pPr>
        <w:ind w:left="1320" w:right="459" w:hanging="434"/>
        <w:spacing w:after="0" w:line="277" w:lineRule="auto"/>
        <w:tabs>
          <w:tab w:leader="none" w:pos="13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declining economies and the pace of economic recovery which can change consumer spending behaviors;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 levels of consumer and business confidence typically associated with recessionary environments;</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 unemployment levels, which may result in decreased spending by consumers;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budgetary concerns in the United States and other countries around the world, which could impact consumer confidence and spending;</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uncertainty and volatility in the performance of our customers’ businesses;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customers or consumers decreasing spending for value-added services we market and sell;</w:t>
      </w:r>
    </w:p>
    <w:p>
      <w:pPr>
        <w:spacing w:after="0" w:line="169" w:lineRule="exact"/>
        <w:rPr>
          <w:rFonts w:ascii="Arial" w:cs="Arial" w:eastAsia="Arial" w:hAnsi="Arial"/>
          <w:sz w:val="17"/>
          <w:szCs w:val="17"/>
          <w:color w:val="auto"/>
        </w:rPr>
      </w:pPr>
    </w:p>
    <w:p>
      <w:pPr>
        <w:ind w:left="1320" w:right="459" w:hanging="434"/>
        <w:spacing w:after="0" w:line="277" w:lineRule="auto"/>
        <w:tabs>
          <w:tab w:leader="none" w:pos="13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actions, including the effect of laws and regulations and any related government stimulus; and</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disruptions impacting global supply, including those attributable to the ongoing COVID-19 pandemic and those resulting from the ongoing invasion of Ukraine by Russia.</w:t>
      </w:r>
    </w:p>
    <w:p>
      <w:pPr>
        <w:spacing w:after="0" w:line="17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may require additional capital, which additional financing may result in restrictions on our operations or substantial dilution to our stockholders, to support the growth of our business, and this capital might not be available on acceptable terms, if at all.</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have funded our operations since inception primarily through customer working capital and financing transactions such as the issuance of convertible promissory notes and loans, and sales of convertible preferred stock.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In particular, the COVID-19 pandemic, the ongoing invasion of Ukraine by Russia and rising inflation and interest rates have caused disruption in the global financial markets, which may reduce our ability to access capital and negatively affect our liquidity in the future.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to holders of our Common Stock. Furthermore, if we issue additional equity securities, stockholders will experience dilution, and the new equity securities could have rights senior to those of our existing common stock.</w:t>
      </w:r>
    </w:p>
    <w:p>
      <w:pPr>
        <w:sectPr>
          <w:pgSz w:w="11900" w:h="16838" w:orient="portrait"/>
          <w:cols w:equalWidth="0" w:num="1">
            <w:col w:w="9019"/>
          </w:cols>
          <w:pgMar w:left="1440" w:top="274"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8" w:name="page29"/>
    <w:bookmarkEnd w:id="2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ability to use our net operating loss carryforwards and certain other tax attributes may be limited.</w:t>
      </w:r>
    </w:p>
    <w:p>
      <w:pPr>
        <w:spacing w:after="0" w:line="181"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As of June 30, 2022, the Company had federal and state NOLs for approximately $134.7 million and $41.6 million, respectively. The state NOLs begin to expire in 2029 if not utilized. It is possible that we will not generate taxable income in time to use NOLs before their expiration, or at all. Under Section 382 and Section 383 of the Code, if a corporation undergoes an “ownership change,” the corporation’s ability to use its pre-change NOLs and other tax attributes, including R&amp;D tax credits, to offset its post-change income may be limited. In general, an “ownership change” will occur if there is a cumulative change in our ownership by “5 percent stockholders” that exceeds 50 percentage points over a rolling three-year period. Similar rules may apply under state tax laws. Our ability to use NOLs and other tax attributes to reduce future taxable income and liabilities may be subject to annual limitations as a result of prior ownership changes and ownership changes that may occur in the future, including as a result of the Business Combination.</w:t>
      </w:r>
    </w:p>
    <w:p>
      <w:pPr>
        <w:spacing w:after="0" w:line="101"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Under the Tax Cuts and Jobs Act (the “Tax Act”), as amended by the Coronavirus Aid, Relief, and Economic Security Act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Additionally, under the Tax Act, as modified by the CARES Act, NOLs from tax years that began after December 31, 2017 may offset no more than 80% of current taxable income annually for taxable years beginning after December 31, 2020, but the 80% limitation on the use of NOLs from tax years that began after December 31, 2017 does not apply for taxable income in tax years beginning before January 1, 2021.</w:t>
      </w:r>
    </w:p>
    <w:p>
      <w:pPr>
        <w:spacing w:after="0" w:line="97"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NOLs arising in tax years ending after December 31, 2017 can be carried forward indefinitely, but NOLs generated in tax years ending before January 1, 2018 will continue to have a two-year carryback and twenty-year carryforward period. The balance of our valuation allowance offset our U.S. NOLs at June 30, 2022 such that these changes did not materially impact our balance sheet as of such date. However, in future years, if and when a net deferred tax asset is recognized related to our NOLs, the changes in the carryforward and carryback periods as well as the limitation on use of NOLs may significantly impact our valuation allowance assessments for NOLs generated after December 31, 2020.</w:t>
      </w:r>
    </w:p>
    <w:p>
      <w:pPr>
        <w:spacing w:after="0" w:line="11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There is also a risk that due to regulatory changes, such as suspensions on the use of NOLs and tax credits by certain jurisdictions, including in order to raise additional revenue to help counter the fiscal impact from the COVID-19 pandemic, possibly with retroactive effect, or other unforeseen reasons, our existing NOLs and tax credits could expire or otherwise be unavailable to offset future income tax liabilities. A temporary suspension of the use of certain NOLs and tax credits has been enacted in California, and other states may enact suspensions as well. For these reasons, we may not be able to realize a tax benefit from the use of our NOLs and tax credits.</w:t>
      </w:r>
    </w:p>
    <w:p>
      <w:pPr>
        <w:spacing w:after="0" w:line="19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experience elements of seasonal fluctuations in our financial results, which could cause our stock price to fluctuate.</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business is highly dependent on the behavior patterns of our customers and their guests. For example, our transaction revenue per location has historically been stronger in the second and third quarters as a result of our customers experiencing greater sales during warmer months, though this effect varies regionally. Seasonality may cause fluctuations in our financial results, and other trends that develop may similarly impact our results of operations.</w:t>
      </w:r>
    </w:p>
    <w:p>
      <w:pPr>
        <w:spacing w:after="0" w:line="18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spacing w:after="0" w:line="9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procure third-party insurance policies to cover various operations-related risks including property and general liability, professional liability, directors’ and officers’ liability, workers’ compensation, cybersecurity, technology errors and omissions, ocean/marine cargo, commercial crime and other coverage in amounts and on terms</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9" w:name="page30"/>
    <w:bookmarkEnd w:id="2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deemed adequate by our management. For certain types of operations-related risks or future risks related to our new and evolving services, we may not be able to, or may choose not to, acquire insurance. In addition, we may not obtain enough insurance to adequately mitigate such operations-related risks or risks related to our new and evolving services, and we may have to pay high premiums, self-insured retentions, or deductibles for the coverage we do obtain. Additionally, if any of our insurance providers becomes insolvent, it would be unable to pay any operations-related claims that we make. Further, some of our agreements with customers may require that we procure certain types of insurance, and if we are unable to obtain and maintain such insurance, we would be in violation of the terms of these customer agreements.</w:t>
      </w:r>
    </w:p>
    <w:p>
      <w:pPr>
        <w:spacing w:after="0" w:line="111"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If the amount of one or more operations-related claims were to exceed our applicable aggregate coverage limits, we would bear the excess, in addition to amounts already incurred in connection with deductibles, or self-insured retentions. Insurance providers have raised premiums and deductibles for many businesses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18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Recent turmoil in the banking industry may negatively impact Presto’s ability to acquire financing on acceptable terms if at all, and worsening conditions or additional bank failures could result in a loss of deposits over federally insured levels.</w:t>
      </w:r>
    </w:p>
    <w:p>
      <w:pPr>
        <w:spacing w:after="0" w:line="116"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Actual events involving limited liquidity, defaults, non-performance or other adverse developments that affect financial institutions, other companies in the financial services industry or the financial services industry generally, or concerns or rumors about any events of these kinds or other similar risks, have in the past and may in the future lead to market-wide liquidity problems. For example, the March 2023 failures of Silicon Valley Bank (“SVB”) and Signature Bank (“SNY”), liquidity issues at Credit Suisse, government responses and resulting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making it more difficult for us to acquire financing on acceptable terms or at all. Any material decline in available funding or our ability to access our cash and cash equivalents could adversely impact our ability to meet our operating expenses, have a material adverse effect on our financial condition, as well as our ability to continue to grow our operations. In addition, the Federal Deposit Insurance Corporation, or FDIC, generally only insures limited amounts per depositor per insured bank. The FDIC insures up to $250,000 per depositor per insured bank account. At March 31, 2023, we had cash and cash equivalents exceeding these federally insured levels. If any of the banking institutions in which we have deposited funds ultimately fail, we may lose our deposits over the federally insured levels. The loss of our deposits would reduce the amount of cash we have available to fund our capital and operating needs.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Presto’s Competition, Sales, and Marketing</w:t>
      </w:r>
    </w:p>
    <w:p>
      <w:pPr>
        <w:spacing w:after="0" w:line="22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business is highly competitive. We may not be able to compete successfully against current and future competitors.</w:t>
      </w:r>
    </w:p>
    <w:p>
      <w:pPr>
        <w:spacing w:after="0" w:line="89"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face competition in various aspects of our business and we expect such competition to intensify in the future, as existing and new competitors, including some of our current partners, introduce new products or enhance existing products that are directly competitive with our products. Our platform combines functionality from numerous product categories, and we may compete against providers in each of these categories, including Touch and AI Platform. Our potential new or existing competitors may be able to develop solutions that are better received by customers or may be able to respond more quickly and effectively than we can to new or changing opportunities, technologies, regulations, or customer requirements. If competitors, many of which are much better capitalized than we are, are successful in providing our customers with more attractive products or pricing, our business and results of operation may be harmed.</w:t>
      </w:r>
    </w:p>
    <w:p>
      <w:pPr>
        <w:spacing w:after="0" w:line="9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Competition may intensify as current or future competitors enter into business combinations or alliances or raise additional capital, or as established companies in other market segments expand into our market segments. For instance, current or future competitors could use strong or dominant positions in one or more markets to gain a</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0" w:name="page31"/>
    <w:bookmarkEnd w:id="3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competitive advantage against us in areas where we operate including by integrating additional or competing platforms or features into products they control. In addition, certain customers may choose to partner with our competitors in a specific geographic market, or choose to engage exclusively with our competitors. Further, our current partners could add features to their products, including POS functionality, limit or terminate the availability of their products on our platform, or directly compete with our products by expanding their product offerings. Current and future competitors may also choose to offer a different pricing model or to undercut prices in an effort to increase their market share. If we cannot compete successfully against current and future competitors, our business, results of operations, and financial condition could be negatively impacted.</w:t>
      </w:r>
    </w:p>
    <w:p>
      <w:pPr>
        <w:spacing w:after="0" w:line="16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Mergers of or other strategic transactions by our competitors, our customers, or our partners could weaken our competitive position or reduce our revenue.</w:t>
      </w:r>
    </w:p>
    <w:p>
      <w:pPr>
        <w:spacing w:after="0" w:line="103"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If one or more of our competitors partners were to consolidate or partner with another one of our competitors the change in landscape could adversely affect our ability to compete effectively. Our competitors may also establish or strengthen cooperative relationships with our third party partners, thereby limiting our ability to promote our platform. In addition, we may lose customers that merge with or are acquired by companies using a competitor’s or an internally developed solution. Disruptions in our business caused by these events could adversely affect our revenue growth and results of operations.</w:t>
      </w:r>
    </w:p>
    <w:p>
      <w:pPr>
        <w:spacing w:after="0" w:line="17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Our sales cycles can be long and unpredictable, and our sales efforts require considerable investment of time and expense. If our sales cycle lengthens or we invest substantial resources pursuing unsuccessful sales opportunities, our operating results and growth would be harmed.</w:t>
      </w:r>
    </w:p>
    <w:p>
      <w:pPr>
        <w:spacing w:after="0" w:line="9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We have historically incurred significant costs and experienced long sales cycles when selling to customers. In the restaurant brand market segment, the decision to adopt any of our products may require the approval of multiple technical and business decision makers, including security, compliance, operations, finance and treasury, marketing, and IT. In addition, while our customers may more quickly deploy our products on a limited basis, before they will commit to deploying our products at scale, they often require extensive education about our platform and significant customer support time or pilot programs, engage in protracted pricing negotiations and seek to secure development resources. In addition, sales cycles for our customers in general and larger customers in particular, are inherently complex and unpredictable. These complex and resource intensive sales efforts could place additional strain on our development and engineering resources. Further, even after our customers contract to use our platform, they may require extensive integration or deployment resources from us before they become active customers, which have at times extended to multiple quarterly periods following the execution of the agreement. Finally, our customers may choose to develop their own solutions that do not include any or all of our products. They also may demand reductions in pricing as their usage of our platform increases, which could have an adverse impact on our gross margin. If we are unable to increase the revenue that we derive from these customers, then our business, results of operations and financial condition may be adversely affected.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Presto’s Partners and Other Third Parties</w:t>
      </w:r>
    </w:p>
    <w:p>
      <w:pPr>
        <w:spacing w:after="0" w:line="22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products may be affected from time to time by design and manufacturing defects that could adversely affect our business and result in harm to our reputation.</w:t>
      </w:r>
    </w:p>
    <w:p>
      <w:pPr>
        <w:spacing w:after="0" w:line="89"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We offer products that can be affected by design and manufacturing defects. Defects may exist in components and products that we source from third parties. Any such defects could make our services and products unsafe, create a risk of property damage and personal injury, and subject us to the hazards and uncertainties of product liability claims and related litigation. In addition, from time to time, we may experience outages, service slowdowns, or errors that affect our products. As a result, our products may not perform as anticipated and may not meet customer expectations. There can be no assurance that we will be able to detect and fix all issues and defects in the hardware in our products. Failure to do so could result in widespread technical and performance issues affecting our products and could lead to claims against us. We maintain general liability insurance; however, design and manufacturing defects, and claims related thereto, may subject us to judgments or settlements that result in damages materially in excess of the limits of our insurance coverage. In addition, we may be exposed to recalls, product replacements or modifications, write-offs of inventory, property and equipment, or intangible assets, and significant warranty and other expenses such as litigation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 w:name="page32"/>
    <w:bookmarkEnd w:id="3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costs and regulatory fines. If we cannot successfully defend any large claim, maintain our general liability insurance on acceptable terms, or maintain adequate coverage against potential claims, our financial results could be adversely impacted.</w:t>
      </w:r>
    </w:p>
    <w:p>
      <w:pPr>
        <w:spacing w:after="0" w:line="116"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We are at risk of shortages, price increases, changes, delays or discontinuations of that hardware, particularly in regards to our Touch product, which could disrupt and materially adversely affect our business.</w:t>
      </w:r>
    </w:p>
    <w:p>
      <w:pPr>
        <w:spacing w:after="0" w:line="5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Our Touch product requires the use of third-party hardware that we sell to customers. Due to such reliance, we are subject to the risk of shortages and long lead times in the supply of hardware needed for our Touch product.</w:t>
      </w:r>
    </w:p>
    <w:p>
      <w:pPr>
        <w:spacing w:after="0" w:line="103"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We have in the past experienced, and may in the future experience, product shortages or delays or other hardware problems, and the availability of such products may be difficult to predict. Additionally, various sources of supply-chain risk, including strikes or shutdowns at delivery ports, civil unrest, hostilities or wars (such as the ongoing invasion of Ukraine by Russia), disruptions or shutdowns caused by health crises such as the COVID-19 pandemic, or loss of or damage to hardware products while they are in transit or storage, could limit the supply of such products. We are reliant on one supplier for our legacy Touch product device and one supplier for our latest-generation Touch device, and in the event of a shortage or supply interruption from those suppliers, or should those suppliers be otherwise unable to supply products to us in the quantities and on the time frames we require, we may not be able to develop alternate sources quickly, cost-effectively, or at all. For additional information on these suppliers and our agreements with them, see the section entitled “</w:t>
      </w:r>
      <w:r>
        <w:rPr>
          <w:rFonts w:ascii="Arial" w:cs="Arial" w:eastAsia="Arial" w:hAnsi="Arial"/>
          <w:sz w:val="17"/>
          <w:szCs w:val="17"/>
          <w:i w:val="1"/>
          <w:iCs w:val="1"/>
          <w:color w:val="auto"/>
        </w:rPr>
        <w:t>Business — Platform and Product Offering</w:t>
      </w:r>
      <w:r>
        <w:rPr>
          <w:rFonts w:ascii="Arial" w:cs="Arial" w:eastAsia="Arial" w:hAnsi="Arial"/>
          <w:sz w:val="17"/>
          <w:szCs w:val="17"/>
          <w:color w:val="auto"/>
        </w:rPr>
        <w:t>.” Any interruption or delay in product supply, any increases in product costs, or the inability to obtain this hardware from alternate sources at acceptable prices and within a reasonable amount of time, would harm our ability to provide it to our customers on a timely basis. This could harm our relationships with our customers, prevent us from acquiring new customers, and materially and adversely affect our business.</w:t>
      </w:r>
    </w:p>
    <w:p>
      <w:pPr>
        <w:spacing w:after="0" w:line="114"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We rely substantially on one third-party to process payments made by guests of our customers, and if we cannot manage risks related to our relationships with this payment processor or any future third-party payment processors, our business, financial condition, and results of operations could be adversely affected.</w:t>
      </w:r>
    </w:p>
    <w:p>
      <w:pPr>
        <w:spacing w:after="0" w:line="81"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currently substantially rely on Fiserv as our third-party payment processor to process payments made by guests of customers on our platform. While we are seeking to develop payment processing relationships with other payment processors, we expect to continue to rely on a limited number of payment processors for the foreseeable future. In the event that Fiserv or any additional third-party payment processors in the future fail to maintain adequate levels of support, experience interrupted operations, do not provide high quality service, discontinue their lines of business, terminate their contractual arrangements with us, or cease or reduce operations, we may suffer additional burden and be required to pursue new third-party relationships, which could materially disrupt our operations and our ability to provide our products and services, and could divert management’s time and resources. In addition, such incidents could result in periods of time during which our platform cannot function properly, and therefore cannot collect payments from customers and their guests, which could adversely affect our relationships with our customers and our business, reputation, brand, financial condition, and results of operations. It would be difficult to replace third-party processors, including Fiserv, in a timely manner if they were unwilling or unable to provide us with these services in the future, and our business and operations could be adversely affected. If these services fail or are of poor quality, our business, reputation, and operating results could be harmed.</w:t>
      </w:r>
    </w:p>
    <w:p>
      <w:pPr>
        <w:spacing w:after="0" w:line="86"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In the event Fiserv or any additional third-party payment processors in the future are subjected to losses, including any fines for reversals, chargebacks, or fraud assessed by Visa, Mastercard and other payment networks (collectively, the “Payment Networks”), that are caused by us or our customers due to failure to comply with the Payment Network rules or applicable law, our third-party payment processor may impose penalties on our customers or restrict our ability to process transactions through the Payment Networks, and we may lose our ability to process payments through one or more Payment Networks. Thus, in the event of a significant loss by Fiserv or any future third-party payment processor, we may be required to expend a large amount of cash promptly upon notification of the occurrence of such an event. A contractual dispute with our processing partner could adversely affect our business, financial condition, or results of operations.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 w:name="page33"/>
    <w:bookmarkEnd w:id="3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rely on computer hardware, purchased or leased, and software licensed from and services rendered by third parties in order to run our business.</w:t>
      </w:r>
    </w:p>
    <w:p>
      <w:pPr>
        <w:spacing w:after="0" w:line="89"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We rely on computer hardware, purchased or leased, and software licensed from and services rendered by third parties in order to run our business. Third-party hardware, software and services may not continue to be available on commercially reasonable terms, or at all. Any loss of the right to use or any failures of third-party hardware, software or services could result in delays in our ability to run our business until equivalent hardware, software or services are developed by 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w:t>
      </w:r>
    </w:p>
    <w:p>
      <w:pPr>
        <w:spacing w:after="0" w:line="16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Payment transactions processed on our platform may subject us to regulatory requirements and the rules of payment card networks, and other risks that could be costly and difficult to comply with or that could harm our business.</w:t>
      </w:r>
    </w:p>
    <w:p>
      <w:pPr>
        <w:spacing w:after="0" w:line="116"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The payment card networks require us to comply with payment card network operating rules, including special operating rules that apply to us as a “payment service provider” that provides payment processing-related services to merchants and payment processors. The payment card networks set these network rules and have discretion to interpret them and change them. We are also required by our payment processors to comply with payment card network operating rules and we have agreed to reimburse our payment processors for any fines they are assessed by payment card networks as a result of any rule violations by us or our customers. Any changes to or interpretations of the network rules that are inconsistent with the way we and the payment processors and merchants currently operate may require us to make changes to our business that could be costly or difficult to implement. If we fail to make such changes or otherwise resolve the issue with the payment card networks, the networks could fine us, cancel or suspend our registration as a payment service provider, or prohibit us from processing payment cards, which would have an adverse effect on our business, financial condition, and operating results. In addition, violations of the network rules or any failure to maintain good standing with the payment card networks as a payment service provider could impact our ability to facilitate payment card transactions on our platform, increase our costs, or could otherwise harm our business. If we were unable to facilitate payment card transactions on our platform, or were limited in our ability to do so, our business would be materially and adversely affected.</w:t>
      </w:r>
    </w:p>
    <w:p>
      <w:pPr>
        <w:spacing w:after="0" w:line="10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If we fail to comply with the rules and regulations adopted by the payment card networks, we would be in breach of our contractual obligations to our payment processors, financial institutions, or partners. Such failure to comply may subject us to fines, penalties, damages, higher transaction fees and civil liability, and could eventually prevent us from processing or accepting payment cards or could lead to a loss of payment processor partners, even if there is no compromise of customer or consumer information. In the event that we are found to be in violation of any of these legal or regulatory requirements, our business, financial condition, and results of operations could be harmed.</w:t>
      </w:r>
    </w:p>
    <w:p>
      <w:pPr>
        <w:spacing w:after="0" w:line="11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believe the licensing requirements of the Financial Crimes Enforcement Network and state agencies that regulate banks, money service businesses, money transmitters, and other providers of electronic commerce services do not apply to us. One or more governmental agencies may conclude that, under its statutes or regulations, we are engaged in activity requiring licensing or registration. In that event, we may be subject to monetary penalties, adverse publicity, and may be required to cease doing business with residents of those states until we obtain the requisite license or registration.</w:t>
      </w:r>
    </w:p>
    <w:p>
      <w:pPr>
        <w:spacing w:after="0" w:line="19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rely upon Amazon Web Services and other infrastructure to operate our platform, and any disruption of or interference with our use of these providers would adversely affect our business, results of operations, and financial condition.</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outsource substantial portions of our cloud infrastructure to Amazon Web Services (“AWS”), and other infrastructure providers. Our customers need to be able to access our platform at any time, without interruption or degradation of performance. Their failure to access our platform could make us liable for service credits or, in more severe cases, contractual breaches. We are, therefore, vulnerable to service interruptions at AWS and other infrastructure providers, which could negatively impact our revenue. We have experienced, and expect that in the future we may experience interruptions, delays and outages in service and availability due to a variety of factors,</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3" w:name="page34"/>
    <w:bookmarkEnd w:id="3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including infrastructure changes, human or software errors, website hosting disruptions, and capacity constraints including those related to the complexity and number of order permutations. Capacity constraints could be due to a number of potential causes, including technical failures, natural disasters, fraud, or security attacks. In addition, if an infrastructure provider’s security is compromised, or our modules or platform are unavailable or our customers or their consumers are unable to use our platform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may become increasingly difficult to maintain and improve our platform performance, especially during peak usage times, as our platform become more complex and the usage of our platform increases. To the extent that we do not effectively address capacity constraints, either through AWS or alternative providers of cloud infrastructure, our business, results of operations, and financial condition may be adversely affected. In addition, any changes in service levels from AWS may adversely affect our ability to meet our customers’ requirements.</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Any of the above circumstances or events may harm our reputation, cause customers to stop using our platform,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87" w:lineRule="exact"/>
        <w:rPr>
          <w:sz w:val="20"/>
          <w:szCs w:val="20"/>
          <w:color w:val="auto"/>
        </w:rPr>
      </w:pPr>
    </w:p>
    <w:p>
      <w:pPr>
        <w:jc w:val="both"/>
        <w:ind w:left="460" w:right="459"/>
        <w:spacing w:after="0" w:line="327" w:lineRule="auto"/>
        <w:rPr>
          <w:sz w:val="20"/>
          <w:szCs w:val="20"/>
          <w:color w:val="auto"/>
        </w:rPr>
      </w:pPr>
      <w:r>
        <w:rPr>
          <w:rFonts w:ascii="Arial" w:cs="Arial" w:eastAsia="Arial" w:hAnsi="Arial"/>
          <w:sz w:val="15"/>
          <w:szCs w:val="15"/>
          <w:b w:val="1"/>
          <w:bCs w:val="1"/>
          <w:i w:val="1"/>
          <w:iCs w:val="1"/>
          <w:color w:val="auto"/>
        </w:rPr>
        <w:t>Certain estimates and information contained in this prospectus are based on information from third-party sources, and we do not independently verify the accuracy or completeness of the data contained in such sources or the methodologies for collecting such data. Any real or perceived inaccuracies in such estimates or information may harm our reputation and adversely affect your ability to evaluate our business.</w:t>
      </w:r>
    </w:p>
    <w:p>
      <w:pPr>
        <w:spacing w:after="0" w:line="7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Certain estimates and information contained in this prospectus, including general expectations concerning our industry and the market in which we operate, our market opportunity, and our market size, are based to some extent on information provided by third parties. This information involves a number of assumptions and limitations, and, although we believe the information from such third-party sources is reliable, we have not independently verified the accuracy or completeness of the information contained in such third-party sources or the methodologies for collecting such information or developing such estimates. If there are any limitations or errors with respect to such information, or if such estimates are inaccurate, your ability to evaluate our business and prospects could be impaired and our reputation with investors could suffer.</w:t>
      </w:r>
    </w:p>
    <w:p>
      <w:pPr>
        <w:spacing w:after="0" w:line="84"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For example, market opportunity estimates included in this prospectus are subject to significant uncertainty and are based on assumptions and estimates that may not prove to be accurate. Not every customer included in our market opportunity estimates will necessarily purchase any, or all, of the products on our platform, and some or many of those potential customers may choose to use products offered by our competitors. We cannot be certain that any particular number or percentage of the potential customers included in our calculation of our market opportunity will generate any particular level of revenue for us. Even if the market in which we compete meets the size estimates and growth forecasts in this prospectus, our business could fail to grow for a variety of reasons, including competition, customer preferences and the other risks described in this prospectus. Accordingly, the estimates of market opportunity and forecasts of market growth included in this prospectus should not be taken as necessarily indicative of our future growth.</w:t>
      </w:r>
    </w:p>
    <w:p>
      <w:pPr>
        <w:spacing w:after="0" w:line="16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 and our ability to integrate with third-party applications and software.</w:t>
      </w:r>
    </w:p>
    <w:p>
      <w:pPr>
        <w:spacing w:after="0" w:line="103"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success of our platform depends, in part, on our ability to integrate third-party applications, software, and other offerings into our platform. We anticipate that the growth of our business will continue to depend on third-party relationships including relationships with our POS systems, digital agencies, payment processors, loyalty providers, and other partners. Identifying, negotiating, and documenting relationships with third parties and integrating third-party content and technology requires significant time and resources, and third-party providers may choose to terminate their relationship with us, compete directly against us, enter into exclusive arrangements with our competitors, or make material changes to their businesses, solutions, or services that could be detrimental to our business.</w:t>
      </w:r>
    </w:p>
    <w:p>
      <w:pPr>
        <w:spacing w:after="0" w:line="11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Third-party developers may change the features of their offering of applications and software or alter the terms governing the use of their offerings in a manner that is adverse to us. We may also be unable to maintain our relationships with certain third-parties if we are unable to integrate our platform with their offerings. In addition, third-parties may</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4" w:name="page35"/>
    <w:bookmarkEnd w:id="3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refuse to partner with us or limit or restrict our access to their offerings. We may not be able to adapt to the data transfer requirements of third party offerings. If third-party applications or software change such that we do not, or cannot, maintain the compatibility of our platform with these applications and software, or if we fail to ensure there are third-party applications and software that our customers desire to add to their ordering or delivery portals, demand for our platform could decline. If we are unable to maintain technical interoperability, our customers may not be able to effectively integrate our platform with other systems and services they use. If we fail to integrate our platform with new third-party offerings that our customers need to operate their businesses, or to provide the proper support or ease of integration our customers require, we may not be able to offer the functionality that our customers and their consumers expect, which would harm our business.</w:t>
      </w:r>
    </w:p>
    <w:p>
      <w:pPr>
        <w:spacing w:after="0" w:line="99"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The third party service providers we integrate with may not perform as expected under our agreements or under their agreements with our customers, we or our customers may in the future have disagreements or disputes with such providers, or such providers may experience reduced growth or change their business models in ways that are disadvantageous to us or our customers. If we lose access to solutions or services from a particular partner, or experience a significant reduction or disruption in the supply of services from a current partner, it could have an adverse effect on our business and operating results.</w:t>
      </w:r>
    </w:p>
    <w:p>
      <w:pPr>
        <w:spacing w:after="0" w:line="16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Our transaction revenue is partly dependent on our third-party developer partners to develop and update all entertainment applications. The decisions of developers to remove their applications or change the terms of our commercial relationship could adversely impact our transaction revenue.</w:t>
      </w:r>
    </w:p>
    <w:p>
      <w:pPr>
        <w:spacing w:after="0" w:line="9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We rely on third-party developers to develop the entertainment applications that we host. Accordingly, our business depends on our ability to promote, enter into and maintain successful commercial relationships with such developers. In general, we rely on standard terms of service for third party developers which govern the distribution, operations and fee sharing arrangements for hosting entertainment applications. In some cases, we rely on negotiated agreements with third party developers that modify our standard terms of service. There can be no assurance that the developers that have developed applications will continue to maintain these entertainment applications or be willing to provide new entertainment applications in the future. If we are unable to attract and maintain these third party developer relationships, if the terms and conditions of such commercial relationships become less favorable to us or if a developer decides to remove their entertainment applications, our transaction revenue would suffer.</w:t>
      </w:r>
    </w:p>
    <w:p>
      <w:pPr>
        <w:spacing w:after="0" w:line="8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addition, we rely on our developer partners to manage and maintain their entertainment applications, including updating their entertainment applications to include the latest version. The failure of our developer partners to provide timely and reliable updates could adversely impact our financial condition and results of operations and prospects.</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Finally, a small number of entertainment applications and related developers have accounted for a substantial portion of our transaction revenue. If these entertainment applications were to become less popular or be removed and we are unable to identify suitable replacements, our transaction revenue would be would suffer.</w:t>
      </w:r>
    </w:p>
    <w:p>
      <w:pPr>
        <w:spacing w:after="0" w:line="18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Failure to effectively expand our sales capabilities could harm our ability to increase our subscriber base and achieve broader market acceptance of our platforms.</w:t>
      </w:r>
    </w:p>
    <w:p>
      <w:pPr>
        <w:spacing w:after="0" w:line="103"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Increasing our customer base and achieving broader market acceptance of our platform will depend, in part, on our ability to effectively expand our sales and marketing operations and activities. We are substantially dependent on our direct sales force to obtain new customers. We plan to continue to expand our direct sales force and to increase the number of our sales professionals. Our ability to achieve significant revenue growth in the future will depend, in part, on our success in recruiting, training and retaining a sufficient number of experienced sales professionals. New hires require significant training and time before they achieve full productivity, particularly in new sales segments and territories. Our recent and planned hires may not become productive as quickly as we expect, and we may be unable to hire or retain sufficient numbers of qualified individuals in the future in the markets where we do business. Because we do not have a long history of expanding our sales force, we cannot predict whether, or to what extent, our sales will increase as we expand our sales force or how long it will take for sales personnel to become productive. If our sales expansion efforts do not generate a significant increase in revenue, our business and future growth prospects could be harmed.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 w:name="page36"/>
    <w:bookmarkEnd w:id="3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Government Regulation and Other Compliance Requirements</w:t>
      </w:r>
    </w:p>
    <w:p>
      <w:pPr>
        <w:spacing w:after="0" w:line="229"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b w:val="1"/>
          <w:bCs w:val="1"/>
          <w:i w:val="1"/>
          <w:iCs w:val="1"/>
          <w:color w:val="auto"/>
        </w:rPr>
        <w:t>Our business is subject to a variety of U.S. laws and regulations, many of which are unsettled and still developing, and our or our customers’ failure to comply with such laws and regulations could subject us to claims or otherwise adversely affect our business, financial condition, or results of operations.</w:t>
      </w:r>
    </w:p>
    <w:p>
      <w:pPr>
        <w:spacing w:after="0" w:line="6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restaurant technology industry and the offering of products therein is relatively nascent and rapidly evolving. We are subject to a variety of U.S. laws and regulations. Laws, regulations and standards governing issues such as worker classification, labor and employment, anti-discrimination, online credit card payments, payment and payroll processing, financial services, gratuities, pricing and commissions, text messaging, subscription services, intellectual property, data retention, privacy, data security, consumer protection, background checks, website and mobile application accessibility, wages, and tax are often complex and subject to varying interpretations, in many cases due to their lack of specificity. The scope and interpretation of existing and new laws, and whether they are applicable to us, is often uncertain and may be conflicting, including varying standards and interpretations between state and federal law, between individual states, and even at the city and municipality level. As a result, their application in practice may change or develop over time through judicial decisions or as new guidance or interpretations are provided by regulatory and governing bodies, such as federal, state, and local administrative agencies.</w:t>
      </w:r>
    </w:p>
    <w:p>
      <w:pPr>
        <w:spacing w:after="0" w:line="111"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It is also likely that if our business grows and evolves and our services are used in a greater number of geographies, we would become subject to laws and regulations in additional jurisdictions. It is difficult to predict how existing laws would be applied to our business and the new laws to which it may become subject.</w:t>
      </w:r>
    </w:p>
    <w:p>
      <w:pPr>
        <w:spacing w:after="0" w:line="81"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We may not be able to respond quickly or effectively to regulatory, legislative, and other developments, and these changes may in turn impair our ability to offer our existing or planned products and/or increase our cost of doing business. While we have and will need to continue to invest in the development of policies and procedures in order to comply with the requirements of the evolving, highly regulated regulatory regimes applicable to our business and those of our customers, our compliance programs are relatively nascent and we cannot assure that our compliance programs will prevent the violation of one or more laws or regulations. If we are not able to comply with these laws or regulations or if we become liable under these laws or regulations, including any future laws or obligations that we may not be able to anticipate at this time, we could be adversely affected, and we may be forced to implement new measures to reduce our exposure to this liability. This may require us to expend substantial resources, discontinue certain services or platform features, limit our customer base, or find ways to limit our offerings in particular jurisdictions, which would adversely affect our business. Any failure to comply with applicable laws and regulations could also subject us to claims and other legal and regulatory proceedings, fines, or other penalties, criminal and civil proceedings, forfeiture of significant assets, and other enforcement actions. In addition, the increased attention focused upon liability issues as a result of lawsuits and legislative proposals could adversely affect our reputation or otherwise impact the growth of our business.</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Further, from time to time, we leverage third parties to help conduct our businesses. We may be held liable for any corrupt or other illegal activities of these third-party partners and intermediaries, our employees, representatives, contractors, channel partners, and agents, even if we do not explicitly authorize such activities. While we have policies and procedures to address compliance with such laws, we cannot assure you that our employees and agents will not take actions in violation of our policies and applicable law, for which we may be ultimately held responsible.</w:t>
      </w:r>
    </w:p>
    <w:p>
      <w:pPr>
        <w:spacing w:after="0" w:line="125"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Illegal or improper activities of customers or customer noncompliance with laws and regulations governing, among other things, online credit card payments, gratuities, pricing and commissions, data retention, privacy, data security, consumer protection, wages, and tax could expose us to liability and adversely affect our business, brand, financial condition, and results of operations. While we have implemented various measures intended to anticipate, identify, and address the risk of these types of activities, these measures may not adequately address or prevent all illegal or improper activities by these parties from occurring and such conduct could expose us to liability, including through litigation, or adversely affect our brand or reputation.</w:t>
      </w:r>
    </w:p>
    <w:p>
      <w:pPr>
        <w:spacing w:after="0" w:line="16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Significant changes in U.S. and international trade policies that restrict imports or increase tariffs could have a material adverse effect on our results of operations.</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depend on third party manufacturers and suppliers located outside of the United States, including in China, in connection with the manufacture of certain of our products and related components. Accordingly, our business is subject to risks associated with international manufacturing. For example, the former Trump Administration imposed</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6" w:name="page37"/>
    <w:bookmarkEnd w:id="3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significant increases in tariffs on goods imported into the United States from China and other countries. Increased tariffs, including on goods imported from China, or the institution of additional protectionist trade measures could adversely affect our manufacturing costs, and in turn, our business, financial condition, operating results, and cash flows.</w:t>
      </w:r>
    </w:p>
    <w:p>
      <w:pPr>
        <w:spacing w:after="0" w:line="187" w:lineRule="exact"/>
        <w:rPr>
          <w:sz w:val="20"/>
          <w:szCs w:val="20"/>
          <w:color w:val="auto"/>
        </w:rPr>
      </w:pPr>
    </w:p>
    <w:p>
      <w:pPr>
        <w:jc w:val="both"/>
        <w:ind w:left="460" w:right="459"/>
        <w:spacing w:after="0" w:line="381" w:lineRule="auto"/>
        <w:rPr>
          <w:sz w:val="20"/>
          <w:szCs w:val="20"/>
          <w:color w:val="auto"/>
        </w:rPr>
      </w:pPr>
      <w:r>
        <w:rPr>
          <w:rFonts w:ascii="Arial" w:cs="Arial" w:eastAsia="Arial" w:hAnsi="Arial"/>
          <w:sz w:val="15"/>
          <w:szCs w:val="15"/>
          <w:b w:val="1"/>
          <w:bCs w:val="1"/>
          <w:i w:val="1"/>
          <w:iCs w:val="1"/>
          <w:color w:val="auto"/>
        </w:rPr>
        <w:t>We could be required to collect additional sales taxes or be subject to other tax liabilities that may increase the costs our customers would have to pay for our products and adversely affect our results of operations.</w:t>
      </w:r>
    </w:p>
    <w:p>
      <w:pPr>
        <w:spacing w:after="0" w:line="3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An increasing number of states have considered or adopted laws that attempt to impose tax collection obligations on out-of-state companies.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79"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Government regulation of the internet, mobile devices, and e-commerce is evolving, and unfavorable changes could substantially adversely affect our business, financial condition, and results of operations.</w:t>
      </w:r>
    </w:p>
    <w:p>
      <w:pPr>
        <w:spacing w:after="0" w:line="56"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We are subject to general business regulations and laws as well as federal and state regulations and laws specifically governing the internet, mobile devices, and e-commerce that are constantly evolving. Existing and future laws and regulations, or changes thereto, may impede the growth of the internet, mobile devices, or other online services, increase the cost of providing online services, require us to change our business practices, or raise compliance costs or other costs of doing business. These evolving regulations and laws may cover taxation, tariffs, user privacy, data protection, pricing and commissions, content, copyrights, distribution, social media marketing, advertising practices, sweepstakes, mobile, electronic contracts and other communications, consumer protection, and the characteristics and quality of our services. It is not clear how existing laws governing issues such as property ownership, sales, use, and other taxes, and personal privacy apply to the Internet. Any failure, or perceived failure, by us to comply with any of these laws or regulations could result in damage to our reputation and brand, a loss in business, and proceedings or actions against us by governmental entities or others, which could adversely affect our business, financial condition, and results of operations.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Presto’s Intellectual Property</w:t>
      </w:r>
    </w:p>
    <w:p>
      <w:pPr>
        <w:spacing w:after="0" w:line="22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we fail to adequately protect our intellectual property rights, our competitive position could be impaired and we may lose valuable assets, generate reduced revenue and become subject to costly litigation to protect our rights.</w:t>
      </w:r>
    </w:p>
    <w:p>
      <w:pPr>
        <w:spacing w:after="0" w:line="10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As of March 31, 2023 we had eight registered domain names for websites that we use in our business, such as </w:t>
      </w:r>
      <w:r>
        <w:rPr>
          <w:rFonts w:ascii="Arial" w:cs="Arial" w:eastAsia="Arial" w:hAnsi="Arial"/>
          <w:sz w:val="17"/>
          <w:szCs w:val="17"/>
          <w:i w:val="1"/>
          <w:iCs w:val="1"/>
          <w:color w:val="auto"/>
        </w:rPr>
        <w:t>presto.com</w:t>
      </w:r>
      <w:r>
        <w:rPr>
          <w:rFonts w:ascii="Arial" w:cs="Arial" w:eastAsia="Arial" w:hAnsi="Arial"/>
          <w:sz w:val="17"/>
          <w:szCs w:val="17"/>
          <w:color w:val="auto"/>
        </w:rPr>
        <w:t xml:space="preserve"> and other variations, three registered trademarks and no registered patents or copyrights. 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We require our employees, consultants, and other third parties to enter into confidentiality and proprietary information and invention assignment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w:t>
      </w:r>
    </w:p>
    <w:p>
      <w:pPr>
        <w:spacing w:after="0" w:line="11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intend to pursue additional intellectual property protection to the extent we believe it would be beneficial and cost-effective. 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7" w:name="page38"/>
    <w:bookmarkEnd w:id="3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existing products, impair the functionality of our products, delay introductions of new products, result in our substituting inferior or more costly technologies into our products, or harm our reputation or brand. In addition, we may be required to license additional technology from third parties to develop and market new products, and we may not be able to license that technology on commercially reasonable terms or at all. Our inability to license this technology could harm our ability to compete.</w:t>
      </w:r>
    </w:p>
    <w:p>
      <w:pPr>
        <w:spacing w:after="0" w:line="168"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We have been, and may in the future be, subject to claims by third parties of intellectual property infringement, which, if successful could negatively impact operations and significantly increase costs.</w:t>
      </w:r>
    </w:p>
    <w:p>
      <w:pPr>
        <w:spacing w:after="0" w:line="5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The software industry is characterized by the existence of a large number of patents, trademarks, copyrights, trade secrets, and other intellectual property rights, and frequent claims and related litigation regarding such intellectual property rights. Third parties have in the past asserted, and may in the future assert, that our platform, technology, methods or practices infringe, misappropriate, or otherwise violate their intellectual property or other proprietary rights. Such claims may be made by our competitors seeking to obtain a competitive advantage or by other parties. For example, in February 2022, we were added as a co-defendant in a patent infringement lawsuit that was brought against Hi Auto, Inc. (“Hi Auto”) by Valyant AI, Inc. (“Valyant”) in December 2021, alleging infringement of Valyant’s patent relating to a speech-based/natural language order process system. The claims against us relate to our alleged inclusion of Hi Auto’s technology in the AI voice ordering system we use for one of our customers. The lawsuit seeks to enjoin the co-defendants from continued alleged infringement and seeks unspecified statutory and other damages. Additionally, non-practicing entities purchasing intellectual property assets for the purpose of making claims of infringement may attempt to extract settlements from us. The risk of claims may increase as the number of modules that we offer and competitors in our market increases and overlaps occur. In addition, to the extent that we gain greater visibility and market exposure, we face a higher risk of being the subject of intellectual property infringement claims.</w:t>
      </w:r>
    </w:p>
    <w:p>
      <w:pPr>
        <w:spacing w:after="0" w:line="100"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Any such claims, regardless of merit, that results in litigation could result in substantial expenses, divert the attention of management, cause significant delays in introducing new or enhanced services or technology, materially disrupt the conduct of our business and have a material and adverse effect on our brand, business, financial condition, and results of operations. Although we do not believe that our proprietary technology, processes, and methods have been patented by any third party, it is possible that patents have been issued to third parties that cover all or a portion of our business. As a consequence of any patent or other intellectual property claims, we could be required to pay substantial damages, develop non-infringing technology, enter into royalty-bearing licensing agreements, stop selling or marketing some or all of our products, or re-brand our product. We may also be obligated to indemnify our customers against intellectual property claims, and we may have to pay substantial settlement costs, including royalty payments, in connection with any such claim or litigation and to obtain licenses, or modify applications, which could be costly. If it appears necessary, we may seek to secure license rights to intellectual property that we are alleged to infringe at a significant cost, potentially even if we believe such claims to be without merit. If required licenses cannot be obtained, or if existing licenses are not renewed, litigation could result. Litigation is inherently uncertain and can cause us to expend significant money, time and attention to it, even if we are ultimately successful. Any adverse decision could result in a loss of our proprietary rights, subject us to significant liabilities, require us to seek licenses for alternative technologies from third parties, prevent us from offering all or a portion of our modules and otherwise negatively affect our business and operating results.</w:t>
      </w:r>
    </w:p>
    <w:p>
      <w:pPr>
        <w:spacing w:after="0" w:line="17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use open source software in our platform, which could negatively affect our ability to sell our services or subject us to litigation or other actions.</w:t>
      </w:r>
    </w:p>
    <w:p>
      <w:pPr>
        <w:spacing w:after="0" w:line="8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rely on open source software in our proprietary platform and we expect to continue to rely on open source software in our platform in the future. The terms of certain open source licenses to which we are subject have not been interpreted by U.S., and there is a risk that these licenses could be construed in a manner that could impose unanticipated conditions or restrictions on our ability to commercialize our platforms. Certain open source projects also include other open source software and there is a risk that those dependent open source libraries may be subject to inconsistent licensing terms. This could create further uncertainties as to the governing terms for the open source</w:t>
      </w:r>
    </w:p>
    <w:p>
      <w:pPr>
        <w:sectPr>
          <w:pgSz w:w="11900" w:h="16838" w:orient="portrait"/>
          <w:cols w:equalWidth="0" w:num="1">
            <w:col w:w="9019"/>
          </w:cols>
          <w:pgMar w:left="1440" w:top="274"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8" w:name="page39"/>
    <w:bookmarkEnd w:id="3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software. Moreover, we cannot ensure that we have not incorporated and are currently relying on additional open source software in our platform in a manner that is inconsistent with the terms of the applicable license or our current policies and procedures. Although we employ open source software license screening measures, if we were to combine our proprietary software platform with open source software in a certain manner we could, under certain open source licenses, be required to release the source code of our proprietary platform, which could allow our customers and competitors to freely use such software solutions without compensation to us. Additionally, we may from time to time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we could be required to incur significant legal expenses defending against such allegations and could be subject to significant damages, required to comply with onerous conditions or restrictions, required to make our proprietary source code for our platform and any modifications and derivative works developed using such open source software generally available at no cost, purchase a costly license or cease offering the implicated services unless and until we can re-engineer them to avoid use of the open source software in dispute, which could disrupt the business dependent on the affected platforms. This re-engineering process could require significant additional research and development resources, and we may not be able to complete it successfully. In addition to risks related to license requirements, use of certain open source software can lead to greater risks than use of third-party commercial software, as open source licensors generally do not provide warranties or controls on the origin of software.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Some open source projects have known vulnerabilities and architectural instabilities and are provided on an “as-is” basis which, if not properly addressed, could negatively affect the performance of our platform. Any of these risks could be difficult to eliminate or manage, and if not addressed, could have a negative effect on our business, results of operations, and financial condition.</w:t>
      </w:r>
    </w:p>
    <w:p>
      <w:pPr>
        <w:spacing w:after="0" w:line="38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rely on software licensed from, and services rendered by, third parties in order to provide our products and run our business.</w:t>
      </w:r>
    </w:p>
    <w:p>
      <w:pPr>
        <w:spacing w:after="0" w:line="10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rely on software licensed from, and services rendered by, third parties in order to provide our products and run our business. Third-party software and services may not continue to be available on commercially reasonable terms, or at all. Any loss of the right to use, or any failures of, third-party software or services could result in delays in our ability to provide our modules or run our business until equivalent software or services are developed by us or, if available, identified, obtained and integrated, which could be costly and time-consuming and may not result in an equivalent product, any of which could cause an adverse effect on our business and operating results. Further, customers could assert claims against us in connection with such service disruption or cease conducting business with us altogether. Even if not successful, a claim brought against us by any of our customers would likely be time-consuming and costly to defend and could seriously damage our reputation and brand, making it harder for us to sell our modules.</w:t>
      </w:r>
    </w:p>
    <w:p>
      <w:pPr>
        <w:spacing w:after="0" w:line="18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may be unable to continue to use the domain names that we use in our business or prevent third parties from acquiring and using domain names that infringe on, are similar to, or otherwise decrease the value of our brand, trademarks, or service marks.</w:t>
      </w:r>
    </w:p>
    <w:p>
      <w:pPr>
        <w:spacing w:after="0" w:line="11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We have registered domain names that we use in, or are related to, our business, most importantly </w:t>
      </w:r>
      <w:r>
        <w:rPr>
          <w:rFonts w:ascii="Arial" w:cs="Arial" w:eastAsia="Arial" w:hAnsi="Arial"/>
          <w:sz w:val="17"/>
          <w:szCs w:val="17"/>
          <w:i w:val="1"/>
          <w:iCs w:val="1"/>
          <w:color w:val="auto"/>
        </w:rPr>
        <w:t xml:space="preserve">www.presto.com. </w:t>
      </w:r>
      <w:r>
        <w:rPr>
          <w:rFonts w:ascii="Arial" w:cs="Arial" w:eastAsia="Arial" w:hAnsi="Arial"/>
          <w:sz w:val="17"/>
          <w:szCs w:val="17"/>
          <w:color w:val="auto"/>
        </w:rPr>
        <w:t>If we lose the ability to use a domain name, whether due to trademark claims, failure to renew</w:t>
      </w:r>
      <w:r>
        <w:rPr>
          <w:rFonts w:ascii="Arial" w:cs="Arial" w:eastAsia="Arial" w:hAnsi="Arial"/>
          <w:sz w:val="17"/>
          <w:szCs w:val="17"/>
          <w:i w:val="1"/>
          <w:iCs w:val="1"/>
          <w:color w:val="auto"/>
        </w:rPr>
        <w:t xml:space="preserve"> </w:t>
      </w:r>
      <w:r>
        <w:rPr>
          <w:rFonts w:ascii="Arial" w:cs="Arial" w:eastAsia="Arial" w:hAnsi="Arial"/>
          <w:sz w:val="17"/>
          <w:szCs w:val="17"/>
          <w:color w:val="auto"/>
        </w:rPr>
        <w:t>the applicable registration, or any other cause, we may be forced to market our offerings under a new domain name, which could cause us substantial harm, or to incur significant expense in order to purchase rights to the domain name in question. In addition, our competitors and others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 Protecting, maintaining, and enforcing our rights in our domain names may require litigation, which could result in substantial costs and diversion of resources, which could in turn adversely affect our business, financial condition, and results of operations.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Operating as Public Company</w:t>
      </w:r>
    </w:p>
    <w:p>
      <w:pPr>
        <w:spacing w:after="0" w:line="229"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Our senior management team has limited experience managing a public company, and regulatory compliance obligations may divert its attention from the day-to-day management of our business.</w:t>
      </w:r>
    </w:p>
    <w:p>
      <w:pPr>
        <w:spacing w:after="0" w:line="65"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individuals who constitute our senior management team have limited experience managing a publicly-traded company, interacting with public company investors and complying with the increasingly complex laws pertaining to public companies. Our senior management team may not successfully or efficiently manage our transition to being a public company subject to significant regulatory oversight and reporting obligations under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results of operations.</w:t>
      </w:r>
    </w:p>
    <w:p>
      <w:pPr>
        <w:spacing w:after="0" w:line="17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As a public reporting company, we are subject to filing deadlines for reports that we file pursuant to the Exchange Act, and our failure to timely file such reports may have material adverse consequences on our business.</w:t>
      </w:r>
    </w:p>
    <w:p>
      <w:pPr>
        <w:spacing w:after="0" w:line="11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In the past, we have not been able to, and may continue to be unable to produce timely financial statements, and file these financial statements as part of a periodic report in a timely manner with the SEC. For example, we failed to timely file with the SEC the requisite Form 10-Q periodic reports for the quarters ended September 30, 2022, December 31, 2022 and March 31, 2023. Consequently, we were not compliant with the periodic reporting requirements under the Exchange Act at such time. We cannot guarantee that in the future our reporting will always be timely. Our failure to timely file future periodic reports with the SEC could subject us to enforcement action by the SEC and shareholder lawsuits and could eventually result in the delisting of our Common Stock from Nasdaq, regulatory sanctions from the SEC, and/or the breach of covenants in our credit facilities or of any preferred equity or debt securities we may issue in the future, any of which could have a material adverse impact on our operations and your investment in our Common Stock, and our ability to register with the SEC public offerings of our securities for our benefit or the benefit of our security holders. Additionally, our failure to file our past periodic reports and future periodic reports has resulted in and could result in investors not receiving adequate information regarding us with which to make investment decisions. As a result, investors may not have access to current or timely financial information about our business.</w:t>
      </w:r>
    </w:p>
    <w:p>
      <w:pPr>
        <w:spacing w:after="0" w:line="171"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10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As a public reporting company, we are subject to the rules and regulations established from time to time by the SEC.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07"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While we remain an emerging growth company, our management is not required to make such certification for the annual report for the year ending June 30, 2023, but will be required for the annual report for the year ending June 30, 2024 and thereafter, which will require us to document and make significant changes to our internal control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0" w:name="page41"/>
    <w:bookmarkEnd w:id="4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expect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11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Our current controls and any new controls that we develop may also become inadequate because of changes in our business, and weaknesses in our disclosure controls and internal control over financial reporting may be discovered in the future. Any failure to develop or maintain effective controls or any difficulties encountered in their implementation or improvement could cause us to fail to meet our reporting obligations, result in a restatement of our financial statements for prior periods, undermine investor confidence in us, and adversely affect the trading price of our Common Stock. In addition, if we are unable to continue to meet these requirements, we may not be able to remain listed on Nasdaq.</w:t>
      </w:r>
    </w:p>
    <w:p>
      <w:pPr>
        <w:spacing w:after="0" w:line="17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spacing w:after="0" w:line="119"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We have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We previously identified four material weaknesses, as disclosed in our registration statement on Form S-1, filed with the SEC on October 21, 2022. The material weaknesses as of June 30, 2022 that we have identified are listed below.</w:t>
      </w:r>
    </w:p>
    <w:p>
      <w:pPr>
        <w:spacing w:after="0" w:line="97" w:lineRule="exact"/>
        <w:rPr>
          <w:sz w:val="20"/>
          <w:szCs w:val="20"/>
          <w:color w:val="auto"/>
        </w:rPr>
      </w:pPr>
    </w:p>
    <w:p>
      <w:pPr>
        <w:jc w:val="both"/>
        <w:ind w:left="1320" w:right="459" w:hanging="434"/>
        <w:spacing w:after="0" w:line="263" w:lineRule="auto"/>
        <w:tabs>
          <w:tab w:leader="none" w:pos="131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did not maintain an effective control environment, including not having designed a risk assessment process and not having designed formalized internal controls, including a lack of policies supporting segregation of duties.</w:t>
      </w:r>
    </w:p>
    <w:p>
      <w:pPr>
        <w:spacing w:after="0" w:line="116" w:lineRule="exact"/>
        <w:rPr>
          <w:rFonts w:ascii="Arial" w:cs="Arial" w:eastAsia="Arial" w:hAnsi="Arial"/>
          <w:sz w:val="18"/>
          <w:szCs w:val="18"/>
          <w:color w:val="auto"/>
        </w:rPr>
      </w:pPr>
    </w:p>
    <w:p>
      <w:pPr>
        <w:jc w:val="both"/>
        <w:ind w:left="1320" w:right="459" w:hanging="434"/>
        <w:spacing w:after="0" w:line="259" w:lineRule="auto"/>
        <w:tabs>
          <w:tab w:leader="none" w:pos="131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to address the initial application of complex accounting standards and accounting of non-routine, unusual or complex events and transactions. Further, we did not maintain sufficient accounting resources with appropriate technical knowledge to support our financial reporting requirements.</w:t>
      </w:r>
    </w:p>
    <w:p>
      <w:pPr>
        <w:spacing w:after="0" w:line="119" w:lineRule="exact"/>
        <w:rPr>
          <w:rFonts w:ascii="Arial" w:cs="Arial" w:eastAsia="Arial" w:hAnsi="Arial"/>
          <w:sz w:val="18"/>
          <w:szCs w:val="18"/>
          <w:color w:val="auto"/>
        </w:rPr>
      </w:pPr>
    </w:p>
    <w:p>
      <w:pPr>
        <w:jc w:val="both"/>
        <w:ind w:left="1320" w:right="459" w:hanging="434"/>
        <w:spacing w:after="0" w:line="263" w:lineRule="auto"/>
        <w:tabs>
          <w:tab w:leader="none" w:pos="131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our financial statement closing process. Specifically, we did not design and maintain effective controls over certain account analyses and account reconciliations.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did not maintain internal accounting records to adequately support the reporting of certain transactions in our financial statements.</w:t>
      </w:r>
    </w:p>
    <w:p>
      <w:pPr>
        <w:spacing w:after="0" w:line="10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These material weaknesses could result in a misstatement of account balances or disclosures that would result in a material misstatement to the annual or interim consolidated financial statements that would not be prevented or detected.</w:t>
      </w:r>
    </w:p>
    <w:p>
      <w:pPr>
        <w:spacing w:after="0" w:line="11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are in the early stages of designing and implementing a plan to remediate the material weaknesses identified. Our plan includes the following actions:</w:t>
      </w:r>
    </w:p>
    <w:p>
      <w:pPr>
        <w:spacing w:after="0" w:line="89" w:lineRule="exact"/>
        <w:rPr>
          <w:sz w:val="20"/>
          <w:szCs w:val="20"/>
          <w:color w:val="auto"/>
        </w:rPr>
      </w:pPr>
    </w:p>
    <w:p>
      <w:pPr>
        <w:ind w:left="1320" w:right="459" w:hanging="434"/>
        <w:spacing w:after="0" w:line="277" w:lineRule="auto"/>
        <w:tabs>
          <w:tab w:leader="none" w:pos="1316"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Designing and implementing a risk assessment process supporting the identification of risks facing Presto.</w:t>
      </w:r>
    </w:p>
    <w:p>
      <w:pPr>
        <w:spacing w:after="0" w:line="102" w:lineRule="exact"/>
        <w:rPr>
          <w:rFonts w:ascii="Arial" w:cs="Arial" w:eastAsia="Arial" w:hAnsi="Arial"/>
          <w:sz w:val="18"/>
          <w:szCs w:val="18"/>
          <w:color w:val="auto"/>
        </w:rPr>
      </w:pPr>
    </w:p>
    <w:p>
      <w:pPr>
        <w:jc w:val="both"/>
        <w:ind w:left="1320" w:right="459" w:hanging="434"/>
        <w:spacing w:after="0" w:line="257" w:lineRule="auto"/>
        <w:tabs>
          <w:tab w:leader="none" w:pos="1316"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Implementing controls to enhance our review of significant accounting transactions and other new technical accounting and financial reporting issues and preparing and reviewing accounting memoranda addressing these issues. Hiring additional experienced accounting, financial reporting and internal control personnel and changing roles and responsibilities of our personnel as we transition to being a public</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1" w:name="page42"/>
    <w:bookmarkEnd w:id="4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320" w:right="459"/>
        <w:spacing w:after="0" w:line="259" w:lineRule="auto"/>
        <w:rPr>
          <w:sz w:val="20"/>
          <w:szCs w:val="20"/>
          <w:color w:val="auto"/>
        </w:rPr>
      </w:pPr>
      <w:r>
        <w:rPr>
          <w:rFonts w:ascii="Arial" w:cs="Arial" w:eastAsia="Arial" w:hAnsi="Arial"/>
          <w:sz w:val="18"/>
          <w:szCs w:val="18"/>
          <w:color w:val="auto"/>
        </w:rPr>
        <w:t>company and are required to comply with Section 404 of the Sarbanes Oxley Act of 2002. We have recently hired additional resources and we are engaging with a third-party consulting firm to assist us with our formal internal control plan and provide staff augmentation of our internal audit function.</w:t>
      </w:r>
    </w:p>
    <w:p>
      <w:pPr>
        <w:spacing w:after="0" w:line="119" w:lineRule="exact"/>
        <w:rPr>
          <w:sz w:val="20"/>
          <w:szCs w:val="20"/>
          <w:color w:val="auto"/>
        </w:rPr>
      </w:pPr>
    </w:p>
    <w:p>
      <w:pPr>
        <w:ind w:left="1320" w:right="459" w:hanging="434"/>
        <w:spacing w:after="0" w:line="277" w:lineRule="auto"/>
        <w:tabs>
          <w:tab w:leader="none" w:pos="1316"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Implementing controls to enable an effective and timely review of account analyses and account reconciliations.</w:t>
      </w:r>
    </w:p>
    <w:p>
      <w:pPr>
        <w:spacing w:after="0" w:line="102" w:lineRule="exact"/>
        <w:rPr>
          <w:rFonts w:ascii="Arial" w:cs="Arial" w:eastAsia="Arial" w:hAnsi="Arial"/>
          <w:sz w:val="18"/>
          <w:szCs w:val="18"/>
          <w:color w:val="auto"/>
        </w:rPr>
      </w:pPr>
    </w:p>
    <w:p>
      <w:pPr>
        <w:ind w:left="1320" w:right="459" w:hanging="434"/>
        <w:spacing w:after="0" w:line="308" w:lineRule="auto"/>
        <w:tabs>
          <w:tab w:leader="none" w:pos="13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Implementing controls to enable an accurate and timely review of accounting records that support our accounting processes and maintain documents for internal accounting reviews.</w:t>
      </w:r>
    </w:p>
    <w:p>
      <w:pPr>
        <w:spacing w:after="0" w:line="6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cannot assure you that these measures will significantly improve or remediate the material weaknesses described above. The implementation of these remediation measures is in the early stages and will require validation and testing of the design and operating effectiveness of our internal controls over a sustained period of financial reporting cycles and, as a result, the timing of when we will be able to fully remediate the material weaknesses is uncertain and we may not fully remediate these material weaknesses during the year ended June 30, 2023. If the steps we take do not remediate the material weaknesses in a timely manner, there could be a reasonable possibility that these control deficiencies or others may result in a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spacing w:after="0" w:line="11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and our independent registered public accounting firm are not required to perform an evaluation of our internal control over financial reporting for the year ending June 30, 2023, and were not required to perform such evaluation for the years ending June 30, 2022 and 2021 in accordance with the provisions of the Sarbanes-Oxley Act of 2002.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w:t>
      </w:r>
    </w:p>
    <w:p>
      <w:pPr>
        <w:spacing w:after="0" w:line="127"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effectively market and sell our services to new and existing customers.</w:t>
      </w:r>
    </w:p>
    <w:p>
      <w:pPr>
        <w:spacing w:after="0" w:line="166"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4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For so long as we remain an “emerging growth company” as defined in the JOBS Act, we may take advantage of certain exemptions from various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exemptions from the adoption dates of recently issued accounting standards not yet adopted for public companies and exemptions from the requirements to hold a nonbinding advisory vote on executive compensation and obtain stockholder approval of any golden parachute payments not previously approved. We will remain an emerging growth company until the earlier of (i) the last day of the fiscal year (A) following the fifth anniversary of the completion of the VTAQ IPO, December 2025, (B) in which we have total annual revenue of at least $1.235 billion, or (C) in which we are deemed to be a large accelerated filer, with at least $700 million of equity securities held by non-affiliates as of the end of our second fiscal quarter that year, and (ii) the date on which we have issued more than $1 billion in non-convertible debt during the prior three-year period.</w:t>
      </w:r>
    </w:p>
    <w:p>
      <w:pPr>
        <w:spacing w:after="0" w:line="10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w:t>
      </w:r>
    </w:p>
    <w:p>
      <w:pPr>
        <w:spacing w:after="0" w:line="1" w:lineRule="exact"/>
        <w:rPr>
          <w:sz w:val="20"/>
          <w:szCs w:val="20"/>
          <w:color w:val="auto"/>
        </w:rPr>
      </w:pPr>
    </w:p>
    <w:p>
      <w:pPr>
        <w:ind w:left="460" w:right="459" w:hanging="6"/>
        <w:spacing w:after="0" w:line="260" w:lineRule="auto"/>
        <w:tabs>
          <w:tab w:leader="none" w:pos="72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As a result, our financial statements</w:t>
      </w:r>
    </w:p>
    <w:p>
      <w:pPr>
        <w:sectPr>
          <w:pgSz w:w="11900" w:h="16838" w:orient="portrait"/>
          <w:cols w:equalWidth="0" w:num="1">
            <w:col w:w="9019"/>
          </w:cols>
          <w:pgMar w:left="1440" w:top="274"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2" w:name="page43"/>
    <w:bookmarkEnd w:id="4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may not be comparable to companies that comply with new or revised accounting pronouncements as of public company effective dates. While we have not made such an irrevocable election, we have not delayed the adoption of any applicable accounting standards.</w:t>
      </w:r>
    </w:p>
    <w:p>
      <w:pPr>
        <w:spacing w:after="0" w:line="11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As a result of the reduced disclosure requirements applicable to us, investor confidence in our company and the market price of our Common Stock may be adversely affected. We cannot predict if investors will find our Common Stock less attractive because we may rely on these exemptions. If some investors find our Common Stock less attractive, there may be a less active trading market for our Common Stock, and our stock price may be more volatile.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have, and will continue to, incur significant costs as a result of operating as a public company.</w:t>
      </w:r>
    </w:p>
    <w:p>
      <w:pPr>
        <w:spacing w:after="0" w:line="169"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We are subject to the reporting requirements of the Exchange Act, the Sarbanes-Oxley Act, the Dodd-Frank Wall Street Reform and Consumer Protection Act of 2010, the listing requirements of Nasdaq and other applicable securities laws and regulations. For example, the Exchange Act requires, among other things, that we file annual, quarterly, and current reports with respect to our business, financial condition, and results of operations. Compliance with these rules and regulations has increased our legal and financial compliance costs, and increase demand on our systems, particularly after we are no longer an emerging growth company. In addition, as a public company, we may be subject to stockholder activism, which can lead to additional substantial costs, distract management, and impact the manner in which we operate our business in ways we cannot currently anticipate. As a result of disclosure of information in filings required of a public company, our business and financial condition is more visible, which may result in threatened or actual litigation, including by competitors. These rules and regulations have increased our legal and financial compliance costs and have made some activities more difficult, time-consuming, and costly, although we are currently unable to estimate these costs with any degree of certainty.</w:t>
      </w:r>
    </w:p>
    <w:p>
      <w:pPr>
        <w:spacing w:after="0" w:line="105"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We also expect the laws, rules and regulations we are subject to as a public company to make it more expensive for us to maintain directors’ and officers’ liability insurance, and we may be required in the future to accept reduced coverage or incur substantially higher costs to maintain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 These factors may therefore strain our resources, divert management’s attention, and affect our ability to attract and retain qualified board members and executive officers.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Our Common Stock and Warrants</w:t>
      </w:r>
    </w:p>
    <w:p>
      <w:pPr>
        <w:spacing w:after="0" w:line="22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Provisions in our Charter and Bylaws may discourage, delay or prevent a merger, acquisition or other change in control in our company that stockholders may consider favorable, including transactions in which you might otherwise receive a premium for your shares.</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These provisions could also limit the price that investors might be willing to pay in the future for shares of our Common Stock, thereby depressing the market price of our Common Stock. Such provisions include the following:</w:t>
      </w:r>
    </w:p>
    <w:p>
      <w:pPr>
        <w:spacing w:after="0" w:line="116" w:lineRule="exact"/>
        <w:rPr>
          <w:sz w:val="20"/>
          <w:szCs w:val="20"/>
          <w:color w:val="auto"/>
        </w:rPr>
      </w:pPr>
    </w:p>
    <w:p>
      <w:pPr>
        <w:ind w:left="1320" w:right="459" w:hanging="434"/>
        <w:spacing w:after="0" w:line="277" w:lineRule="auto"/>
        <w:tabs>
          <w:tab w:leader="none" w:pos="131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Presto Board;</w:t>
      </w:r>
    </w:p>
    <w:p>
      <w:pPr>
        <w:spacing w:after="0" w:line="89" w:lineRule="exact"/>
        <w:rPr>
          <w:rFonts w:ascii="Arial" w:cs="Arial" w:eastAsia="Arial" w:hAnsi="Arial"/>
          <w:sz w:val="18"/>
          <w:szCs w:val="18"/>
          <w:color w:val="auto"/>
        </w:rPr>
      </w:pPr>
    </w:p>
    <w:p>
      <w:pPr>
        <w:jc w:val="both"/>
        <w:ind w:left="1320" w:right="459" w:hanging="434"/>
        <w:spacing w:after="0" w:line="286" w:lineRule="auto"/>
        <w:tabs>
          <w:tab w:leader="none" w:pos="13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ability of the Presto Board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97" w:lineRule="exact"/>
        <w:rPr>
          <w:rFonts w:ascii="Arial" w:cs="Arial" w:eastAsia="Arial" w:hAnsi="Arial"/>
          <w:sz w:val="17"/>
          <w:szCs w:val="17"/>
          <w:color w:val="auto"/>
        </w:rPr>
      </w:pPr>
    </w:p>
    <w:p>
      <w:pPr>
        <w:jc w:val="both"/>
        <w:ind w:left="1320" w:right="459" w:hanging="434"/>
        <w:spacing w:after="0" w:line="259" w:lineRule="auto"/>
        <w:tabs>
          <w:tab w:leader="none" w:pos="131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two-thirds of the voting power of all of the then-outstanding shares of the voting stock, voting together as a single class, to amend the provisions of our Charter or Bylaws, which may inhibit the ability of an acquiror to effect such amendments to facilitate an unsolicited takeover attempt;</w:t>
      </w:r>
    </w:p>
    <w:p>
      <w:pPr>
        <w:spacing w:after="0" w:line="119" w:lineRule="exact"/>
        <w:rPr>
          <w:rFonts w:ascii="Arial" w:cs="Arial" w:eastAsia="Arial" w:hAnsi="Arial"/>
          <w:sz w:val="18"/>
          <w:szCs w:val="18"/>
          <w:color w:val="auto"/>
        </w:rPr>
      </w:pPr>
    </w:p>
    <w:p>
      <w:pPr>
        <w:jc w:val="both"/>
        <w:ind w:left="1320" w:right="459" w:hanging="434"/>
        <w:spacing w:after="0" w:line="263" w:lineRule="auto"/>
        <w:tabs>
          <w:tab w:leader="none" w:pos="131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exclusive right of the Presto Board to elect a director to fill a vacancy occurring in the Presto Board for any cause, which prevents stockholders from being able to fill vacancies on the Presto Board;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9" w:lineRule="auto"/>
        <w:tabs>
          <w:tab w:leader="none" w:pos="131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the Board, the Chief Executive Officer, the Lead Independent Director or a majority of the Board then in office, which could delay the ability of our stockholders to force consideration of a proposal or to take action, including the removal of directors.</w:t>
      </w:r>
    </w:p>
    <w:p>
      <w:pPr>
        <w:spacing w:after="0" w:line="11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These and other provisions in our Charter and Bylaws could make it more difficult for stockholders or potential acquirors to obtain control of the Presto Board of directors or initiate actions that are opposed by the then-current Presto Board, including delay or impede a merger, tender offer or proxy contest involving us. The existence of these provisions could negatively affect the price of our Common Stock and limit opportunities for you to realize value in a corporate transaction.</w:t>
      </w:r>
    </w:p>
    <w:p>
      <w:pPr>
        <w:spacing w:after="0" w:line="18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Our Charter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Charter provides that the Court of Chancery of the State of Delaware is the exclusive forum for:</w:t>
      </w:r>
    </w:p>
    <w:p>
      <w:pPr>
        <w:spacing w:after="0" w:line="144" w:lineRule="exact"/>
        <w:rPr>
          <w:sz w:val="20"/>
          <w:szCs w:val="20"/>
          <w:color w:val="auto"/>
        </w:rPr>
      </w:pPr>
    </w:p>
    <w:p>
      <w:pPr>
        <w:ind w:left="1320" w:hanging="434"/>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action asserting a claim against us arising under the DGCL, our Charter or our Bylaws; and</w:t>
      </w:r>
    </w:p>
    <w:p>
      <w:pPr>
        <w:spacing w:after="0" w:line="155" w:lineRule="exact"/>
        <w:rPr>
          <w:rFonts w:ascii="Arial" w:cs="Arial" w:eastAsia="Arial" w:hAnsi="Arial"/>
          <w:sz w:val="17"/>
          <w:szCs w:val="17"/>
          <w:color w:val="auto"/>
        </w:rPr>
      </w:pPr>
    </w:p>
    <w:p>
      <w:pPr>
        <w:ind w:left="1320" w:hanging="434"/>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This exclusive-forum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Charter provides that the federal district courts of the United States of America will be the exclusive forum for resolving any complaint asserting a cause of action arising under the Securities Act. We note that there is uncertainty as to whether a court would enforce these provisions and that investors cannot waive compliance with the federal securities laws and the rules and regulations thereunder.</w:t>
      </w:r>
    </w:p>
    <w:p>
      <w:pPr>
        <w:spacing w:after="0" w:line="11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Alternatively, if a court were to find these provisions of our Charter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the Presto Board.</w:t>
      </w:r>
    </w:p>
    <w:p>
      <w:pPr>
        <w:spacing w:after="0" w:line="107"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provisions in our Charter and Bylaws could make a merger, tender offer or proxy contest difficult, thereby depressing the trading price of our Common Stock.</w:t>
      </w:r>
    </w:p>
    <w:p>
      <w:pPr>
        <w:spacing w:after="0" w:line="170"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in the foreseeable future, capital appreciation, if any, would be your sole source of gain.</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As a result, capital appreciation, if any, of our Common Stock would be your sole source of gain on an investment in such shares for the foreseeable future.</w:t>
      </w:r>
    </w:p>
    <w:p>
      <w:pPr>
        <w:spacing w:after="0" w:line="18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its securities.</w:t>
      </w:r>
    </w:p>
    <w:p>
      <w:pPr>
        <w:spacing w:after="0" w:line="10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price of our securities may continue to fluctuate significantly due to general market and economic conditions. An active trading market for our securities may never develop or, if developed, it may not be sustained. In addition, the price of our securities can vary due to general economic conditions and forecasts, our general business condition and the release of our financial reports. Additionally, if our securities become delisted from Nasdaq for any reason, and are quoted on the OTC Bulletin Board, an inter-dealer automated quotation system for equity securities that is not</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4" w:name="page45"/>
    <w:bookmarkEnd w:id="4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 national securities exchange, the liquidity and price of our securities may be more limited than if we were quoted or listed on Nasdaq or another national securities exchange. You may be unable to sell your securities unless a market is established and sustained.</w:t>
      </w:r>
    </w:p>
    <w:p>
      <w:pPr>
        <w:spacing w:after="0" w:line="18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its securities and subject us to additional trading restrictions.</w:t>
      </w:r>
    </w:p>
    <w:p>
      <w:pPr>
        <w:spacing w:after="0" w:line="103"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Currently, our Common Stock and public warrants are listed on Nasdaq under the symbols “PRST” and “PRSTW.” In order to continue the listing of these securities on Nasdaq, we are required to maintain certain financial, distribution and stock price levels. Generally, we are required to maintain a minimum market capitalization (generally $45,000,000) and a minimum number of holders of our securities (generally 450 public holders). 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99" w:lineRule="exact"/>
        <w:rPr>
          <w:sz w:val="20"/>
          <w:szCs w:val="20"/>
          <w:color w:val="auto"/>
        </w:rPr>
      </w:pPr>
    </w:p>
    <w:p>
      <w:pPr>
        <w:ind w:left="1320" w:hanging="434"/>
        <w:spacing w:after="0"/>
        <w:tabs>
          <w:tab w:leader="none" w:pos="1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57" w:lineRule="exact"/>
        <w:rPr>
          <w:rFonts w:ascii="Arial" w:cs="Arial" w:eastAsia="Arial" w:hAnsi="Arial"/>
          <w:sz w:val="18"/>
          <w:szCs w:val="18"/>
          <w:color w:val="auto"/>
        </w:rPr>
      </w:pPr>
    </w:p>
    <w:p>
      <w:pPr>
        <w:jc w:val="both"/>
        <w:ind w:left="1320" w:right="459" w:hanging="434"/>
        <w:spacing w:after="0" w:line="263" w:lineRule="auto"/>
        <w:tabs>
          <w:tab w:leader="none" w:pos="131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16" w:lineRule="exact"/>
        <w:rPr>
          <w:rFonts w:ascii="Arial" w:cs="Arial" w:eastAsia="Arial" w:hAnsi="Arial"/>
          <w:sz w:val="18"/>
          <w:szCs w:val="18"/>
          <w:color w:val="auto"/>
        </w:rPr>
      </w:pPr>
    </w:p>
    <w:p>
      <w:pPr>
        <w:ind w:left="1320" w:hanging="434"/>
        <w:spacing w:after="0"/>
        <w:tabs>
          <w:tab w:leader="none" w:pos="1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Since our Common Stock and public warrants are listed on Nasdaq, they are covered securities. However, if our securities were no longer listed on Nasdaq, they would not be covered securities and we would be subject to regulation in each state in which we offer our securities.</w:t>
      </w:r>
    </w:p>
    <w:p>
      <w:pPr>
        <w:spacing w:after="0" w:line="18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Future offerings of debt or offerings or issuances of equity securities by us may adversely affect the market price of our Common Stock or otherwise dilute all other stockholders.</w:t>
      </w:r>
    </w:p>
    <w:p>
      <w:pPr>
        <w:spacing w:after="0" w:line="10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In the future, we may attempt to obtain financing or to further increase our capital resources by issuing additional shares of Presto Common Stock or offering debt or other equity securities, including commercial paper, medium-term notes, senior or subordinated notes, debt securities convertible into equity or shares of preferred stock. We also expect to grant equity awards to employees, directors, and consultants under our stock incentive plans. Future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spacing w:after="0" w:line="9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Issuing additional shares of Presto Common Stock or other equity securities or securities convertible into equity may dilute the economic and voting rights of our existing stockholders or reduce the market price of Presto Common Stock or both. Upon liquidation, holders of such debt securities and preferred shares, if issued, and lenders with respect to other borrowings would receive a distribution of our available assets prior to the holders of Presto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the our ability to pay dividends to the holders of the Presto Common Stock. Our decision to issue securities in any future offering will depend on market conditions and other factors beyond our control, which may adversely affect the amount, timing and nature of our future offerings.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 w:name="page46"/>
    <w:bookmarkEnd w:id="4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spacing w:after="0" w:line="103"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 trading market for our securities is influenced by the research and reports that industry or securities analysts may publish about us, our business, our market or our competitors. Securities and industry analysts do not currently, and may never, publish research on us. If no securities or industry analysts commence coverage of us, our stock price and trading volume would likely be negatively impacted. If any of the analysts who may cover us change their recommendation regarding our stock adversely, or provide more favorable relative recommendations about our competitors, the price of our securities would likely decline. If any analyst who may cover us were to cease coverage of us or fail to regularly publish reports on it, we could lose visibility in the financial markets, which could cause its stock price or trading volume to decline.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subject to securities litigation, which is expensive and could divert management’s attention.</w:t>
      </w:r>
    </w:p>
    <w:p>
      <w:pPr>
        <w:spacing w:after="0" w:line="18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share price of our Common Stock may be volatile and, in the past, companies that have experienced volatility in the market price of their stock have been subject to securities class action litigation. Presto may be the target of this type of litigation in the future. Litigation of this type could result in substantial costs and diversion of management’s attention and resources, which could have a material adverse effect on its business, financial condition, results of operations and prospects. Any adverse determination in litigation could also subject us to significant liabilities.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 w:name="page47"/>
    <w:bookmarkEnd w:id="4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All of the shares of Common Stock offered by the Selling Securityholders pursuant to this prospectus will be sold by the Selling Securityholders for their respective accounts. We will not receive any of the proceeds from the sale of the Resale Shares by the Selling Securityholders. Assuming the exercise in full for cash by the Selling Securityholders holding the Resale Warrants to purchase up to an aggregate of 2,500,000 shares of our common stock at an exercise price of $0.01 per share, we expect to receive only nominal proceeds from the exercise thereof. We are registering the Resale Shares pursuant to registration rights granted to the Selling Securityholders.</w:t>
      </w:r>
    </w:p>
    <w:p>
      <w:pPr>
        <w:spacing w:after="0" w:line="127"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There is no assurance that the holder of the Resale Warrants will elect to exercise any or all of such warrants. To the extent that the Resale Warrants are exercised fully or partially on a “cashless basis,” we may receive limited or no proceeds from the exercise of the Resale Warrants.</w:t>
      </w:r>
    </w:p>
    <w:p>
      <w:pPr>
        <w:spacing w:after="0" w:line="11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With respect to the registration of the shares of our Common Stock issuable upon exercise of the Resale Warrants, the Selling Securityholders will pay all underwriting discounts and commissions, underwriter marketing costs, brokerage fees and transfer taxes applicable to the securities sold for such Selling Securityholder’s account and all reasonable fees and expenses of any legal counsel representing any such Selling Securityholder. We will bear all other costs, fees and expenses incurred in effecting the registration of the securities covered by this prospectus, including, without limitation, all registration and filing fees, Nasdaq listing fees, and fees of our counsel and our independent registered public accountants.</w:t>
      </w:r>
    </w:p>
    <w:p>
      <w:pPr>
        <w:spacing w:after="0" w:line="96"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With respect to the registration of the shares of our Common Stock issued in connection with the Purchase Agreement, we will bear all fees and expenses incident to the performance of or compliance with the registration of the securities covered by this prospectus, including, without limitation, all registration and filing fees, printing expenses, and fees of our counsel and our independent registered public accountants.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PRICE OF OUR COMMON STOCK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 AND DIVIDEND INFORMATION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 Price of Our Common Stock and Warrants</w:t>
      </w:r>
    </w:p>
    <w:p>
      <w:pPr>
        <w:spacing w:after="0" w:line="14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Trading of our Common Stock and warrants began on Nasdaq on September 22, 2022, under the ticker symbols “PRST” and “PRSTW,” respectively. Prior to the Business Combination, the Ventoux Common Stock, Ventoux Warrants, Ventoux Rights and Ventoux Units traded under the ticker symbols “VTAQ”, “VTAQW”, “VTAQR” and “VTAQU”, respectively, on Nasdaq. On June 15, 2023, the closing sale price of our Common Stock was $4.00 per share and the closing sale price of our warrants was $0.09 per warrant.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Holders</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As of June 15, 2023, there were 191 holders of record of Common Stock. The number of holders of record does not include a substantially greater number of “street name” holders or beneficial holders whose Common Stock are held of record by banks, brokers and other financial institutions.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We have not paid any cash dividends on our Common Stock to date and prior to the Business Combination, Ventoux had not paid any dividends on its ordinary shares. The payment of cash dividends in the future will be dependent upon our revenues and earnings, if any, capital requirements and general financial condition. The payment of any cash dividends will be within the discretion of our board of directors. Our ability to declare dividends are limited by the terms of financing and other agreements.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seek to overlay next-generation digital solutions onto the approximately $3 trillion hospitality industry given its current primarily analog nature and substantial reliance on labor. At present, we are focused on the restaurant industry.</w:t>
      </w:r>
    </w:p>
    <w:p>
      <w:pPr>
        <w:spacing w:after="0" w:line="116"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Since our founding in 2008, we have shipped over 250,000 systems of Presto enterprise-grade digital solutions to the restaurant hospitality industry. We have leveraged our deep domain experience to build a technology platform that digitizes on-premise restaurant dining rooms and drive-throughs with the goal of maximizing restaurant profitability and enhancing the guest dining experience.</w:t>
      </w:r>
    </w:p>
    <w:p>
      <w:pPr>
        <w:spacing w:after="0" w:line="10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business is underpinned by the guiding principles that our solutions should improve the guest experience and seamlessly and effortlessly increase productivity for staff. These principles ensure that our product focus remains aligned with the objectives of our customers and with our objective of being a leader in the restaurant hospitality technology market.</w:t>
      </w:r>
    </w:p>
    <w:p>
      <w:pPr>
        <w:spacing w:after="0" w:line="106"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 restaurant hospitality technology market is rapidly growing. The COVID-19 pandemic created an industry reset, driving restaurants to further embrace technology to solve industry challenges. The restaurant hospitality industry has been racked with labor challenges, including unprecedented shortages and high costs. Customers also have a greater desire for faster service, which increases demand for on-premise technology, across all restaurant segments, viz. casual dining, fast casual, and quick serve ready (QSR).</w:t>
      </w:r>
    </w:p>
    <w:p>
      <w:pPr>
        <w:spacing w:after="0" w:line="9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Process automation is a long-term priority for all physical businesses. As a result, restaurants need reliable and scalable products and technology that easily integrates with old, legacy systems.</w:t>
      </w:r>
    </w:p>
    <w:p>
      <w:pPr>
        <w:spacing w:after="0" w:line="103"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Our platform offers a comprehensive set of modular, targeted solutions to increase staff productivity, improve guest experience and deliver actionable insights to restaurants. Our platform enables customers to improve important factors that drive profitability in a low-margin industry. With Presto’s platform, restaurants can benefit from increased table per server ratios, order accuracy, check size, and customer data collection.</w:t>
      </w:r>
    </w:p>
    <w:p>
      <w:pPr>
        <w:spacing w:after="0" w:line="7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latest generation Touch product, called Presto Flex, functions as an all-in-one server handheld or tabletop guest ordering, payment, customer personalization and gaming device. Our AI Platform products consists of an AI-powered computer vision software application that delivers unique and real-time insights to operators and uses speech recognition technology in the customer order process and connect with restaurant POS systems to maximize efficiency and minimize costs by automatically transmitting orders to the restaurant’s POS system.</w:t>
      </w:r>
    </w:p>
    <w:p>
      <w:pPr>
        <w:spacing w:after="0" w:line="125"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Touch product has accounted for the majority of our historical revenue. However, we expect an increasing mix of our future revenue to come from our AI Platform products.</w:t>
      </w:r>
    </w:p>
    <w:p>
      <w:pPr>
        <w:spacing w:after="0" w:line="103"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We benefit from a predictable, recurring revenue model from enterprise restaurant chains. We serve a blue-chip customer base with multibillion-dollar gross merchandise volume potential and high net retention rates. In the future, we may take advantage of several acquisition opportunities in customer relationship management and loyalty, POS products, front of house management, online ordering, AI tools, and integration middleware. As a result of the Business Combination, we expect to have the capital to grow organically and inorganically as we scale the Company. We expect that the Business Combination will help accelerate and enhance our ability to acquire and develop products that serve the restaurant hospitality industry.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Industry and Market Overview</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According to a survey of over 400 restaurant owner-operators conducted in October 2021, around 50% of U.S. restaurant operators planned to implement technology-enabled solutions to improve efficiency, labor cost management and revenue growth within the next two to three years. We estimate our addressable market includes $101 billion international enterprise restaurant labor spend, $79 billion domestic enterprise restaurant labor spend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and $25 billion global enterprise restaurant technology spend. However, despite the large addressable market and double-digit sales growth in the restaurant and food service industry in 2021 (according to the National Restaurant Association), the restaurant hospitality industry has faced, and continues to face, several challenges.</w:t>
      </w:r>
    </w:p>
    <w:p>
      <w:pPr>
        <w:spacing w:after="0" w:line="77" w:lineRule="exact"/>
        <w:rPr>
          <w:sz w:val="20"/>
          <w:szCs w:val="20"/>
          <w:color w:val="auto"/>
        </w:rPr>
      </w:pPr>
    </w:p>
    <w:p>
      <w:pPr>
        <w:jc w:val="both"/>
        <w:ind w:left="1320" w:right="459" w:hanging="434"/>
        <w:spacing w:after="0" w:line="269" w:lineRule="auto"/>
        <w:tabs>
          <w:tab w:leader="none" w:pos="1316"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Labor Shortage: </w:t>
      </w:r>
      <w:r>
        <w:rPr>
          <w:rFonts w:ascii="Arial" w:cs="Arial" w:eastAsia="Arial" w:hAnsi="Arial"/>
          <w:sz w:val="17"/>
          <w:szCs w:val="17"/>
          <w:color w:val="auto"/>
        </w:rPr>
        <w:t>In June 2022, the Department of Labor released a Job Openings and Labor</w:t>
      </w:r>
      <w:r>
        <w:rPr>
          <w:rFonts w:ascii="Arial" w:cs="Arial" w:eastAsia="Arial" w:hAnsi="Arial"/>
          <w:sz w:val="17"/>
          <w:szCs w:val="17"/>
          <w:b w:val="1"/>
          <w:bCs w:val="1"/>
          <w:color w:val="auto"/>
        </w:rPr>
        <w:t xml:space="preserve"> </w:t>
      </w:r>
      <w:r>
        <w:rPr>
          <w:rFonts w:ascii="Arial" w:cs="Arial" w:eastAsia="Arial" w:hAnsi="Arial"/>
          <w:sz w:val="17"/>
          <w:szCs w:val="17"/>
          <w:color w:val="auto"/>
        </w:rPr>
        <w:t>Turnover summary that showed workers were quitting their jobs at a rate of 2.9% or 4.4 million in April 2022. More accommodation and food services workers quit their jobs in April 2022 compared to pre</w:t>
      </w:r>
      <w:r>
        <w:rPr>
          <w:rFonts w:ascii="Arial" w:cs="Arial" w:eastAsia="Arial" w:hAnsi="Arial"/>
          <w:sz w:val="17"/>
          <w:szCs w:val="17"/>
          <w:i w:val="1"/>
          <w:iCs w:val="1"/>
          <w:color w:val="auto"/>
        </w:rPr>
        <w:t>-pandemic</w:t>
      </w:r>
      <w:r>
        <w:rPr>
          <w:rFonts w:ascii="Arial" w:cs="Arial" w:eastAsia="Arial" w:hAnsi="Arial"/>
          <w:sz w:val="17"/>
          <w:szCs w:val="17"/>
          <w:color w:val="auto"/>
        </w:rPr>
        <w:t xml:space="preserve"> levels, and the industry struggles to retain workers and has experienced consistently high quit rates. The restaurant industry consistently has the highest job opening rate relative to other industries and had a total of 1.34 million job openings in April 2022. The U.S. Chamber of Commerce has described the current labor shortage as a national crisis, making it the focus of its “America Works” initiative expanding employer</w:t>
      </w:r>
      <w:r>
        <w:rPr>
          <w:rFonts w:ascii="Arial" w:cs="Arial" w:eastAsia="Arial" w:hAnsi="Arial"/>
          <w:sz w:val="17"/>
          <w:szCs w:val="17"/>
          <w:i w:val="1"/>
          <w:iCs w:val="1"/>
          <w:color w:val="auto"/>
        </w:rPr>
        <w:t>-</w:t>
      </w:r>
      <w:r>
        <w:rPr>
          <w:rFonts w:ascii="Arial" w:cs="Arial" w:eastAsia="Arial" w:hAnsi="Arial"/>
          <w:sz w:val="17"/>
          <w:szCs w:val="17"/>
          <w:color w:val="auto"/>
        </w:rPr>
        <w:t>led workforce and job training programs, advocating for federal and state policy changes and launching efforts to connect employers with talent. Lack of labor leads to operational gaps with fewer staff to manage basic work flows, slower speed of service, lower guest satisfaction and tips, higher turnover, and increases in the overhead in hiring workers.</w:t>
      </w:r>
    </w:p>
    <w:p>
      <w:pPr>
        <w:spacing w:after="0" w:line="111" w:lineRule="exact"/>
        <w:rPr>
          <w:rFonts w:ascii="Arial" w:cs="Arial" w:eastAsia="Arial" w:hAnsi="Arial"/>
          <w:sz w:val="17"/>
          <w:szCs w:val="17"/>
          <w:color w:val="auto"/>
        </w:rPr>
      </w:pPr>
    </w:p>
    <w:p>
      <w:pPr>
        <w:jc w:val="both"/>
        <w:ind w:left="1320" w:right="459" w:hanging="434"/>
        <w:spacing w:after="0" w:line="266" w:lineRule="auto"/>
        <w:tabs>
          <w:tab w:leader="none" w:pos="1316"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Labor Cost: </w:t>
      </w:r>
      <w:r>
        <w:rPr>
          <w:rFonts w:ascii="Arial" w:cs="Arial" w:eastAsia="Arial" w:hAnsi="Arial"/>
          <w:sz w:val="18"/>
          <w:szCs w:val="18"/>
          <w:color w:val="auto"/>
        </w:rPr>
        <w:t>For most restaurants, labor has historically been the largest expense category,</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for approximately 30% of sales on average. High labor costs lead to significantly lower margins and profitability.</w:t>
      </w:r>
    </w:p>
    <w:p>
      <w:pPr>
        <w:spacing w:after="0" w:line="94" w:lineRule="exact"/>
        <w:rPr>
          <w:rFonts w:ascii="Arial" w:cs="Arial" w:eastAsia="Arial" w:hAnsi="Arial"/>
          <w:sz w:val="18"/>
          <w:szCs w:val="18"/>
          <w:color w:val="auto"/>
        </w:rPr>
      </w:pPr>
    </w:p>
    <w:p>
      <w:pPr>
        <w:jc w:val="both"/>
        <w:ind w:left="1320" w:right="459" w:hanging="434"/>
        <w:spacing w:after="0" w:line="314" w:lineRule="auto"/>
        <w:tabs>
          <w:tab w:leader="none" w:pos="1316"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Lack of Technological Solutions: </w:t>
      </w:r>
      <w:r>
        <w:rPr>
          <w:rFonts w:ascii="Arial" w:cs="Arial" w:eastAsia="Arial" w:hAnsi="Arial"/>
          <w:sz w:val="16"/>
          <w:szCs w:val="16"/>
          <w:color w:val="auto"/>
        </w:rPr>
        <w:t>Even for some restaurants with enough labor, their operations</w:t>
      </w:r>
      <w:r>
        <w:rPr>
          <w:rFonts w:ascii="Arial" w:cs="Arial" w:eastAsia="Arial" w:hAnsi="Arial"/>
          <w:sz w:val="16"/>
          <w:szCs w:val="16"/>
          <w:b w:val="1"/>
          <w:bCs w:val="1"/>
          <w:color w:val="auto"/>
        </w:rPr>
        <w:t xml:space="preserve"> </w:t>
      </w:r>
      <w:r>
        <w:rPr>
          <w:rFonts w:ascii="Arial" w:cs="Arial" w:eastAsia="Arial" w:hAnsi="Arial"/>
          <w:sz w:val="16"/>
          <w:szCs w:val="16"/>
          <w:color w:val="auto"/>
        </w:rPr>
        <w:t>are still not efficient enough. Employees are not equipped to make good decisions either because managers rely on “gut</w:t>
      </w:r>
      <w:r>
        <w:rPr>
          <w:rFonts w:ascii="Arial" w:cs="Arial" w:eastAsia="Arial" w:hAnsi="Arial"/>
          <w:sz w:val="16"/>
          <w:szCs w:val="16"/>
          <w:b w:val="1"/>
          <w:bCs w:val="1"/>
          <w:color w:val="auto"/>
        </w:rPr>
        <w:t>-</w:t>
      </w:r>
      <w:r>
        <w:rPr>
          <w:rFonts w:ascii="Arial" w:cs="Arial" w:eastAsia="Arial" w:hAnsi="Arial"/>
          <w:sz w:val="16"/>
          <w:szCs w:val="16"/>
          <w:color w:val="auto"/>
        </w:rPr>
        <w:t>feelings” or because they lack data to inform decision</w:t>
      </w:r>
      <w:r>
        <w:rPr>
          <w:rFonts w:ascii="Arial" w:cs="Arial" w:eastAsia="Arial" w:hAnsi="Arial"/>
          <w:sz w:val="16"/>
          <w:szCs w:val="16"/>
          <w:i w:val="1"/>
          <w:iCs w:val="1"/>
          <w:color w:val="auto"/>
        </w:rPr>
        <w:t>-</w:t>
      </w:r>
      <w:r>
        <w:rPr>
          <w:rFonts w:ascii="Arial" w:cs="Arial" w:eastAsia="Arial" w:hAnsi="Arial"/>
          <w:sz w:val="16"/>
          <w:szCs w:val="16"/>
          <w:color w:val="auto"/>
        </w:rPr>
        <w:t>making.</w:t>
      </w:r>
    </w:p>
    <w:p>
      <w:pPr>
        <w:spacing w:after="0" w:line="74" w:lineRule="exact"/>
        <w:rPr>
          <w:rFonts w:ascii="Arial" w:cs="Arial" w:eastAsia="Arial" w:hAnsi="Arial"/>
          <w:sz w:val="16"/>
          <w:szCs w:val="16"/>
          <w:color w:val="auto"/>
        </w:rPr>
      </w:pPr>
    </w:p>
    <w:p>
      <w:pPr>
        <w:ind w:left="1320" w:hanging="434"/>
        <w:spacing w:after="0"/>
        <w:tabs>
          <w:tab w:leader="none" w:pos="132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Lack of Differentiation:  </w:t>
      </w:r>
      <w:r>
        <w:rPr>
          <w:rFonts w:ascii="Arial" w:cs="Arial" w:eastAsia="Arial" w:hAnsi="Arial"/>
          <w:sz w:val="17"/>
          <w:szCs w:val="17"/>
          <w:color w:val="auto"/>
        </w:rPr>
        <w:t>Restaurants can seem undifferentiated from each other to consumers.</w:t>
      </w:r>
    </w:p>
    <w:p>
      <w:pPr>
        <w:spacing w:after="0" w:line="169" w:lineRule="exact"/>
        <w:rPr>
          <w:rFonts w:ascii="Arial" w:cs="Arial" w:eastAsia="Arial" w:hAnsi="Arial"/>
          <w:sz w:val="17"/>
          <w:szCs w:val="17"/>
          <w:color w:val="auto"/>
        </w:rPr>
      </w:pPr>
    </w:p>
    <w:p>
      <w:pPr>
        <w:ind w:left="1320" w:right="459" w:hanging="434"/>
        <w:spacing w:after="0" w:line="282" w:lineRule="auto"/>
        <w:tabs>
          <w:tab w:leader="none" w:pos="1316"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Slow and Inconvenient Service: </w:t>
      </w:r>
      <w:r>
        <w:rPr>
          <w:rFonts w:ascii="Arial" w:cs="Arial" w:eastAsia="Arial" w:hAnsi="Arial"/>
          <w:sz w:val="18"/>
          <w:szCs w:val="18"/>
          <w:color w:val="auto"/>
        </w:rPr>
        <w:t>Many restaurant operations are analog, and customers are</w:t>
      </w:r>
      <w:r>
        <w:rPr>
          <w:rFonts w:ascii="Arial" w:cs="Arial" w:eastAsia="Arial" w:hAnsi="Arial"/>
          <w:sz w:val="18"/>
          <w:szCs w:val="18"/>
          <w:b w:val="1"/>
          <w:bCs w:val="1"/>
          <w:color w:val="auto"/>
        </w:rPr>
        <w:t xml:space="preserve"> </w:t>
      </w:r>
      <w:r>
        <w:rPr>
          <w:rFonts w:ascii="Arial" w:cs="Arial" w:eastAsia="Arial" w:hAnsi="Arial"/>
          <w:sz w:val="18"/>
          <w:szCs w:val="18"/>
          <w:color w:val="auto"/>
        </w:rPr>
        <w:t>looking for speed, personalization and ease of use.</w:t>
      </w:r>
    </w:p>
    <w:p>
      <w:pPr>
        <w:spacing w:after="0" w:line="80" w:lineRule="exact"/>
        <w:rPr>
          <w:rFonts w:ascii="Arial" w:cs="Arial" w:eastAsia="Arial" w:hAnsi="Arial"/>
          <w:sz w:val="18"/>
          <w:szCs w:val="18"/>
          <w:color w:val="auto"/>
        </w:rPr>
      </w:pPr>
    </w:p>
    <w:p>
      <w:pPr>
        <w:ind w:left="1320" w:right="459" w:hanging="434"/>
        <w:spacing w:after="0" w:line="282" w:lineRule="auto"/>
        <w:tabs>
          <w:tab w:leader="none" w:pos="1316"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Lack of Data: </w:t>
      </w:r>
      <w:r>
        <w:rPr>
          <w:rFonts w:ascii="Arial" w:cs="Arial" w:eastAsia="Arial" w:hAnsi="Arial"/>
          <w:sz w:val="18"/>
          <w:szCs w:val="18"/>
          <w:color w:val="auto"/>
        </w:rPr>
        <w:t>To make good decisions, leaders need good data. In physical industries like</w:t>
      </w:r>
      <w:r>
        <w:rPr>
          <w:rFonts w:ascii="Arial" w:cs="Arial" w:eastAsia="Arial" w:hAnsi="Arial"/>
          <w:sz w:val="18"/>
          <w:szCs w:val="18"/>
          <w:b w:val="1"/>
          <w:bCs w:val="1"/>
          <w:color w:val="auto"/>
        </w:rPr>
        <w:t xml:space="preserve"> </w:t>
      </w:r>
      <w:r>
        <w:rPr>
          <w:rFonts w:ascii="Arial" w:cs="Arial" w:eastAsia="Arial" w:hAnsi="Arial"/>
          <w:sz w:val="18"/>
          <w:szCs w:val="18"/>
          <w:color w:val="auto"/>
        </w:rPr>
        <w:t>restaurants, it is difficult to measure operations and generate useful data.</w:t>
      </w:r>
    </w:p>
    <w:p>
      <w:pPr>
        <w:spacing w:after="0" w:line="9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Our platform provides restaurant operators with solutions to these challenges. First, we have over a decade of expertise digitizing analog workflow and facilitating automation, thus allowing restaurants to still operate efficiently with fewer staff and lower labor cost. Second, our products provide reliable, scaled solutions to several thousand restaurants with iconic brands. We have built long-term relationships with our customers and established our reputation as we have grown our market share. Third, we integrate with industry incumbents that restaurants use and innovate to meet customers’ changing needs. Fourth, our next-generation solutions unearth data points that were previously impossible to gather. With these solutions, innovations and a comprehensive platform, we seek to reduce significantly the labor requirements for businesses across the restaurant hospitality industry.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Platform and Product Offering</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products are designed to increase staff productivity, improve guest experiences and deliver actionable insights to managers. We offer a range of Touch and AI Platform products.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Touch</w:t>
      </w:r>
    </w:p>
    <w:p>
      <w:pPr>
        <w:spacing w:after="0" w:line="14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Touch products enable self-serve ordering, payment processing, customer personalization, and gaming experiences.</w:t>
      </w:r>
    </w:p>
    <w:p>
      <w:pPr>
        <w:spacing w:after="0" w:line="103"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Our latest Touch product, Presto Flex, is an all-in-one tablet that can be deployed for a variety of applications. This tablet can serve as a tabletop device, self-serve kiosk or handheld device. The device offers Wi-Fi and LTE connectivity while weighing 25% less than an iPad with three times the battery capacity of comparable tablets. A.I. technology provides speech recognition that allows automated voice ordering by both guests and staff. The device’s front and rear cameras enable coupon scanning. Presto Flex hosts a wide range of payment options and is PCI-DSS compliant. On average, Presto Flex eliminates 65% of POS trips increasing tables serviced and tips per server.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0" w:name="page51"/>
    <w:bookmarkEnd w:id="5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believe this product offers tremendous value by allowing restaurants to operate dining rooms with fewer staff, personalizing guest experiences, increasing check sizes with automatic upselling and cross-selling functionality and providing more guest insights to the restaurant’s marketing team. In addition, our Touch products offer:</w:t>
      </w:r>
    </w:p>
    <w:p>
      <w:pPr>
        <w:spacing w:after="0" w:line="115" w:lineRule="exact"/>
        <w:rPr>
          <w:sz w:val="20"/>
          <w:szCs w:val="20"/>
          <w:color w:val="auto"/>
        </w:rPr>
      </w:pPr>
    </w:p>
    <w:p>
      <w:pPr>
        <w:ind w:left="1320" w:right="459" w:hanging="434"/>
        <w:spacing w:after="0" w:line="312" w:lineRule="auto"/>
        <w:tabs>
          <w:tab w:leader="none" w:pos="1316"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Advanced Security: </w:t>
      </w:r>
      <w:r>
        <w:rPr>
          <w:rFonts w:ascii="Arial" w:cs="Arial" w:eastAsia="Arial" w:hAnsi="Arial"/>
          <w:sz w:val="17"/>
          <w:szCs w:val="17"/>
          <w:color w:val="auto"/>
        </w:rPr>
        <w:t>We have an array of advanced enterprise grade security features. Our Silicon</w:t>
      </w:r>
      <w:r>
        <w:rPr>
          <w:rFonts w:ascii="Arial" w:cs="Arial" w:eastAsia="Arial" w:hAnsi="Arial"/>
          <w:sz w:val="17"/>
          <w:szCs w:val="17"/>
          <w:b w:val="1"/>
          <w:bCs w:val="1"/>
          <w:color w:val="auto"/>
        </w:rPr>
        <w:t xml:space="preserve"> </w:t>
      </w:r>
      <w:r>
        <w:rPr>
          <w:rFonts w:ascii="Arial" w:cs="Arial" w:eastAsia="Arial" w:hAnsi="Arial"/>
          <w:sz w:val="17"/>
          <w:szCs w:val="17"/>
          <w:color w:val="auto"/>
        </w:rPr>
        <w:t>Valley</w:t>
      </w:r>
      <w:r>
        <w:rPr>
          <w:rFonts w:ascii="Arial" w:cs="Arial" w:eastAsia="Arial" w:hAnsi="Arial"/>
          <w:sz w:val="17"/>
          <w:szCs w:val="17"/>
          <w:i w:val="1"/>
          <w:iCs w:val="1"/>
          <w:color w:val="auto"/>
        </w:rPr>
        <w:t>-based</w:t>
      </w:r>
      <w:r>
        <w:rPr>
          <w:rFonts w:ascii="Arial" w:cs="Arial" w:eastAsia="Arial" w:hAnsi="Arial"/>
          <w:sz w:val="17"/>
          <w:szCs w:val="17"/>
          <w:color w:val="auto"/>
        </w:rPr>
        <w:t xml:space="preserve"> engineering team aims to create a secure pay</w:t>
      </w:r>
      <w:r>
        <w:rPr>
          <w:rFonts w:ascii="Arial" w:cs="Arial" w:eastAsia="Arial" w:hAnsi="Arial"/>
          <w:sz w:val="17"/>
          <w:szCs w:val="17"/>
          <w:i w:val="1"/>
          <w:iCs w:val="1"/>
          <w:color w:val="auto"/>
        </w:rPr>
        <w:t>-at-table</w:t>
      </w:r>
      <w:r>
        <w:rPr>
          <w:rFonts w:ascii="Arial" w:cs="Arial" w:eastAsia="Arial" w:hAnsi="Arial"/>
          <w:sz w:val="17"/>
          <w:szCs w:val="17"/>
          <w:color w:val="auto"/>
        </w:rPr>
        <w:t xml:space="preserve"> experience.</w:t>
      </w:r>
    </w:p>
    <w:p>
      <w:pPr>
        <w:spacing w:after="0" w:line="72" w:lineRule="exact"/>
        <w:rPr>
          <w:rFonts w:ascii="Arial" w:cs="Arial" w:eastAsia="Arial" w:hAnsi="Arial"/>
          <w:sz w:val="17"/>
          <w:szCs w:val="17"/>
          <w:color w:val="auto"/>
        </w:rPr>
      </w:pPr>
    </w:p>
    <w:p>
      <w:pPr>
        <w:ind w:left="1320" w:right="459" w:hanging="434"/>
        <w:spacing w:after="0" w:line="282" w:lineRule="auto"/>
        <w:tabs>
          <w:tab w:leader="none" w:pos="1316"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Wide Payment Options: </w:t>
      </w:r>
      <w:r>
        <w:rPr>
          <w:rFonts w:ascii="Arial" w:cs="Arial" w:eastAsia="Arial" w:hAnsi="Arial"/>
          <w:sz w:val="18"/>
          <w:szCs w:val="18"/>
          <w:color w:val="auto"/>
        </w:rPr>
        <w:t>We support the latest EMV and mobile payment technologies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the ability to split bills.</w:t>
      </w:r>
    </w:p>
    <w:p>
      <w:pPr>
        <w:spacing w:after="0" w:line="80" w:lineRule="exact"/>
        <w:rPr>
          <w:rFonts w:ascii="Arial" w:cs="Arial" w:eastAsia="Arial" w:hAnsi="Arial"/>
          <w:sz w:val="18"/>
          <w:szCs w:val="18"/>
          <w:color w:val="auto"/>
        </w:rPr>
      </w:pPr>
    </w:p>
    <w:p>
      <w:pPr>
        <w:jc w:val="both"/>
        <w:ind w:left="1320" w:right="459" w:hanging="434"/>
        <w:spacing w:after="0" w:line="266" w:lineRule="auto"/>
        <w:tabs>
          <w:tab w:leader="none" w:pos="1316"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More Than Payments: </w:t>
      </w:r>
      <w:r>
        <w:rPr>
          <w:rFonts w:ascii="Arial" w:cs="Arial" w:eastAsia="Arial" w:hAnsi="Arial"/>
          <w:sz w:val="18"/>
          <w:szCs w:val="18"/>
          <w:color w:val="auto"/>
        </w:rPr>
        <w:t>Our tablets have a broad range of functionality beyond payments. We</w:t>
      </w:r>
      <w:r>
        <w:rPr>
          <w:rFonts w:ascii="Arial" w:cs="Arial" w:eastAsia="Arial" w:hAnsi="Arial"/>
          <w:sz w:val="18"/>
          <w:szCs w:val="18"/>
          <w:b w:val="1"/>
          <w:bCs w:val="1"/>
          <w:color w:val="auto"/>
        </w:rPr>
        <w:t xml:space="preserve"> </w:t>
      </w:r>
      <w:r>
        <w:rPr>
          <w:rFonts w:ascii="Arial" w:cs="Arial" w:eastAsia="Arial" w:hAnsi="Arial"/>
          <w:sz w:val="18"/>
          <w:szCs w:val="18"/>
          <w:color w:val="auto"/>
        </w:rPr>
        <w:t>enable guests to order on demand, play games, watch videos, and provide instant feedback — all from the table.</w:t>
      </w:r>
    </w:p>
    <w:p>
      <w:pPr>
        <w:spacing w:after="0" w:line="11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Our business has one principal supplier through which we source the tablets used in the legacy version of our Touch product and one principal supplier through which we source the tablets used in the latest generation of our Touch product, Presto Flex.</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With respect to our legacy Touch tablets, on October 23, 2015, we entered into an agreement with XAC Taiwan (“XAC”), a company organized under the laws of the Republic of China (Taiwan) (the “Legacy Tablet Agreement”). The Legacy Tablet Agreement had an original term of three years and, since the expiration of the original term, has automatically renewed for successive one year periods. Either party may terminate the Legacy Tablet Agreement upon 180 days’ notice or upon a material breach of the agreement if such breach is not cured within 30 days.</w:t>
      </w:r>
    </w:p>
    <w:p>
      <w:pPr>
        <w:spacing w:after="0" w:line="111"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With respect to our Presto Flex product, on September 11, 2019, we entered into a Master Supply Agreement (the “Flex Tablet Agreement”) with Hong Kong-based tablet computer suppliers Billion Time International, Limited (“Billion Time”) and Hong Kong Linktop Technology, Limited (“Linktop”). Under the Flex Tablet Agreement, Billion Time and Linktop develop and manufacture the tablets used in our Presto Flex product and provide technical and repair services for us. The Flex Tablet Agreement has an initial term of three years with automatic one-year renewal periods. Any party may terminate the Flex Tablet Agreement upon 180 days’ notice or upon a material breach of the agreement if such breach is not cured within 60 days.</w:t>
      </w:r>
    </w:p>
    <w:p>
      <w:pPr>
        <w:spacing w:after="0" w:line="99"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We maintain inventory that we believe is sufficient to address a potential interruption in supply. In the event of a shortage or supply interruption from XAC, Billion Time or Linktop, if our inventory estimates are incorrect, we may not be able to develop alternative sources for these tablets quickly, cost-effectively, or at all.</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AI Platform</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AI-powered computer vision application provides real-time error detection, visual order tracking capabilities, and repeat guest identification. The AI Platform products uses strategically located cameras and powerful artificial intelligence algorithms to offer unique real-time insights into restaurant operations and analytics.</w:t>
      </w:r>
    </w:p>
    <w:p>
      <w:pPr>
        <w:spacing w:after="0" w:line="106"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Our next generation technology quickly identifies dropouts in drive-through lines, repeat customers, errors during food preparation, and missing items in the packing process. Our AI Platform product’s smart analytics promotes items with short preparation times when queues are long and notifies managers to deploy line-busting tablets when drive-through wait times or abandonment rates are high.</w:t>
      </w:r>
    </w:p>
    <w:p>
      <w:pPr>
        <w:spacing w:after="0" w:line="10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Our AI Platform product also helps boost order accuracy in the restaurant hospitality industry by deploying its technology to kitchens. This allows management to monitor whether orders going out the door are substantially accurate, thereby reducing refunds, labor cost in remaking food and unhappy guests.</w:t>
      </w:r>
    </w:p>
    <w:p>
      <w:pPr>
        <w:spacing w:after="0" w:line="9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believe this product can create lower drive-through wait times and reduced drive-through abandonment, higher order accuracy, and improved guest service.</w:t>
      </w:r>
    </w:p>
    <w:p>
      <w:pPr>
        <w:spacing w:after="0" w:line="8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speech recognition technology offers guests voice-based ordering in the drive-through and other restaurant settings. Our technology takes orders using automated A.I. that frees up staff by automatically transmitting orders to the restaurant’s POS system. We believe that our AI Platform technology can enable faster transactions and improved order accuracy by eliminating human order taking, as well as increasing check sizes with automatic upselling and cross-selling functionality.</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1" w:name="page52"/>
    <w:bookmarkEnd w:id="5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Transaction Services</w:t>
      </w:r>
    </w:p>
    <w:p>
      <w:pPr>
        <w:spacing w:after="0" w:line="14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We also offer a range of transaction services geared to enhance the customer dining experience, including premium content (gaming) and other revenue, which includes professional services. We provide the diners at our customers’ restaurants the opportunity to purchase premium content during the dining experience. We control the associated gaming licenses and its accessibility and have influence in establishing the price charged to the diner. In addition, we also generate revenue from professional services, consisting primarily of fees from developing premium content used on the devices and at installation.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Strengths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believe that we have a number of competitive strengths that will enable our market leadership to grow.</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competitive strengths include:</w:t>
      </w:r>
    </w:p>
    <w:p>
      <w:pPr>
        <w:spacing w:after="0" w:line="139" w:lineRule="exact"/>
        <w:rPr>
          <w:sz w:val="20"/>
          <w:szCs w:val="20"/>
          <w:color w:val="auto"/>
        </w:rPr>
      </w:pPr>
    </w:p>
    <w:p>
      <w:pPr>
        <w:jc w:val="both"/>
        <w:ind w:left="1320" w:right="459" w:hanging="434"/>
        <w:spacing w:after="0" w:line="255" w:lineRule="auto"/>
        <w:tabs>
          <w:tab w:leader="none" w:pos="1316"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Industry-Leading Technology Platform:</w:t>
      </w:r>
      <w:r>
        <w:rPr>
          <w:rFonts w:ascii="Arial" w:cs="Arial" w:eastAsia="Arial" w:hAnsi="Arial"/>
          <w:sz w:val="18"/>
          <w:szCs w:val="18"/>
          <w:color w:val="auto"/>
        </w:rPr>
        <w:t>We have created a hard-to-replicate technology platform that we believe comprehensively addresses the challenges that fast casual and quick service restaurants are facing. This includes multiple back-end integrations, layers of PCI compliance and security, enterprise grade reliability, ability to scale seamlessly and deploy quickly across multiple geographies, and a customer success, support and operations team that understands enterprise challenges.</w:t>
      </w:r>
    </w:p>
    <w:p>
      <w:pPr>
        <w:spacing w:after="0" w:line="111" w:lineRule="exact"/>
        <w:rPr>
          <w:rFonts w:ascii="Arial" w:cs="Arial" w:eastAsia="Arial" w:hAnsi="Arial"/>
          <w:sz w:val="18"/>
          <w:szCs w:val="18"/>
          <w:color w:val="auto"/>
        </w:rPr>
      </w:pPr>
    </w:p>
    <w:p>
      <w:pPr>
        <w:jc w:val="both"/>
        <w:ind w:left="1320" w:right="459" w:hanging="434"/>
        <w:spacing w:after="0" w:line="289" w:lineRule="auto"/>
        <w:tabs>
          <w:tab w:leader="none" w:pos="1316"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Category-Leading Customer Loyalty: </w:t>
      </w:r>
      <w:r>
        <w:rPr>
          <w:rFonts w:ascii="Arial" w:cs="Arial" w:eastAsia="Arial" w:hAnsi="Arial"/>
          <w:sz w:val="16"/>
          <w:szCs w:val="16"/>
          <w:color w:val="auto"/>
        </w:rPr>
        <w:t>Customer relationships are core to our business, and we</w:t>
      </w:r>
      <w:r>
        <w:rPr>
          <w:rFonts w:ascii="Arial" w:cs="Arial" w:eastAsia="Arial" w:hAnsi="Arial"/>
          <w:sz w:val="16"/>
          <w:szCs w:val="16"/>
          <w:b w:val="1"/>
          <w:bCs w:val="1"/>
          <w:color w:val="auto"/>
        </w:rPr>
        <w:t xml:space="preserve"> </w:t>
      </w:r>
      <w:r>
        <w:rPr>
          <w:rFonts w:ascii="Arial" w:cs="Arial" w:eastAsia="Arial" w:hAnsi="Arial"/>
          <w:sz w:val="16"/>
          <w:szCs w:val="16"/>
          <w:color w:val="auto"/>
        </w:rPr>
        <w:t>invest to improve our retention. We maintain long-term relationships with our customers that are reflected by our 102% net revenue retention for the fiscal year ended June 30, 2022. Net revenue retention compares our revenue associated with a set of active restaurant logos in a one-year period to the same set of restaurant logos in the prior year period. We calculate net revenue retention by dividing a particular period’s quarterly annual reoccurring revenue, including both Platform and Transaction revenue, by the prior period’s quarterly annual reoccurring revenue using the same set of restaurant logos. Net revenue retention is an indicator of the propensity of our customers to continue working with us and expanding their relationship with us. We assess our net revenue retention quarterly on a rolling basis year-over-year.</w:t>
      </w:r>
    </w:p>
    <w:p>
      <w:pPr>
        <w:spacing w:after="0" w:line="93" w:lineRule="exact"/>
        <w:rPr>
          <w:rFonts w:ascii="Arial" w:cs="Arial" w:eastAsia="Arial" w:hAnsi="Arial"/>
          <w:sz w:val="16"/>
          <w:szCs w:val="16"/>
          <w:color w:val="auto"/>
        </w:rPr>
      </w:pPr>
    </w:p>
    <w:p>
      <w:pPr>
        <w:jc w:val="both"/>
        <w:ind w:left="1320" w:right="459" w:hanging="434"/>
        <w:spacing w:after="0" w:line="256" w:lineRule="auto"/>
        <w:tabs>
          <w:tab w:leader="none" w:pos="1316"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Business Model That is “Sticky” and High Growth: </w:t>
      </w:r>
      <w:r>
        <w:rPr>
          <w:rFonts w:ascii="Arial" w:cs="Arial" w:eastAsia="Arial" w:hAnsi="Arial"/>
          <w:sz w:val="18"/>
          <w:szCs w:val="18"/>
          <w:color w:val="auto"/>
        </w:rPr>
        <w:t>Our compelling and differentiated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model has enabled us to grow and expand our business. The “front of the house” or guest facing nature of our technology, as evidenced by the nature of our entertainment apps, and consumer facing voice ordering capabilities, as well as increased adoption by the customer’s staff and customers over the life of a multi-year contract, create a “sticky” relationship and high switching costs.</w:t>
      </w:r>
    </w:p>
    <w:p>
      <w:pPr>
        <w:spacing w:after="0" w:line="119" w:lineRule="exact"/>
        <w:rPr>
          <w:rFonts w:ascii="Arial" w:cs="Arial" w:eastAsia="Arial" w:hAnsi="Arial"/>
          <w:sz w:val="18"/>
          <w:szCs w:val="18"/>
          <w:color w:val="auto"/>
        </w:rPr>
      </w:pPr>
    </w:p>
    <w:p>
      <w:pPr>
        <w:jc w:val="both"/>
        <w:ind w:left="1320" w:right="459" w:hanging="434"/>
        <w:spacing w:after="0" w:line="261" w:lineRule="auto"/>
        <w:tabs>
          <w:tab w:leader="none" w:pos="1316"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Multiple Channels of Organic Growth: </w:t>
      </w:r>
      <w:r>
        <w:rPr>
          <w:rFonts w:ascii="Arial" w:cs="Arial" w:eastAsia="Arial" w:hAnsi="Arial"/>
          <w:sz w:val="18"/>
          <w:szCs w:val="18"/>
          <w:color w:val="auto"/>
        </w:rPr>
        <w:t>Both our existing customer base and addressable market</w:t>
      </w:r>
      <w:r>
        <w:rPr>
          <w:rFonts w:ascii="Arial" w:cs="Arial" w:eastAsia="Arial" w:hAnsi="Arial"/>
          <w:sz w:val="18"/>
          <w:szCs w:val="18"/>
          <w:b w:val="1"/>
          <w:bCs w:val="1"/>
          <w:color w:val="auto"/>
        </w:rPr>
        <w:t xml:space="preserve"> </w:t>
      </w:r>
      <w:r>
        <w:rPr>
          <w:rFonts w:ascii="Arial" w:cs="Arial" w:eastAsia="Arial" w:hAnsi="Arial"/>
          <w:sz w:val="18"/>
          <w:szCs w:val="18"/>
          <w:color w:val="auto"/>
        </w:rPr>
        <w:t>offer a compelling opportunity for product cross-sell and upsell. Additionally, continued innovation from our research and development team provides new and innovative use cases for our AI Platform products.</w:t>
      </w:r>
    </w:p>
    <w:p>
      <w:pPr>
        <w:spacing w:after="0" w:line="98" w:lineRule="exact"/>
        <w:rPr>
          <w:rFonts w:ascii="Arial" w:cs="Arial" w:eastAsia="Arial" w:hAnsi="Arial"/>
          <w:sz w:val="18"/>
          <w:szCs w:val="18"/>
          <w:color w:val="auto"/>
        </w:rPr>
      </w:pPr>
    </w:p>
    <w:p>
      <w:pPr>
        <w:jc w:val="both"/>
        <w:ind w:left="1320" w:right="459" w:hanging="434"/>
        <w:spacing w:after="0" w:line="255" w:lineRule="auto"/>
        <w:tabs>
          <w:tab w:leader="none" w:pos="1316"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Experienced Management Team to Execute on Strategy:</w:t>
      </w:r>
      <w:r>
        <w:rPr>
          <w:rFonts w:ascii="Arial" w:cs="Arial" w:eastAsia="Arial" w:hAnsi="Arial"/>
          <w:sz w:val="18"/>
          <w:szCs w:val="18"/>
          <w:color w:val="auto"/>
        </w:rPr>
        <w:t>Our management team has a demonstrated history of delivering strong operational results. Our Interim Chief Executive Officer, Krishna Gupta, founded REMUS Capital as an undergrad at MIT in 2008. Our Chief Accounting Officer, Stanley Mbugua, has been an accounting and finance executive for over 20 years working with large multi-national public technology companies. Our Chief Technology Officer and Chief Operating Officer both bring experience from companies such as Microsoft, Fireclick, Wambo and Liveclicker.</w:t>
      </w:r>
    </w:p>
    <w:p>
      <w:pPr>
        <w:spacing w:after="0" w:line="200" w:lineRule="exact"/>
        <w:rPr>
          <w:sz w:val="20"/>
          <w:szCs w:val="20"/>
          <w:color w:val="auto"/>
        </w:rPr>
      </w:pP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Growth Strategy</w:t>
      </w:r>
    </w:p>
    <w:p>
      <w:pPr>
        <w:spacing w:after="0" w:line="162"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We believe that Presto can profitably grow and has tremendous potential based on our total addressable market. Our growth strategies include:</w:t>
      </w:r>
    </w:p>
    <w:p>
      <w:pPr>
        <w:spacing w:after="0" w:line="99" w:lineRule="exact"/>
        <w:rPr>
          <w:sz w:val="20"/>
          <w:szCs w:val="20"/>
          <w:color w:val="auto"/>
        </w:rPr>
      </w:pPr>
    </w:p>
    <w:p>
      <w:pPr>
        <w:jc w:val="both"/>
        <w:ind w:left="1320" w:right="459" w:hanging="434"/>
        <w:spacing w:after="0" w:line="292" w:lineRule="auto"/>
        <w:tabs>
          <w:tab w:leader="none" w:pos="1316"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 Land &amp; Expand Model: </w:t>
      </w:r>
      <w:r>
        <w:rPr>
          <w:rFonts w:ascii="Arial" w:cs="Arial" w:eastAsia="Arial" w:hAnsi="Arial"/>
          <w:sz w:val="16"/>
          <w:szCs w:val="16"/>
          <w:color w:val="auto"/>
        </w:rPr>
        <w:t>We initiate a customer relationship in a few test locations where we</w:t>
      </w:r>
      <w:r>
        <w:rPr>
          <w:rFonts w:ascii="Arial" w:cs="Arial" w:eastAsia="Arial" w:hAnsi="Arial"/>
          <w:sz w:val="16"/>
          <w:szCs w:val="16"/>
          <w:b w:val="1"/>
          <w:bCs w:val="1"/>
          <w:color w:val="auto"/>
        </w:rPr>
        <w:t xml:space="preserve"> </w:t>
      </w:r>
      <w:r>
        <w:rPr>
          <w:rFonts w:ascii="Arial" w:cs="Arial" w:eastAsia="Arial" w:hAnsi="Arial"/>
          <w:sz w:val="16"/>
          <w:szCs w:val="16"/>
          <w:color w:val="auto"/>
        </w:rPr>
        <w:t>identify pain points and offer a trial product offering. This allows easy adoption of our products and requires minimal time to value. This also proves out the value proposition of our products. After we complete the land stage, we move to the expand stage where we expand use</w:t>
      </w:r>
      <w:r>
        <w:rPr>
          <w:rFonts w:ascii="Arial" w:cs="Arial" w:eastAsia="Arial" w:hAnsi="Arial"/>
          <w:sz w:val="16"/>
          <w:szCs w:val="16"/>
          <w:i w:val="1"/>
          <w:iCs w:val="1"/>
          <w:color w:val="auto"/>
        </w:rPr>
        <w:t>-cases</w:t>
      </w:r>
      <w:r>
        <w:rPr>
          <w:rFonts w:ascii="Arial" w:cs="Arial" w:eastAsia="Arial" w:hAnsi="Arial"/>
          <w:sz w:val="16"/>
          <w:szCs w:val="16"/>
          <w:color w:val="auto"/>
        </w:rPr>
        <w:t xml:space="preserve"> to additional locations to further demonstrate customer success. With more locations and the opportunity to cross</w:t>
      </w:r>
      <w:r>
        <w:rPr>
          <w:rFonts w:ascii="Arial" w:cs="Arial" w:eastAsia="Arial" w:hAnsi="Arial"/>
          <w:sz w:val="16"/>
          <w:szCs w:val="16"/>
          <w:i w:val="1"/>
          <w:iCs w:val="1"/>
          <w:color w:val="auto"/>
        </w:rPr>
        <w:t>-sell</w:t>
      </w:r>
      <w:r>
        <w:rPr>
          <w:rFonts w:ascii="Arial" w:cs="Arial" w:eastAsia="Arial" w:hAnsi="Arial"/>
          <w:sz w:val="16"/>
          <w:szCs w:val="16"/>
          <w:color w:val="auto"/>
        </w:rPr>
        <w:t xml:space="preserve"> supplemental product offerings, we add value at scale as we eventually expand into potentially all remaining customer locations targeting a 100% penetration rate over time.</w:t>
      </w:r>
    </w:p>
    <w:p>
      <w:pPr>
        <w:sectPr>
          <w:pgSz w:w="11900" w:h="16838" w:orient="portrait"/>
          <w:cols w:equalWidth="0" w:num="1">
            <w:col w:w="9019"/>
          </w:cols>
          <w:pgMar w:left="1440" w:top="274" w:right="1440"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2" w:name="page53"/>
    <w:bookmarkEnd w:id="5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both"/>
        <w:ind w:left="1320" w:right="459" w:hanging="434"/>
        <w:spacing w:after="0" w:line="291" w:lineRule="auto"/>
        <w:tabs>
          <w:tab w:leader="none" w:pos="1316"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Strategic &amp; Accretive M&amp;A to Accelerate Growth: </w:t>
      </w:r>
      <w:r>
        <w:rPr>
          <w:rFonts w:ascii="Arial" w:cs="Arial" w:eastAsia="Arial" w:hAnsi="Arial"/>
          <w:sz w:val="16"/>
          <w:szCs w:val="16"/>
          <w:color w:val="auto"/>
        </w:rPr>
        <w:t>We have identified acquisition opportunities</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from verticals such as customer relationship management and loyalty, POS products, front of house management, online ordering, AI tools, and integration middleware. We have engaged in exploratory conversations with several targets that have expressed an interest in exploring an acquisition by Presto. With this strategy, we can further expand our product, achieve revenue and cost synergies, and increase scale. Any determination to take action in this regard will be based on market conditions and opportunities existing at the time, and accordingly, the timing, size or success of any efforts and the associated potential capital commitments are unpredictable.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Go-To-Market</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Our products serve various roles in a restaurant’s management, including with respect to franchise owners and chief operating officers (COOs), chief management officers (CMOs), chief information officers (CIOs) and chief financial officers (CFOs).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Franchise Owner: Maintaining quality service standards and overseeing the finances of a restaurant brand are not nearly as challenging as the labor shortage that franchise owners are dealing with today. Labor shortages, increased minimum wage demands and COVID-19 liability concerns are the defining issues challenging the ongoing viability of a restaurant franchise. Our technology can be a franchise owner’s most reliable new hire by helping them augment their existing workforces, implement tools that reduce unnecessary busywork and improve employee retention.</w:t>
      </w:r>
    </w:p>
    <w:p>
      <w:pPr>
        <w:spacing w:after="0" w:line="111"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COO: The COO is challenged with meeting their restaurant’s operational goals due to the incredible strain of the labor shortage. Retaining existing staff and replacing those who have left is their top priority for short-term survival and long-term growth. Our technology seeks to augment their existing workforce and improves employee retention delivering tangible improvements in productivity, throughput and quality.</w:t>
      </w:r>
    </w:p>
    <w:p>
      <w:pPr>
        <w:spacing w:after="0" w:line="10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CMO: Having a solid understanding of their guest’s ever-changing behavior and meeting marketing metrics defines the success of today’s restaurant CMO. Struggling with fewer marketing resources, shrinking budgets, and protecting their brand from cautious guests have all become their most significant issues. We expect our technology will provide accurate data to measure customer behavior and improve the guest experience.</w:t>
      </w:r>
    </w:p>
    <w:p>
      <w:pPr>
        <w:spacing w:after="0" w:line="12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CIO: With an increasing focus on customer-facing technology, upgrading legacy POS systems, and management systems, the CIO is challenged to meet increasingly demanding guest experience expectations. Choosing from all the digital transformation options to effectively future-proof their restaurant is the most complicated issue facing any CIO. Our next generation technology platform is a multipurpose, all-in-one solution that can easily integrate into customers’ existing ecosystem.</w:t>
      </w:r>
    </w:p>
    <w:p>
      <w:pPr>
        <w:spacing w:after="0" w:line="107"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CFO: We believe our next generation technology can help the CFO drive sales and profitability growth by delivering incremental revenue through higher check sizes and reducing operating expenses through labor cost savings, improved order accuracy, and speed of service. The CFO can also optimize free cash flow by freeing up capital expenditures for technology towards restaurant core competencies.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Sales and Marketing</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sales team focuses on new location growth, our customer community, and sales enablement and operations.</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To generate demand we have developed a library of focused marketing materials as well as a robust referral network, including many of our current customers. Once we acquire prospective customers, we work with them to produce pricing, packaging and diner interfaces intended to simplify product adoption and support our customers in growing their sales.</w:t>
      </w:r>
    </w:p>
    <w:p>
      <w:pPr>
        <w:spacing w:after="0" w:line="10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have also developed and nurtured long-term relationships with our largest customers and maintain an ongoing relationship with them that includes technical support and conducting quarterly business reviews in order to build a pathway to successful renewals and product upgrades.</w:t>
      </w:r>
    </w:p>
    <w:p>
      <w:pPr>
        <w:spacing w:after="0" w:line="11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As of March 31, 2023, we had 17 employees across sales and marketing. We intend to continue to invest in our sales and marketing capabilities to capitalize on our market opportunity.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Customers</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Both private and public restaurant brands have chosen our platform, including Applebee’s, BJ’s, Checkers, Chili’s, Famous Dave’s, Outback Steakhouse and Red Lobster. We accommodate service models of all types, including quick service, fast-casual and casual dining. Brands use our platform to strengthen their customer relationships and boost their digital orders. Our typical initial contract length is 12 to 24 months, providing visibility into our future performance.</w:t>
      </w:r>
    </w:p>
    <w:p>
      <w:pPr>
        <w:spacing w:after="0" w:line="12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For the nine months ended March 31, 2023 and 2022 and the years ended June 30, 2022 and 2021, our three largest restaurant customers generated an aggregate of approximately 97%, 93%, 93% and 93% of our revenue, respectively. We present a discussion of each of these customers below.</w:t>
      </w:r>
    </w:p>
    <w:p>
      <w:pPr>
        <w:spacing w:after="0" w:line="9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purchase and services agreement with our largest customer was amended in March 2023 to extend its term to December 2023, subject to further extension upon mutual agreement of the parties. If the customer does not decide to move forward with an extension 180 days before a term lapses, we may send a notice that gives the customer 15 days to decide if it will continue for another term. If the customer does not extend in such timeframe, the agreement expires at the end of the then-active term. The customer can also terminate the purchase and services agreement upon 180 days’ notice.</w:t>
      </w:r>
    </w:p>
    <w:p>
      <w:pPr>
        <w:spacing w:after="0" w:line="97"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services agreement with our second largest customer was amended in March 2023 to extend the services agreement along with a first statement of work (SOW) pursuant thereto. The services agreement and SOW provided for the onboarding and initial sale of the Touch product, along with the terms under which the customer may elect to purchase additional Touch devices and a revenue sharing arrangement for the provision of premium content to the customer’s patrons. The services agreement had an initial term of 12 months and has been renewed since calendar 2018. The services agreement was renewed on a month-to-month basis up to March 2024. The services agreement can be terminated by the customer with 30 days prior written notice at any time.</w:t>
      </w:r>
    </w:p>
    <w:p>
      <w:pPr>
        <w:spacing w:after="0" w:line="124"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The service provider agreement with our third largest customer was executed in calendar 2017 with the customer renewing a previous agreement with Presto made in calendar 2013. The agreement governs the ongoing relationship between Presto and the customer as well as the franchisee agreements executed between Presto and each of the customer’s franchisees. The term of the service provider agreement extends until each of the franchisee agreements has been terminated. In addition to governing the terms of further purchases of the Touch product and a revenue sharing arrangement for the provision of premium content to the franchisees’ patrons, the franchisee agreements required that the franchisees replace certain existing Touch products with upgraded versions by way of purchasing the new equipment or leasing it. The franchisee agreements are currently scheduled to terminate in late calendar 2023 unless they are extended.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Technical Support</w:t>
      </w:r>
    </w:p>
    <w:p>
      <w:pPr>
        <w:spacing w:after="0" w:line="162"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Our technical team supports our customers through the onboarding process, including by providing employee training, device installation, procedures for troubleshooting and maintenance and advising on best practices, among other things. We are committed to providing a differentiated customer experience. We are able to provide our customers with the option of choosing between on-site, remote, and self-guided implementation.</w:t>
      </w:r>
    </w:p>
    <w:p>
      <w:pPr>
        <w:spacing w:after="0" w:line="7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Following onboarding, we offer our customers support through multiple channels, including chat, phone, web and in person visits as needed. We are focused on providing our customers best-in-class technical support and will continue to make significant investments in an effort to do so.</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March 31, 2023, we had 12 employees on our customer success team.</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We develop products through research on the restaurant industry that focuses on the challenges its participants face now and will face in the future. For example, our current and planned products are designed to, among other things, assist in mitigating the impact of nation-wide labor shortages faced by the restaurant and hospitality industry, as well as the increased cost of employment for these customers due to increasing minimum wages and higher costs of labor in general. We are dedicated to helping our customers grow their business and, by doing so, creating lasting relationships and happy diners.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4" w:name="page55"/>
    <w:bookmarkEnd w:id="5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We organize our team to develop the full-stack of our products, integrating product management, engineering, analytics, data science, and design. We develop our products in three primary research and development locations: San Carlos, California, Addison, Texas and Toronto, Ontario, Canada. As of March 31, 2023, we had 97 employees in our research and development team.</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The markets in which we compete are competitive and evolving rapidly. Our platform combines functionality from numerous product categories, and we therefore compete in each of these categories:</w:t>
      </w:r>
    </w:p>
    <w:p>
      <w:pPr>
        <w:spacing w:after="0" w:line="79" w:lineRule="exact"/>
        <w:rPr>
          <w:sz w:val="20"/>
          <w:szCs w:val="20"/>
          <w:color w:val="auto"/>
        </w:rPr>
      </w:pPr>
    </w:p>
    <w:p>
      <w:pPr>
        <w:ind w:left="1320" w:right="459" w:hanging="434"/>
        <w:spacing w:after="0" w:line="277" w:lineRule="auto"/>
        <w:tabs>
          <w:tab w:leader="none" w:pos="1316"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respect to Touch platforms, we primarily compete with OneDine, Ziosk, and POS-proprietary systems;</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respect to AI Platforms, we primarily compete with IBM, Google SoundHound, Synq3, Valyant AI, Converse Now and Open City.</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believe the principal competitive factors in our market are:</w:t>
      </w:r>
    </w:p>
    <w:p>
      <w:pPr>
        <w:spacing w:after="0" w:line="158" w:lineRule="exact"/>
        <w:rPr>
          <w:sz w:val="20"/>
          <w:szCs w:val="20"/>
          <w:color w:val="auto"/>
        </w:rPr>
      </w:pPr>
    </w:p>
    <w:p>
      <w:pPr>
        <w:ind w:left="1320" w:right="459" w:hanging="434"/>
        <w:spacing w:after="0" w:line="277" w:lineRule="auto"/>
        <w:tabs>
          <w:tab w:leader="none" w:pos="131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to provide an end-to-end software platform specifically designed to meet the existing and future technology needs of prospective customers;</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ease of deployment, use and flexibility;</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customer relationship, reputation and brand recognition;</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customer, technology and platform support; and</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strength of sales and marketing efforts.</w:t>
      </w:r>
    </w:p>
    <w:p>
      <w:pPr>
        <w:spacing w:after="0" w:line="158"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We expect the competition to evolve as the market continues to grow, evolve, and attract new market entrants, especially smaller emerging companies. We believe that with our differentiated products, attractive business model, and unique go-to-market strategy we can compete effectively and favorably within the industry.</w:t>
      </w:r>
    </w:p>
    <w:p>
      <w:pPr>
        <w:spacing w:after="0" w:line="8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For information on risks relating to increased competition in our industry, see the section 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 — Risks Related to Presto’s Competition, Sales and Marketing</w:t>
      </w:r>
      <w:r>
        <w:rPr>
          <w:rFonts w:ascii="Arial" w:cs="Arial" w:eastAsia="Arial" w:hAnsi="Arial"/>
          <w:sz w:val="18"/>
          <w:szCs w:val="18"/>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Human Capital Resources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of March 31, 2023, we had approximately 153 employees, of which all are full-time employees.</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Social Responsibility and Community Initiatives</w:t>
      </w:r>
    </w:p>
    <w:p>
      <w:pPr>
        <w:spacing w:after="0" w:line="16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COVID Tech Connect was founded by those in the technology community with a mission to connect critically ill COVID-19 patients with their loved ones. From March 2020 through August 2021, we donated 20,000 tablets and 30,000 charge cords to 2,000 hospitals and care facilities in all 50 states across the United States towards the development of COVID Tech Connect’s award-nominated, free video conferencing solution that connected hospitalized COVID patients with friends and family through virtual visitations. In doing so, we expanded beyond our company mission with emergency relief for those communities who were disproportionately affected by COVID-19, both domestically and abroad.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 xml:space="preserve">As of March 31, 2023, we had eight registered domain names for websites that we use in our business, such as </w:t>
      </w:r>
      <w:r>
        <w:rPr>
          <w:rFonts w:ascii="Arial" w:cs="Arial" w:eastAsia="Arial" w:hAnsi="Arial"/>
          <w:sz w:val="16"/>
          <w:szCs w:val="16"/>
          <w:i w:val="1"/>
          <w:iCs w:val="1"/>
          <w:color w:val="auto"/>
        </w:rPr>
        <w:t>presto.com</w:t>
      </w:r>
      <w:r>
        <w:rPr>
          <w:rFonts w:ascii="Arial" w:cs="Arial" w:eastAsia="Arial" w:hAnsi="Arial"/>
          <w:sz w:val="16"/>
          <w:szCs w:val="16"/>
          <w:color w:val="auto"/>
        </w:rPr>
        <w:t xml:space="preserve"> and other variations, three trademarks, and no registered patents or copyrights.</w:t>
      </w:r>
    </w:p>
    <w:p>
      <w:pPr>
        <w:spacing w:after="0" w:line="43"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w:t>
      </w:r>
    </w:p>
    <w:p>
      <w:pPr>
        <w:spacing w:after="0" w:line="8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require our employees, consultants, and other third parties to enter into confidentiality and proprietary information and invention assignment agreements, and we control and monitor access to our software, documentation, proprietary technology, and other confidential information. Our policy is to require all employees and independent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5" w:name="page56"/>
    <w:bookmarkEnd w:id="5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w:t>
      </w:r>
    </w:p>
    <w:p>
      <w:pPr>
        <w:spacing w:after="0" w:line="11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See the section entitled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including “</w:t>
      </w:r>
      <w:r>
        <w:rPr>
          <w:rFonts w:ascii="Arial" w:cs="Arial" w:eastAsia="Arial" w:hAnsi="Arial"/>
          <w:sz w:val="18"/>
          <w:szCs w:val="18"/>
          <w:i w:val="1"/>
          <w:iCs w:val="1"/>
          <w:color w:val="auto"/>
        </w:rPr>
        <w:t>Risk Factors — Risks Related to Presto’s Intellectual Property</w:t>
      </w:r>
      <w:r>
        <w:rPr>
          <w:rFonts w:ascii="Arial" w:cs="Arial" w:eastAsia="Arial" w:hAnsi="Arial"/>
          <w:sz w:val="18"/>
          <w:szCs w:val="18"/>
          <w:color w:val="auto"/>
        </w:rPr>
        <w:t>” for a description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risks related to our intellectual property.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Insurance</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maintain insurance, excess coverage, or reinsurance for property and general liability, professional liability, directors’ and officers’ liability, workers’ compensation, cybersecurity, technology errors and omissions, ocean/marine cargo, commercial crime and other coverage in amounts and on terms deemed adequate by management, based on our actual claims experience and expectations for future claims. However, future claims could exceed our applicable insurance coverage.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Facilities</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corporate headquarters are located at 985 Industrial Road, San Carlos, California 94070 and consist of approximately 4,300 square feet of office space under a lease that expires in January 2025. We also maintain an additional office in Flower Mound, Texas. As of April 2023, the lease for our additional office in Addison, Texas expired.</w:t>
      </w:r>
    </w:p>
    <w:p>
      <w:pPr>
        <w:spacing w:after="0" w:line="11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As a result of COVID-19, our workforce has been working remotely since March 2020. We recognized early on in the COVID-19 pandemic that there was likely to be a shift in the workplace and introduced measures to facilitate a flexible work environment for our employees. We have been continually assessing our physical office footprint, including our corporate headquarters and those locations noted above, and our future flexible work environment may allow us to reduce our current physical office footprint. We believe that our facilities are adequate to meet our needs for the immediate future and that we will be able to secure additional space, as needed, to accommodate expansion of our operations.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In the ordinary course of business, we may be subject from time to time to various proceedings, lawsuits, disputes, or claims. We make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our financial condition or cash flows, or both, or could otherwise adversely affect our operating results. The outcomes of legal proceedings and other contingencies are, however, inherently unpredictable, and subject to significant uncertainties.</w:t>
      </w:r>
    </w:p>
    <w:p>
      <w:pPr>
        <w:spacing w:after="0" w:line="8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In February 2022, we were added as a co-defendant in a patent infringement lawsuit that was brought against Hi Auto, Inc. (“Hi Auto”) by Valyant AI, Inc. (“Valyant”) in December 2021, alleging infringement of Valyant’s patent relating to a speech-based/natural language order process system. The claims against us relate to our alleged inclusion of Hi Auto’s technology in the AI voice ordering system we use for one of our customers. The lawsuit seeks to enjoin the co-defendants from continued alleged infringement and seeks unspecified statutory and other damages. A motion to dismiss is currently pending in the matter, as is a petition by Hi Auto challenging the validity of Valyant’s patent. Valyant itself is seeking a reissue of its patent to correct a priority date issue, which may result in amendments to the claims and further validity challenges based on additional prior art made relevant by a later priority date for some or all claims that may be examined or issued. The court has stayed the infringement action pending an initial decision on Hi Auto’s petition challenging the validity of the patent. We intend to vigorously defend all claims asserted against us. Because of the early stages of the proceedings, we currently are unable to predict the outcome of the lawsuit or to estimate the range of loss, if any, that could result were there to be an unfavorable outcome, but we also believe that we have rights to indemnification from Hi Auto in such event.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6" w:name="page57"/>
    <w:bookmarkEnd w:id="5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In June 2022, we received a favorable arbitrator ruling related to a matter with our third-party subcontractor and were awarded approximately $11.3 million in damages related to our loss on infrequent product repairs and to cover our legal expenses. This arbitration ruling was affirmed by the appellate court in the country of the arbitration ruling on March 6, 2023. On May 2, 2023, the vendor appealed the ruling to the highest court there. The award has not met the criteria to be considered realizable as of March 31, 2023. As a result, we have not recognized any gain related to this settlement in our condensed consolidated statement of operations and comprehensive income (loss).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Government Regulation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Various aspects of our business and service areas are subject to U.S. federal, state, and local regulation. As more fully described below, certain of our services also are, or may be in the future, subject to the laws, rules, and regulations that are related to acceptance of credit cards and debit cards. We also are, or may be in the future, subject to rules promulgated and enforced by multiple authorities and governing bodies in the United States, including federal, state and local agencies, payment card networks and other authorities. These descriptions are not exhaustive, and these laws, regulations, and rules frequently change and are increasing in number.</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Card Network and NACHA Rules</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rely on our relationships with financial institutions and third-party payment processors to access the payment card networks, such as Visa and Mastercard, which enable our acceptance of credit cards and debit cards. We pay fees to such financial institutions and third-party payment processors for such services. We are required by these third-party payment processors to register with Visa, Mastercard, and other card networks and to comply with the rules and the requirements of these card networks’ self-regulatory organizations. The Payment Networks and their member financial institutions routinely update, generally expand, and modify requirements applicable to our customers, including rules regulating data integrity, third-party relationships, merchant chargeback standards and compliance with PCI-DSS. PCI-DSS is a set of requirements designed to ensure that all companies that process, store, or transmit payment card information maintain a secure environment to protect cardholder data.</w:t>
      </w:r>
    </w:p>
    <w:p>
      <w:pPr>
        <w:spacing w:after="0" w:line="10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We are also subject to the operating rules of the National Automated Clearing House Association (“NACHA”).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such as audit and oversight by the financial institutions and the imposition of mandatory corrective action, including termination, for serious violations.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Privacy and Consumer Information Security</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In the ordinary course of our business, we access, collect, store, use, transmit and otherwise process certain types of data, including personally identifiable information (“PII”), which subjects us to certain federal and state privacy and information security laws, rules, industry standards and regulations designed to regulate consumer information and data privacy, security and protection, and mitigate identity theft. These laws, some of which are discussed below, impose obligations with respect to the collection, processing, storage, disposal, use, transfer, retention and disclosure of PII, and, with limited exceptions, give consumers the right to prevent use of their PII and disclosure of it to third parties. Such laws and regulations are subject to ongoing changes, and a number of new proposed or recently passed laws or regulations in this area are expected to be applicable to our business.</w:t>
      </w:r>
    </w:p>
    <w:p>
      <w:pPr>
        <w:spacing w:after="0" w:line="11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In addition, under these laws and regulations, including the federal Gramm-Leach-Bliley Act (“GLBA”) and Regulation P promulgated thereunder, we must disclose our privacy policy and practices, including those policies relating to the sharing of nonpublic personal information with third parties. The GLBA may restrict the purposes for which we may use PII obtained from consumers and third parties. We may also be required to provide an opt-out from certain sharing.</w:t>
      </w:r>
    </w:p>
    <w:p>
      <w:pPr>
        <w:spacing w:after="0" w:line="107"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On January 1, 2020, the CCPA took effect, directly impacting our California business operations and indirectly impacting our operations nationwide. While personal information that we process that is subject to the GLBA is exempt from the CCPA, the CCPA regulates other personal information that we collect and process. A new California ballot initiative, the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7" w:name="page58"/>
    <w:bookmarkEnd w:id="5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3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The following Management’s Discussion and Analysis of Financial Condition and Results of Operations should be read in conjunction with Presto’s interim unaudited condensed consolidated financial statements as and for the three and nine months ended March 31, 2023 and 2022, and Presto’s audited consolidated financial statements as of and for the years ended June 30, 2022 and 2021 and the related notes appearing elsewhere in this prospectus. This discussion contains forward-looking statements, within the meaning of the safe harbor provisions of the Private Securities Litigation Reform Act of 1995, that involve risks and uncertainties. Presto’s actual results could differ materially from such forward-looking statements. The Company does not undertake to update, revise or correct any of the forward-looking information unless required to do so under the federal securities laws. Readers are cautioned that such forward-looking statements should be read in conjunction with the Company’s disclosures under the heading “Cautionary Statement Regarding Forward-Looking Statements” included in this prospectus. Additionally, Presto’s historical results are not necessarily indicative of the results that may be expected in any future period. Amounts are presented in U.S. dollars.</w:t>
      </w:r>
    </w:p>
    <w:p>
      <w:pPr>
        <w:spacing w:after="0" w:line="10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i w:val="1"/>
          <w:iCs w:val="1"/>
          <w:color w:val="auto"/>
        </w:rPr>
        <w:t>Unless the context otherwise requires, all references in this section to “we,” “us,” or “our” refers to the business and operations of E La Carte Inc. (“Legacy Presto”) and its consolidated subsidiary prior to the Merger (defined below) and to Presto Automation Inc. (“Presto”) and its subsidiaries following the Business Combination (defined below).</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Overview</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Presto offers a comprehensive set of modular, targeted solutions to the restaurant industry to increase staff productivity, improve guest experience and deliver actionable insights to restaurants. Since our founding in 2008, we have shipped over 250,000 systems of Presto enterprise-grade digital solutions to the restaurant hospitality industry. We have leveraged our deep domain experience to build a technology platform that digitizes on-premise restaurant dining rooms and drive-throughs with the goal of maximizing restaurant profitability and enhancing the guest dining experience.</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latest generation Presto Touch product, called Presto Flex, functions as an all-in-one server handheld or tabletop guest ordering, payment, customer personalization and gaming device. Our Vision product consists of an AI-powered computer vision software application that delivers unique and real-time insights to operators. Our Voice products use speech recognition technology in the customer order process and connect with restaurant point of sale (“POS”) systems to maximize efficiency and minimize costs by automatically transmitting orders to the restaurant’s POS system.</w:t>
      </w:r>
    </w:p>
    <w:p>
      <w:pPr>
        <w:spacing w:after="0" w:line="125"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Our Presto Touch product has accounted for the majority of our historical revenue. However, we expect an increasing mix of our future revenue to come from our AI Platform (previously Voice and Vision) products.</w:t>
      </w:r>
    </w:p>
    <w:p>
      <w:pPr>
        <w:spacing w:after="0" w:line="5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benefit from a predictable, recurring revenue model from enterprise restaurant chains.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Strategy</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seek to overlay next-generation digital solutions onto the approximately $3 trillion hospitality industry given its current primarily analog nature and substantial reliance on labor. At present, we are focused on the restaurant industry.</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business is underpinned by the guiding principles that our solutions should improve the guest experience and seamlessly and effortlessly increase productivity for staff. These principles ensure that our product focus remains aligned with the objectives of our customers and with our objective of being a leader in the restaurant hospitality technology market.</w:t>
      </w:r>
    </w:p>
    <w:p>
      <w:pPr>
        <w:spacing w:after="0" w:line="11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restaurant hospitality technology market is rapidly growing. The COVID-19 pandemic created an industry reset, driving restaurants to further embrace technology to solve industry challenges. The restaurant hospitality industry has been racked with labor challenges including unprecedented shortages and high costs. Customers also have a greater desire for faster service, which we believe increases demand for on-premise technology.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8" w:name="page59"/>
    <w:bookmarkEnd w:id="5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Our platform enables customers to improve important factors that drive profitability in a low-margin industry. With Presto’s platform, restaurants can benefit from increased table per server ratios, order accuracy, check size, and customer data collection.</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In the future, we may take advantage of several acquisition opportunities in customer relationship management and loyalty, POS products, front of house management, online ordering, AI tools, and integration middleware.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Merger with Ventoux CCM Acquisition Corp.</w:t>
      </w:r>
    </w:p>
    <w:p>
      <w:pPr>
        <w:spacing w:after="0" w:line="162"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On November 10, 2021 and as subsequently amended on April 1, 2022 and July 25, 2022, VTAQ, Ventoux Merger Sub I, Ventoux Merger Sub II and Presto entered into the Merger Agreement, pursuant to which</w:t>
      </w:r>
    </w:p>
    <w:p>
      <w:pPr>
        <w:jc w:val="both"/>
        <w:ind w:left="460" w:right="459" w:hanging="6"/>
        <w:spacing w:after="0" w:line="281" w:lineRule="auto"/>
        <w:tabs>
          <w:tab w:leader="none" w:pos="709" w:val="left"/>
        </w:tabs>
        <w:numPr>
          <w:ilvl w:val="0"/>
          <w:numId w:val="35"/>
        </w:numPr>
        <w:rPr>
          <w:rFonts w:ascii="Arial" w:cs="Arial" w:eastAsia="Arial" w:hAnsi="Arial"/>
          <w:sz w:val="16"/>
          <w:szCs w:val="16"/>
          <w:color w:val="auto"/>
        </w:rPr>
      </w:pPr>
      <w:r>
        <w:rPr>
          <w:rFonts w:ascii="Arial" w:cs="Arial" w:eastAsia="Arial" w:hAnsi="Arial"/>
          <w:sz w:val="16"/>
          <w:szCs w:val="16"/>
          <w:color w:val="auto"/>
        </w:rPr>
        <w:t>Ventoux Merger Sub I merged with and into Presto, with Presto being the Surviving Corporation in the First Merger and continuing (immediately following the First Merger) as a wholly-owned subsidiary of VTAQ and</w:t>
      </w:r>
    </w:p>
    <w:p>
      <w:pPr>
        <w:spacing w:after="0" w:line="1" w:lineRule="exact"/>
        <w:rPr>
          <w:rFonts w:ascii="Arial" w:cs="Arial" w:eastAsia="Arial" w:hAnsi="Arial"/>
          <w:sz w:val="16"/>
          <w:szCs w:val="16"/>
          <w:color w:val="auto"/>
        </w:rPr>
      </w:pPr>
    </w:p>
    <w:p>
      <w:pPr>
        <w:jc w:val="both"/>
        <w:ind w:left="460" w:right="459" w:hanging="6"/>
        <w:spacing w:after="0" w:line="288" w:lineRule="auto"/>
        <w:tabs>
          <w:tab w:leader="none" w:pos="726"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On September 14, 2022, VTAQ held a special meeting of its stockholders and voted to approve the Proposed Business Combination (the “Business Combination” or the “Merger”). Upon the Closing, VTAQ was renamed “Presto Automation Inc.” and the VTAQ Common Stock and the Public Warrants continue to be listed on Nasdaq and trade under the ticker symbols “PRST” and “PRSTW,” respectively.</w:t>
      </w:r>
    </w:p>
    <w:p>
      <w:pPr>
        <w:spacing w:after="0" w:line="87"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The Merger has been accounted for as a reverse recapitalization in accordance with U.S. GAAP. Under the guidance in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VTAQ, who is the legal acquirer, has been treated as the “acquired” company for financial reporting purposes and Presto has been treated as the accounting acquirer. This determination was primarily based on Presto having a majority of the voting power of the post-combination company, Presto’s senior management comprising substantially all of the senior management of the post-combination company, the relative size of Presto compared to VTAQ, and Presto’s operations comprising the ongoing operations of the post-combination company. Accordingly, for accounting purposes, the Merger has been treated as the equivalent of a capital transaction in which Presto is issuing stock for the net assets of VTAQ. The net assets of VTAQ have been stated at historical cost, with no goodwill or other intangible assets recorded. Operations prior to the Merger are those of Presto, as Presto is considered the predecessor for financial reporting purposes.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Public Company Costs</w:t>
      </w:r>
    </w:p>
    <w:p>
      <w:pPr>
        <w:spacing w:after="0" w:line="162"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Subsequent to the Merger, New Presto is an SEC-registrant and Nasdaq-listed company. Accordingly, we have hired and expect to hire additional staff and implement new processes and procedures to address public company requirements. We also expect to incur substantial additional expenses for, among other things, directors’ and officers’ liability insurance, director fees, and additional internal and external costs for investor relations, accounting, audit, legal and other functions.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Impact of COVID-19</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Presto has been subject to risks and uncertainties as a result of the outbreak of a novel strain of coronavirus, designated “COVID-19” and actions taken by federal, state and local governments to control the spread of infections. COVID-19 has also had a significant impact on the restaurant and hospitality sector in which Presto operates. Many restaurants closed completely due to lockdowns and staff shortages, especially as multiple waves of COVID-19 continued to debilitate the restaurant and hospitality industry. As of March 31, 2023, this pandemic continues to have an economic impact, some of it in ways that are difficult to quantify and anticipate.</w:t>
      </w:r>
    </w:p>
    <w:p>
      <w:pPr>
        <w:spacing w:after="0" w:line="11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Presto experienced two impacts from the initial onset of COVID-19 that resulted in significant charges to the statement of operations for the periods presented:</w:t>
      </w:r>
    </w:p>
    <w:p>
      <w:pPr>
        <w:spacing w:after="0" w:line="103" w:lineRule="exact"/>
        <w:rPr>
          <w:sz w:val="20"/>
          <w:szCs w:val="20"/>
          <w:color w:val="auto"/>
        </w:rPr>
      </w:pPr>
    </w:p>
    <w:p>
      <w:pPr>
        <w:jc w:val="both"/>
        <w:ind w:left="1320" w:right="459" w:hanging="434"/>
        <w:spacing w:after="0" w:line="254" w:lineRule="auto"/>
        <w:tabs>
          <w:tab w:leader="none" w:pos="1316"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Loss on Infrequent Product Repairs.</w:t>
      </w:r>
      <w:r>
        <w:rPr>
          <w:rFonts w:ascii="Arial" w:cs="Arial" w:eastAsia="Arial" w:hAnsi="Arial"/>
          <w:sz w:val="18"/>
          <w:szCs w:val="18"/>
          <w:color w:val="auto"/>
        </w:rPr>
        <w:t>Social distancing practices resulted in customers implementing a range of extreme cleaning protocols involving Presto’s products. Specifically, customers started to clean Presto’s devices with highly invasive commercial disinfectant solutions, which leaked into the hardware, causing significant damage to the devices and requiring repair or replacement. This resulted in a significant spike in repair and return merchandise authorization (“RMA”) expenses compared to historical expenses. During the nine months ended March 31, 2022, the volume of repair charges Presto experienced were</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9" w:name="page60"/>
    <w:bookmarkEnd w:id="5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320" w:right="459"/>
        <w:spacing w:after="0" w:line="284" w:lineRule="auto"/>
        <w:rPr>
          <w:sz w:val="20"/>
          <w:szCs w:val="20"/>
          <w:color w:val="auto"/>
        </w:rPr>
      </w:pPr>
      <w:r>
        <w:rPr>
          <w:rFonts w:ascii="Arial" w:cs="Arial" w:eastAsia="Arial" w:hAnsi="Arial"/>
          <w:sz w:val="16"/>
          <w:szCs w:val="16"/>
          <w:color w:val="auto"/>
        </w:rPr>
        <w:t>higher than usual due to a liquid ingress issue resulting from COVID-19 related actions by its customers. In order to prevent disruption to customers’ businesses, Presto incurred $0.1 million and $0.6 million of loss on infrequent product repairs related to this issue, in the three and nine months ended March 31, 2022, respectively, which is presented as a separate line item on Presto’s condensed consolidated statement of operations and comprehensive income (loss). There were no similar expenses incurred during the three and nine months ended March 31, 2023 related to the matter. Typically, these issues would be considered to be negligence on the part of the customer and would not be covered by Presto’s standard warranty; however, given the nature of the issues and the fact that the cleaning protocols were a mandatory precaution as a result of COVID-19 and were not expected to cause such widespread damage to the devices, Presto, as a sign of goodwill and for customer satisfaction, incurred the repair and replacement expenses related to the liquid ingress issue. The expenses incurred were not honored by the manufacturer’s warranty under the RMA process. Presto has made claims to recover the costs from the third-party subcontractor who manufactures the hardware. In June 2022, the Company received a favorable arbitrator ruling related to a matter with its third-party subcontractor and was awarded approximately $11.3 million in damages related to the Company’s loss on infrequent product repairs and to cover its legal expenses. This arbitration ruling was affirmed by the appellate court in the country of the arbitration ruling on March 6, 2023. On May 2, 2023, the vendor appealed the ruling to the highest court there. The award has not met the criteria to be considered realizable as of March 31, 2023. As a result, the Company has not recognized any gain related to this settlement in its condensed consolidated statement of operations and comprehensive income (loss).</w:t>
      </w:r>
    </w:p>
    <w:p>
      <w:pPr>
        <w:spacing w:after="0" w:line="112" w:lineRule="exact"/>
        <w:rPr>
          <w:sz w:val="20"/>
          <w:szCs w:val="20"/>
          <w:color w:val="auto"/>
        </w:rPr>
      </w:pPr>
    </w:p>
    <w:p>
      <w:pPr>
        <w:jc w:val="both"/>
        <w:ind w:left="1320" w:right="459" w:hanging="434"/>
        <w:spacing w:after="0" w:line="269" w:lineRule="auto"/>
        <w:tabs>
          <w:tab w:leader="none" w:pos="1316"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Hardware Repair Expenses Related to COVID-19. </w:t>
      </w:r>
      <w:r>
        <w:rPr>
          <w:rFonts w:ascii="Arial" w:cs="Arial" w:eastAsia="Arial" w:hAnsi="Arial"/>
          <w:sz w:val="17"/>
          <w:szCs w:val="17"/>
          <w:color w:val="auto"/>
        </w:rPr>
        <w:t>As a result of COVID-19, Presto incurred</w:t>
      </w:r>
      <w:r>
        <w:rPr>
          <w:rFonts w:ascii="Arial" w:cs="Arial" w:eastAsia="Arial" w:hAnsi="Arial"/>
          <w:sz w:val="17"/>
          <w:szCs w:val="17"/>
          <w:i w:val="1"/>
          <w:iCs w:val="1"/>
          <w:color w:val="auto"/>
        </w:rPr>
        <w:t xml:space="preserve"> </w:t>
      </w:r>
      <w:r>
        <w:rPr>
          <w:rFonts w:ascii="Arial" w:cs="Arial" w:eastAsia="Arial" w:hAnsi="Arial"/>
          <w:sz w:val="17"/>
          <w:szCs w:val="17"/>
          <w:color w:val="auto"/>
        </w:rPr>
        <w:t>higher than usual repair expenses for one-time, infrequent product repairs that were not covered by Presto’s third-party manufacturer, who typically covers the costs during the nine months ended March 31, 2022. The increase in expenses was a result of a higher volume of repair requests due to customer issues arising from COVID-19 related complications and a desire on the part of customers to have Presto reboot and re-certify equipment coming out of COVID-19. During the three and nine months ended March 31, 2022, Presto incurred $0 and $1.1 million of hardware repair expenses related to COVID-19, respectively. The expenses incurred were not honored by the manufacturer’s warranty under the RMA process. There were no similar expenses incurred during the three and nine months ended March 31, 2023.</w:t>
      </w:r>
    </w:p>
    <w:p>
      <w:pPr>
        <w:spacing w:after="0" w:line="11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extent of any continuing impact of the COVID-19 pandemic on Presto’s business remains uncertain and difficult to predict, as government authorities may implement new restrictions in response to changes in the number of COVID-19 infections or new variants of the disease. Additionally, economies worldwide have been negatively impacted by the COVID-19 pandemic, which resulted in a global economic slowdown, supply chain issues and inflationary pressures.</w:t>
      </w:r>
    </w:p>
    <w:p>
      <w:pPr>
        <w:spacing w:after="0" w:line="107"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Presto took several actions to mitigate the effects of the COVID-19 pandemic on its operations and franchisees. In April 2020, Presto received a loan of approximately $2.6 million under the U.S. Small Business Administration (“SBA”) Paycheck Protection Program (“PPP”), to assist with the economic hardships caused by the pandemic. In March 2021, Presto received a second loan of $2.0 million under SBA PPP. In August 2021, Presto was granted forgiveness of the first loan in an amount of approximately $2.6 million. In July 2022, Presto was granted forgiveness of the second loan in an amount of approximately $2.0 million.</w:t>
      </w:r>
    </w:p>
    <w:p>
      <w:pPr>
        <w:spacing w:after="0" w:line="97"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severity of any continued impact of the COVID-19 pandemic or similar health emergencies or pandemics on Presto’s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consumer re-engagement with our customers and, in general, what the short- and long-term impacts on consumer discretionary spending may be on Presto and the restaurant industry as a whole, all of which are uncertain and cannot be predicted. Presto’s future results of operations and liquidity could be impacted adversely by future dine-in restrictions and the failure of any initiatives or programs that Presto may undertake to address financial and operational challenges faced by it and its franchisees. As such, the extent to which our financial condition, liquidity, or results of operations may be negatively impacted by COVID-19 or other health emergencies or pandemics, resulting supply chain disruptions, inflationary pressures and general macroeconomic conditions remains highly uncertain.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0" w:name="page61"/>
    <w:bookmarkEnd w:id="6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Purchase Agreement</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On May 22, 2023, Presto entered into the Purchase Agreement with certain accredited investors named therein (collectively, the “Purchasers”), pursuant to which the Company agreed to sell an aggregate of 4,760,500 newly issued shares of the Company’s Common Stock, at a purchase price of $2.00 per share for an aggregate purchase price of approximately $9.5 million. The Purchasers include existing shareholders of the Company and new investors. The Purchase Agreement contains customary representations, warranties and covenants of the parties, and the closing was subject to customary closing conditions. The Private Placement closed on May 25, 2023.</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connection with the Purchase Agreement and the Private Placement, on May 22, 2023, Presto also entered into the 2023 PIPE Registration Rights Agreement with the Purchasers. Presto is filing this registration statement of which this prospectus forms a part pursuant to the provisions of the 2023 PIPE Registration Rights Agreement. Pursuant to the terms of the 2023 PIPE Registration Rights Agreement, Presto agreed to provide customary registration rights to the Purchasers with respect to the shares of Presto Common Stock issued in the Private Placement as described above.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Second Amendment to Credit Agreement</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On May 22, 2023, the Company entered into a Second Amendment to Credit Agreement with the lenders and the other parties party thereto and Metropolitan, the administrative, payment and collateral agent for the lenders, pursuant to which the parties amended certain covenants of the Credit Agreement (as defined below), and the lenders agreed to the exchange of an aggregate of $1,000,000 of accrued and previously capitalized interest for the Conversion Warrants. In connection with the effectiveness of the Second Amendment and in consideration for Metropolitan’s entering into the Second Amendment, the Company entered into the Fee Letter with Metropolitan, pursuant to which the Company issued the Second Amendment Warrants to the lenders as an amendment fee.</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In accordance with the terms of the Second Amendment, Presto and Metropolitan are registering the Conversion Warrants Shares and the Second Amendment Warrants Shares under the existing Metropolitan Registration Rights Agreement as Registrable Securities (as defined in the Metropolitan Registration Rights Agreement). Presto is filing this registration statement of which this prospectus forms a part pursuant to the provisions of the Metropolitan Registration Rights Agreement. Pursuant to the terms of the Metropolitan Registration Rights Agreement, Presto agreed to provide customary registration rights to the Metropolitan Entities with respect to the shares of Presto Common Stock issuable upon exercise of the warrants described above.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Departure of Chief Financial Officer</w:t>
      </w:r>
    </w:p>
    <w:p>
      <w:pPr>
        <w:spacing w:after="0" w:line="15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On January 3, 2023, Ashish Gupta, Presto’s Chief Financial Officer, informed Presto that he would be leaving Presto by the end of the quarter. On March 4, 2023, Presto entered into an agreement with Mr. Gupta pursuant to which his employment with Presto ended effective as of March 7, 2023, and he agreed to continue to provide services to Presto, on a contract basis until May 19, 2023 to ensure a smooth transition for Presto’s finance team and to ensure the successful filing of Presto’s Quarterly Report on Form 10-Q. On May 3, 2023, Presto entered into an amendment to the agreement with Mr. Gupta. The amendment extends Mr. Gupta’s continued services to Presto, on a contract basis until July 31, 2023.</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Revenue Model</w:t>
      </w:r>
    </w:p>
    <w:p>
      <w:pPr>
        <w:spacing w:after="0" w:line="162"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Our revenue is driven by our ability to attract new customers, retain existing customers, increase sales from both new and existing customers, and ultimately help our customers grow their businesses. We serve casual dining, quick serve and fast casual restaurants that are made up primarily of named logos with tens to thousands of locations, consisting of both corporates and franchisees.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1" w:name="page62"/>
    <w:bookmarkEnd w:id="6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During the three and nine months ended March 31, 2023 and 2022, we derived our revenues from two revenue streams: (1) sales and leases of the Presto Touch and AI Platform products (“</w:t>
      </w:r>
      <w:r>
        <w:rPr>
          <w:rFonts w:ascii="Arial" w:cs="Arial" w:eastAsia="Arial" w:hAnsi="Arial"/>
          <w:sz w:val="16"/>
          <w:szCs w:val="16"/>
          <w:b w:val="1"/>
          <w:bCs w:val="1"/>
          <w:color w:val="auto"/>
        </w:rPr>
        <w:t>platform revenue</w:t>
      </w:r>
      <w:r>
        <w:rPr>
          <w:rFonts w:ascii="Arial" w:cs="Arial" w:eastAsia="Arial" w:hAnsi="Arial"/>
          <w:sz w:val="16"/>
          <w:szCs w:val="16"/>
          <w:color w:val="auto"/>
        </w:rPr>
        <w:t>”), which includes hardware, hardware accessories, software and customer support and maintenance, and</w:t>
      </w:r>
    </w:p>
    <w:p>
      <w:pPr>
        <w:spacing w:after="0" w:line="2" w:lineRule="exact"/>
        <w:rPr>
          <w:sz w:val="20"/>
          <w:szCs w:val="20"/>
          <w:color w:val="auto"/>
        </w:rPr>
      </w:pPr>
    </w:p>
    <w:p>
      <w:pPr>
        <w:ind w:left="460" w:right="459" w:hanging="6"/>
        <w:spacing w:after="0" w:line="260" w:lineRule="auto"/>
        <w:tabs>
          <w:tab w:leader="none" w:pos="783"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Premium Content (gaming) and other revenue, which includes professional services (“</w:t>
      </w:r>
      <w:r>
        <w:rPr>
          <w:rFonts w:ascii="Arial" w:cs="Arial" w:eastAsia="Arial" w:hAnsi="Arial"/>
          <w:sz w:val="18"/>
          <w:szCs w:val="18"/>
          <w:b w:val="1"/>
          <w:bCs w:val="1"/>
          <w:color w:val="auto"/>
        </w:rPr>
        <w:t>transaction</w:t>
      </w:r>
      <w:r>
        <w:rPr>
          <w:rFonts w:ascii="Arial" w:cs="Arial" w:eastAsia="Arial" w:hAnsi="Arial"/>
          <w:sz w:val="18"/>
          <w:szCs w:val="18"/>
          <w:color w:val="auto"/>
        </w:rPr>
        <w:t xml:space="preserve"> </w:t>
      </w:r>
      <w:r>
        <w:rPr>
          <w:rFonts w:ascii="Arial" w:cs="Arial" w:eastAsia="Arial" w:hAnsi="Arial"/>
          <w:sz w:val="18"/>
          <w:szCs w:val="18"/>
          <w:b w:val="1"/>
          <w:bCs w:val="1"/>
          <w:color w:val="auto"/>
        </w:rPr>
        <w:t>revenue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320" w:right="459" w:hanging="434"/>
        <w:spacing w:after="0" w:line="288" w:lineRule="auto"/>
        <w:tabs>
          <w:tab w:leader="none" w:pos="1316"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Platform Revenue: </w:t>
      </w:r>
      <w:r>
        <w:rPr>
          <w:rFonts w:ascii="Arial" w:cs="Arial" w:eastAsia="Arial" w:hAnsi="Arial"/>
          <w:sz w:val="16"/>
          <w:szCs w:val="16"/>
          <w:color w:val="auto"/>
        </w:rPr>
        <w:t>the platform revenue stream is generated from fees charged to customers for</w:t>
      </w:r>
      <w:r>
        <w:rPr>
          <w:rFonts w:ascii="Arial" w:cs="Arial" w:eastAsia="Arial" w:hAnsi="Arial"/>
          <w:sz w:val="16"/>
          <w:szCs w:val="16"/>
          <w:i w:val="1"/>
          <w:iCs w:val="1"/>
          <w:color w:val="auto"/>
        </w:rPr>
        <w:t xml:space="preserve"> </w:t>
      </w:r>
      <w:r>
        <w:rPr>
          <w:rFonts w:ascii="Arial" w:cs="Arial" w:eastAsia="Arial" w:hAnsi="Arial"/>
          <w:sz w:val="16"/>
          <w:szCs w:val="16"/>
          <w:color w:val="auto"/>
        </w:rPr>
        <w:t>access to our Presto Touch product and is recognized ratably. Part of the total contract value is due upon execution of the contract, and the remainder is due when the customer goes live. Our contracts with customers are generally for a term ranging from 12 to 24 months. Amounts invoiced in excess of revenue recognized are recorded as deferred revenue. Revenue generated from the AI Platform (previously Voice and Vision) was not material for the three and nine months ended March 31, 2023 and 2022. Such revenue generated from the AI Platform is inclusive of $0.5 million and $1.1 million of contra-revenue related to the fair value of the warrant treated as a reduction to the transaction price of a customer during the three and nine months ended March 31, 2023, respectively. Refer to the Components of Results of Operations section below for further details.</w:t>
      </w:r>
    </w:p>
    <w:p>
      <w:pPr>
        <w:spacing w:after="0" w:line="100" w:lineRule="exact"/>
        <w:rPr>
          <w:rFonts w:ascii="Arial" w:cs="Arial" w:eastAsia="Arial" w:hAnsi="Arial"/>
          <w:sz w:val="16"/>
          <w:szCs w:val="16"/>
          <w:color w:val="auto"/>
        </w:rPr>
      </w:pPr>
    </w:p>
    <w:p>
      <w:pPr>
        <w:jc w:val="both"/>
        <w:ind w:left="1320" w:right="459"/>
        <w:spacing w:after="0" w:line="259" w:lineRule="auto"/>
        <w:rPr>
          <w:rFonts w:ascii="Arial" w:cs="Arial" w:eastAsia="Arial" w:hAnsi="Arial"/>
          <w:sz w:val="16"/>
          <w:szCs w:val="16"/>
          <w:color w:val="auto"/>
        </w:rPr>
      </w:pPr>
      <w:r>
        <w:rPr>
          <w:rFonts w:ascii="Arial" w:cs="Arial" w:eastAsia="Arial" w:hAnsi="Arial"/>
          <w:sz w:val="18"/>
          <w:szCs w:val="18"/>
          <w:color w:val="auto"/>
        </w:rPr>
        <w:t>We also maintain arrangements with a certain legacy customer whereby we lease the Presto Touch product to that customer. Revenue associated with the lease was recognized on a straight-line basis as platform revenue over the lease term in the condensed consolidated statements of operations and comprehensive loss.</w:t>
      </w:r>
    </w:p>
    <w:p>
      <w:pPr>
        <w:spacing w:after="0" w:line="105" w:lineRule="exact"/>
        <w:rPr>
          <w:rFonts w:ascii="Arial" w:cs="Arial" w:eastAsia="Arial" w:hAnsi="Arial"/>
          <w:sz w:val="16"/>
          <w:szCs w:val="16"/>
          <w:color w:val="auto"/>
        </w:rPr>
      </w:pPr>
    </w:p>
    <w:p>
      <w:pPr>
        <w:jc w:val="both"/>
        <w:ind w:left="1320" w:right="459" w:hanging="434"/>
        <w:spacing w:after="0" w:line="271" w:lineRule="auto"/>
        <w:tabs>
          <w:tab w:leader="none" w:pos="1316" w:val="left"/>
        </w:tabs>
        <w:numPr>
          <w:ilvl w:val="1"/>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Transaction Revenue: </w:t>
      </w:r>
      <w:r>
        <w:rPr>
          <w:rFonts w:ascii="Arial" w:cs="Arial" w:eastAsia="Arial" w:hAnsi="Arial"/>
          <w:sz w:val="17"/>
          <w:szCs w:val="17"/>
          <w:color w:val="auto"/>
        </w:rPr>
        <w:t>transaction revenue consists of a single performance obligation recognized</w:t>
      </w:r>
      <w:r>
        <w:rPr>
          <w:rFonts w:ascii="Arial" w:cs="Arial" w:eastAsia="Arial" w:hAnsi="Arial"/>
          <w:sz w:val="17"/>
          <w:szCs w:val="17"/>
          <w:i w:val="1"/>
          <w:iCs w:val="1"/>
          <w:color w:val="auto"/>
        </w:rPr>
        <w:t xml:space="preserve"> </w:t>
      </w:r>
      <w:r>
        <w:rPr>
          <w:rFonts w:ascii="Arial" w:cs="Arial" w:eastAsia="Arial" w:hAnsi="Arial"/>
          <w:sz w:val="17"/>
          <w:szCs w:val="17"/>
          <w:color w:val="auto"/>
        </w:rPr>
        <w:t>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w:t>
      </w:r>
    </w:p>
    <w:p>
      <w:pPr>
        <w:spacing w:after="0" w:line="111"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We have historically incurred operating losses and negative cash flows from operating activities. We expect to continue to incur operating losses for the foreseeable future as we work to expand our customer base and the number of locations in which our products are used, increase sales of our AI Platform products, increase our platform revenues and maintain our relationships with current customers.</w:t>
      </w:r>
    </w:p>
    <w:p>
      <w:pPr>
        <w:spacing w:after="0" w:line="10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ability to achieve profitability and positive cash flows from operating activities will depend primarily on our ability to increase revenues due to the following factors:</w:t>
      </w:r>
    </w:p>
    <w:p>
      <w:pPr>
        <w:spacing w:after="0" w:line="89" w:lineRule="exact"/>
        <w:rPr>
          <w:sz w:val="20"/>
          <w:szCs w:val="20"/>
          <w:color w:val="auto"/>
        </w:rPr>
      </w:pPr>
    </w:p>
    <w:p>
      <w:pPr>
        <w:jc w:val="both"/>
        <w:ind w:left="1320" w:right="459" w:hanging="434"/>
        <w:spacing w:after="0" w:line="271" w:lineRule="auto"/>
        <w:tabs>
          <w:tab w:leader="none" w:pos="1316"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Attracting New Customers and Expanding Locations in which Our Products are Used. </w:t>
      </w:r>
      <w:r>
        <w:rPr>
          <w:rFonts w:ascii="Arial" w:cs="Arial" w:eastAsia="Arial" w:hAnsi="Arial"/>
          <w:sz w:val="17"/>
          <w:szCs w:val="17"/>
          <w:color w:val="auto"/>
        </w:rPr>
        <w:t>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growth depends on our ability to attract new customers and expand the locations across which our current and new customers use our products. For fiscal year 2023, we expect the majority of our new customer growth and new customer location expansion to come from sales of our AI Platform products. In an effort to attract new customers and expand our locations served, since the third quarter of fiscal year of 2022, we have signed several AI Platform pilot customers. Certain of these pilot customers have more than a thousand locations each. Our goal is to convert these pilot customers into broader customer relationships in fiscal years 2023 and 2024.</w:t>
      </w:r>
    </w:p>
    <w:p>
      <w:pPr>
        <w:spacing w:after="0" w:line="110" w:lineRule="exact"/>
        <w:rPr>
          <w:rFonts w:ascii="Arial" w:cs="Arial" w:eastAsia="Arial" w:hAnsi="Arial"/>
          <w:sz w:val="17"/>
          <w:szCs w:val="17"/>
          <w:color w:val="auto"/>
        </w:rPr>
      </w:pPr>
    </w:p>
    <w:p>
      <w:pPr>
        <w:jc w:val="both"/>
        <w:ind w:left="1320" w:right="459" w:hanging="434"/>
        <w:spacing w:after="0" w:line="254" w:lineRule="auto"/>
        <w:tabs>
          <w:tab w:leader="none" w:pos="1316"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Increasing AI Platform Product Sales.</w:t>
      </w:r>
      <w:r>
        <w:rPr>
          <w:rFonts w:ascii="Arial" w:cs="Arial" w:eastAsia="Arial" w:hAnsi="Arial"/>
          <w:sz w:val="18"/>
          <w:szCs w:val="18"/>
          <w:color w:val="auto"/>
        </w:rPr>
        <w:t>This AI Platform demand is due to the fact that our products mitigate the impact of severe nation-wide labor shortages faced by the restaurant and hospitality industry, as well as the increased cost of employment for these enterprises due to increasing minimum wages and higher costs of labor in general. For example, in January 2022, with collaboration from a third party, we announced the industry’s first enterprise Voice rollout with Checkers, a nation-wide restaurant chain with approximately 840 locations. Our goal is to continue to increase sales of our AI Platform products to capture new customers.</w:t>
      </w:r>
    </w:p>
    <w:p>
      <w:pPr>
        <w:spacing w:after="0" w:line="127" w:lineRule="exact"/>
        <w:rPr>
          <w:rFonts w:ascii="Arial" w:cs="Arial" w:eastAsia="Arial" w:hAnsi="Arial"/>
          <w:sz w:val="18"/>
          <w:szCs w:val="18"/>
          <w:color w:val="auto"/>
        </w:rPr>
      </w:pPr>
    </w:p>
    <w:p>
      <w:pPr>
        <w:jc w:val="both"/>
        <w:ind w:left="1320" w:right="459" w:hanging="434"/>
        <w:spacing w:after="0" w:line="257" w:lineRule="auto"/>
        <w:tabs>
          <w:tab w:leader="none" w:pos="1316"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Increase Platform Revenues. </w:t>
      </w:r>
      <w:r>
        <w:rPr>
          <w:rFonts w:ascii="Arial" w:cs="Arial" w:eastAsia="Arial" w:hAnsi="Arial"/>
          <w:sz w:val="18"/>
          <w:szCs w:val="18"/>
          <w:color w:val="auto"/>
        </w:rPr>
        <w:t>As described above, we generate revenue through two main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streams: (i) platform revenue and (ii) transaction revenue. We believe our overall growth will be largely driven by platform revenue growth, which we eventually expect to have higher margins than transaction revenues. Platform revenue growth will in turn be driven by an increase in sales of our AI Platform products.</w:t>
      </w:r>
    </w:p>
    <w:p>
      <w:pPr>
        <w:spacing w:after="0" w:line="106" w:lineRule="exact"/>
        <w:rPr>
          <w:rFonts w:ascii="Arial" w:cs="Arial" w:eastAsia="Arial" w:hAnsi="Arial"/>
          <w:sz w:val="18"/>
          <w:szCs w:val="18"/>
          <w:color w:val="auto"/>
        </w:rPr>
      </w:pPr>
    </w:p>
    <w:p>
      <w:pPr>
        <w:jc w:val="both"/>
        <w:ind w:left="1320" w:right="459" w:hanging="434"/>
        <w:spacing w:after="0" w:line="259" w:lineRule="auto"/>
        <w:tabs>
          <w:tab w:leader="none" w:pos="1316"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Maintain Relationships with Current Customers. </w:t>
      </w:r>
      <w:r>
        <w:rPr>
          <w:rFonts w:ascii="Arial" w:cs="Arial" w:eastAsia="Arial" w:hAnsi="Arial"/>
          <w:sz w:val="18"/>
          <w:szCs w:val="18"/>
          <w:color w:val="auto"/>
        </w:rPr>
        <w:t>In order to help foster robust contract renewals,</w:t>
      </w:r>
      <w:r>
        <w:rPr>
          <w:rFonts w:ascii="Arial" w:cs="Arial" w:eastAsia="Arial" w:hAnsi="Arial"/>
          <w:sz w:val="18"/>
          <w:szCs w:val="18"/>
          <w:i w:val="1"/>
          <w:iCs w:val="1"/>
          <w:color w:val="auto"/>
        </w:rPr>
        <w:t xml:space="preserve"> </w:t>
      </w:r>
      <w:r>
        <w:rPr>
          <w:rFonts w:ascii="Arial" w:cs="Arial" w:eastAsia="Arial" w:hAnsi="Arial"/>
          <w:sz w:val="18"/>
          <w:szCs w:val="18"/>
          <w:color w:val="auto"/>
        </w:rPr>
        <w:t>our account management and program management teams conduct quarterly business reviews with our top customers which generate the most value to us, in order to build a pathway to a successful renewal and</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2" w:name="page63"/>
    <w:bookmarkEnd w:id="6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320" w:right="459"/>
        <w:spacing w:after="0" w:line="311" w:lineRule="auto"/>
        <w:rPr>
          <w:sz w:val="20"/>
          <w:szCs w:val="20"/>
          <w:color w:val="auto"/>
        </w:rPr>
      </w:pPr>
      <w:r>
        <w:rPr>
          <w:rFonts w:ascii="Arial" w:cs="Arial" w:eastAsia="Arial" w:hAnsi="Arial"/>
          <w:sz w:val="16"/>
          <w:szCs w:val="16"/>
          <w:color w:val="auto"/>
        </w:rPr>
        <w:t>product upgrade in each fiscal year. Successful renewal of our largest customers is critical to our near-term results of operations and is dependent on product execution, key customer relationships, and in part, health of the franchisees for our customers that have a predominantly franchised model.</w:t>
      </w:r>
    </w:p>
    <w:p>
      <w:pPr>
        <w:spacing w:after="0" w:line="8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encountered in the past, and may encounter in the future, risks and uncertainties frequently experienced by growing companies in rapidly changing industries. For example, the size and timing of customer rollouts from quarter-to-quarter can vary given our focus on large chain restaurants, which often have different decision-making cycles and levels of internal preparedness. Lastly, another COVID-19 surge could adversely affect the restaurant industry and our customer base by decreasing restaurant demand through a decrease in consumer visits and foot traffic (which we believe ultimately drives our customers’ top line revenues), thereby decreasing demand for our equipment.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Non-GAAP Financial Measures</w:t>
      </w:r>
    </w:p>
    <w:p>
      <w:pPr>
        <w:spacing w:after="0" w:line="16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To supplement our condensed consolidated financial statements, which are prepared and presented in accordance with generally accepted accounting principles in the United States of America (“U. S. GAAP”), we use certain non-GAAP financial measures, as described below, to understand and evaluate our core operating performance. These non-GAAP financial measures, which may be different than similarly-titled measures used by other companies, are presented to enhance investors’ overall understanding of our financial performance and should not be considered as substitutes for, or superior to, the financial information prepared and presented in accordance with GAAP contained in this prospectus.</w:t>
      </w:r>
    </w:p>
    <w:p>
      <w:pPr>
        <w:spacing w:after="0" w:line="96"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We believe that these non-GAAP financial measures provide useful information about our financial performance, enhance the overall understanding of our past performance and future prospects, and allow for greater transparency with respect to important metrics used by our management for financial and operational decision-making. We are presenting these non-GAAP metrics to assist investors in seeing our financial performance using a management view. We believe that these measures provide an additional tool for investors to use in comparing our core financial performance over multiple periods with other companies in our industry.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Adjusted Gross Profit</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Adjusted Gross Profit is calculated as gross profit adjusted to add back depreciation, contra-revenue from warrants granted to a customer, and hardware repair expenses related to COVID.</w:t>
      </w:r>
    </w:p>
    <w:p>
      <w:pPr>
        <w:spacing w:after="0" w:line="103"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We use Adjusted Gross Profit to understand and evaluate our core operating performance and trends. We believe this metric is a useful measure to us and to our investors to assist in evaluating our performance because it removes the impact of events that do not reflect our core operating performance, thereby providing consistency and direct comparability with our past financial performance and between fiscal periods.</w:t>
      </w:r>
    </w:p>
    <w:p>
      <w:pPr>
        <w:spacing w:after="0" w:line="7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following table provides a reconciliation of gross profit to Adjusted Gross Profit for each of the periods indicated:</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6"/>
          </w:tcPr>
          <w:p>
            <w:pPr>
              <w:jc w:val="right"/>
              <w:ind w:right="480"/>
              <w:spacing w:after="0"/>
              <w:rPr>
                <w:sz w:val="20"/>
                <w:szCs w:val="20"/>
                <w:color w:val="auto"/>
              </w:rPr>
            </w:pPr>
            <w:r>
              <w:rPr>
                <w:rFonts w:ascii="Arial" w:cs="Arial" w:eastAsia="Arial" w:hAnsi="Arial"/>
                <w:sz w:val="16"/>
                <w:szCs w:val="16"/>
                <w:b w:val="1"/>
                <w:bCs w:val="1"/>
                <w:color w:val="auto"/>
                <w:w w:val="99"/>
              </w:rPr>
              <w:t>Three months ended</w:t>
            </w:r>
          </w:p>
        </w:tc>
        <w:tc>
          <w:tcPr>
            <w:tcW w:w="220" w:type="dxa"/>
            <w:vAlign w:val="bottom"/>
          </w:tcPr>
          <w:p>
            <w:pPr>
              <w:spacing w:after="0"/>
              <w:rPr>
                <w:sz w:val="17"/>
                <w:szCs w:val="17"/>
                <w:color w:val="auto"/>
              </w:rPr>
            </w:pPr>
          </w:p>
        </w:tc>
        <w:tc>
          <w:tcPr>
            <w:tcW w:w="2060" w:type="dxa"/>
            <w:vAlign w:val="bottom"/>
            <w:gridSpan w:val="4"/>
          </w:tcPr>
          <w:p>
            <w:pPr>
              <w:jc w:val="right"/>
              <w:ind w:right="39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18"/>
                <w:szCs w:val="18"/>
                <w:color w:val="auto"/>
              </w:rPr>
            </w:pPr>
          </w:p>
        </w:tc>
      </w:tr>
      <w:tr>
        <w:trPr>
          <w:trHeight w:val="47"/>
        </w:trPr>
        <w:tc>
          <w:tcPr>
            <w:tcW w:w="3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17"/>
        </w:trPr>
        <w:tc>
          <w:tcPr>
            <w:tcW w:w="35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820" w:type="dxa"/>
            <w:vAlign w:val="bottom"/>
          </w:tcPr>
          <w:p>
            <w:pPr>
              <w:jc w:val="right"/>
              <w:ind w:right="273"/>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252"/>
              <w:spacing w:after="0"/>
              <w:rPr>
                <w:sz w:val="20"/>
                <w:szCs w:val="20"/>
                <w:color w:val="auto"/>
              </w:rPr>
            </w:pPr>
            <w:r>
              <w:rPr>
                <w:rFonts w:ascii="Arial" w:cs="Arial" w:eastAsia="Arial" w:hAnsi="Arial"/>
                <w:sz w:val="16"/>
                <w:szCs w:val="16"/>
                <w:b w:val="1"/>
                <w:bCs w:val="1"/>
                <w:color w:val="auto"/>
                <w:w w:val="95"/>
              </w:rPr>
              <w:t>2022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332"/>
              <w:spacing w:after="0"/>
              <w:rPr>
                <w:sz w:val="20"/>
                <w:szCs w:val="20"/>
                <w:color w:val="auto"/>
              </w:rPr>
            </w:pPr>
            <w:r>
              <w:rPr>
                <w:rFonts w:ascii="Arial" w:cs="Arial" w:eastAsia="Arial" w:hAnsi="Arial"/>
                <w:sz w:val="16"/>
                <w:szCs w:val="16"/>
                <w:b w:val="1"/>
                <w:bCs w:val="1"/>
                <w:color w:val="auto"/>
                <w:w w:val="89"/>
              </w:rPr>
              <w:t>2022</w:t>
            </w:r>
          </w:p>
        </w:tc>
      </w:tr>
      <w:tr>
        <w:trPr>
          <w:trHeight w:val="47"/>
        </w:trPr>
        <w:tc>
          <w:tcPr>
            <w:tcW w:w="3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57"/>
        </w:trPr>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w:t>
            </w: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w:t>
            </w: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r>
      <w:tr>
        <w:trPr>
          <w:trHeight w:val="243"/>
        </w:trPr>
        <w:tc>
          <w:tcPr>
            <w:tcW w:w="354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1,206</w:t>
            </w:r>
          </w:p>
        </w:tc>
      </w:tr>
      <w:tr>
        <w:trPr>
          <w:trHeight w:val="40"/>
        </w:trPr>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2"/>
        </w:trPr>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Contra-revenue associated with warrant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51"/>
        </w:trPr>
        <w:tc>
          <w:tcPr>
            <w:tcW w:w="3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agreement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gridSpan w:val="2"/>
          </w:tcPr>
          <w:p>
            <w:pPr>
              <w:spacing w:after="0"/>
              <w:rPr>
                <w:sz w:val="20"/>
                <w:szCs w:val="20"/>
                <w:color w:val="auto"/>
              </w:rPr>
            </w:pPr>
            <w:r>
              <w:rPr>
                <w:rFonts w:ascii="Arial" w:cs="Arial" w:eastAsia="Arial" w:hAnsi="Arial"/>
                <w:sz w:val="18"/>
                <w:szCs w:val="18"/>
                <w:color w:val="auto"/>
                <w:w w:val="99"/>
              </w:rPr>
              <w:t>Hardware repair expenses related to COVID</w:t>
            </w:r>
          </w:p>
        </w:tc>
        <w:tc>
          <w:tcPr>
            <w:tcW w:w="22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1,110</w:t>
            </w: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Gross Profit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Adjusted EBITDA</w:t>
      </w:r>
    </w:p>
    <w:p>
      <w:pPr>
        <w:spacing w:after="0" w:line="15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Adjusted EBITDA is defined as net loss, adjusted to exclude interest expense, other income, net, income taxes, depreciation and amortization expense, stock-based compensation expense, earnout stock-based compensation expense, change in fair value of warrant liabilities and convertible promissory notes, loss extinguishment of debt and financing obligations, other financing and financial instrument (costs) income, net, deferred compensation and bonuses earned upon closing of the Merger, public relations fee due upon closing of the Merger, loss on infrequent product repairs, contra-revenue from warrants granted to a customer, and hardware repair expenses related to COVID.</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3" w:name="page64"/>
    <w:bookmarkEnd w:id="6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We believe Adjusted EBITDA is useful for investors to use in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do not reflect our core operating performance, thereby providing consistency and direct comparability with our past financial performance and between fiscal periods. We have also excluded COVID-related expenses relating to loss on infrequent product repairs and excessive hardware repair expenses as the expenses are non-recurring as they occurred directly as a result of issues arising from COVID-19 protocols. They were not present in the years prior to the onset of COVID-19 and are not expected to recur. Excluding these COVID-related expenses serves to better reflect our operating performance and provides consistency and comparability with our past financial performance. We have also excluded nonrecurring costs related to the closing of the Merger, including a deferred compensation and bonuses earned upon the closing of the Merger, and a public relations fee due upon closing of the Merger. Excluding these costs attributable to the Merger better reflects our operating performance and provides consistency and comparability with our past financial performance. Adjusted EBITDA also has limitations as an analytical tool, and you should not consider this measure in isolation or as a substitute for analysis 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 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we exclude in our calculation of Adjusted EBITDA may differ from the expenses and other items that other companies may exclude from Adjusted EBITDA when they report their financial results.</w:t>
      </w:r>
    </w:p>
    <w:p>
      <w:pPr>
        <w:spacing w:after="0" w:line="10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following table provides a reconciliation of net loss to Adjusted EBITDA for each of the periods presented: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7"/>
          </w:tcPr>
          <w:p>
            <w:pPr>
              <w:jc w:val="right"/>
              <w:ind w:right="241"/>
              <w:spacing w:after="0"/>
              <w:rPr>
                <w:sz w:val="20"/>
                <w:szCs w:val="20"/>
                <w:color w:val="auto"/>
              </w:rPr>
            </w:pPr>
            <w:r>
              <w:rPr>
                <w:rFonts w:ascii="Arial" w:cs="Arial" w:eastAsia="Arial" w:hAnsi="Arial"/>
                <w:sz w:val="16"/>
                <w:szCs w:val="16"/>
                <w:b w:val="1"/>
                <w:bCs w:val="1"/>
                <w:color w:val="auto"/>
                <w:w w:val="96"/>
              </w:rPr>
              <w:t>Three months ended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6"/>
          </w:tcPr>
          <w:p>
            <w:pPr>
              <w:jc w:val="right"/>
              <w:ind w:right="36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7"/>
          </w:tcPr>
          <w:p>
            <w:pPr>
              <w:jc w:val="right"/>
              <w:ind w:right="601"/>
              <w:spacing w:after="0"/>
              <w:rPr>
                <w:sz w:val="20"/>
                <w:szCs w:val="20"/>
                <w:color w:val="auto"/>
              </w:rPr>
            </w:pPr>
            <w:r>
              <w:rPr>
                <w:rFonts w:ascii="Arial" w:cs="Arial" w:eastAsia="Arial" w:hAnsi="Arial"/>
                <w:sz w:val="16"/>
                <w:szCs w:val="16"/>
                <w:b w:val="1"/>
                <w:bCs w:val="1"/>
                <w:color w:val="auto"/>
              </w:rPr>
              <w:t>March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6"/>
                <w:szCs w:val="16"/>
                <w:b w:val="1"/>
                <w:bCs w:val="1"/>
                <w:color w:val="auto"/>
              </w:rPr>
              <w:t>March 31,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91"/>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1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91"/>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jc w:val="right"/>
              <w:ind w:right="171"/>
              <w:spacing w:after="0"/>
              <w:rPr>
                <w:sz w:val="20"/>
                <w:szCs w:val="20"/>
                <w:color w:val="auto"/>
              </w:rPr>
            </w:pPr>
            <w:r>
              <w:rPr>
                <w:rFonts w:ascii="Arial" w:cs="Arial" w:eastAsia="Arial" w:hAnsi="Arial"/>
                <w:sz w:val="16"/>
                <w:szCs w:val="16"/>
                <w:b w:val="1"/>
                <w:bCs w:val="1"/>
                <w:color w:val="auto"/>
                <w:w w:val="89"/>
              </w:rPr>
              <w:t>2022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(15,680)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(34,062)</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9,397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(2,612)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40"/>
        </w:trPr>
        <w:tc>
          <w:tcPr>
            <w:tcW w:w="3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5,794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Earnout stock-based compensation expense</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3,478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w w:val="95"/>
              </w:rPr>
              <w:t>Change in fair value of warrants and convertible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promissory notes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
              <w:spacing w:after="0"/>
              <w:rPr>
                <w:sz w:val="20"/>
                <w:szCs w:val="20"/>
                <w:color w:val="auto"/>
              </w:rPr>
            </w:pPr>
            <w:r>
              <w:rPr>
                <w:rFonts w:ascii="Arial" w:cs="Arial" w:eastAsia="Arial" w:hAnsi="Arial"/>
                <w:sz w:val="18"/>
                <w:szCs w:val="18"/>
                <w:color w:val="auto"/>
              </w:rPr>
              <w:t>(18,102)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(61,043)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on extinguishment of debt and financial</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w w:val="96"/>
              </w:rPr>
              <w:t>Other financing and financial instrument (costs)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income, net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3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 compensation and bonuses earned</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upon closing of the Merger</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Public relations fee due upon closing of the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Merger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3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Loss on infrequent product repairs</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Arial" w:cs="Arial" w:eastAsia="Arial" w:hAnsi="Arial"/>
                <w:sz w:val="18"/>
                <w:szCs w:val="18"/>
                <w:color w:val="auto"/>
                <w:w w:val="88"/>
              </w:rPr>
              <w:t>Contra-revenue associated with warrant agreement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3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Hardware repair expense related to COVID</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4"/>
        </w:trPr>
        <w:tc>
          <w:tcPr>
            <w:tcW w:w="3660" w:type="dxa"/>
            <w:vAlign w:val="bottom"/>
            <w:vMerge w:val="continue"/>
          </w:tcPr>
          <w:p>
            <w:pPr>
              <w:spacing w:after="0"/>
              <w:rPr>
                <w:sz w:val="21"/>
                <w:szCs w:val="21"/>
                <w:color w:val="auto"/>
              </w:rPr>
            </w:pPr>
          </w:p>
        </w:tc>
        <w:tc>
          <w:tcPr>
            <w:tcW w:w="30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(9,270</w:t>
            </w:r>
          </w:p>
        </w:tc>
        <w:tc>
          <w:tcPr>
            <w:tcW w:w="140" w:type="dxa"/>
            <w:vAlign w:val="bottom"/>
            <w:gridSpan w:val="2"/>
            <w:vMerge w:val="continue"/>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(7,090</w:t>
            </w:r>
          </w:p>
        </w:tc>
        <w:tc>
          <w:tcPr>
            <w:tcW w:w="140" w:type="dxa"/>
            <w:vAlign w:val="bottom"/>
            <w:vMerge w:val="continue"/>
          </w:tcPr>
          <w:p>
            <w:pPr>
              <w:spacing w:after="0"/>
              <w:rPr>
                <w:sz w:val="21"/>
                <w:szCs w:val="21"/>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(28,218</w:t>
            </w:r>
          </w:p>
        </w:tc>
        <w:tc>
          <w:tcPr>
            <w:tcW w:w="140" w:type="dxa"/>
            <w:vAlign w:val="bottom"/>
            <w:vMerge w:val="continue"/>
          </w:tcPr>
          <w:p>
            <w:pPr>
              <w:spacing w:after="0"/>
              <w:rPr>
                <w:sz w:val="21"/>
                <w:szCs w:val="21"/>
                <w:color w:val="auto"/>
              </w:rPr>
            </w:pP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(17,117</w:t>
            </w:r>
          </w:p>
        </w:tc>
        <w:tc>
          <w:tcPr>
            <w:tcW w:w="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jc w:val="both"/>
        <w:ind w:left="880" w:right="459" w:hanging="426"/>
        <w:spacing w:after="0" w:line="269" w:lineRule="auto"/>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June 2022, the Company received a favorable arbitrator ruling related to a matter with its third-party subcontractor and was awarded approximately $11.3 million in damages related to the Company’s loss on infrequent product repairs and to cover its legal expenses. This arbitration ruling was affirmed by the appellate court in the country of the arbitration ruling on March 6, 2023. On May 2, 2023, the vendor appealed the ruling to the highest court there. The award has not met the criteria to be considered realizable as of March 31, 2023. As a result, the Company has not recognized any gain related to this settlement in its condensed consolidated statement of operations and comprehensive loss.</w:t>
      </w:r>
    </w:p>
    <w:p>
      <w:pPr>
        <w:sectPr>
          <w:pgSz w:w="11900" w:h="16838" w:orient="portrait"/>
          <w:cols w:equalWidth="0" w:num="1">
            <w:col w:w="9019"/>
          </w:cols>
          <w:pgMar w:left="1440" w:top="274" w:right="1440" w:bottom="682"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682" w:gutter="0" w:footer="0" w:header="0"/>
          <w:type w:val="continuous"/>
        </w:sectPr>
      </w:pPr>
    </w:p>
    <w:bookmarkStart w:id="64" w:name="page65"/>
    <w:bookmarkEnd w:id="6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Key Performance Indicator</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use one primary key performance indicator to evaluate our operational and financial performance: net revenue retention.</w:t>
      </w:r>
    </w:p>
    <w:p>
      <w:pPr>
        <w:spacing w:after="0" w:line="10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Our ability to retain and increase revenue from our existing customer base is a key driver of our business growth. We expand within our existing customer base by selling additional products, adding more locations, and helping restaurants generate greater sales per location.</w:t>
      </w:r>
    </w:p>
    <w:p>
      <w:pPr>
        <w:spacing w:after="0" w:line="116"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Given the long-term and recurring nature of our customer contracts, we use net revenue retention as a key metric. Net revenue retention compares our revenue associated with a set of active restaurant logos in a one-year period to the same set of restaurant logos in the prior year period. We calculate net revenue retention by dividing a particular period’s recurring revenue, including both platform and transaction revenue, by the prior period’s recurring revenue using the same set of restaurant logos. Net revenue retention is an indicator of the propensity of our customers to continue working with us and expanding their relationship with us. We assess our net revenue retention on a rolling nine-month basis comparing year-over-year. For the nine months ended March 31, 2023, our net revenue retention was 94%, while for the nine months ended March 31, 2022, it was 102%. The slight decrease in the nine months ended March 31, 2023 was primarily due to contract terminations by a limited number of franchisees of existing enterprise and SMB customers.</w:t>
      </w:r>
    </w:p>
    <w:p>
      <w:pPr>
        <w:spacing w:after="0" w:line="87"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believe net revenue retention is useful for investors by providing a consistent comparison of customer results and growth across comparable periods within our core, established customer base, unaffected by the impact of new customers on our business.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Support of our Customers’ Revenue Growth</w:t>
      </w:r>
    </w:p>
    <w:p>
      <w:pPr>
        <w:spacing w:after="0" w:line="15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We believe our long-term revenue growth is correlated with the growth of our existing customers’ businesses, and we strive to support their success. Our revenue grows with that of our customers — as our customers generate more sales, we generally see higher platform and transaction revenue. We have a demonstrated track record of partnering with restaurants to help grow their revenue and will continue to invest in our customer success team and in new products that help customers thrive.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Adoption of Additional Products</w:t>
      </w:r>
    </w:p>
    <w:p>
      <w:pPr>
        <w:spacing w:after="0" w:line="15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offer additional products to existing customers through a combination of customer relationship management investments, product-led growth, and the introduction of new products. We believe that we provide the most value when our customers have multiple touchpoints across our platform. We also believe that adoption of additional products will drive labor savings and profitability improvements for our customers, allowing them to reinvest in their success. Decisions by our customers to adopt more of our products will depend on a number of factors, including our customers’ satisfaction with our platform, competition, pricing, and our ability to demonstrate the value proposition of our products.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Expansion of Locations Per Customer</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As our customers grow their businesses and open new locations, we expect to see a corresponding increase in locations on our platform. To that end, we work closely with restaurants across our customer-facing teams to support their expansion efforts. We believe that we are well-positioned to extend our reach to and onboard these new locations based on our customers’ desire to use a single, integrated platform across all locations. This impacts our ability to service individual customers with a dedicated, core team using the appropriate technological resources and personnel, creating operating efficiencies of scale while maintaining growth.</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New Locations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believe there is a substantial opportunity to continue to grow our restaurant solutions across the casual dining, quick service and fast casual sectors in the United States. We intend to continue to drive new location growth through our differentiated go-to-market strategy, including an industry advisor network, and enterprise sales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5" w:name="page66"/>
    <w:bookmarkEnd w:id="6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representatives who are deeply integrated in the local restaurant and hospitality sector. In addition, we will continue to invest in marketing efforts in key U.S. cities to grow our brand awareness. Our ability to acquire new locations will depend on a number of factors, including the effectiveness and growth of our sales team, the success of our marketing efforts, and the continued satisfaction of, and word-of-mouth referrals generated by, our existing customers. We expect our absolute investment in sales and marketing and other customer acquisition costs related to our hardware and professional services to increase as we continue to grow.</w:t>
      </w:r>
    </w:p>
    <w:p>
      <w:pPr>
        <w:spacing w:after="0" w:line="97"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number of locations is not in itself a key performance indicator utilized by our management because of varying financial arrangements and contribution. Rather, our management uses number of locations as a general measure of scale across our platform.</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Innovation and Development of New Products</w:t>
      </w:r>
    </w:p>
    <w:p>
      <w:pPr>
        <w:spacing w:after="0" w:line="15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We have a culture of continuous innovation evidenced by our history of consistent and timely product launches and refinements. We intend to continue to invest in research and development to expand and improve the functionality of our current platform and broaden our capabilities to address new market opportunities. As a result, we expect our total operating expenses will increase over time and, in some cases, have short-term negative impacts on our operating margin. Our ability to successfully develop, market, and sell new products to our customers will affect our competitive posture with our competitors.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Seasonality</w:t>
      </w:r>
    </w:p>
    <w:p>
      <w:pPr>
        <w:spacing w:after="0" w:line="14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We experience seasonality in our transaction revenue, which is largely driven by the level of gross payment volume processed through our platform. For example, customers typically have greater sales during the warmer months, though this effect varies regionally. As a result, our transaction revenue per location has historically been stronger in the second and third quarters. We believe that transaction revenue from both existing and potential future products will continue to represent a material proportion of our overall revenue mix at least in the near term and seasonality will continue to impact our results of operations.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generate revenue from two main sources that are further described below: (1) platform revenue and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transaction revenue.</w:t>
      </w:r>
    </w:p>
    <w:p>
      <w:pPr>
        <w:spacing w:after="0" w:line="143"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Platform revenue is generated from fees charged to customers for access to Presto Touch and AI Platform products and is recognized ratably. For Presto Touch, part of the total contract value is due upon execution of the contract, and the remainder is due upon installation of the systems. Our contracts with customers are generally for a term ranging from 12 to 24 months. Amounts invoiced in excess of revenue recognized are recorded as deferred revenue. We also maintained arrangements with a certain legacy customer whereby we leased the Presto Touch product to that customer. Revenue associated with the lease was recognized on a straight-line basis as platform revenue over the lease term in the consolidated statements of operations and comprehensive loss</w:t>
      </w:r>
      <w:r>
        <w:rPr>
          <w:rFonts w:ascii="Arial" w:cs="Arial" w:eastAsia="Arial" w:hAnsi="Arial"/>
          <w:sz w:val="16"/>
          <w:szCs w:val="16"/>
          <w:b w:val="1"/>
          <w:bCs w:val="1"/>
          <w:color w:val="auto"/>
        </w:rPr>
        <w:t>.</w:t>
      </w:r>
      <w:r>
        <w:rPr>
          <w:rFonts w:ascii="Arial" w:cs="Arial" w:eastAsia="Arial" w:hAnsi="Arial"/>
          <w:sz w:val="16"/>
          <w:szCs w:val="16"/>
          <w:color w:val="auto"/>
        </w:rPr>
        <w:t xml:space="preserve"> Pursuant to the primary AI Platform arrangement that we maintained during the three and nine months ended March 31, 2023, we remit a revenue share to our hardware and software vendor and accordingly, such revenue share is not recognized in our financial statements. Rather we have determined we are the agent and do not control the AI Platform hardware, software and other services and are not primarily responsible for fulfilling the promise to the customer. The revenue share paid to our hardware and software vendor under our AI Platform revenue share agreement ranged from 64% - 68% of the gross billings to the customer for the three and nine months ended March 31, 2023. Revenue, in our role as agent, that was generated from AI Platform products was not material for the three and nine months ended March 31, 2023 and 2022. Such revenue generated from AI Platform products is inclusive of $0.5 million and $1.1 million of contra-revenue related to the fair value of the warrant treated as a reduction to the transaction price of a customer for the three and nine months ended March 31, 2023, respectively.</w:t>
      </w:r>
    </w:p>
    <w:p>
      <w:pPr>
        <w:spacing w:after="0" w:line="30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6" w:name="page67"/>
    <w:bookmarkEnd w:id="6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license and its accessibility and have influence in establishing the price charged to the diner. The portion of gaming service collections withheld by the restaurant for sales commission is recorded to transaction cost of revenues. We also generate revenue from professional services, which primarily consists of fees from developing premium content to be used on the devices and installation. We recognize revenue from professional service engagements that occur over a period of time on a proportional performance basis as labor hours are incurred.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5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Platform cost of revenue consists of four categories: product costs, shipping/freight costs, installation costs and other costs. Product costs consist primarily of the cost to purchase the hardware and hardware accessories for the Presto Touch products. Shipping/freight costs consist of all costs to transport equipment to customers. Installation costs include the labor cost to install the hardware in each restaurant. Other costs include the amortization of capitalized software and product support costs, as well as certain costs paid to a vendor supporting the development of the vendor’s software and hardware offerings used in the AI Platform.</w:t>
      </w:r>
    </w:p>
    <w:p>
      <w:pPr>
        <w:spacing w:after="0" w:line="97"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We also incur costs to refurbish and repair our tablets. These costs are expensed in the period they are incurred, as the costs are expected to be linear and therefore, will match with the timing of revenue recognition over time. In connection with these costs, we also accrue a liability at each reporting period for expected repair costs for customer tablets currently in our Return Merchandize Authorization (“</w:t>
      </w:r>
      <w:r>
        <w:rPr>
          <w:rFonts w:ascii="Arial" w:cs="Arial" w:eastAsia="Arial" w:hAnsi="Arial"/>
          <w:sz w:val="17"/>
          <w:szCs w:val="17"/>
          <w:b w:val="1"/>
          <w:bCs w:val="1"/>
          <w:color w:val="auto"/>
        </w:rPr>
        <w:t>RMA</w:t>
      </w:r>
      <w:r>
        <w:rPr>
          <w:rFonts w:ascii="Arial" w:cs="Arial" w:eastAsia="Arial" w:hAnsi="Arial"/>
          <w:sz w:val="17"/>
          <w:szCs w:val="17"/>
          <w:color w:val="auto"/>
        </w:rPr>
        <w:t>”) process as of the reporting period, which are charged to platform cost of revenue. Our hardware repair expense was higher in the three and nine months ended March 31, 2022 than in the three and nine months ended March 31, 2023 due to COVID-related volume, whereby customers sent back tablets either simply to be checked or reset, or for cosmetic reasons or minor repairs.</w:t>
      </w:r>
    </w:p>
    <w:p>
      <w:pPr>
        <w:spacing w:after="0" w:line="97"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Transaction cost of revenue consists primarily of the portion of the fees collected from diners that are then paid to the restaurant as part of the revenue share agreement with each restaurant. As we bear the primary responsibility of the product, we are the principal in the premium content transactions and restaurants act as the agent, whereby we collect all of the fees paid as revenue and remit the revenue share to the restaurants as cost of revenue. The commissions paid to restaurants under our gaming revenue share agreements range on average between 84% – 90% and 83% – 90% of premium content revenue by customer logo for the three and nine months ended March 31, 2023, respectively. The commissions paid to restaurants under the Company’s gaming revenue share agreements ranged between 82% – 90% and 81% – 90% of premium content revenue by customer logo for the three and nine months ended March 31, 2022, respectively.</w:t>
      </w:r>
    </w:p>
    <w:p>
      <w:pPr>
        <w:spacing w:after="0" w:line="9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Depreciation and impairment cost of revenue consists primarily of the costs of leased assets that are included in property and equipment, net in the balance sheet that are amortized to cost of revenue and related impairment charges.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Operating expenses consist of sales and marketing, research and development, customer and warehouse operations, and general and administrative expenses. The largest single component of operating expenses is employee-related expenses, which include salaries, commissions and bonuses, stock-based compensation, and employee benefit and payroll costs.</w:t>
      </w:r>
    </w:p>
    <w:p>
      <w:pPr>
        <w:spacing w:after="0" w:line="106"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consist primarily of employee-related</w:t>
      </w:r>
      <w:r>
        <w:rPr>
          <w:rFonts w:ascii="Arial" w:cs="Arial" w:eastAsia="Arial" w:hAnsi="Arial"/>
          <w:sz w:val="17"/>
          <w:szCs w:val="17"/>
          <w:i w:val="1"/>
          <w:iCs w:val="1"/>
          <w:color w:val="auto"/>
        </w:rPr>
        <w:t xml:space="preserve"> </w:t>
      </w:r>
      <w:r>
        <w:rPr>
          <w:rFonts w:ascii="Arial" w:cs="Arial" w:eastAsia="Arial" w:hAnsi="Arial"/>
          <w:sz w:val="17"/>
          <w:szCs w:val="17"/>
          <w:color w:val="auto"/>
        </w:rPr>
        <w:t>costs associated with maintenance of our platform and the evaluation and development of new product offerings, as well as allocated overhead and expenses associated with the use of third-party software directly related to preliminary development and maintenance of our products and services. These costs are expensed as incurred unless they meet the requirements for capitalization.</w:t>
      </w:r>
    </w:p>
    <w:p>
      <w:pPr>
        <w:spacing w:after="0" w:line="10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plan to continue to hire employees to support our research and development efforts to expand the capabilities and scope of our platform and related products and services. As a result, we expect that research and development expenses will increase on an absolute dollar basis as we continue to invest to support these activities and innovate over the long-term.</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consist primarily of employee-related costs incurred</w:t>
      </w:r>
      <w:r>
        <w:rPr>
          <w:rFonts w:ascii="Arial" w:cs="Arial" w:eastAsia="Arial" w:hAnsi="Arial"/>
          <w:sz w:val="18"/>
          <w:szCs w:val="18"/>
          <w:i w:val="1"/>
          <w:iCs w:val="1"/>
          <w:color w:val="auto"/>
        </w:rPr>
        <w:t xml:space="preserve"> </w:t>
      </w:r>
      <w:r>
        <w:rPr>
          <w:rFonts w:ascii="Arial" w:cs="Arial" w:eastAsia="Arial" w:hAnsi="Arial"/>
          <w:sz w:val="18"/>
          <w:szCs w:val="18"/>
          <w:color w:val="auto"/>
        </w:rPr>
        <w:t>to acquire new customers and increase product adoption across our existing customer base. Marketing expenses also include fees incurred to generate demand through various advertising channels and allocated overhead costs.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7" w:name="page68"/>
    <w:bookmarkEnd w:id="6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expect that sales and marketing expenses will increase on an absolute dollar basis as we invest to grow our field-based sales team, increase demand generation, and enhance our brand awareness. We expect sales and marketing expenses as a percentage of revenue will vary from period-to-period over the short-term and decrease over the long-term.</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consist primarily of expenses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facilities, finance, human resources and administrative personnel and systems. General and administrative expenses also include costs related to fees paid for certain professional services, including legal, tax and accounting services and bad debt expenses.</w:t>
      </w:r>
    </w:p>
    <w:p>
      <w:pPr>
        <w:spacing w:after="0" w:line="11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expect that general and administrative expenses will increase on an absolute dollar basis as we add personnel and enhance our systems, processes, and controls to support the growth of our business as well as our increased compliance and reporting requirements as a public company. We expect general and administrative expenses as a percentage of revenue will vary from period-to-period over the short-term and decrease over the long-term.</w:t>
      </w:r>
    </w:p>
    <w:p>
      <w:pPr>
        <w:spacing w:after="0" w:line="107"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i w:val="1"/>
          <w:iCs w:val="1"/>
          <w:color w:val="auto"/>
        </w:rPr>
        <w:t xml:space="preserve">Loss on infrequent product repairs. </w:t>
      </w:r>
      <w:r>
        <w:rPr>
          <w:rFonts w:ascii="Arial" w:cs="Arial" w:eastAsia="Arial" w:hAnsi="Arial"/>
          <w:sz w:val="17"/>
          <w:szCs w:val="17"/>
          <w:color w:val="auto"/>
        </w:rPr>
        <w:t>Loss on infrequent product repairs expenses consist primarily of</w:t>
      </w:r>
      <w:r>
        <w:rPr>
          <w:rFonts w:ascii="Arial" w:cs="Arial" w:eastAsia="Arial" w:hAnsi="Arial"/>
          <w:sz w:val="17"/>
          <w:szCs w:val="17"/>
          <w:i w:val="1"/>
          <w:iCs w:val="1"/>
          <w:color w:val="auto"/>
        </w:rPr>
        <w:t xml:space="preserve"> </w:t>
      </w:r>
      <w:r>
        <w:rPr>
          <w:rFonts w:ascii="Arial" w:cs="Arial" w:eastAsia="Arial" w:hAnsi="Arial"/>
          <w:sz w:val="17"/>
          <w:szCs w:val="17"/>
          <w:color w:val="auto"/>
        </w:rPr>
        <w:t>charges incurred in connection with hardware returned for repair or replacement using an RMA. While we have incurred RMA charges in the past, in the three and nine months ended March 31, 2022, the volume of repair charges was extremely unusual and very high due to a liquid ingress issue resulting from COVID-19 related actions by our customers. Our devices failed primarily due to the use of extremely strong commercial disinfectant solutions by our customers to clean the hardware devices as a mandatory precaution protocol due to COVID-19. Due to use of commercial cleaning products, the solution leaked into the hardware causing significant damage to the devices and requiring replacement of such devices.</w:t>
      </w:r>
    </w:p>
    <w:p>
      <w:pPr>
        <w:spacing w:after="0" w:line="111"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standard warranty that we provide covers regular wear and tear and does not cover any damage caused by mishandling of the product. However, given the nature of issues, in order to prevent disruption to our customers’ businesses, we incurred approximately $0.1 million and $0.6 million of repair and replacement expenses related to this issue during the three and nine months ended March 31, 2022. There were no similar expenses incurred during the three and nine months ended March 31, 2023. We have also made a claim to recover the costs from our third-party subcontractor who manufactures the hardware. In June 2022, the Company received a favorable arbitrator ruling related to a matter with its third-party subcontractor and was awarded approximately $11.3 million in damages related to the Company’s loss on infrequent product repairs and to cover its legal expenses. This arbitration ruling was affirmed by the appellate court in the country of the arbitration ruling on March 6, 2023. On May 2, 2023, the vendor appealed the ruling to the highest court there. The award has not met the criteria to be considered realizable as of March 31, 2023. As a result, the Company has not recognized any gain related to this settlement in its condensed consolidated statement of operations and comprehensive income (loss).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Fair Value of Warrants and Convertible Promissory Notes</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account for our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Black-Scholes valuation model. Liability-classified warrants are remeasured at each reporting date until settlement, with changes in the fair value recognized in the change in fair value of warrants and convertible promissory notes in the condensed consolidated statement of operations and comprehensive income (loss). Warrants that meet the fixed-for-fixed criteria or contain variability related to an input in the Black-Scholes valuation model are classified as equity instruments. Warrants classified as equity instruments are initially recognized at fair value and are not subsequently remeasured.</w:t>
      </w:r>
    </w:p>
    <w:p>
      <w:pPr>
        <w:spacing w:after="0" w:line="10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elected the fair value option to account for the convertible promissory notes and embedded warrants because we believe it more accurately reflects the value of the debt in our financial statements. The principal amount of the convertible promissory notes is measured at fair value using the Monte Carlo valuation model. The valuation model utilized various key assumptions, such as enterprise value and the probability of expected future events.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Other income, net includes income of $2.0 million and $2.6 million due to the forgiveness of our PPP loans in the nine months ended March 31, 2023 and 2022, respectively. During the nine months ended March 31, 2023, the Company made an investment in a non-affiliated entity in the amount $2.0 million. The Company has determined that the investment does not have a readily determinable fair value and therefore accounts for the investment at cost, as adjusted for impairments and observable price changes. There were no adjustments recorded for impairments and observable price changes during the three and nine months ended March 31, 2023.</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Interest expense primarily consists of interest incurred on our financing obligations and outstanding loans.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on Extinguishment of Debt and Financial Obligations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Loss on extinguishment of debt and financial obligations consists of losses incurred related to the extinguishment of our term loans outstanding prior to the Merger during the nine months ended March 31, 2023 and the extinguishment of our financial obligation with third party financiers during the nine months ended March 31, 2023.</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Financing and Financial Instrument (Costs) Income, Net</w:t>
      </w:r>
    </w:p>
    <w:p>
      <w:pPr>
        <w:spacing w:after="0" w:line="144"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Other financing and financial instrument (costs) income, net primarily consists of expense recognized related to the issuance of shares and the transfer of warrants upon termination of a convertible note agreement and associated legal fees, offset by the remeasurement of the liability related to the unvested founder shares.</w:t>
      </w:r>
    </w:p>
    <w:p>
      <w:pPr>
        <w:spacing w:after="0" w:line="8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account for the arrangement related to the unvested founder shares in accordance with ASC 815-40 as equity-linked instruments and are not indexed to the entity’s own stock and accordingly such instruments are liability classified.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account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spacing w:after="0" w:line="11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record interest and penalties related to income tax matters in income tax expense.</w:t>
      </w:r>
    </w:p>
    <w:p>
      <w:pPr>
        <w:spacing w:after="0" w:line="18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three and nine months ended March 31, 2023 and 2022</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20" w:type="dxa"/>
            <w:vAlign w:val="bottom"/>
            <w:gridSpan w:val="11"/>
          </w:tcPr>
          <w:p>
            <w:pPr>
              <w:jc w:val="right"/>
              <w:ind w:right="341"/>
              <w:spacing w:after="0"/>
              <w:rPr>
                <w:sz w:val="20"/>
                <w:szCs w:val="20"/>
                <w:color w:val="auto"/>
              </w:rPr>
            </w:pPr>
            <w:r>
              <w:rPr>
                <w:rFonts w:ascii="Arial" w:cs="Arial" w:eastAsia="Arial" w:hAnsi="Arial"/>
                <w:sz w:val="16"/>
                <w:szCs w:val="16"/>
                <w:b w:val="1"/>
                <w:bCs w:val="1"/>
                <w:color w:val="auto"/>
              </w:rPr>
              <w:t>Three months ended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13"/>
          </w:tcPr>
          <w:p>
            <w:pPr>
              <w:jc w:val="center"/>
              <w:ind w:right="201"/>
              <w:spacing w:after="0"/>
              <w:rPr>
                <w:sz w:val="20"/>
                <w:szCs w:val="20"/>
                <w:color w:val="auto"/>
              </w:rPr>
            </w:pPr>
            <w:r>
              <w:rPr>
                <w:rFonts w:ascii="Arial" w:cs="Arial" w:eastAsia="Arial" w:hAnsi="Arial"/>
                <w:sz w:val="16"/>
                <w:szCs w:val="16"/>
                <w:b w:val="1"/>
                <w:bCs w:val="1"/>
                <w:color w:val="auto"/>
                <w:w w:val="90"/>
              </w:rPr>
              <w:t>Nine months ended</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7"/>
          </w:tcPr>
          <w:p>
            <w:pPr>
              <w:jc w:val="right"/>
              <w:ind w:right="160"/>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6"/>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195"/>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rPr>
                <w:sz w:val="20"/>
                <w:szCs w:val="20"/>
                <w:color w:val="auto"/>
              </w:rPr>
            </w:pPr>
            <w:r>
              <w:rPr>
                <w:rFonts w:ascii="Arial" w:cs="Arial" w:eastAsia="Arial" w:hAnsi="Arial"/>
                <w:sz w:val="18"/>
                <w:szCs w:val="18"/>
                <w:color w:val="auto"/>
              </w:rPr>
              <w:t>Platform</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97"/>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21"/>
                <w:szCs w:val="21"/>
                <w:color w:val="auto"/>
              </w:rPr>
            </w:pPr>
          </w:p>
        </w:tc>
        <w:tc>
          <w:tcPr>
            <w:tcW w:w="620" w:type="dxa"/>
            <w:vAlign w:val="bottom"/>
            <w:gridSpan w:val="3"/>
          </w:tcPr>
          <w:p>
            <w:pPr>
              <w:jc w:val="right"/>
              <w:ind w:right="1"/>
              <w:spacing w:after="0"/>
              <w:rPr>
                <w:sz w:val="20"/>
                <w:szCs w:val="20"/>
                <w:color w:val="auto"/>
              </w:rPr>
            </w:pPr>
            <w:r>
              <w:rPr>
                <w:rFonts w:ascii="Arial" w:cs="Arial" w:eastAsia="Arial" w:hAnsi="Arial"/>
                <w:sz w:val="18"/>
                <w:szCs w:val="18"/>
                <w:color w:val="auto"/>
              </w:rPr>
              <w:t>5,083</w:t>
            </w:r>
          </w:p>
        </w:tc>
        <w:tc>
          <w:tcPr>
            <w:tcW w:w="260" w:type="dxa"/>
            <w:vAlign w:val="bottom"/>
            <w:gridSpan w:val="3"/>
          </w:tcPr>
          <w:p>
            <w:pPr>
              <w:jc w:val="center"/>
              <w:ind w:left="7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11,617</w:t>
            </w:r>
          </w:p>
        </w:tc>
        <w:tc>
          <w:tcPr>
            <w:tcW w:w="80" w:type="dxa"/>
            <w:vAlign w:val="bottom"/>
          </w:tcPr>
          <w:p>
            <w:pPr>
              <w:spacing w:after="0"/>
              <w:rPr>
                <w:sz w:val="21"/>
                <w:szCs w:val="21"/>
                <w:color w:val="auto"/>
              </w:rPr>
            </w:pPr>
          </w:p>
        </w:tc>
        <w:tc>
          <w:tcPr>
            <w:tcW w:w="400" w:type="dxa"/>
            <w:vAlign w:val="bottom"/>
            <w:gridSpan w:val="3"/>
          </w:tcPr>
          <w:p>
            <w:pPr>
              <w:jc w:val="right"/>
              <w:ind w:right="5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14,754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Transaction</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ind w:right="1"/>
              <w:spacing w:after="0"/>
              <w:rPr>
                <w:sz w:val="20"/>
                <w:szCs w:val="20"/>
                <w:color w:val="auto"/>
              </w:rPr>
            </w:pPr>
            <w:r>
              <w:rPr>
                <w:rFonts w:ascii="Arial" w:cs="Arial" w:eastAsia="Arial" w:hAnsi="Arial"/>
                <w:sz w:val="18"/>
                <w:szCs w:val="18"/>
                <w:color w:val="auto"/>
              </w:rPr>
              <w:t>2,451</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9,699</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8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6,607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7,534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21,316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22,459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1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rPr>
                <w:sz w:val="20"/>
                <w:szCs w:val="20"/>
                <w:color w:val="auto"/>
              </w:rPr>
            </w:pPr>
            <w:r>
              <w:rPr>
                <w:rFonts w:ascii="Arial" w:cs="Arial" w:eastAsia="Arial" w:hAnsi="Arial"/>
                <w:sz w:val="18"/>
                <w:szCs w:val="18"/>
                <w:color w:val="auto"/>
              </w:rPr>
              <w:t>Platform</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gridSpan w:val="3"/>
          </w:tcPr>
          <w:p>
            <w:pPr>
              <w:jc w:val="right"/>
              <w:ind w:right="1"/>
              <w:spacing w:after="0"/>
              <w:rPr>
                <w:sz w:val="20"/>
                <w:szCs w:val="20"/>
                <w:color w:val="auto"/>
              </w:rPr>
            </w:pPr>
            <w:r>
              <w:rPr>
                <w:rFonts w:ascii="Arial" w:cs="Arial" w:eastAsia="Arial" w:hAnsi="Arial"/>
                <w:sz w:val="18"/>
                <w:szCs w:val="18"/>
                <w:color w:val="auto"/>
              </w:rPr>
              <w:t>4,057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10,951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11,872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1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Transaction</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3"/>
            <w:shd w:val="clear" w:color="auto" w:fill="CCEEFF"/>
          </w:tcPr>
          <w:p>
            <w:pPr>
              <w:jc w:val="right"/>
              <w:ind w:right="1"/>
              <w:spacing w:after="0"/>
              <w:rPr>
                <w:sz w:val="20"/>
                <w:szCs w:val="20"/>
                <w:color w:val="auto"/>
              </w:rPr>
            </w:pPr>
            <w:r>
              <w:rPr>
                <w:rFonts w:ascii="Arial" w:cs="Arial" w:eastAsia="Arial" w:hAnsi="Arial"/>
                <w:sz w:val="18"/>
                <w:szCs w:val="18"/>
                <w:color w:val="auto"/>
              </w:rPr>
              <w:t>2,185</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8,561</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80" w:type="dxa"/>
            <w:vAlign w:val="bottom"/>
            <w:gridSpan w:val="5"/>
          </w:tcPr>
          <w:p>
            <w:pPr>
              <w:spacing w:after="0"/>
              <w:rPr>
                <w:sz w:val="20"/>
                <w:szCs w:val="20"/>
                <w:color w:val="auto"/>
              </w:rPr>
            </w:pPr>
            <w:r>
              <w:rPr>
                <w:rFonts w:ascii="Arial" w:cs="Arial" w:eastAsia="Arial" w:hAnsi="Arial"/>
                <w:sz w:val="18"/>
                <w:szCs w:val="18"/>
                <w:color w:val="auto"/>
              </w:rPr>
              <w:t>Depreciation and impairment</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gridSpan w:val="3"/>
          </w:tcPr>
          <w:p>
            <w:pPr>
              <w:jc w:val="right"/>
              <w:ind w:right="1"/>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1,206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6,118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3"/>
            <w:shd w:val="clear" w:color="auto" w:fill="CCEEFF"/>
          </w:tcPr>
          <w:p>
            <w:pPr>
              <w:jc w:val="right"/>
              <w:ind w:right="1"/>
              <w:spacing w:after="0"/>
              <w:rPr>
                <w:sz w:val="20"/>
                <w:szCs w:val="20"/>
                <w:color w:val="auto"/>
              </w:rPr>
            </w:pPr>
            <w:r>
              <w:rPr>
                <w:rFonts w:ascii="Arial" w:cs="Arial" w:eastAsia="Arial" w:hAnsi="Arial"/>
                <w:sz w:val="18"/>
                <w:szCs w:val="18"/>
                <w:color w:val="auto"/>
              </w:rPr>
              <w:t>6,521</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20,385</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19,827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8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931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2,632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1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580" w:type="dxa"/>
            <w:vAlign w:val="bottom"/>
            <w:gridSpan w:val="5"/>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5,496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gridSpan w:val="3"/>
          </w:tcPr>
          <w:p>
            <w:pPr>
              <w:jc w:val="right"/>
              <w:ind w:right="1"/>
              <w:spacing w:after="0"/>
              <w:rPr>
                <w:sz w:val="20"/>
                <w:szCs w:val="20"/>
                <w:color w:val="auto"/>
              </w:rPr>
            </w:pPr>
            <w:r>
              <w:rPr>
                <w:rFonts w:ascii="Arial" w:cs="Arial" w:eastAsia="Arial" w:hAnsi="Arial"/>
                <w:sz w:val="18"/>
                <w:szCs w:val="18"/>
                <w:color w:val="auto"/>
              </w:rPr>
              <w:t>3,927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16,877</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11,733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1,966</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6,753</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580" w:type="dxa"/>
            <w:vAlign w:val="bottom"/>
            <w:gridSpan w:val="5"/>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7,408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gridSpan w:val="3"/>
          </w:tcPr>
          <w:p>
            <w:pPr>
              <w:jc w:val="right"/>
              <w:ind w:right="1"/>
              <w:spacing w:after="0"/>
              <w:rPr>
                <w:sz w:val="20"/>
                <w:szCs w:val="20"/>
                <w:color w:val="auto"/>
              </w:rPr>
            </w:pPr>
            <w:r>
              <w:rPr>
                <w:rFonts w:ascii="Arial" w:cs="Arial" w:eastAsia="Arial" w:hAnsi="Arial"/>
                <w:sz w:val="18"/>
                <w:szCs w:val="18"/>
                <w:color w:val="auto"/>
              </w:rPr>
              <w:t>2,978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19,608</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7,110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1760" w:type="dxa"/>
            <w:vAlign w:val="bottom"/>
          </w:tcPr>
          <w:p>
            <w:pPr>
              <w:spacing w:after="0"/>
              <w:rPr>
                <w:sz w:val="3"/>
                <w:szCs w:val="3"/>
                <w:color w:val="auto"/>
              </w:rPr>
            </w:pPr>
          </w:p>
        </w:tc>
        <w:tc>
          <w:tcPr>
            <w:tcW w:w="740" w:type="dxa"/>
            <w:vAlign w:val="bottom"/>
            <w:gridSpan w:val="3"/>
          </w:tcPr>
          <w:p>
            <w:pPr>
              <w:spacing w:after="0"/>
              <w:rPr>
                <w:sz w:val="3"/>
                <w:szCs w:val="3"/>
                <w:color w:val="auto"/>
              </w:rPr>
            </w:pPr>
          </w:p>
        </w:tc>
        <w:tc>
          <w:tcPr>
            <w:tcW w:w="22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72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w w:val="92"/>
              </w:rPr>
              <w:t>Loss on infrequent product repairs</w:t>
            </w: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119</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3"/>
            <w:shd w:val="clear" w:color="auto" w:fill="CCEEFF"/>
          </w:tcPr>
          <w:p>
            <w:pPr>
              <w:jc w:val="right"/>
              <w:ind w:right="1"/>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60" w:type="dxa"/>
            <w:vAlign w:val="bottom"/>
            <w:gridSpan w:val="2"/>
          </w:tcPr>
          <w:p>
            <w:pPr>
              <w:spacing w:after="0"/>
              <w:rPr>
                <w:sz w:val="20"/>
                <w:szCs w:val="20"/>
                <w:color w:val="auto"/>
              </w:rPr>
            </w:pPr>
            <w:r>
              <w:rPr>
                <w:rFonts w:ascii="Arial" w:cs="Arial" w:eastAsia="Arial" w:hAnsi="Arial"/>
                <w:sz w:val="18"/>
                <w:szCs w:val="18"/>
                <w:color w:val="auto"/>
                <w:w w:val="91"/>
              </w:rPr>
              <w:t>Total operating expenses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15,031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8,990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43,238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24,216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(14,542</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(42,307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(21,584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2"/>
        </w:trPr>
        <w:tc>
          <w:tcPr>
            <w:tcW w:w="2720" w:type="dxa"/>
            <w:vAlign w:val="bottom"/>
            <w:gridSpan w:val="6"/>
          </w:tcPr>
          <w:p>
            <w:pPr>
              <w:spacing w:after="0" w:line="182" w:lineRule="exact"/>
              <w:rPr>
                <w:sz w:val="20"/>
                <w:szCs w:val="20"/>
                <w:color w:val="auto"/>
              </w:rPr>
            </w:pPr>
            <w:r>
              <w:rPr>
                <w:rFonts w:ascii="Arial" w:cs="Arial" w:eastAsia="Arial" w:hAnsi="Arial"/>
                <w:sz w:val="18"/>
                <w:szCs w:val="18"/>
                <w:color w:val="auto"/>
                <w:w w:val="93"/>
              </w:rPr>
              <w:t>Change in fair value of warrants and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80" w:type="dxa"/>
            <w:vAlign w:val="bottom"/>
            <w:gridSpan w:val="5"/>
          </w:tcPr>
          <w:p>
            <w:pPr>
              <w:ind w:left="180"/>
              <w:spacing w:after="0"/>
              <w:rPr>
                <w:sz w:val="20"/>
                <w:szCs w:val="20"/>
                <w:color w:val="auto"/>
              </w:rPr>
            </w:pPr>
            <w:r>
              <w:rPr>
                <w:rFonts w:ascii="Arial" w:cs="Arial" w:eastAsia="Arial" w:hAnsi="Arial"/>
                <w:sz w:val="18"/>
                <w:szCs w:val="18"/>
                <w:color w:val="auto"/>
              </w:rPr>
              <w:t>convertible promissory notes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3"/>
          </w:tcPr>
          <w:p>
            <w:pPr>
              <w:jc w:val="right"/>
              <w:ind w:right="1"/>
              <w:spacing w:after="0"/>
              <w:rPr>
                <w:sz w:val="20"/>
                <w:szCs w:val="20"/>
                <w:color w:val="auto"/>
              </w:rPr>
            </w:pPr>
            <w:r>
              <w:rPr>
                <w:rFonts w:ascii="Arial" w:cs="Arial" w:eastAsia="Arial" w:hAnsi="Arial"/>
                <w:sz w:val="18"/>
                <w:szCs w:val="18"/>
                <w:color w:val="auto"/>
                <w:w w:val="94"/>
              </w:rPr>
              <w:t>18,102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61,043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4"/>
          </w:tcPr>
          <w:p>
            <w:pPr>
              <w:jc w:val="right"/>
              <w:ind w:right="1"/>
              <w:spacing w:after="0"/>
              <w:rPr>
                <w:sz w:val="20"/>
                <w:szCs w:val="20"/>
                <w:color w:val="auto"/>
              </w:rPr>
            </w:pPr>
            <w:r>
              <w:rPr>
                <w:rFonts w:ascii="Arial" w:cs="Arial" w:eastAsia="Arial" w:hAnsi="Arial"/>
                <w:sz w:val="18"/>
                <w:szCs w:val="18"/>
                <w:color w:val="auto"/>
              </w:rPr>
              <w:t>(11,668)</w:t>
            </w:r>
          </w:p>
        </w:tc>
        <w:tc>
          <w:tcPr>
            <w:tcW w:w="0" w:type="dxa"/>
            <w:vAlign w:val="bottom"/>
          </w:tcPr>
          <w:p>
            <w:pPr>
              <w:spacing w:after="0"/>
              <w:rPr>
                <w:sz w:val="1"/>
                <w:szCs w:val="1"/>
                <w:color w:val="auto"/>
              </w:rPr>
            </w:pPr>
          </w:p>
        </w:tc>
      </w:tr>
      <w:tr>
        <w:trPr>
          <w:trHeight w:val="40"/>
        </w:trPr>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(2,991)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4"/>
            <w:shd w:val="clear" w:color="auto" w:fill="CCEEFF"/>
          </w:tcPr>
          <w:p>
            <w:pPr>
              <w:jc w:val="right"/>
              <w:ind w:right="1"/>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02"/>
        </w:trPr>
        <w:tc>
          <w:tcPr>
            <w:tcW w:w="2580" w:type="dxa"/>
            <w:vAlign w:val="bottom"/>
            <w:gridSpan w:val="5"/>
          </w:tcPr>
          <w:p>
            <w:pPr>
              <w:spacing w:after="0" w:line="201" w:lineRule="exact"/>
              <w:rPr>
                <w:sz w:val="20"/>
                <w:szCs w:val="20"/>
                <w:color w:val="auto"/>
              </w:rPr>
            </w:pPr>
            <w:r>
              <w:rPr>
                <w:rFonts w:ascii="Arial" w:cs="Arial" w:eastAsia="Arial" w:hAnsi="Arial"/>
                <w:sz w:val="18"/>
                <w:szCs w:val="18"/>
                <w:color w:val="auto"/>
                <w:w w:val="90"/>
              </w:rPr>
              <w:t>Loss on extinguishment of debt and</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ind w:left="180"/>
              <w:spacing w:after="0"/>
              <w:rPr>
                <w:sz w:val="20"/>
                <w:szCs w:val="20"/>
                <w:color w:val="auto"/>
              </w:rPr>
            </w:pPr>
            <w:r>
              <w:rPr>
                <w:rFonts w:ascii="Arial" w:cs="Arial" w:eastAsia="Arial" w:hAnsi="Arial"/>
                <w:sz w:val="18"/>
                <w:szCs w:val="18"/>
                <w:color w:val="auto"/>
              </w:rPr>
              <w:t>financial obligations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gridSpan w:val="5"/>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(8,095)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760" w:type="dxa"/>
            <w:vAlign w:val="bottom"/>
          </w:tcPr>
          <w:p>
            <w:pPr>
              <w:spacing w:after="0"/>
              <w:rPr>
                <w:sz w:val="3"/>
                <w:szCs w:val="3"/>
                <w:color w:val="auto"/>
              </w:rPr>
            </w:pPr>
          </w:p>
        </w:tc>
        <w:tc>
          <w:tcPr>
            <w:tcW w:w="740" w:type="dxa"/>
            <w:vAlign w:val="bottom"/>
            <w:gridSpan w:val="3"/>
          </w:tcPr>
          <w:p>
            <w:pPr>
              <w:spacing w:after="0"/>
              <w:rPr>
                <w:sz w:val="3"/>
                <w:szCs w:val="3"/>
                <w:color w:val="auto"/>
              </w:rPr>
            </w:pPr>
          </w:p>
        </w:tc>
        <w:tc>
          <w:tcPr>
            <w:tcW w:w="500" w:type="dxa"/>
            <w:vAlign w:val="bottom"/>
            <w:gridSpan w:val="3"/>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260" w:type="dxa"/>
            <w:vAlign w:val="bottom"/>
            <w:gridSpan w:val="10"/>
            <w:shd w:val="clear" w:color="auto" w:fill="CCEEFF"/>
          </w:tcPr>
          <w:p>
            <w:pPr>
              <w:spacing w:after="0" w:line="201" w:lineRule="exact"/>
              <w:rPr>
                <w:sz w:val="20"/>
                <w:szCs w:val="20"/>
                <w:color w:val="auto"/>
              </w:rPr>
            </w:pPr>
            <w:r>
              <w:rPr>
                <w:rFonts w:ascii="Arial" w:cs="Arial" w:eastAsia="Arial" w:hAnsi="Arial"/>
                <w:sz w:val="18"/>
                <w:szCs w:val="18"/>
                <w:color w:val="auto"/>
              </w:rPr>
              <w:t>Other financing and financial instrument</w:t>
            </w: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(costs) income, net</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86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2,612</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2,629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7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w w:val="95"/>
              </w:rPr>
              <w:t>Total other income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3"/>
            <w:shd w:val="clear" w:color="auto" w:fill="CCEEFF"/>
          </w:tcPr>
          <w:p>
            <w:pPr>
              <w:jc w:val="right"/>
              <w:ind w:right="1"/>
              <w:spacing w:after="0"/>
              <w:rPr>
                <w:sz w:val="20"/>
                <w:szCs w:val="20"/>
                <w:color w:val="auto"/>
              </w:rPr>
            </w:pPr>
            <w:r>
              <w:rPr>
                <w:rFonts w:ascii="Arial" w:cs="Arial" w:eastAsia="Arial" w:hAnsi="Arial"/>
                <w:sz w:val="18"/>
                <w:szCs w:val="18"/>
                <w:color w:val="auto"/>
                <w:w w:val="94"/>
              </w:rPr>
              <w:t>16,928</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44,395</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(12,457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2"/>
        </w:trPr>
        <w:tc>
          <w:tcPr>
            <w:tcW w:w="2580" w:type="dxa"/>
            <w:vAlign w:val="bottom"/>
            <w:gridSpan w:val="5"/>
          </w:tcPr>
          <w:p>
            <w:pPr>
              <w:spacing w:after="0" w:line="182" w:lineRule="exact"/>
              <w:rPr>
                <w:sz w:val="20"/>
                <w:szCs w:val="20"/>
                <w:color w:val="auto"/>
              </w:rPr>
            </w:pPr>
            <w:r>
              <w:rPr>
                <w:rFonts w:ascii="Arial" w:cs="Arial" w:eastAsia="Arial" w:hAnsi="Arial"/>
                <w:sz w:val="18"/>
                <w:szCs w:val="18"/>
                <w:color w:val="auto"/>
                <w:w w:val="95"/>
              </w:rPr>
              <w:t>Income (loss) before provision for</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ind w:left="18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6"/>
          </w:tcPr>
          <w:p>
            <w:pPr>
              <w:jc w:val="right"/>
              <w:ind w:right="60"/>
              <w:spacing w:after="0"/>
              <w:rPr>
                <w:sz w:val="20"/>
                <w:szCs w:val="20"/>
                <w:color w:val="auto"/>
              </w:rPr>
            </w:pPr>
            <w:r>
              <w:rPr>
                <w:rFonts w:ascii="Arial" w:cs="Arial" w:eastAsia="Arial" w:hAnsi="Arial"/>
                <w:sz w:val="18"/>
                <w:szCs w:val="18"/>
                <w:color w:val="auto"/>
              </w:rPr>
              <w:t>(15,677)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3"/>
          </w:tcPr>
          <w:p>
            <w:pPr>
              <w:jc w:val="right"/>
              <w:ind w:right="1"/>
              <w:spacing w:after="0"/>
              <w:rPr>
                <w:sz w:val="20"/>
                <w:szCs w:val="20"/>
                <w:color w:val="auto"/>
              </w:rPr>
            </w:pPr>
            <w:r>
              <w:rPr>
                <w:rFonts w:ascii="Arial" w:cs="Arial" w:eastAsia="Arial" w:hAnsi="Arial"/>
                <w:sz w:val="18"/>
                <w:szCs w:val="18"/>
                <w:color w:val="auto"/>
              </w:rPr>
              <w:t>8,951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2,088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4"/>
          </w:tcPr>
          <w:p>
            <w:pPr>
              <w:jc w:val="right"/>
              <w:ind w:right="1"/>
              <w:spacing w:after="0"/>
              <w:rPr>
                <w:sz w:val="20"/>
                <w:szCs w:val="20"/>
                <w:color w:val="auto"/>
              </w:rPr>
            </w:pPr>
            <w:r>
              <w:rPr>
                <w:rFonts w:ascii="Arial" w:cs="Arial" w:eastAsia="Arial" w:hAnsi="Arial"/>
                <w:sz w:val="18"/>
                <w:szCs w:val="18"/>
                <w:color w:val="auto"/>
              </w:rPr>
              <w:t>(34,041)</w:t>
            </w:r>
          </w:p>
        </w:tc>
        <w:tc>
          <w:tcPr>
            <w:tcW w:w="0" w:type="dxa"/>
            <w:vAlign w:val="bottom"/>
          </w:tcPr>
          <w:p>
            <w:pPr>
              <w:spacing w:after="0"/>
              <w:rPr>
                <w:sz w:val="1"/>
                <w:szCs w:val="1"/>
                <w:color w:val="auto"/>
              </w:rPr>
            </w:pPr>
          </w:p>
        </w:tc>
      </w:tr>
      <w:tr>
        <w:trPr>
          <w:trHeight w:val="40"/>
        </w:trPr>
        <w:tc>
          <w:tcPr>
            <w:tcW w:w="1760" w:type="dxa"/>
            <w:vAlign w:val="bottom"/>
          </w:tcPr>
          <w:p>
            <w:pPr>
              <w:spacing w:after="0"/>
              <w:rPr>
                <w:sz w:val="3"/>
                <w:szCs w:val="3"/>
                <w:color w:val="auto"/>
              </w:rPr>
            </w:pPr>
          </w:p>
        </w:tc>
        <w:tc>
          <w:tcPr>
            <w:tcW w:w="740" w:type="dxa"/>
            <w:vAlign w:val="bottom"/>
            <w:gridSpan w:val="3"/>
          </w:tcPr>
          <w:p>
            <w:pPr>
              <w:spacing w:after="0"/>
              <w:rPr>
                <w:sz w:val="3"/>
                <w:szCs w:val="3"/>
                <w:color w:val="auto"/>
              </w:rPr>
            </w:pPr>
          </w:p>
        </w:tc>
        <w:tc>
          <w:tcPr>
            <w:tcW w:w="22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72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w w:val="95"/>
              </w:rPr>
              <w:t>Provision (benefit) for income taxes</w:t>
            </w: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720" w:type="dxa"/>
            <w:vAlign w:val="bottom"/>
            <w:gridSpan w:val="6"/>
          </w:tcPr>
          <w:p>
            <w:pPr>
              <w:spacing w:after="0" w:line="182" w:lineRule="exact"/>
              <w:rPr>
                <w:sz w:val="20"/>
                <w:szCs w:val="20"/>
                <w:color w:val="auto"/>
              </w:rPr>
            </w:pPr>
            <w:r>
              <w:rPr>
                <w:rFonts w:ascii="Arial" w:cs="Arial" w:eastAsia="Arial" w:hAnsi="Arial"/>
                <w:sz w:val="18"/>
                <w:szCs w:val="18"/>
                <w:color w:val="auto"/>
                <w:w w:val="89"/>
              </w:rPr>
              <w:t>Net income (loss) and comprehensive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1860" w:type="dxa"/>
            <w:vAlign w:val="bottom"/>
            <w:gridSpan w:val="2"/>
          </w:tcPr>
          <w:p>
            <w:pPr>
              <w:ind w:left="180"/>
              <w:spacing w:after="0"/>
              <w:rPr>
                <w:sz w:val="20"/>
                <w:szCs w:val="20"/>
                <w:color w:val="auto"/>
              </w:rPr>
            </w:pPr>
            <w:r>
              <w:rPr>
                <w:rFonts w:ascii="Arial" w:cs="Arial" w:eastAsia="Arial" w:hAnsi="Arial"/>
                <w:sz w:val="18"/>
                <w:szCs w:val="18"/>
                <w:color w:val="auto"/>
              </w:rPr>
              <w:t>income (loss)</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980" w:type="dxa"/>
            <w:vAlign w:val="bottom"/>
            <w:gridSpan w:val="6"/>
          </w:tcPr>
          <w:p>
            <w:pPr>
              <w:jc w:val="right"/>
              <w:ind w:right="60"/>
              <w:spacing w:after="0"/>
              <w:rPr>
                <w:sz w:val="20"/>
                <w:szCs w:val="20"/>
                <w:color w:val="auto"/>
              </w:rPr>
            </w:pPr>
            <w:r>
              <w:rPr>
                <w:rFonts w:ascii="Arial" w:cs="Arial" w:eastAsia="Arial" w:hAnsi="Arial"/>
                <w:sz w:val="18"/>
                <w:szCs w:val="18"/>
                <w:color w:val="auto"/>
              </w:rPr>
              <w:t>(15,680)</w:t>
            </w:r>
          </w:p>
        </w:tc>
        <w:tc>
          <w:tcPr>
            <w:tcW w:w="120" w:type="dxa"/>
            <w:vAlign w:val="bottom"/>
          </w:tcPr>
          <w:p>
            <w:pPr>
              <w:spacing w:after="0"/>
              <w:rPr>
                <w:sz w:val="21"/>
                <w:szCs w:val="21"/>
                <w:color w:val="auto"/>
              </w:rPr>
            </w:pPr>
          </w:p>
        </w:tc>
        <w:tc>
          <w:tcPr>
            <w:tcW w:w="260" w:type="dxa"/>
            <w:vAlign w:val="bottom"/>
          </w:tcPr>
          <w:p>
            <w:pPr>
              <w:jc w:val="right"/>
              <w:ind w:right="97"/>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21"/>
                <w:szCs w:val="21"/>
                <w:color w:val="auto"/>
              </w:rPr>
            </w:pPr>
          </w:p>
        </w:tc>
        <w:tc>
          <w:tcPr>
            <w:tcW w:w="620" w:type="dxa"/>
            <w:vAlign w:val="bottom"/>
            <w:gridSpan w:val="3"/>
          </w:tcPr>
          <w:p>
            <w:pPr>
              <w:jc w:val="right"/>
              <w:ind w:right="1"/>
              <w:spacing w:after="0"/>
              <w:rPr>
                <w:sz w:val="20"/>
                <w:szCs w:val="20"/>
                <w:color w:val="auto"/>
              </w:rPr>
            </w:pPr>
            <w:r>
              <w:rPr>
                <w:rFonts w:ascii="Arial" w:cs="Arial" w:eastAsia="Arial" w:hAnsi="Arial"/>
                <w:sz w:val="18"/>
                <w:szCs w:val="18"/>
                <w:color w:val="auto"/>
              </w:rPr>
              <w:t>8,954</w:t>
            </w:r>
          </w:p>
        </w:tc>
        <w:tc>
          <w:tcPr>
            <w:tcW w:w="260" w:type="dxa"/>
            <w:vAlign w:val="bottom"/>
            <w:gridSpan w:val="3"/>
          </w:tcPr>
          <w:p>
            <w:pPr>
              <w:jc w:val="center"/>
              <w:ind w:left="7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2,080</w:t>
            </w:r>
          </w:p>
        </w:tc>
        <w:tc>
          <w:tcPr>
            <w:tcW w:w="80" w:type="dxa"/>
            <w:vAlign w:val="bottom"/>
          </w:tcPr>
          <w:p>
            <w:pPr>
              <w:spacing w:after="0"/>
              <w:rPr>
                <w:sz w:val="21"/>
                <w:szCs w:val="21"/>
                <w:color w:val="auto"/>
              </w:rPr>
            </w:pPr>
          </w:p>
        </w:tc>
        <w:tc>
          <w:tcPr>
            <w:tcW w:w="400" w:type="dxa"/>
            <w:vAlign w:val="bottom"/>
            <w:gridSpan w:val="3"/>
          </w:tcPr>
          <w:p>
            <w:pPr>
              <w:jc w:val="right"/>
              <w:ind w:right="5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4"/>
          </w:tcPr>
          <w:p>
            <w:pPr>
              <w:jc w:val="right"/>
              <w:ind w:right="1"/>
              <w:spacing w:after="0"/>
              <w:rPr>
                <w:sz w:val="20"/>
                <w:szCs w:val="20"/>
                <w:color w:val="auto"/>
              </w:rPr>
            </w:pPr>
            <w:r>
              <w:rPr>
                <w:rFonts w:ascii="Arial" w:cs="Arial" w:eastAsia="Arial" w:hAnsi="Arial"/>
                <w:sz w:val="18"/>
                <w:szCs w:val="18"/>
                <w:color w:val="auto"/>
              </w:rPr>
              <w:t>(34,062)</w:t>
            </w:r>
          </w:p>
        </w:tc>
        <w:tc>
          <w:tcPr>
            <w:tcW w:w="0" w:type="dxa"/>
            <w:vAlign w:val="bottom"/>
          </w:tcPr>
          <w:p>
            <w:pPr>
              <w:spacing w:after="0"/>
              <w:rPr>
                <w:sz w:val="1"/>
                <w:szCs w:val="1"/>
                <w:color w:val="auto"/>
              </w:rPr>
            </w:pPr>
          </w:p>
        </w:tc>
      </w:tr>
      <w:tr>
        <w:trPr>
          <w:trHeight w:val="20"/>
        </w:trPr>
        <w:tc>
          <w:tcPr>
            <w:tcW w:w="18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8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7"/>
          </w:tcPr>
          <w:p>
            <w:pPr>
              <w:jc w:val="center"/>
              <w:ind w:right="160"/>
              <w:spacing w:after="0"/>
              <w:rPr>
                <w:sz w:val="20"/>
                <w:szCs w:val="20"/>
                <w:color w:val="auto"/>
              </w:rPr>
            </w:pPr>
            <w:r>
              <w:rPr>
                <w:rFonts w:ascii="Arial" w:cs="Arial" w:eastAsia="Arial" w:hAnsi="Arial"/>
                <w:sz w:val="16"/>
                <w:szCs w:val="16"/>
                <w:b w:val="1"/>
                <w:bCs w:val="1"/>
                <w:color w:val="auto"/>
                <w:w w:val="90"/>
              </w:rPr>
              <w:t>Three months</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8"/>
          </w:tcPr>
          <w:p>
            <w:pPr>
              <w:jc w:val="center"/>
              <w:spacing w:after="0"/>
              <w:rPr>
                <w:sz w:val="20"/>
                <w:szCs w:val="20"/>
                <w:color w:val="auto"/>
              </w:rPr>
            </w:pPr>
            <w:r>
              <w:rPr>
                <w:rFonts w:ascii="Arial" w:cs="Arial" w:eastAsia="Arial" w:hAnsi="Arial"/>
                <w:sz w:val="16"/>
                <w:szCs w:val="16"/>
                <w:b w:val="1"/>
                <w:bCs w:val="1"/>
                <w:color w:val="auto"/>
                <w:w w:val="90"/>
              </w:rPr>
              <w:t>Nine months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7"/>
          </w:tcPr>
          <w:p>
            <w:pPr>
              <w:jc w:val="center"/>
              <w:ind w:right="160"/>
              <w:spacing w:after="0"/>
              <w:rPr>
                <w:sz w:val="20"/>
                <w:szCs w:val="20"/>
                <w:color w:val="auto"/>
              </w:rPr>
            </w:pPr>
            <w:r>
              <w:rPr>
                <w:rFonts w:ascii="Arial" w:cs="Arial" w:eastAsia="Arial" w:hAnsi="Arial"/>
                <w:sz w:val="16"/>
                <w:szCs w:val="16"/>
                <w:b w:val="1"/>
                <w:bCs w:val="1"/>
                <w:color w:val="auto"/>
                <w:w w:val="84"/>
              </w:rPr>
              <w:t>ended</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ended</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7"/>
          </w:tcPr>
          <w:p>
            <w:pPr>
              <w:jc w:val="center"/>
              <w:ind w:right="160"/>
              <w:spacing w:after="0"/>
              <w:rPr>
                <w:sz w:val="20"/>
                <w:szCs w:val="20"/>
                <w:color w:val="auto"/>
              </w:rPr>
            </w:pPr>
            <w:r>
              <w:rPr>
                <w:rFonts w:ascii="Arial" w:cs="Arial" w:eastAsia="Arial" w:hAnsi="Arial"/>
                <w:sz w:val="16"/>
                <w:szCs w:val="16"/>
                <w:b w:val="1"/>
                <w:bCs w:val="1"/>
                <w:color w:val="auto"/>
                <w:w w:val="97"/>
              </w:rPr>
              <w:t>March 31,</w:t>
            </w:r>
          </w:p>
        </w:tc>
        <w:tc>
          <w:tcPr>
            <w:tcW w:w="60" w:type="dxa"/>
            <w:vAlign w:val="bottom"/>
          </w:tcPr>
          <w:p>
            <w:pPr>
              <w:spacing w:after="0"/>
              <w:rPr>
                <w:sz w:val="18"/>
                <w:szCs w:val="18"/>
                <w:color w:val="auto"/>
              </w:rPr>
            </w:pPr>
          </w:p>
        </w:tc>
        <w:tc>
          <w:tcPr>
            <w:tcW w:w="1040" w:type="dxa"/>
            <w:vAlign w:val="bottom"/>
            <w:gridSpan w:val="6"/>
          </w:tcPr>
          <w:p>
            <w:pPr>
              <w:ind w:left="480"/>
              <w:spacing w:after="0"/>
              <w:rPr>
                <w:sz w:val="20"/>
                <w:szCs w:val="20"/>
                <w:color w:val="auto"/>
              </w:rPr>
            </w:pPr>
            <w:r>
              <w:rPr>
                <w:rFonts w:ascii="Arial" w:cs="Arial" w:eastAsia="Arial" w:hAnsi="Arial"/>
                <w:sz w:val="16"/>
                <w:szCs w:val="16"/>
                <w:b w:val="1"/>
                <w:bCs w:val="1"/>
                <w:color w:val="auto"/>
                <w:w w:val="91"/>
              </w:rPr>
              <w:t>Change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8"/>
          </w:tcPr>
          <w:p>
            <w:pPr>
              <w:jc w:val="center"/>
              <w:ind w:right="20"/>
              <w:spacing w:after="0"/>
              <w:rPr>
                <w:sz w:val="20"/>
                <w:szCs w:val="20"/>
                <w:color w:val="auto"/>
              </w:rPr>
            </w:pPr>
            <w:r>
              <w:rPr>
                <w:rFonts w:ascii="Arial" w:cs="Arial" w:eastAsia="Arial" w:hAnsi="Arial"/>
                <w:sz w:val="16"/>
                <w:szCs w:val="16"/>
                <w:b w:val="1"/>
                <w:bCs w:val="1"/>
                <w:color w:val="auto"/>
                <w:w w:val="94"/>
              </w:rPr>
              <w:t>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6"/>
          </w:tcPr>
          <w:p>
            <w:pPr>
              <w:jc w:val="right"/>
              <w:ind w:right="46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auto"/>
            </w:tcBorders>
            <w:gridSpan w:val="5"/>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520" w:type="dxa"/>
            <w:vAlign w:val="bottom"/>
          </w:tcPr>
          <w:p>
            <w:pPr>
              <w:jc w:val="right"/>
              <w:ind w:right="75"/>
              <w:spacing w:after="0"/>
              <w:rPr>
                <w:sz w:val="20"/>
                <w:szCs w:val="20"/>
                <w:color w:val="auto"/>
              </w:rPr>
            </w:pPr>
            <w:r>
              <w:rPr>
                <w:rFonts w:ascii="Arial" w:cs="Arial" w:eastAsia="Arial" w:hAnsi="Arial"/>
                <w:sz w:val="16"/>
                <w:szCs w:val="16"/>
                <w:b w:val="1"/>
                <w:bCs w:val="1"/>
                <w:color w:val="auto"/>
                <w:w w:val="95"/>
              </w:rPr>
              <w:t>2023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9"/>
              </w:rPr>
              <w:t>2022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6"/>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ind w:right="91"/>
              <w:spacing w:after="0"/>
              <w:rPr>
                <w:sz w:val="20"/>
                <w:szCs w:val="20"/>
                <w:color w:val="auto"/>
              </w:rPr>
            </w:pPr>
            <w:r>
              <w:rPr>
                <w:rFonts w:ascii="Arial" w:cs="Arial" w:eastAsia="Arial" w:hAnsi="Arial"/>
                <w:sz w:val="16"/>
                <w:szCs w:val="16"/>
                <w:b w:val="1"/>
                <w:bCs w:val="1"/>
                <w:color w:val="auto"/>
                <w:w w:val="84"/>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6"/>
          </w:tcPr>
          <w:p>
            <w:pPr>
              <w:jc w:val="center"/>
              <w:spacing w:after="0"/>
              <w:rPr>
                <w:sz w:val="20"/>
                <w:szCs w:val="20"/>
                <w:color w:val="auto"/>
              </w:rPr>
            </w:pPr>
            <w:r>
              <w:rPr>
                <w:rFonts w:ascii="Arial" w:cs="Arial" w:eastAsia="Arial" w:hAnsi="Arial"/>
                <w:sz w:val="16"/>
                <w:szCs w:val="16"/>
                <w:b w:val="1"/>
                <w:bCs w:val="1"/>
                <w:color w:val="auto"/>
                <w:w w:val="95"/>
              </w:rPr>
              <w:t>Amount</w:t>
            </w:r>
          </w:p>
        </w:tc>
        <w:tc>
          <w:tcPr>
            <w:tcW w:w="66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3"/>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gridSpan w:val="4"/>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auto"/>
            </w:tcBorders>
            <w:gridSpan w:val="5"/>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Platform</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5,083</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 (1,995)</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right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8"/>
                <w:szCs w:val="18"/>
                <w:color w:val="auto"/>
                <w:w w:val="99"/>
              </w:rPr>
              <w:t>(39)% $ 11,617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14,754</w:t>
            </w:r>
          </w:p>
        </w:tc>
        <w:tc>
          <w:tcPr>
            <w:tcW w:w="820" w:type="dxa"/>
            <w:vAlign w:val="bottom"/>
            <w:tcBorders>
              <w:bottom w:val="single" w:sz="8" w:color="CCEEFF"/>
            </w:tcBorders>
            <w:gridSpan w:val="7"/>
            <w:shd w:val="clear" w:color="auto" w:fill="CCEEFF"/>
          </w:tcPr>
          <w:p>
            <w:pPr>
              <w:jc w:val="right"/>
              <w:ind w:right="80"/>
              <w:spacing w:after="0"/>
              <w:rPr>
                <w:sz w:val="20"/>
                <w:szCs w:val="20"/>
                <w:color w:val="auto"/>
              </w:rPr>
            </w:pPr>
            <w:r>
              <w:rPr>
                <w:rFonts w:ascii="Arial" w:cs="Arial" w:eastAsia="Arial" w:hAnsi="Arial"/>
                <w:sz w:val="18"/>
                <w:szCs w:val="18"/>
                <w:color w:val="auto"/>
                <w:w w:val="99"/>
              </w:rPr>
              <w:t>$ (3,137)</w:t>
            </w: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rPr>
                <w:sz w:val="20"/>
                <w:szCs w:val="20"/>
                <w:color w:val="auto"/>
              </w:rPr>
            </w:pPr>
            <w:r>
              <w:rPr>
                <w:rFonts w:ascii="Arial" w:cs="Arial" w:eastAsia="Arial" w:hAnsi="Arial"/>
                <w:sz w:val="18"/>
                <w:szCs w:val="18"/>
                <w:color w:val="auto"/>
              </w:rPr>
              <w:t>Transaction</w:t>
            </w: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3,519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18"/>
                <w:szCs w:val="18"/>
                <w:color w:val="auto"/>
              </w:rPr>
              <w:t>2,451</w:t>
            </w:r>
          </w:p>
        </w:tc>
        <w:tc>
          <w:tcPr>
            <w:tcW w:w="780" w:type="dxa"/>
            <w:vAlign w:val="bottom"/>
            <w:gridSpan w:val="3"/>
          </w:tcPr>
          <w:p>
            <w:pPr>
              <w:jc w:val="right"/>
              <w:ind w:right="52"/>
              <w:spacing w:after="0"/>
              <w:rPr>
                <w:sz w:val="20"/>
                <w:szCs w:val="20"/>
                <w:color w:val="auto"/>
              </w:rPr>
            </w:pPr>
            <w:r>
              <w:rPr>
                <w:rFonts w:ascii="Arial" w:cs="Arial" w:eastAsia="Arial" w:hAnsi="Arial"/>
                <w:sz w:val="18"/>
                <w:szCs w:val="18"/>
                <w:color w:val="auto"/>
              </w:rPr>
              <w:t>1,068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800" w:type="dxa"/>
            <w:vAlign w:val="bottom"/>
            <w:gridSpan w:val="5"/>
          </w:tcPr>
          <w:p>
            <w:pPr>
              <w:jc w:val="right"/>
              <w:ind w:right="20"/>
              <w:spacing w:after="0"/>
              <w:rPr>
                <w:sz w:val="20"/>
                <w:szCs w:val="20"/>
                <w:color w:val="auto"/>
              </w:rPr>
            </w:pPr>
            <w:r>
              <w:rPr>
                <w:rFonts w:ascii="Arial" w:cs="Arial" w:eastAsia="Arial" w:hAnsi="Arial"/>
                <w:sz w:val="18"/>
                <w:szCs w:val="18"/>
                <w:color w:val="auto"/>
              </w:rPr>
              <w:t>9,699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7,705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4"/>
          </w:tcPr>
          <w:p>
            <w:pPr>
              <w:jc w:val="right"/>
              <w:ind w:right="140"/>
              <w:spacing w:after="0"/>
              <w:rPr>
                <w:sz w:val="20"/>
                <w:szCs w:val="20"/>
                <w:color w:val="auto"/>
              </w:rPr>
            </w:pPr>
            <w:r>
              <w:rPr>
                <w:rFonts w:ascii="Arial" w:cs="Arial" w:eastAsia="Arial" w:hAnsi="Arial"/>
                <w:sz w:val="18"/>
                <w:szCs w:val="18"/>
                <w:color w:val="auto"/>
                <w:w w:val="84"/>
              </w:rPr>
              <w:t>1,994</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gridSpan w:val="5"/>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7,534</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(927)</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(12)%</w:t>
            </w:r>
          </w:p>
        </w:tc>
        <w:tc>
          <w:tcPr>
            <w:tcW w:w="800" w:type="dxa"/>
            <w:vAlign w:val="bottom"/>
            <w:tcBorders>
              <w:righ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$ 21,316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22,459</w:t>
            </w:r>
          </w:p>
        </w:tc>
        <w:tc>
          <w:tcPr>
            <w:tcW w:w="82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w w:val="99"/>
              </w:rPr>
              <w:t>$ (1,143)</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Total revenue decreased 12% to $6.6 million for the three months ended March 31, 2023, as compared to $7.5 million for the three months ended March 31, 2022.</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0" w:name="page71"/>
    <w:bookmarkEnd w:id="7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Platform revenue decreased 39% to $3.1 million for the three months ended March 31, 2023, as compared to $5.1 million for the three months ended March 31, 2022. The decrease is primarily attributable to contract terminations by a limited number of franchisees of existing enterprise customers.</w:t>
      </w:r>
    </w:p>
    <w:p>
      <w:pPr>
        <w:spacing w:after="0" w:line="9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Transaction revenue increased 44% to $3.5 million for the three months ended March 31, 2023, as compared to $2.5 million for the three months ended March 31, 2022. This is due to increases in pricing for the Company’s gaming fees.</w:t>
      </w:r>
    </w:p>
    <w:p>
      <w:pPr>
        <w:spacing w:after="0" w:line="11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Total revenue decreased 5% to $21.3 million for the nine months ended March 31, 2023, as compared to $22.5 million for the nine months ended March 31, 2022.</w:t>
      </w:r>
    </w:p>
    <w:p>
      <w:pPr>
        <w:spacing w:after="0" w:line="8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Platform revenue decreased 21% to $11.6 million for the nine months ended March 31, 2023, as compared to $14.8 million for the nine months ended March 31, 2022. The decrease is primarily attributable to contract terminations by a limited number of franchisees of existing enterprise customers.</w:t>
      </w:r>
    </w:p>
    <w:p>
      <w:pPr>
        <w:spacing w:after="0" w:line="9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Transaction revenue increased 26% to $9.7 million for the nine months ended March 31, 2023, as compared to $7.7 million for the nine months ended March 31, 2022. This is due to increases in pricing for the Company’s gaming fees.</w:t>
      </w:r>
    </w:p>
    <w:p>
      <w:pPr>
        <w:spacing w:after="0" w:line="116"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At present, the substantial majority of our revenue is generated from our three largest customers (including, as applicable, the franchisees of such restaurants aggregated as a single customer for reporting purposes), which in the three and nine months ended March 31, 2023 generated an aggregate of approximately, 96% and 97% of our revenue, respectively, while for the three and nine months ended March 31, 2022, they generated an aggregate of approximately, 91% and 93%. The successful renewal of our agreements with those customers is critical to our near-term results of operations and is dependent on product execution, key customer relationships, and in part, the health of the franchisees of some of our customers that have a predominantly franchised model. Although we experienced customer relationship cancellations with one enterprise and certain associated franchisees, the most significant franchisee relationships are still in business and have renewed with us with existing equipment. Some of these agreements are subject to renewal in fiscal year 2023.</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4"/>
          </w:tcPr>
          <w:p>
            <w:pPr>
              <w:jc w:val="center"/>
              <w:ind w:right="32"/>
              <w:spacing w:after="0"/>
              <w:rPr>
                <w:sz w:val="20"/>
                <w:szCs w:val="20"/>
                <w:color w:val="auto"/>
              </w:rPr>
            </w:pPr>
            <w:r>
              <w:rPr>
                <w:rFonts w:ascii="Arial" w:cs="Arial" w:eastAsia="Arial" w:hAnsi="Arial"/>
                <w:sz w:val="16"/>
                <w:szCs w:val="16"/>
                <w:b w:val="1"/>
                <w:bCs w:val="1"/>
                <w:color w:val="auto"/>
                <w:w w:val="90"/>
              </w:rPr>
              <w:t>Three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0"/>
              </w:rPr>
              <w:t>Nine months</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4"/>
          </w:tcPr>
          <w:p>
            <w:pPr>
              <w:jc w:val="center"/>
              <w:ind w:right="32"/>
              <w:spacing w:after="0"/>
              <w:rPr>
                <w:sz w:val="20"/>
                <w:szCs w:val="20"/>
                <w:color w:val="auto"/>
              </w:rPr>
            </w:pPr>
            <w:r>
              <w:rPr>
                <w:rFonts w:ascii="Arial" w:cs="Arial" w:eastAsia="Arial" w:hAnsi="Arial"/>
                <w:sz w:val="16"/>
                <w:szCs w:val="16"/>
                <w:b w:val="1"/>
                <w:bCs w:val="1"/>
                <w:color w:val="auto"/>
                <w:w w:val="84"/>
              </w:rPr>
              <w:t>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left="315"/>
              <w:spacing w:after="0"/>
              <w:rPr>
                <w:sz w:val="20"/>
                <w:szCs w:val="20"/>
                <w:color w:val="auto"/>
              </w:rPr>
            </w:pPr>
            <w:r>
              <w:rPr>
                <w:rFonts w:ascii="Arial" w:cs="Arial" w:eastAsia="Arial" w:hAnsi="Arial"/>
                <w:sz w:val="16"/>
                <w:szCs w:val="16"/>
                <w:b w:val="1"/>
                <w:bCs w:val="1"/>
                <w:color w:val="auto"/>
                <w:w w:val="89"/>
              </w:rPr>
              <w:t>ended</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0"/>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center"/>
              <w:ind w:right="32"/>
              <w:spacing w:after="0"/>
              <w:rPr>
                <w:sz w:val="20"/>
                <w:szCs w:val="20"/>
                <w:color w:val="auto"/>
              </w:rPr>
            </w:pPr>
            <w:r>
              <w:rPr>
                <w:rFonts w:ascii="Arial" w:cs="Arial" w:eastAsia="Arial" w:hAnsi="Arial"/>
                <w:sz w:val="16"/>
                <w:szCs w:val="16"/>
                <w:b w:val="1"/>
                <w:bCs w:val="1"/>
                <w:color w:val="auto"/>
                <w:w w:val="97"/>
              </w:rPr>
              <w:t>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ind w:left="380"/>
              <w:spacing w:after="0"/>
              <w:rPr>
                <w:sz w:val="20"/>
                <w:szCs w:val="20"/>
                <w:color w:val="auto"/>
              </w:rPr>
            </w:pPr>
            <w:r>
              <w:rPr>
                <w:rFonts w:ascii="Arial" w:cs="Arial" w:eastAsia="Arial" w:hAnsi="Arial"/>
                <w:sz w:val="16"/>
                <w:szCs w:val="16"/>
                <w:b w:val="1"/>
                <w:bCs w:val="1"/>
                <w:color w:val="auto"/>
                <w:w w:val="91"/>
              </w:rPr>
              <w:t>Change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7"/>
              </w:rPr>
              <w:t>March 31,</w:t>
            </w:r>
          </w:p>
        </w:tc>
        <w:tc>
          <w:tcPr>
            <w:tcW w:w="120" w:type="dxa"/>
            <w:vAlign w:val="bottom"/>
          </w:tcPr>
          <w:p>
            <w:pPr>
              <w:spacing w:after="0"/>
              <w:rPr>
                <w:sz w:val="18"/>
                <w:szCs w:val="18"/>
                <w:color w:val="auto"/>
              </w:rPr>
            </w:pPr>
          </w:p>
        </w:tc>
        <w:tc>
          <w:tcPr>
            <w:tcW w:w="960" w:type="dxa"/>
            <w:vAlign w:val="bottom"/>
            <w:gridSpan w:val="4"/>
          </w:tcPr>
          <w:p>
            <w:pPr>
              <w:ind w:left="400"/>
              <w:spacing w:after="0"/>
              <w:rPr>
                <w:sz w:val="20"/>
                <w:szCs w:val="20"/>
                <w:color w:val="auto"/>
              </w:rPr>
            </w:pPr>
            <w:r>
              <w:rPr>
                <w:rFonts w:ascii="Arial" w:cs="Arial" w:eastAsia="Arial" w:hAnsi="Arial"/>
                <w:sz w:val="16"/>
                <w:szCs w:val="16"/>
                <w:b w:val="1"/>
                <w:bCs w:val="1"/>
                <w:color w:val="auto"/>
                <w:w w:val="91"/>
              </w:rPr>
              <w:t>Change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7"/>
        </w:trPr>
        <w:tc>
          <w:tcPr>
            <w:tcW w:w="1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17"/>
        </w:trPr>
        <w:tc>
          <w:tcPr>
            <w:tcW w:w="18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75"/>
              <w:spacing w:after="0"/>
              <w:rPr>
                <w:sz w:val="20"/>
                <w:szCs w:val="20"/>
                <w:color w:val="auto"/>
              </w:rPr>
            </w:pPr>
            <w:r>
              <w:rPr>
                <w:rFonts w:ascii="Arial" w:cs="Arial" w:eastAsia="Arial" w:hAnsi="Arial"/>
                <w:sz w:val="16"/>
                <w:szCs w:val="16"/>
                <w:b w:val="1"/>
                <w:bCs w:val="1"/>
                <w:color w:val="auto"/>
                <w:w w:val="95"/>
              </w:rPr>
              <w:t>2023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8"/>
                <w:szCs w:val="18"/>
                <w:color w:val="auto"/>
              </w:rPr>
            </w:pPr>
          </w:p>
        </w:tc>
        <w:tc>
          <w:tcPr>
            <w:tcW w:w="1040" w:type="dxa"/>
            <w:vAlign w:val="bottom"/>
            <w:gridSpan w:val="5"/>
          </w:tcPr>
          <w:p>
            <w:pPr>
              <w:ind w:left="80"/>
              <w:spacing w:after="0"/>
              <w:rPr>
                <w:sz w:val="20"/>
                <w:szCs w:val="20"/>
                <w:color w:val="auto"/>
              </w:rPr>
            </w:pPr>
            <w:r>
              <w:rPr>
                <w:rFonts w:ascii="Arial" w:cs="Arial" w:eastAsia="Arial" w:hAnsi="Arial"/>
                <w:sz w:val="16"/>
                <w:szCs w:val="16"/>
                <w:b w:val="1"/>
                <w:bCs w:val="1"/>
                <w:color w:val="auto"/>
              </w:rPr>
              <w:t>Amount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95"/>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6"/>
                <w:szCs w:val="16"/>
                <w:b w:val="1"/>
                <w:bCs w:val="1"/>
                <w:color w:val="auto"/>
                <w:w w:val="89"/>
              </w:rPr>
              <w:t>2022</w:t>
            </w:r>
          </w:p>
        </w:tc>
        <w:tc>
          <w:tcPr>
            <w:tcW w:w="80" w:type="dxa"/>
            <w:vAlign w:val="bottom"/>
          </w:tcPr>
          <w:p>
            <w:pPr>
              <w:spacing w:after="0"/>
              <w:rPr>
                <w:sz w:val="18"/>
                <w:szCs w:val="18"/>
                <w:color w:val="auto"/>
              </w:rPr>
            </w:pPr>
          </w:p>
        </w:tc>
        <w:tc>
          <w:tcPr>
            <w:tcW w:w="1080" w:type="dxa"/>
            <w:vAlign w:val="bottom"/>
            <w:gridSpan w:val="5"/>
          </w:tcPr>
          <w:p>
            <w:pPr>
              <w:ind w:left="60"/>
              <w:spacing w:after="0"/>
              <w:rPr>
                <w:sz w:val="20"/>
                <w:szCs w:val="20"/>
                <w:color w:val="auto"/>
              </w:rPr>
            </w:pPr>
            <w:r>
              <w:rPr>
                <w:rFonts w:ascii="Arial" w:cs="Arial" w:eastAsia="Arial" w:hAnsi="Arial"/>
                <w:sz w:val="16"/>
                <w:szCs w:val="16"/>
                <w:b w:val="1"/>
                <w:bCs w:val="1"/>
                <w:color w:val="auto"/>
              </w:rPr>
              <w:t>Amount</w:t>
            </w:r>
          </w:p>
        </w:tc>
        <w:tc>
          <w:tcPr>
            <w:tcW w:w="280" w:type="dxa"/>
            <w:vAlign w:val="bottom"/>
          </w:tcPr>
          <w:p>
            <w:pPr>
              <w:jc w:val="right"/>
              <w:ind w:right="1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r>
      <w:tr>
        <w:trPr>
          <w:trHeight w:val="46"/>
        </w:trPr>
        <w:tc>
          <w:tcPr>
            <w:tcW w:w="1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57"/>
        </w:trPr>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Platform</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(1,314)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(32)%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CEEFF"/>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10,951</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11,872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Transaction</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3,084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8,561</w:t>
            </w:r>
          </w:p>
        </w:tc>
        <w:tc>
          <w:tcPr>
            <w:tcW w:w="16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6,749</w:t>
            </w:r>
          </w:p>
        </w:tc>
        <w:tc>
          <w:tcPr>
            <w:tcW w:w="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1,812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40"/>
        </w:trPr>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Depreciation and</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7"/>
        </w:trPr>
        <w:tc>
          <w:tcPr>
            <w:tcW w:w="1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873</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1,206</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(28)%</w:t>
            </w:r>
          </w:p>
        </w:tc>
      </w:tr>
      <w:tr>
        <w:trPr>
          <w:trHeight w:val="20"/>
        </w:trPr>
        <w:tc>
          <w:tcPr>
            <w:tcW w:w="18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Total costs of revenue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6,118</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5"/>
              <w:spacing w:after="0"/>
              <w:rPr>
                <w:sz w:val="20"/>
                <w:szCs w:val="20"/>
                <w:color w:val="auto"/>
              </w:rPr>
            </w:pPr>
            <w:r>
              <w:rPr>
                <w:rFonts w:ascii="Arial" w:cs="Arial" w:eastAsia="Arial" w:hAnsi="Arial"/>
                <w:sz w:val="18"/>
                <w:szCs w:val="18"/>
                <w:color w:val="auto"/>
                <w:w w:val="98"/>
              </w:rPr>
              <w:t>20,385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19,827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Cost of revenue decreased 6% to $6.1 million for the three months ended March 31, 2023, as compared to $6.5 million for the three months ended March 31, 2022.</w:t>
      </w:r>
    </w:p>
    <w:p>
      <w:pPr>
        <w:spacing w:after="0" w:line="8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platform cost of revenue decreased 32% to $2.7 million for the three months ended March 31, 2023, as compared to $4.1 million for the three months ended March 31, 2022. The decrease was primarily attributable to decreases in product deferred costs, installation and shipping costs during the three months ended March 31, 2023, relative to the three months ended March 31, 2022.</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transaction cost of revenue increased 41% to $3.1 million for the three months ended March 31, 2023, as compared to $2.2 million for the three months ended March 31, 2022. The increase was primarily attributable to increases in the revenue share owed to restaurants as a result of increases in pricing for the Company’s gaming fees.</w:t>
      </w:r>
    </w:p>
    <w:p>
      <w:pPr>
        <w:spacing w:after="0" w:line="11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Cost of revenue increased 3% to $20.4 million for the nine months ended March 31, 2023, as compared to $19.8 million for the nine months ended March 31, 2022.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1" w:name="page72"/>
    <w:bookmarkEnd w:id="7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platform cost of revenue decreased 8% to $11.0 million for the nine months ended March 31, 2023, as compared to $11.9 million for the nine months ended March 31, 2022. The decrease was primarily attributable to decreases in product deferred costs, installation and shipping costs during the nine months ended March 31, 2023, relative to the nine months ended March 31, 2022.</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transaction cost of revenue increased 27% to $8.6 million for the nine months ended March 31, 2023, as compared to $6.7 million for the nine months ended March 31, 2022. The increase was primarily attributable to increases in the revenue share owed to restaurants as a result of increases in pricing for the Company’s gaming fees.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 — Depreciation and Impairment</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depreciation and impairment cost of revenue remained flat for the three months ended March 31, 2023 and 2022 at $0.3 million. Depreciation and impairment cost of revenue decreased 28% for the nine months ended March 31, 2023 to $0.9 million from $1.2 million during the nine months ended March 31, 2022. The decrease was primarily attributable to the return of leased tablets in fiscal year 2022, which resulted in a lower amount of tablets in use and being depreciated.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4"/>
          </w:tcPr>
          <w:p>
            <w:pPr>
              <w:jc w:val="center"/>
              <w:ind w:right="52"/>
              <w:spacing w:after="0"/>
              <w:rPr>
                <w:sz w:val="20"/>
                <w:szCs w:val="20"/>
                <w:color w:val="auto"/>
              </w:rPr>
            </w:pPr>
            <w:r>
              <w:rPr>
                <w:rFonts w:ascii="Arial" w:cs="Arial" w:eastAsia="Arial" w:hAnsi="Arial"/>
                <w:sz w:val="16"/>
                <w:szCs w:val="16"/>
                <w:b w:val="1"/>
                <w:bCs w:val="1"/>
                <w:color w:val="auto"/>
                <w:w w:val="90"/>
              </w:rPr>
              <w:t>Three months</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8"/>
              </w:rPr>
              <w:t>Nine months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center"/>
              <w:ind w:left="274"/>
              <w:spacing w:after="0"/>
              <w:rPr>
                <w:sz w:val="20"/>
                <w:szCs w:val="20"/>
                <w:color w:val="auto"/>
              </w:rPr>
            </w:pPr>
            <w:r>
              <w:rPr>
                <w:rFonts w:ascii="Arial" w:cs="Arial" w:eastAsia="Arial" w:hAnsi="Arial"/>
                <w:sz w:val="16"/>
                <w:szCs w:val="16"/>
                <w:b w:val="1"/>
                <w:bCs w:val="1"/>
                <w:color w:val="auto"/>
                <w:w w:val="89"/>
              </w:rPr>
              <w:t>ended</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3"/>
          </w:tcPr>
          <w:p>
            <w:pPr>
              <w:jc w:val="center"/>
              <w:ind w:left="294"/>
              <w:spacing w:after="0"/>
              <w:rPr>
                <w:sz w:val="20"/>
                <w:szCs w:val="20"/>
                <w:color w:val="auto"/>
              </w:rPr>
            </w:pPr>
            <w:r>
              <w:rPr>
                <w:rFonts w:ascii="Arial" w:cs="Arial" w:eastAsia="Arial" w:hAnsi="Arial"/>
                <w:sz w:val="16"/>
                <w:szCs w:val="16"/>
                <w:b w:val="1"/>
                <w:bCs w:val="1"/>
                <w:color w:val="auto"/>
                <w:w w:val="89"/>
              </w:rPr>
              <w:t>ended</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0"/>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4"/>
          </w:tcPr>
          <w:p>
            <w:pPr>
              <w:jc w:val="center"/>
              <w:ind w:right="72"/>
              <w:spacing w:after="0"/>
              <w:rPr>
                <w:sz w:val="20"/>
                <w:szCs w:val="20"/>
                <w:color w:val="auto"/>
              </w:rPr>
            </w:pPr>
            <w:r>
              <w:rPr>
                <w:rFonts w:ascii="Arial" w:cs="Arial" w:eastAsia="Arial" w:hAnsi="Arial"/>
                <w:sz w:val="16"/>
                <w:szCs w:val="16"/>
                <w:b w:val="1"/>
                <w:bCs w:val="1"/>
                <w:color w:val="auto"/>
                <w:w w:val="94"/>
              </w:rPr>
              <w:t>March 31,</w:t>
            </w:r>
          </w:p>
        </w:tc>
        <w:tc>
          <w:tcPr>
            <w:tcW w:w="80" w:type="dxa"/>
            <w:vAlign w:val="bottom"/>
          </w:tcPr>
          <w:p>
            <w:pPr>
              <w:spacing w:after="0"/>
              <w:rPr>
                <w:sz w:val="18"/>
                <w:szCs w:val="18"/>
                <w:color w:val="auto"/>
              </w:rPr>
            </w:pPr>
          </w:p>
        </w:tc>
        <w:tc>
          <w:tcPr>
            <w:tcW w:w="146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4"/>
              </w:rPr>
              <w:t>March 31,</w:t>
            </w:r>
          </w:p>
        </w:tc>
        <w:tc>
          <w:tcPr>
            <w:tcW w:w="100" w:type="dxa"/>
            <w:vAlign w:val="bottom"/>
          </w:tcPr>
          <w:p>
            <w:pPr>
              <w:spacing w:after="0"/>
              <w:rPr>
                <w:sz w:val="18"/>
                <w:szCs w:val="18"/>
                <w:color w:val="auto"/>
              </w:rPr>
            </w:pPr>
          </w:p>
        </w:tc>
        <w:tc>
          <w:tcPr>
            <w:tcW w:w="1040" w:type="dxa"/>
            <w:vAlign w:val="bottom"/>
            <w:gridSpan w:val="4"/>
          </w:tcPr>
          <w:p>
            <w:pPr>
              <w:ind w:left="480"/>
              <w:spacing w:after="0"/>
              <w:rPr>
                <w:sz w:val="20"/>
                <w:szCs w:val="20"/>
                <w:color w:val="auto"/>
              </w:rPr>
            </w:pPr>
            <w:r>
              <w:rPr>
                <w:rFonts w:ascii="Arial" w:cs="Arial" w:eastAsia="Arial" w:hAnsi="Arial"/>
                <w:sz w:val="16"/>
                <w:szCs w:val="16"/>
                <w:b w:val="1"/>
                <w:bCs w:val="1"/>
                <w:color w:val="auto"/>
                <w:w w:val="91"/>
              </w:rPr>
              <w:t>Change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6"/>
        </w:trPr>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17"/>
        </w:trPr>
        <w:tc>
          <w:tcPr>
            <w:tcW w:w="158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11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6"/>
                <w:szCs w:val="16"/>
                <w:b w:val="1"/>
                <w:bCs w:val="1"/>
                <w:color w:val="auto"/>
                <w:w w:val="89"/>
              </w:rPr>
              <w:t>2022</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Amount</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114"/>
              <w:spacing w:after="0"/>
              <w:rPr>
                <w:sz w:val="20"/>
                <w:szCs w:val="20"/>
                <w:color w:val="auto"/>
              </w:rPr>
            </w:pPr>
            <w:r>
              <w:rPr>
                <w:rFonts w:ascii="Arial" w:cs="Arial" w:eastAsia="Arial" w:hAnsi="Arial"/>
                <w:sz w:val="16"/>
                <w:szCs w:val="16"/>
                <w:b w:val="1"/>
                <w:bCs w:val="1"/>
                <w:color w:val="auto"/>
                <w:w w:val="95"/>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6"/>
                <w:szCs w:val="16"/>
                <w:b w:val="1"/>
                <w:bCs w:val="1"/>
                <w:color w:val="auto"/>
                <w:w w:val="89"/>
              </w:rPr>
              <w:t>2022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spacing w:after="0"/>
              <w:rPr>
                <w:sz w:val="20"/>
                <w:szCs w:val="20"/>
                <w:color w:val="auto"/>
              </w:rPr>
            </w:pPr>
            <w:r>
              <w:rPr>
                <w:rFonts w:ascii="Arial" w:cs="Arial" w:eastAsia="Arial" w:hAnsi="Arial"/>
                <w:sz w:val="16"/>
                <w:szCs w:val="16"/>
                <w:b w:val="1"/>
                <w:bCs w:val="1"/>
                <w:color w:val="auto"/>
              </w:rPr>
              <w:t>Amount</w:t>
            </w:r>
          </w:p>
        </w:tc>
        <w:tc>
          <w:tcPr>
            <w:tcW w:w="340" w:type="dxa"/>
            <w:vAlign w:val="bottom"/>
          </w:tcPr>
          <w:p>
            <w:pPr>
              <w:jc w:val="right"/>
              <w:ind w:right="3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r>
      <w:tr>
        <w:trPr>
          <w:trHeight w:val="47"/>
        </w:trPr>
        <w:tc>
          <w:tcPr>
            <w:tcW w:w="1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195"/>
        </w:trPr>
        <w:tc>
          <w:tcPr>
            <w:tcW w:w="1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Research and</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51"/>
        </w:trPr>
        <w:tc>
          <w:tcPr>
            <w:tcW w:w="1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development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$ 1,569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16,877</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11,733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r>
      <w:tr>
        <w:trPr>
          <w:trHeight w:val="243"/>
        </w:trPr>
        <w:tc>
          <w:tcPr>
            <w:tcW w:w="1580" w:type="dxa"/>
            <w:vAlign w:val="bottom"/>
          </w:tcPr>
          <w:p>
            <w:pPr>
              <w:spacing w:after="0"/>
              <w:rPr>
                <w:sz w:val="20"/>
                <w:szCs w:val="20"/>
                <w:color w:val="auto"/>
              </w:rPr>
            </w:pPr>
            <w:r>
              <w:rPr>
                <w:rFonts w:ascii="Arial" w:cs="Arial" w:eastAsia="Arial" w:hAnsi="Arial"/>
                <w:sz w:val="18"/>
                <w:szCs w:val="18"/>
                <w:color w:val="auto"/>
                <w:w w:val="95"/>
              </w:rPr>
              <w:t>Sales and marketing</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1,966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4,791</w:t>
            </w:r>
          </w:p>
        </w:tc>
        <w:tc>
          <w:tcPr>
            <w:tcW w:w="10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r>
      <w:tr>
        <w:trPr>
          <w:trHeight w:val="40"/>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02"/>
        </w:trPr>
        <w:tc>
          <w:tcPr>
            <w:tcW w:w="1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and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51"/>
        </w:trPr>
        <w:tc>
          <w:tcPr>
            <w:tcW w:w="1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7,110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12,498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r>
      <w:tr>
        <w:trPr>
          <w:trHeight w:val="202"/>
        </w:trPr>
        <w:tc>
          <w:tcPr>
            <w:tcW w:w="1580" w:type="dxa"/>
            <w:vAlign w:val="bottom"/>
          </w:tcPr>
          <w:p>
            <w:pPr>
              <w:spacing w:after="0" w:line="201" w:lineRule="exact"/>
              <w:rPr>
                <w:sz w:val="20"/>
                <w:szCs w:val="20"/>
                <w:color w:val="auto"/>
              </w:rPr>
            </w:pPr>
            <w:r>
              <w:rPr>
                <w:rFonts w:ascii="Arial" w:cs="Arial" w:eastAsia="Arial" w:hAnsi="Arial"/>
                <w:sz w:val="18"/>
                <w:szCs w:val="18"/>
                <w:color w:val="auto"/>
              </w:rPr>
              <w:t>Loss on infrequent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4"/>
        </w:trPr>
        <w:tc>
          <w:tcPr>
            <w:tcW w:w="1580" w:type="dxa"/>
            <w:vAlign w:val="bottom"/>
          </w:tcPr>
          <w:p>
            <w:pPr>
              <w:ind w:left="180"/>
              <w:spacing w:after="0"/>
              <w:rPr>
                <w:sz w:val="20"/>
                <w:szCs w:val="20"/>
                <w:color w:val="auto"/>
              </w:rPr>
            </w:pPr>
            <w:r>
              <w:rPr>
                <w:rFonts w:ascii="Arial" w:cs="Arial" w:eastAsia="Arial" w:hAnsi="Arial"/>
                <w:sz w:val="18"/>
                <w:szCs w:val="18"/>
                <w:color w:val="auto"/>
              </w:rPr>
              <w:t>product repairs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119</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(119)</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2"/>
              </w:rPr>
              <w:t>(100)%</w:t>
            </w:r>
          </w:p>
        </w:tc>
      </w:tr>
      <w:tr>
        <w:trPr>
          <w:trHeight w:val="27"/>
        </w:trPr>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182"/>
        </w:trPr>
        <w:tc>
          <w:tcPr>
            <w:tcW w:w="15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operating</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51"/>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$ 6,041</w:t>
            </w:r>
          </w:p>
        </w:tc>
        <w:tc>
          <w:tcPr>
            <w:tcW w:w="12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43,238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24,216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19,022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Operating expenses increased by 67% to $15.0 million for the three months ended March 31, 2023, as compared to $9.0 million for the three months ended March 31, 2022.</w:t>
      </w:r>
    </w:p>
    <w:p>
      <w:pPr>
        <w:spacing w:after="0" w:line="10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Operating expenses increased by 79% to $43.2 million for the nine months ended March 31, 2023, as compared to $24.2 million for the nine months ended March 31, 2022.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Research and development expenses increased 40% to $5.5 million for the three months ended March 31, 2023, as compared to $3.9 million for the three months ended March 31, 2022. The increase resulted primarily from an increase in stock-based compensation expense of $1.1 million as a result of the modification of the performance based vesting conditions of RSUs that was waived, and an increase in salaries and employee benefits expense of $0.3 million due to higher headcount.</w:t>
      </w:r>
    </w:p>
    <w:p>
      <w:pPr>
        <w:spacing w:after="0" w:line="107"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Research and development expenses increased 44% to $16.9 million for the nine months ended March 31, 2023, as compared to $11.7 million for the nine months ended March 31, 2022. The increase resulted primarily from an increase of $2.3 million in salaries and employee benefits expense due to increase in headcount and bonuses to former Cyborg employees, an increase of $1.5 million in stock based compensation as a result of a modification of performance based vesting conditions of RSUs that was waived, $0.6 million increase in professional fees and $0.8 million in increase in other costs.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Sales and marketing expenses remained flat at $2.1 million for the three months ended March 31, 2023, as compared to $2.0 million for the three months ended March 31, 2022.</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2" w:name="page73"/>
    <w:bookmarkEnd w:id="7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Sales and marketing expenses increased 41% to $6.8 million for the nine months ended March 31, 2023, as compared to $4.8 million for the nine months ended March 31, 2022. The increase resulted primarily from an increase in salaries and employee benefits expense of $1.3 million, as a result of an increase in headcount, and a public relations fee paid upon the completion of the Merger of $0.3 million in the nine months ended March 31, 2023.</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15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General and administrative expenses increased 149% to $7.4 million for the three months ended March 31, 2023, as compared to $3.0 million for the three months ended March 31, 2022. The increase resulted primarily from an increase in stock-based compensation expense of $2.8 million, primarily due to award modifications for performance conditions on RSUs, for key executive terminations and new employee grants, an increase $1.6 million in outside professional fees for legal, audit and public company compliance expenses.</w:t>
      </w:r>
    </w:p>
    <w:p>
      <w:pPr>
        <w:spacing w:after="0" w:line="9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General and administrative expenses increased 176% to $19.6 million for the nine months ended March 31, 2023, as compared to $7.1 million for the nine months ended March 31, 2022. The increase resulted primarily from an increase in stock-based compensation expense of $6.0 million, primarily due to award modifications for performance conditions on RSUs, for key executive terminations and new employee grants, and an increase in legal expense, accounting services expense and temporary services expenses of $4.4 million, $0.8 million of which are ancillary professional services fees in preparation for the Merger, and an increase in salaries and employee benefits expense of $1.2 million.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Loss on Infrequent Product Repairs</w:t>
      </w:r>
    </w:p>
    <w:p>
      <w:pPr>
        <w:spacing w:after="0" w:line="14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We had no loss on infrequent product repairs for the three and nine months ended March 31, 2023, as compared to $119 thousand and $0.6 million for the three and nine months ended March 31, 2022, respectively. The decrease is due to the decrease in the repair and replacement expenses related to damage caused to hardware caused by our customers’ use of extremely strong commercial disinfectant solutions to clean the hardware devices as a mandatory precaution protocol due to COVID-19 in the nine months ended March 31, 2023 and compared to the nine months ended March 31, 2022.</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Fair Value of Warrants and Convertible Promissory Notes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Three months</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Nine months</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84"/>
              </w:rPr>
              <w:t>ended</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10"/>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7"/>
              </w:rPr>
              <w:t>March 31,</w:t>
            </w:r>
          </w:p>
        </w:tc>
        <w:tc>
          <w:tcPr>
            <w:tcW w:w="8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6"/>
                <w:szCs w:val="16"/>
                <w:b w:val="1"/>
                <w:bCs w:val="1"/>
                <w:color w:val="auto"/>
                <w:w w:val="88"/>
              </w:rPr>
              <w:t>Change</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March 31,</w:t>
            </w:r>
          </w:p>
        </w:tc>
        <w:tc>
          <w:tcPr>
            <w:tcW w:w="80" w:type="dxa"/>
            <w:vAlign w:val="bottom"/>
          </w:tcPr>
          <w:p>
            <w:pPr>
              <w:spacing w:after="0"/>
              <w:rPr>
                <w:sz w:val="18"/>
                <w:szCs w:val="18"/>
                <w:color w:val="auto"/>
              </w:rPr>
            </w:pPr>
          </w:p>
        </w:tc>
        <w:tc>
          <w:tcPr>
            <w:tcW w:w="1040" w:type="dxa"/>
            <w:vAlign w:val="bottom"/>
            <w:gridSpan w:val="3"/>
          </w:tcPr>
          <w:p>
            <w:pPr>
              <w:ind w:left="480"/>
              <w:spacing w:after="0"/>
              <w:rPr>
                <w:sz w:val="20"/>
                <w:szCs w:val="20"/>
                <w:color w:val="auto"/>
              </w:rPr>
            </w:pPr>
            <w:r>
              <w:rPr>
                <w:rFonts w:ascii="Arial" w:cs="Arial" w:eastAsia="Arial" w:hAnsi="Arial"/>
                <w:sz w:val="16"/>
                <w:szCs w:val="16"/>
                <w:b w:val="1"/>
                <w:bCs w:val="1"/>
                <w:color w:val="auto"/>
                <w:w w:val="91"/>
              </w:rPr>
              <w:t>Change</w:t>
            </w:r>
          </w:p>
        </w:tc>
        <w:tc>
          <w:tcPr>
            <w:tcW w:w="460" w:type="dxa"/>
            <w:vAlign w:val="bottom"/>
          </w:tcPr>
          <w:p>
            <w:pPr>
              <w:spacing w:after="0"/>
              <w:rPr>
                <w:sz w:val="18"/>
                <w:szCs w:val="18"/>
                <w:color w:val="auto"/>
              </w:rPr>
            </w:pPr>
          </w:p>
        </w:tc>
      </w:tr>
      <w:tr>
        <w:trPr>
          <w:trHeight w:val="47"/>
        </w:trPr>
        <w:tc>
          <w:tcPr>
            <w:tcW w:w="1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217"/>
        </w:trPr>
        <w:tc>
          <w:tcPr>
            <w:tcW w:w="2080" w:type="dxa"/>
            <w:vAlign w:val="bottom"/>
            <w:gridSpan w:val="2"/>
          </w:tcPr>
          <w:p>
            <w:pPr>
              <w:spacing w:after="0"/>
              <w:rPr>
                <w:sz w:val="20"/>
                <w:szCs w:val="20"/>
                <w:color w:val="auto"/>
              </w:rPr>
            </w:pPr>
            <w:r>
              <w:rPr>
                <w:rFonts w:ascii="Arial" w:cs="Arial" w:eastAsia="Arial" w:hAnsi="Arial"/>
                <w:sz w:val="16"/>
                <w:szCs w:val="16"/>
                <w:b w:val="1"/>
                <w:bCs w:val="1"/>
                <w:color w:val="auto"/>
              </w:rPr>
              <w:t>(dollars in thousands)</w:t>
            </w:r>
          </w:p>
        </w:tc>
        <w:tc>
          <w:tcPr>
            <w:tcW w:w="620" w:type="dxa"/>
            <w:vAlign w:val="bottom"/>
          </w:tcPr>
          <w:p>
            <w:pPr>
              <w:jc w:val="right"/>
              <w:ind w:right="57"/>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Amount</w:t>
            </w:r>
          </w:p>
        </w:tc>
        <w:tc>
          <w:tcPr>
            <w:tcW w:w="380" w:type="dxa"/>
            <w:vAlign w:val="bottom"/>
          </w:tcPr>
          <w:p>
            <w:pPr>
              <w:jc w:val="right"/>
              <w:ind w:right="35"/>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8"/>
                <w:szCs w:val="18"/>
                <w:color w:val="auto"/>
              </w:rPr>
            </w:pPr>
          </w:p>
        </w:tc>
        <w:tc>
          <w:tcPr>
            <w:tcW w:w="7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460" w:type="dxa"/>
            <w:vAlign w:val="bottom"/>
          </w:tcPr>
          <w:p>
            <w:pPr>
              <w:jc w:val="right"/>
              <w:ind w:right="215"/>
              <w:spacing w:after="0"/>
              <w:rPr>
                <w:sz w:val="20"/>
                <w:szCs w:val="20"/>
                <w:color w:val="auto"/>
              </w:rPr>
            </w:pPr>
            <w:r>
              <w:rPr>
                <w:rFonts w:ascii="Arial" w:cs="Arial" w:eastAsia="Arial" w:hAnsi="Arial"/>
                <w:sz w:val="16"/>
                <w:szCs w:val="16"/>
                <w:b w:val="1"/>
                <w:bCs w:val="1"/>
                <w:color w:val="auto"/>
                <w:w w:val="98"/>
              </w:rPr>
              <w:t>%</w:t>
            </w:r>
          </w:p>
        </w:tc>
      </w:tr>
      <w:tr>
        <w:trPr>
          <w:trHeight w:val="47"/>
        </w:trPr>
        <w:tc>
          <w:tcPr>
            <w:tcW w:w="1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195"/>
        </w:trPr>
        <w:tc>
          <w:tcPr>
            <w:tcW w:w="20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Change in fair value of</w:t>
            </w: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r>
      <w:tr>
        <w:trPr>
          <w:trHeight w:val="216"/>
        </w:trPr>
        <w:tc>
          <w:tcPr>
            <w:tcW w:w="2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warrants and convertible</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30"/>
        </w:trPr>
        <w:tc>
          <w:tcPr>
            <w:tcW w:w="2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promissory notes</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  1,599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$ 18,102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(16,503)</w:t>
            </w:r>
          </w:p>
        </w:tc>
        <w:tc>
          <w:tcPr>
            <w:tcW w:w="1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91%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$ 61,043</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 (11,668)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$ 72,711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623%</w:t>
            </w:r>
          </w:p>
        </w:tc>
      </w:tr>
      <w:tr>
        <w:trPr>
          <w:trHeight w:val="40"/>
        </w:trPr>
        <w:tc>
          <w:tcPr>
            <w:tcW w:w="1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During the three months ended March 31, 2023, the change in fair value of warrants and convertible promissory notes was a gain of $1.6 million, as compared to a gain of $18.1 million during the three months ended March 31, 2022, primarily due to the fact that all of the convertible promissory notes converted due to the consummation of the Merger on September 21, 2022. During the three months ended March 31, 2022, all of the Company’s outstanding convertible promissory notes and liability classified warrants were subject to remeasurement as such instruments were accounted for at fair value.</w:t>
      </w:r>
    </w:p>
    <w:p>
      <w:pPr>
        <w:spacing w:after="0" w:line="110"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In the nine months ended March 31, 2023, the change in fair value of warrants and convertible promissory notes changed due to a gain of $61.0 million, as compared to a loss of $11.7 million in the nine months ended March 31, 2022.</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remeasurement gain recorded during the nine months ended March 31, 2023, was primarily driven by two factors. First, immediately prior to the closing of the Merger, the convertible notes and embedded warrants were remeasured to their then fair value of $41.4 million, resulting in a gain on remeasurement of $48.3 million. Second, with the close of the Merger, the Company assumed $9.4 million of warrant liabilities associated with the legacy private warrants of VTAQ and issued additional warrants with a fair value of $0.8 million. As of March 31, 2023,</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3" w:name="page74"/>
    <w:bookmarkEnd w:id="7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all of the Company’s outstanding liability classified warrants were remeasured to fair value based on the March 31, 2023 stock price. As a result of the above, a $61.0 million gain on remeasurement was recorded for the nine months ended March 31, 2023. The primary factor affecting the change in fair value of the warrants was the assumption of the Private Warrants, the issuance of additional warrant shares, and the decrease in the Company’s stock price during the nine months ended March 31, 2023.</w:t>
      </w:r>
    </w:p>
    <w:p>
      <w:pPr>
        <w:spacing w:after="0" w:line="10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During the nine months ended March 31, 2022, the convertible notes and embedded warrants had a change in fair value resulting in a loss of $11.7 million, reflecting the increased stock price of the then privately held entity. Such increases to the stock price were in contemplation of the anticipated Merger.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Three months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0"/>
              </w:rPr>
              <w:t>Nine months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center"/>
              <w:ind w:left="417"/>
              <w:spacing w:after="0"/>
              <w:rPr>
                <w:sz w:val="20"/>
                <w:szCs w:val="20"/>
                <w:color w:val="auto"/>
              </w:rPr>
            </w:pPr>
            <w:r>
              <w:rPr>
                <w:rFonts w:ascii="Arial" w:cs="Arial" w:eastAsia="Arial" w:hAnsi="Arial"/>
                <w:sz w:val="16"/>
                <w:szCs w:val="16"/>
                <w:b w:val="1"/>
                <w:bCs w:val="1"/>
                <w:color w:val="auto"/>
                <w:w w:val="84"/>
              </w:rPr>
              <w:t>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center"/>
              <w:ind w:left="397"/>
              <w:spacing w:after="0"/>
              <w:rPr>
                <w:sz w:val="20"/>
                <w:szCs w:val="20"/>
                <w:color w:val="auto"/>
              </w:rPr>
            </w:pPr>
            <w:r>
              <w:rPr>
                <w:rFonts w:ascii="Arial" w:cs="Arial" w:eastAsia="Arial" w:hAnsi="Arial"/>
                <w:sz w:val="16"/>
                <w:szCs w:val="16"/>
                <w:b w:val="1"/>
                <w:bCs w:val="1"/>
                <w:color w:val="auto"/>
                <w:w w:val="84"/>
              </w:rPr>
              <w:t>ended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0"/>
        </w:trPr>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7"/>
              </w:rPr>
              <w:t>March 31,</w:t>
            </w:r>
          </w:p>
        </w:tc>
        <w:tc>
          <w:tcPr>
            <w:tcW w:w="100" w:type="dxa"/>
            <w:vAlign w:val="bottom"/>
          </w:tcPr>
          <w:p>
            <w:pPr>
              <w:spacing w:after="0"/>
              <w:rPr>
                <w:sz w:val="18"/>
                <w:szCs w:val="18"/>
                <w:color w:val="auto"/>
              </w:rPr>
            </w:pPr>
          </w:p>
        </w:tc>
        <w:tc>
          <w:tcPr>
            <w:tcW w:w="960" w:type="dxa"/>
            <w:vAlign w:val="bottom"/>
            <w:gridSpan w:val="3"/>
          </w:tcPr>
          <w:p>
            <w:pPr>
              <w:ind w:left="420"/>
              <w:spacing w:after="0"/>
              <w:rPr>
                <w:sz w:val="20"/>
                <w:szCs w:val="20"/>
                <w:color w:val="auto"/>
              </w:rPr>
            </w:pPr>
            <w:r>
              <w:rPr>
                <w:rFonts w:ascii="Arial" w:cs="Arial" w:eastAsia="Arial" w:hAnsi="Arial"/>
                <w:sz w:val="16"/>
                <w:szCs w:val="16"/>
                <w:b w:val="1"/>
                <w:bCs w:val="1"/>
                <w:color w:val="auto"/>
                <w:w w:val="88"/>
              </w:rPr>
              <w:t>Change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7"/>
              </w:rPr>
              <w:t>March 31,</w:t>
            </w:r>
          </w:p>
        </w:tc>
        <w:tc>
          <w:tcPr>
            <w:tcW w:w="1020" w:type="dxa"/>
            <w:vAlign w:val="bottom"/>
            <w:gridSpan w:val="3"/>
          </w:tcPr>
          <w:p>
            <w:pPr>
              <w:ind w:left="480"/>
              <w:spacing w:after="0"/>
              <w:rPr>
                <w:sz w:val="20"/>
                <w:szCs w:val="20"/>
                <w:color w:val="auto"/>
              </w:rPr>
            </w:pPr>
            <w:r>
              <w:rPr>
                <w:rFonts w:ascii="Arial" w:cs="Arial" w:eastAsia="Arial" w:hAnsi="Arial"/>
                <w:sz w:val="16"/>
                <w:szCs w:val="16"/>
                <w:b w:val="1"/>
                <w:bCs w:val="1"/>
                <w:color w:val="auto"/>
                <w:w w:val="88"/>
              </w:rPr>
              <w:t>Change</w:t>
            </w:r>
          </w:p>
        </w:tc>
        <w:tc>
          <w:tcPr>
            <w:tcW w:w="480" w:type="dxa"/>
            <w:vAlign w:val="bottom"/>
          </w:tcPr>
          <w:p>
            <w:pPr>
              <w:spacing w:after="0"/>
              <w:rPr>
                <w:sz w:val="18"/>
                <w:szCs w:val="18"/>
                <w:color w:val="auto"/>
              </w:rPr>
            </w:pPr>
          </w:p>
        </w:tc>
      </w:tr>
      <w:tr>
        <w:trPr>
          <w:trHeight w:val="47"/>
        </w:trPr>
        <w:tc>
          <w:tcPr>
            <w:tcW w:w="20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r>
      <w:tr>
        <w:trPr>
          <w:trHeight w:val="231"/>
        </w:trPr>
        <w:tc>
          <w:tcPr>
            <w:tcW w:w="2120" w:type="dxa"/>
            <w:vAlign w:val="bottom"/>
            <w:gridSpan w:val="2"/>
          </w:tcPr>
          <w:p>
            <w:pPr>
              <w:spacing w:after="0"/>
              <w:rPr>
                <w:sz w:val="20"/>
                <w:szCs w:val="20"/>
                <w:color w:val="auto"/>
              </w:rPr>
            </w:pPr>
            <w:r>
              <w:rPr>
                <w:rFonts w:ascii="Arial" w:cs="Arial" w:eastAsia="Arial" w:hAnsi="Arial"/>
                <w:sz w:val="16"/>
                <w:szCs w:val="16"/>
                <w:b w:val="1"/>
                <w:bCs w:val="1"/>
                <w:color w:val="auto"/>
              </w:rPr>
              <w:t>(dollars in thousands)</w:t>
            </w:r>
          </w:p>
        </w:tc>
        <w:tc>
          <w:tcPr>
            <w:tcW w:w="660" w:type="dxa"/>
            <w:vAlign w:val="bottom"/>
          </w:tcPr>
          <w:p>
            <w:pPr>
              <w:jc w:val="right"/>
              <w:ind w:right="77"/>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ind w:right="75"/>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20"/>
                <w:szCs w:val="20"/>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42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620" w:type="dxa"/>
            <w:vAlign w:val="bottom"/>
          </w:tcPr>
          <w:p>
            <w:pPr>
              <w:jc w:val="right"/>
              <w:ind w:right="57"/>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ind w:right="55"/>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Pr>
          <w:p>
            <w:pPr>
              <w:spacing w:after="0"/>
              <w:rPr>
                <w:sz w:val="20"/>
                <w:szCs w:val="20"/>
                <w:color w:val="auto"/>
              </w:rPr>
            </w:pPr>
          </w:p>
        </w:tc>
        <w:tc>
          <w:tcPr>
            <w:tcW w:w="102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480" w:type="dxa"/>
            <w:vAlign w:val="bottom"/>
          </w:tcPr>
          <w:p>
            <w:pPr>
              <w:jc w:val="right"/>
              <w:ind w:right="215"/>
              <w:spacing w:after="0"/>
              <w:rPr>
                <w:sz w:val="20"/>
                <w:szCs w:val="20"/>
                <w:color w:val="auto"/>
              </w:rPr>
            </w:pPr>
            <w:r>
              <w:rPr>
                <w:rFonts w:ascii="Arial" w:cs="Arial" w:eastAsia="Arial" w:hAnsi="Arial"/>
                <w:sz w:val="16"/>
                <w:szCs w:val="16"/>
                <w:b w:val="1"/>
                <w:bCs w:val="1"/>
                <w:color w:val="auto"/>
              </w:rPr>
              <w:t>%</w:t>
            </w:r>
          </w:p>
        </w:tc>
      </w:tr>
      <w:tr>
        <w:trPr>
          <w:trHeight w:val="46"/>
        </w:trPr>
        <w:tc>
          <w:tcPr>
            <w:tcW w:w="2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r>
      <w:tr>
        <w:trPr>
          <w:trHeight w:val="224"/>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2,991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1,829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6"/>
              </w:rPr>
              <w:t>157%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9,397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5,979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175%</w:t>
            </w:r>
          </w:p>
        </w:tc>
      </w:tr>
      <w:tr>
        <w:trPr>
          <w:trHeight w:val="40"/>
        </w:trPr>
        <w:tc>
          <w:tcPr>
            <w:tcW w:w="2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Interest expense increased 157% to $3.0 million for the three months ended March 31, 2023, as compared to $1.2 million for the three months ended March 31, 2022, while interest expense increased 175% to $9.4 million for the nine months ended March 31, 2023, as compared to $3.4 million for the nine months ended March 31, 2022. The increase was due to the Company having higher interest-bearing term loan debt outstanding during the three and nine months ended March 31, 2023 as compared to the three and nine months ended March 31, 2022.</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on Extinguishment of Debt and Financial Obligations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4"/>
          </w:tcPr>
          <w:p>
            <w:pPr>
              <w:jc w:val="center"/>
              <w:ind w:right="55"/>
              <w:spacing w:after="0"/>
              <w:rPr>
                <w:sz w:val="20"/>
                <w:szCs w:val="20"/>
                <w:color w:val="auto"/>
              </w:rPr>
            </w:pPr>
            <w:r>
              <w:rPr>
                <w:rFonts w:ascii="Arial" w:cs="Arial" w:eastAsia="Arial" w:hAnsi="Arial"/>
                <w:sz w:val="16"/>
                <w:szCs w:val="16"/>
                <w:b w:val="1"/>
                <w:bCs w:val="1"/>
                <w:color w:val="auto"/>
                <w:w w:val="90"/>
              </w:rPr>
              <w:t>Three months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Nine months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center"/>
              <w:ind w:left="277"/>
              <w:spacing w:after="0"/>
              <w:rPr>
                <w:sz w:val="20"/>
                <w:szCs w:val="20"/>
                <w:color w:val="auto"/>
              </w:rPr>
            </w:pPr>
            <w:r>
              <w:rPr>
                <w:rFonts w:ascii="Arial" w:cs="Arial" w:eastAsia="Arial" w:hAnsi="Arial"/>
                <w:sz w:val="16"/>
                <w:szCs w:val="16"/>
                <w:b w:val="1"/>
                <w:bCs w:val="1"/>
                <w:color w:val="auto"/>
                <w:w w:val="89"/>
              </w:rPr>
              <w:t>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center"/>
              <w:ind w:left="399"/>
              <w:spacing w:after="0"/>
              <w:rPr>
                <w:sz w:val="20"/>
                <w:szCs w:val="20"/>
                <w:color w:val="auto"/>
              </w:rPr>
            </w:pPr>
            <w:r>
              <w:rPr>
                <w:rFonts w:ascii="Arial" w:cs="Arial" w:eastAsia="Arial" w:hAnsi="Arial"/>
                <w:sz w:val="16"/>
                <w:szCs w:val="16"/>
                <w:b w:val="1"/>
                <w:bCs w:val="1"/>
                <w:color w:val="auto"/>
                <w:w w:val="89"/>
              </w:rPr>
              <w:t>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0"/>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center"/>
              <w:ind w:right="35"/>
              <w:spacing w:after="0"/>
              <w:rPr>
                <w:sz w:val="20"/>
                <w:szCs w:val="20"/>
                <w:color w:val="auto"/>
              </w:rPr>
            </w:pPr>
            <w:r>
              <w:rPr>
                <w:rFonts w:ascii="Arial" w:cs="Arial" w:eastAsia="Arial" w:hAnsi="Arial"/>
                <w:sz w:val="16"/>
                <w:szCs w:val="16"/>
                <w:b w:val="1"/>
                <w:bCs w:val="1"/>
                <w:color w:val="auto"/>
                <w:w w:val="94"/>
              </w:rPr>
              <w:t>March 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3"/>
          </w:tcPr>
          <w:p>
            <w:pPr>
              <w:ind w:left="18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3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100" w:type="dxa"/>
            <w:vAlign w:val="bottom"/>
          </w:tcPr>
          <w:p>
            <w:pPr>
              <w:spacing w:after="0"/>
              <w:rPr>
                <w:sz w:val="18"/>
                <w:szCs w:val="18"/>
                <w:color w:val="auto"/>
              </w:rPr>
            </w:pPr>
          </w:p>
        </w:tc>
        <w:tc>
          <w:tcPr>
            <w:tcW w:w="1500" w:type="dxa"/>
            <w:vAlign w:val="bottom"/>
            <w:gridSpan w:val="3"/>
          </w:tcPr>
          <w:p>
            <w:pPr>
              <w:ind w:left="480"/>
              <w:spacing w:after="0"/>
              <w:rPr>
                <w:sz w:val="20"/>
                <w:szCs w:val="20"/>
                <w:color w:val="auto"/>
              </w:rPr>
            </w:pPr>
            <w:r>
              <w:rPr>
                <w:rFonts w:ascii="Arial" w:cs="Arial" w:eastAsia="Arial" w:hAnsi="Arial"/>
                <w:sz w:val="16"/>
                <w:szCs w:val="16"/>
                <w:b w:val="1"/>
                <w:bCs w:val="1"/>
                <w:color w:val="auto"/>
              </w:rPr>
              <w:t>Change</w:t>
            </w:r>
          </w:p>
        </w:tc>
      </w:tr>
      <w:tr>
        <w:trPr>
          <w:trHeight w:val="47"/>
        </w:trPr>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17"/>
        </w:trPr>
        <w:tc>
          <w:tcPr>
            <w:tcW w:w="2040" w:type="dxa"/>
            <w:vAlign w:val="bottom"/>
          </w:tcPr>
          <w:p>
            <w:pPr>
              <w:spacing w:after="0"/>
              <w:rPr>
                <w:sz w:val="20"/>
                <w:szCs w:val="20"/>
                <w:color w:val="auto"/>
              </w:rPr>
            </w:pPr>
            <w:r>
              <w:rPr>
                <w:rFonts w:ascii="Arial" w:cs="Arial" w:eastAsia="Arial" w:hAnsi="Arial"/>
                <w:sz w:val="16"/>
                <w:szCs w:val="16"/>
                <w:b w:val="1"/>
                <w:bCs w:val="1"/>
                <w:color w:val="auto"/>
              </w:rPr>
              <w:t>(dollars 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77"/>
              <w:spacing w:after="0"/>
              <w:rPr>
                <w:sz w:val="20"/>
                <w:szCs w:val="20"/>
                <w:color w:val="auto"/>
              </w:rPr>
            </w:pPr>
            <w:r>
              <w:rPr>
                <w:rFonts w:ascii="Arial" w:cs="Arial" w:eastAsia="Arial" w:hAnsi="Arial"/>
                <w:sz w:val="16"/>
                <w:szCs w:val="16"/>
                <w:b w:val="1"/>
                <w:bCs w:val="1"/>
                <w:color w:val="auto"/>
                <w:w w:val="95"/>
              </w:rPr>
              <w:t>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ind w:right="75"/>
              <w:spacing w:after="0"/>
              <w:rPr>
                <w:sz w:val="20"/>
                <w:szCs w:val="20"/>
                <w:color w:val="auto"/>
              </w:rPr>
            </w:pPr>
            <w:r>
              <w:rPr>
                <w:rFonts w:ascii="Arial" w:cs="Arial" w:eastAsia="Arial" w:hAnsi="Arial"/>
                <w:sz w:val="16"/>
                <w:szCs w:val="16"/>
                <w:b w:val="1"/>
                <w:bCs w:val="1"/>
                <w:color w:val="auto"/>
                <w:w w:val="84"/>
              </w:rPr>
              <w:t>2022</w:t>
            </w:r>
          </w:p>
        </w:tc>
        <w:tc>
          <w:tcPr>
            <w:tcW w:w="100" w:type="dxa"/>
            <w:vAlign w:val="bottom"/>
          </w:tcPr>
          <w:p>
            <w:pPr>
              <w:spacing w:after="0"/>
              <w:rPr>
                <w:sz w:val="18"/>
                <w:szCs w:val="18"/>
                <w:color w:val="auto"/>
              </w:rPr>
            </w:pPr>
          </w:p>
        </w:tc>
        <w:tc>
          <w:tcPr>
            <w:tcW w:w="76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640" w:type="dxa"/>
            <w:vAlign w:val="bottom"/>
          </w:tcPr>
          <w:p>
            <w:pPr>
              <w:jc w:val="right"/>
              <w:ind w:right="155"/>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ind w:right="75"/>
              <w:spacing w:after="0"/>
              <w:rPr>
                <w:sz w:val="20"/>
                <w:szCs w:val="20"/>
                <w:color w:val="auto"/>
              </w:rPr>
            </w:pPr>
            <w:r>
              <w:rPr>
                <w:rFonts w:ascii="Arial" w:cs="Arial" w:eastAsia="Arial" w:hAnsi="Arial"/>
                <w:sz w:val="16"/>
                <w:szCs w:val="16"/>
                <w:b w:val="1"/>
                <w:bCs w:val="1"/>
                <w:color w:val="auto"/>
                <w:w w:val="84"/>
              </w:rPr>
              <w:t>2022</w:t>
            </w:r>
          </w:p>
        </w:tc>
        <w:tc>
          <w:tcPr>
            <w:tcW w:w="10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740" w:type="dxa"/>
            <w:vAlign w:val="bottom"/>
          </w:tcPr>
          <w:p>
            <w:pPr>
              <w:jc w:val="right"/>
              <w:ind w:right="215"/>
              <w:spacing w:after="0"/>
              <w:rPr>
                <w:sz w:val="20"/>
                <w:szCs w:val="20"/>
                <w:color w:val="auto"/>
              </w:rPr>
            </w:pPr>
            <w:r>
              <w:rPr>
                <w:rFonts w:ascii="Arial" w:cs="Arial" w:eastAsia="Arial" w:hAnsi="Arial"/>
                <w:sz w:val="16"/>
                <w:szCs w:val="16"/>
                <w:b w:val="1"/>
                <w:bCs w:val="1"/>
                <w:color w:val="auto"/>
              </w:rPr>
              <w:t>%</w:t>
            </w:r>
          </w:p>
        </w:tc>
      </w:tr>
      <w:tr>
        <w:trPr>
          <w:trHeight w:val="47"/>
        </w:trPr>
        <w:tc>
          <w:tcPr>
            <w:tcW w:w="2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95"/>
        </w:trPr>
        <w:tc>
          <w:tcPr>
            <w:tcW w:w="20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Loss on extinguishment of</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and financial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8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8,095 $</w:t>
            </w:r>
          </w:p>
        </w:tc>
        <w:tc>
          <w:tcPr>
            <w:tcW w:w="13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 $  8,095</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40"/>
        </w:trPr>
        <w:tc>
          <w:tcPr>
            <w:tcW w:w="2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Loss on extinguishment of debt and financial obligations was $8.1 million for the nine months ended March 31, 2023 with no loss recorded in the three months ended March 31, 2023, as compared to no losses for the three and nine months ended March 31, 2022. The increase is due to the Company’s loss on the extinguishment of its term loans outstanding prior to the Merger and extinguishment certain financing obligation during nine months ended March 31, 2023.</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Financing and Financial Instrument (Costs) Income, Net</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4"/>
          </w:tcPr>
          <w:p>
            <w:pPr>
              <w:jc w:val="center"/>
              <w:ind w:right="35"/>
              <w:spacing w:after="0"/>
              <w:rPr>
                <w:sz w:val="20"/>
                <w:szCs w:val="20"/>
                <w:color w:val="auto"/>
              </w:rPr>
            </w:pPr>
            <w:r>
              <w:rPr>
                <w:rFonts w:ascii="Arial" w:cs="Arial" w:eastAsia="Arial" w:hAnsi="Arial"/>
                <w:sz w:val="16"/>
                <w:szCs w:val="16"/>
                <w:b w:val="1"/>
                <w:bCs w:val="1"/>
                <w:color w:val="auto"/>
                <w:w w:val="90"/>
              </w:rPr>
              <w:t>Three months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Nine months</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center"/>
              <w:ind w:left="277"/>
              <w:spacing w:after="0"/>
              <w:rPr>
                <w:sz w:val="20"/>
                <w:szCs w:val="20"/>
                <w:color w:val="auto"/>
              </w:rPr>
            </w:pPr>
            <w:r>
              <w:rPr>
                <w:rFonts w:ascii="Arial" w:cs="Arial" w:eastAsia="Arial" w:hAnsi="Arial"/>
                <w:sz w:val="16"/>
                <w:szCs w:val="16"/>
                <w:b w:val="1"/>
                <w:bCs w:val="1"/>
                <w:color w:val="auto"/>
                <w:w w:val="84"/>
              </w:rPr>
              <w:t>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left="419"/>
              <w:spacing w:after="0"/>
              <w:rPr>
                <w:sz w:val="20"/>
                <w:szCs w:val="20"/>
                <w:color w:val="auto"/>
              </w:rPr>
            </w:pPr>
            <w:r>
              <w:rPr>
                <w:rFonts w:ascii="Arial" w:cs="Arial" w:eastAsia="Arial" w:hAnsi="Arial"/>
                <w:sz w:val="16"/>
                <w:szCs w:val="16"/>
                <w:b w:val="1"/>
                <w:bCs w:val="1"/>
                <w:color w:val="auto"/>
                <w:w w:val="89"/>
              </w:rPr>
              <w:t>ended</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0"/>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center"/>
              <w:ind w:right="35"/>
              <w:spacing w:after="0"/>
              <w:rPr>
                <w:sz w:val="20"/>
                <w:szCs w:val="20"/>
                <w:color w:val="auto"/>
              </w:rPr>
            </w:pPr>
            <w:r>
              <w:rPr>
                <w:rFonts w:ascii="Arial" w:cs="Arial" w:eastAsia="Arial" w:hAnsi="Arial"/>
                <w:sz w:val="16"/>
                <w:szCs w:val="16"/>
                <w:b w:val="1"/>
                <w:bCs w:val="1"/>
                <w:color w:val="auto"/>
                <w:w w:val="97"/>
              </w:rPr>
              <w:t>March 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ind w:left="16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80" w:type="dxa"/>
            <w:vAlign w:val="bottom"/>
          </w:tcPr>
          <w:p>
            <w:pPr>
              <w:spacing w:after="0"/>
              <w:rPr>
                <w:sz w:val="18"/>
                <w:szCs w:val="18"/>
                <w:color w:val="auto"/>
              </w:rPr>
            </w:pPr>
          </w:p>
        </w:tc>
        <w:tc>
          <w:tcPr>
            <w:tcW w:w="1060" w:type="dxa"/>
            <w:vAlign w:val="bottom"/>
            <w:gridSpan w:val="3"/>
          </w:tcPr>
          <w:p>
            <w:pPr>
              <w:ind w:left="520"/>
              <w:spacing w:after="0"/>
              <w:rPr>
                <w:sz w:val="20"/>
                <w:szCs w:val="20"/>
                <w:color w:val="auto"/>
              </w:rPr>
            </w:pPr>
            <w:r>
              <w:rPr>
                <w:rFonts w:ascii="Arial" w:cs="Arial" w:eastAsia="Arial" w:hAnsi="Arial"/>
                <w:sz w:val="16"/>
                <w:szCs w:val="16"/>
                <w:b w:val="1"/>
                <w:bCs w:val="1"/>
                <w:color w:val="auto"/>
                <w:w w:val="88"/>
              </w:rPr>
              <w:t>Change</w:t>
            </w:r>
          </w:p>
        </w:tc>
        <w:tc>
          <w:tcPr>
            <w:tcW w:w="520" w:type="dxa"/>
            <w:vAlign w:val="bottom"/>
          </w:tcPr>
          <w:p>
            <w:pPr>
              <w:spacing w:after="0"/>
              <w:rPr>
                <w:sz w:val="18"/>
                <w:szCs w:val="18"/>
                <w:color w:val="auto"/>
              </w:rPr>
            </w:pPr>
          </w:p>
        </w:tc>
      </w:tr>
      <w:tr>
        <w:trPr>
          <w:trHeight w:val="47"/>
        </w:trPr>
        <w:tc>
          <w:tcPr>
            <w:tcW w:w="1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6"/>
                <w:szCs w:val="16"/>
                <w:b w:val="1"/>
                <w:bCs w:val="1"/>
                <w:color w:val="auto"/>
              </w:rPr>
              <w:t>(dollars 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77"/>
              <w:spacing w:after="0"/>
              <w:rPr>
                <w:sz w:val="20"/>
                <w:szCs w:val="20"/>
                <w:color w:val="auto"/>
              </w:rPr>
            </w:pPr>
            <w:r>
              <w:rPr>
                <w:rFonts w:ascii="Arial" w:cs="Arial" w:eastAsia="Arial" w:hAnsi="Arial"/>
                <w:sz w:val="16"/>
                <w:szCs w:val="16"/>
                <w:b w:val="1"/>
                <w:bCs w:val="1"/>
                <w:color w:val="auto"/>
                <w:w w:val="95"/>
              </w:rPr>
              <w:t>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ind w:right="75"/>
              <w:spacing w:after="0"/>
              <w:rPr>
                <w:sz w:val="20"/>
                <w:szCs w:val="20"/>
                <w:color w:val="auto"/>
              </w:rPr>
            </w:pPr>
            <w:r>
              <w:rPr>
                <w:rFonts w:ascii="Arial" w:cs="Arial" w:eastAsia="Arial" w:hAnsi="Arial"/>
                <w:sz w:val="16"/>
                <w:szCs w:val="16"/>
                <w:b w:val="1"/>
                <w:bCs w:val="1"/>
                <w:color w:val="auto"/>
                <w:w w:val="84"/>
              </w:rPr>
              <w:t>2022</w:t>
            </w:r>
          </w:p>
        </w:tc>
        <w:tc>
          <w:tcPr>
            <w:tcW w:w="100" w:type="dxa"/>
            <w:vAlign w:val="bottom"/>
          </w:tcPr>
          <w:p>
            <w:pPr>
              <w:spacing w:after="0"/>
              <w:rPr>
                <w:sz w:val="20"/>
                <w:szCs w:val="20"/>
                <w:color w:val="auto"/>
              </w:rPr>
            </w:pPr>
          </w:p>
        </w:tc>
        <w:tc>
          <w:tcPr>
            <w:tcW w:w="660" w:type="dxa"/>
            <w:vAlign w:val="bottom"/>
            <w:gridSpan w:val="2"/>
          </w:tcPr>
          <w:p>
            <w:pPr>
              <w:ind w:left="40"/>
              <w:spacing w:after="0"/>
              <w:rPr>
                <w:sz w:val="20"/>
                <w:szCs w:val="20"/>
                <w:color w:val="auto"/>
              </w:rPr>
            </w:pPr>
            <w:r>
              <w:rPr>
                <w:rFonts w:ascii="Arial" w:cs="Arial" w:eastAsia="Arial" w:hAnsi="Arial"/>
                <w:sz w:val="16"/>
                <w:szCs w:val="16"/>
                <w:b w:val="1"/>
                <w:bCs w:val="1"/>
                <w:color w:val="auto"/>
                <w:w w:val="99"/>
              </w:rPr>
              <w:t>Amount</w:t>
            </w:r>
          </w:p>
        </w:tc>
        <w:tc>
          <w:tcPr>
            <w:tcW w:w="72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75"/>
              <w:spacing w:after="0"/>
              <w:rPr>
                <w:sz w:val="20"/>
                <w:szCs w:val="20"/>
                <w:color w:val="auto"/>
              </w:rPr>
            </w:pPr>
            <w:r>
              <w:rPr>
                <w:rFonts w:ascii="Arial" w:cs="Arial" w:eastAsia="Arial" w:hAnsi="Arial"/>
                <w:sz w:val="16"/>
                <w:szCs w:val="16"/>
                <w:b w:val="1"/>
                <w:bCs w:val="1"/>
                <w:color w:val="auto"/>
                <w:w w:val="95"/>
              </w:rPr>
              <w:t>2022</w:t>
            </w:r>
          </w:p>
        </w:tc>
        <w:tc>
          <w:tcPr>
            <w:tcW w:w="80" w:type="dxa"/>
            <w:vAlign w:val="bottom"/>
          </w:tcPr>
          <w:p>
            <w:pPr>
              <w:spacing w:after="0"/>
              <w:rPr>
                <w:sz w:val="20"/>
                <w:szCs w:val="20"/>
                <w:color w:val="auto"/>
              </w:rPr>
            </w:pPr>
          </w:p>
        </w:tc>
        <w:tc>
          <w:tcPr>
            <w:tcW w:w="106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520" w:type="dxa"/>
            <w:vAlign w:val="bottom"/>
          </w:tcPr>
          <w:p>
            <w:pPr>
              <w:jc w:val="right"/>
              <w:ind w:right="195"/>
              <w:spacing w:after="0"/>
              <w:rPr>
                <w:sz w:val="20"/>
                <w:szCs w:val="20"/>
                <w:color w:val="auto"/>
              </w:rPr>
            </w:pPr>
            <w:r>
              <w:rPr>
                <w:rFonts w:ascii="Arial" w:cs="Arial" w:eastAsia="Arial" w:hAnsi="Arial"/>
                <w:sz w:val="16"/>
                <w:szCs w:val="16"/>
                <w:b w:val="1"/>
                <w:bCs w:val="1"/>
                <w:color w:val="auto"/>
              </w:rPr>
              <w:t>%</w:t>
            </w:r>
          </w:p>
        </w:tc>
      </w:tr>
      <w:tr>
        <w:trPr>
          <w:trHeight w:val="46"/>
        </w:trPr>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r>
      <w:tr>
        <w:trPr>
          <w:trHeight w:val="195"/>
        </w:trPr>
        <w:tc>
          <w:tcPr>
            <w:tcW w:w="19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Other financing and</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instrument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30"/>
        </w:trPr>
        <w:tc>
          <w:tcPr>
            <w:tcW w:w="1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income, net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(1,768)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99"/>
              </w:rPr>
              <w:t>$ (1,768)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jc w:val="center"/>
              <w:ind w:right="135"/>
              <w:spacing w:after="0"/>
              <w:rPr>
                <w:sz w:val="20"/>
                <w:szCs w:val="20"/>
                <w:color w:val="auto"/>
              </w:rPr>
            </w:pPr>
            <w:r>
              <w:rPr>
                <w:rFonts w:ascii="Arial" w:cs="Arial" w:eastAsia="Arial" w:hAnsi="Arial"/>
                <w:sz w:val="18"/>
                <w:szCs w:val="18"/>
                <w:color w:val="auto"/>
                <w:w w:val="99"/>
              </w:rPr>
              <w:t>N/A</w:t>
            </w:r>
          </w:p>
        </w:tc>
      </w:tr>
      <w:tr>
        <w:trPr>
          <w:trHeight w:val="40"/>
        </w:trPr>
        <w:tc>
          <w:tcPr>
            <w:tcW w:w="1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Other financing and financial instrument costs, net were $1.8 million for the nine months ended March 31, 2023 due to the $2.4 million of expense related to the issuance of shares and transfer of warrants upon termination of a convertible note agreement and $0.5 million of associated legal fees, partially offset by $1.2 million of income from the remeasurement of the unvested founder shares liability.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4" w:name="page75"/>
    <w:bookmarkEnd w:id="7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Three months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0"/>
              </w:rPr>
              <w:t>Nine months</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3"/>
          </w:tcPr>
          <w:p>
            <w:pPr>
              <w:jc w:val="center"/>
              <w:ind w:left="277"/>
              <w:spacing w:after="0"/>
              <w:rPr>
                <w:sz w:val="20"/>
                <w:szCs w:val="20"/>
                <w:color w:val="auto"/>
              </w:rPr>
            </w:pPr>
            <w:r>
              <w:rPr>
                <w:rFonts w:ascii="Arial" w:cs="Arial" w:eastAsia="Arial" w:hAnsi="Arial"/>
                <w:sz w:val="16"/>
                <w:szCs w:val="16"/>
                <w:b w:val="1"/>
                <w:bCs w:val="1"/>
                <w:color w:val="auto"/>
                <w:w w:val="89"/>
              </w:rPr>
              <w:t>ended</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10"/>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100" w:type="dxa"/>
            <w:vAlign w:val="bottom"/>
          </w:tcPr>
          <w:p>
            <w:pPr>
              <w:spacing w:after="0"/>
              <w:rPr>
                <w:sz w:val="18"/>
                <w:szCs w:val="18"/>
                <w:color w:val="auto"/>
              </w:rPr>
            </w:pPr>
          </w:p>
        </w:tc>
        <w:tc>
          <w:tcPr>
            <w:tcW w:w="168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Change</w:t>
            </w:r>
          </w:p>
        </w:tc>
        <w:tc>
          <w:tcPr>
            <w:tcW w:w="13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94"/>
              </w:rPr>
              <w:t>March 31,</w:t>
            </w:r>
          </w:p>
        </w:tc>
        <w:tc>
          <w:tcPr>
            <w:tcW w:w="40" w:type="dxa"/>
            <w:vAlign w:val="bottom"/>
          </w:tcPr>
          <w:p>
            <w:pPr>
              <w:spacing w:after="0"/>
              <w:rPr>
                <w:sz w:val="18"/>
                <w:szCs w:val="18"/>
                <w:color w:val="auto"/>
              </w:rPr>
            </w:pPr>
          </w:p>
        </w:tc>
        <w:tc>
          <w:tcPr>
            <w:tcW w:w="1080" w:type="dxa"/>
            <w:vAlign w:val="bottom"/>
            <w:gridSpan w:val="3"/>
          </w:tcPr>
          <w:p>
            <w:pPr>
              <w:ind w:left="520"/>
              <w:spacing w:after="0"/>
              <w:rPr>
                <w:sz w:val="20"/>
                <w:szCs w:val="20"/>
                <w:color w:val="auto"/>
              </w:rPr>
            </w:pPr>
            <w:r>
              <w:rPr>
                <w:rFonts w:ascii="Arial" w:cs="Arial" w:eastAsia="Arial" w:hAnsi="Arial"/>
                <w:sz w:val="16"/>
                <w:szCs w:val="16"/>
                <w:b w:val="1"/>
                <w:bCs w:val="1"/>
                <w:color w:val="auto"/>
                <w:w w:val="91"/>
              </w:rPr>
              <w:t>Change</w:t>
            </w:r>
          </w:p>
        </w:tc>
        <w:tc>
          <w:tcPr>
            <w:tcW w:w="500" w:type="dxa"/>
            <w:vAlign w:val="bottom"/>
          </w:tcPr>
          <w:p>
            <w:pPr>
              <w:spacing w:after="0"/>
              <w:rPr>
                <w:sz w:val="18"/>
                <w:szCs w:val="18"/>
                <w:color w:val="auto"/>
              </w:rPr>
            </w:pPr>
          </w:p>
        </w:tc>
      </w:tr>
      <w:tr>
        <w:trPr>
          <w:trHeight w:val="46"/>
        </w:trPr>
        <w:tc>
          <w:tcPr>
            <w:tcW w:w="1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17"/>
        </w:trPr>
        <w:tc>
          <w:tcPr>
            <w:tcW w:w="1920" w:type="dxa"/>
            <w:vAlign w:val="bottom"/>
          </w:tcPr>
          <w:p>
            <w:pPr>
              <w:spacing w:after="0"/>
              <w:rPr>
                <w:sz w:val="20"/>
                <w:szCs w:val="20"/>
                <w:color w:val="auto"/>
              </w:rPr>
            </w:pPr>
            <w:r>
              <w:rPr>
                <w:rFonts w:ascii="Arial" w:cs="Arial" w:eastAsia="Arial" w:hAnsi="Arial"/>
                <w:sz w:val="16"/>
                <w:szCs w:val="16"/>
                <w:b w:val="1"/>
                <w:bCs w:val="1"/>
                <w:color w:val="auto"/>
              </w:rPr>
              <w:t>(dollars in thousands)</w:t>
            </w:r>
          </w:p>
        </w:tc>
        <w:tc>
          <w:tcPr>
            <w:tcW w:w="7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75"/>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Pr>
          <w:p>
            <w:pPr>
              <w:spacing w:after="0"/>
              <w:rPr>
                <w:sz w:val="18"/>
                <w:szCs w:val="18"/>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Amount</w:t>
            </w:r>
          </w:p>
        </w:tc>
        <w:tc>
          <w:tcPr>
            <w:tcW w:w="700" w:type="dxa"/>
            <w:vAlign w:val="bottom"/>
          </w:tcPr>
          <w:p>
            <w:pPr>
              <w:jc w:val="right"/>
              <w:ind w:right="175"/>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97"/>
              <w:spacing w:after="0"/>
              <w:rPr>
                <w:sz w:val="20"/>
                <w:szCs w:val="20"/>
                <w:color w:val="auto"/>
              </w:rPr>
            </w:pPr>
            <w:r>
              <w:rPr>
                <w:rFonts w:ascii="Arial" w:cs="Arial" w:eastAsia="Arial" w:hAnsi="Arial"/>
                <w:sz w:val="16"/>
                <w:szCs w:val="16"/>
                <w:b w:val="1"/>
                <w:bCs w:val="1"/>
                <w:color w:val="auto"/>
                <w:w w:val="95"/>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ind w:right="55"/>
              <w:spacing w:after="0"/>
              <w:rPr>
                <w:sz w:val="20"/>
                <w:szCs w:val="20"/>
                <w:color w:val="auto"/>
              </w:rPr>
            </w:pPr>
            <w:r>
              <w:rPr>
                <w:rFonts w:ascii="Arial" w:cs="Arial" w:eastAsia="Arial" w:hAnsi="Arial"/>
                <w:sz w:val="16"/>
                <w:szCs w:val="16"/>
                <w:b w:val="1"/>
                <w:bCs w:val="1"/>
                <w:color w:val="auto"/>
                <w:w w:val="89"/>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500" w:type="dxa"/>
            <w:vAlign w:val="bottom"/>
          </w:tcPr>
          <w:p>
            <w:pPr>
              <w:jc w:val="right"/>
              <w:ind w:right="235"/>
              <w:spacing w:after="0"/>
              <w:rPr>
                <w:sz w:val="20"/>
                <w:szCs w:val="20"/>
                <w:color w:val="auto"/>
              </w:rPr>
            </w:pPr>
            <w:r>
              <w:rPr>
                <w:rFonts w:ascii="Arial" w:cs="Arial" w:eastAsia="Arial" w:hAnsi="Arial"/>
                <w:sz w:val="16"/>
                <w:szCs w:val="16"/>
                <w:b w:val="1"/>
                <w:bCs w:val="1"/>
                <w:color w:val="auto"/>
              </w:rPr>
              <w:t>%</w:t>
            </w:r>
          </w:p>
        </w:tc>
      </w:tr>
      <w:tr>
        <w:trPr>
          <w:trHeight w:val="46"/>
        </w:trPr>
        <w:tc>
          <w:tcPr>
            <w:tcW w:w="1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37"/>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257 $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269</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(2,242)% $</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2,612 $</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41"/>
        </w:trPr>
        <w:tc>
          <w:tcPr>
            <w:tcW w:w="1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Other income, net increased to $0.3 million for the three months ended March 31, 2023, as compared to other expense of $12 thousand for the three months ended March 31, 2022. The increase was primarily due to interest earned on proceeds received from the Merger which were held in money market accounts during the three months ended March 31, 2023.</w:t>
      </w:r>
    </w:p>
    <w:p>
      <w:pPr>
        <w:spacing w:after="0" w:line="11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Other income, net was flat at $2.6 million for the nine months ended March 31, 2023, as compared to $2.6 million for the nine months ended March 31, 2022. The amounts in both periods were primarily due to the forgiveness of our PPP loans during the nine months ended March 31, 2023 and 2022, respectively.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Provision for income taxes was not material in the three and nine months ended March 31, 2023 and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2022.</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As of March 31, 2023 and June 30, 2022, our principal sources of liquidity were cash and cash equivalents of $27.0 million and $3.0 million, respectively, which were held for working capital purposes.</w:t>
      </w:r>
    </w:p>
    <w:p>
      <w:pPr>
        <w:spacing w:after="0" w:line="79"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Since inception, we have financed our operations primarily through financing transactions such as the issuance of convertible promissory notes and loans, and sales of convertible preferred stock. We have incurred recurring operating losses since our inception, including operating losses of $42.3 million and $21.6 million for the nine months ended March 31, 2023 and 2022, respectively. As of March 31, 2023 and June 30, 2022, we had an accumulated deficit of $198.7 million and $200.8 million, respectively, and we expect to continue to generate operating losses for the near term. Cash from operations could also be affected by various risks and uncertainties, including, but not limited to, the effects of the COVID-19 pandemic, including timing of cash collections from customers and other risks. While we received cash of $49.8 million from the completion of the Merger and net cash of $13.7 million from the issuance of the Credit Agreement and concurrent repayment of other debt obligations, additional capital infusion will be necessary in order to fund currently anticipated expenditures, and to meet our obligations as they come due. Our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spacing w:after="0" w:line="117"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While the Merger and concurrent debt financing improved our financial position, in the future we expect to require additional funding from either public or private financing sources. These plans for additional financings are intended to mitigate the conditions or events that raise substantial doubt about our ability to continue as a going concern, however, as some aspects of the plans are outside of our control, we cannot ensure they will be effectively implemented. In the event that additional financing is required from outside sources, we cannot be sure that any additional financing will be available to us on acceptable terms if at all. If we are unable to raise additional capital when desired, our business, operating results, and financial condition could be materially and adversely affected. As a result, substantial doubt exists about our ability to continue as a going concern within one year after the date that the financial statements are available to be issued. Our financial statements have been prepared on a going concern basis, which contemplates the realization of assets and satisfaction of liabilities in the normal course of business.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6"/>
          </w:tcPr>
          <w:p>
            <w:pPr>
              <w:jc w:val="center"/>
              <w:ind w:right="180"/>
              <w:spacing w:after="0"/>
              <w:rPr>
                <w:sz w:val="20"/>
                <w:szCs w:val="20"/>
                <w:color w:val="auto"/>
              </w:rPr>
            </w:pPr>
            <w:r>
              <w:rPr>
                <w:rFonts w:ascii="Arial" w:cs="Arial" w:eastAsia="Arial" w:hAnsi="Arial"/>
                <w:sz w:val="16"/>
                <w:szCs w:val="16"/>
                <w:b w:val="1"/>
                <w:bCs w:val="1"/>
                <w:color w:val="auto"/>
                <w:w w:val="90"/>
              </w:rPr>
              <w:t>Nine months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4"/>
          </w:tcPr>
          <w:p>
            <w:pPr>
              <w:jc w:val="center"/>
              <w:ind w:left="415"/>
              <w:spacing w:after="0"/>
              <w:rPr>
                <w:sz w:val="20"/>
                <w:szCs w:val="20"/>
                <w:color w:val="auto"/>
              </w:rPr>
            </w:pPr>
            <w:r>
              <w:rPr>
                <w:rFonts w:ascii="Arial" w:cs="Arial" w:eastAsia="Arial" w:hAnsi="Arial"/>
                <w:sz w:val="16"/>
                <w:szCs w:val="16"/>
                <w:b w:val="1"/>
                <w:bCs w:val="1"/>
                <w:color w:val="auto"/>
                <w:w w:val="89"/>
              </w:rPr>
              <w:t>ended</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0"/>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4"/>
          </w:tcPr>
          <w:p>
            <w:pPr>
              <w:jc w:val="center"/>
              <w:ind w:left="415"/>
              <w:spacing w:after="0"/>
              <w:rPr>
                <w:sz w:val="20"/>
                <w:szCs w:val="20"/>
                <w:color w:val="auto"/>
              </w:rPr>
            </w:pPr>
            <w:r>
              <w:rPr>
                <w:rFonts w:ascii="Arial" w:cs="Arial" w:eastAsia="Arial" w:hAnsi="Arial"/>
                <w:sz w:val="16"/>
                <w:szCs w:val="16"/>
                <w:b w:val="1"/>
                <w:bCs w:val="1"/>
                <w:color w:val="auto"/>
                <w:w w:val="94"/>
              </w:rPr>
              <w:t>March 31,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gridSpan w:val="3"/>
          </w:tcPr>
          <w:p>
            <w:pPr>
              <w:ind w:left="20"/>
              <w:spacing w:after="0"/>
              <w:rPr>
                <w:sz w:val="20"/>
                <w:szCs w:val="20"/>
                <w:color w:val="auto"/>
              </w:rPr>
            </w:pPr>
            <w:r>
              <w:rPr>
                <w:rFonts w:ascii="Arial" w:cs="Arial" w:eastAsia="Arial" w:hAnsi="Arial"/>
                <w:sz w:val="16"/>
                <w:szCs w:val="16"/>
                <w:b w:val="1"/>
                <w:bCs w:val="1"/>
                <w:color w:val="auto"/>
              </w:rPr>
              <w:t>Change</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6"/>
        </w:trPr>
        <w:tc>
          <w:tcPr>
            <w:tcW w:w="3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17"/>
        </w:trPr>
        <w:tc>
          <w:tcPr>
            <w:tcW w:w="352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15"/>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6"/>
                <w:szCs w:val="16"/>
                <w:b w:val="1"/>
                <w:bCs w:val="1"/>
                <w:color w:val="auto"/>
                <w:w w:val="95"/>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23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ind w:right="19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r>
      <w:tr>
        <w:trPr>
          <w:trHeight w:val="47"/>
        </w:trPr>
        <w:tc>
          <w:tcPr>
            <w:tcW w:w="3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57"/>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(35,719)</w:t>
            </w:r>
          </w:p>
        </w:tc>
        <w:tc>
          <w:tcPr>
            <w:tcW w:w="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(38,415)</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(5,813)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r>
      <w:tr>
        <w:trPr>
          <w:trHeight w:val="40"/>
        </w:trPr>
        <w:tc>
          <w:tcPr>
            <w:tcW w:w="3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0"/>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65,493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13,367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52,126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w:t>
            </w:r>
          </w:p>
        </w:tc>
      </w:tr>
      <w:tr>
        <w:trPr>
          <w:trHeight w:val="20"/>
        </w:trPr>
        <w:tc>
          <w:tcPr>
            <w:tcW w:w="3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23,961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(26,511)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50,472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(190)%</w:t>
            </w: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For the nine months ended March 31, 2023, net cash used in operating activities decreased by 6%, to $35.9 million, as compared to $38.4 million for the nine months ended March 31, 2022.</w:t>
      </w:r>
    </w:p>
    <w:p>
      <w:pPr>
        <w:spacing w:after="0" w:line="8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For the nine months ended March 31, 2023, net cash used in operating activities was $35.9 million. This consisted of our net income of $2.1 million and a net use of cash from changes in operating assets and liabilities of $3.0 million partially offset by adjustments for non-cash gains, net of $35.0 million. The net use of cash from changes in operating assets and liabilities primarily relate to an increase in accounts receivable of $0.7 million, an increase in prepaids and other current assets of $0.7 million, a decrease in accrued liabilities of $2.1 million and a decrease in deferred revenue of $9.0 million. Such uses of cash were partially offset by a decrease in deferred costs of $7.8 million and a decrease in accounts payable of $1.5 million. The non-cash adjustments primarily relate to gains associated with changes in fair value of warrants and convertible promissory notes of $48.3 million and change in fair value of our liability-classified warrants of $12.6 million, forgiveness of our outstanding PPP loan of $2.0 million, and change in fair value of unvested founder shares liability of $1.4 million, partially offset by loss on debt extinguishment of debt and financing obligations of $8.1 million, stock-based compensation expense of $5.8 million, paid in-kind interest expense of $4.6 million, share and warrant cost on termination of convertible note agreement of $2.4 million, earnout share stock-based compensation expense of $3.5 million, amortization of debt discount and debt issuance costs of $2.2 million, and depreciation, amortization and impairment of $1.3 million.</w:t>
      </w:r>
    </w:p>
    <w:p>
      <w:pPr>
        <w:spacing w:after="0" w:line="10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For the nine months ended March 31, 2022, net cash used in operating activities was $38.4 million. This consisted of our net loss of $34.1 million and a net use of cash from changes in operating assets and liabilities of $16.8 million partially offset by adjustments for non-cash charges of $12.4 million. The net use of cash from changes in operating assets and liabilities primarily relate to decreases in deferred revenue of $10.9 million, vendor financing facility of $6.8 million, accounts payable of $4.3 million and accrued liabilities of $2.6 million and increases in inventories of $0.9 million, partially offset by decreases in deferred costs of $9.0 million. The non-cash adjustments primarily relate to change in fair value of convertible promissory notes of $10.6 million, change in fair value of our liability-classified warrants of $1.1 million, depreciation and amortization of $1.5 million and stock-based compensation expense of $1.4 million, partially offset by forgiveness of one of our PPP loans of $2.6 million.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For the nine months ended March 31, 2023, net cash used in investing activities increased to $5.8 million for the nine months ended March 31, 2023, as compared to $1.5 million for the nine months ended March 31, 2022.</w:t>
      </w:r>
    </w:p>
    <w:p>
      <w:pPr>
        <w:spacing w:after="0" w:line="10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For the nine months ended March 31, 2023, cash used in investing activities primarily consisted of cash outflows for capitalized software of $3.6 million and a cash outflow for an investment in non-affiliate of $2.0 million.</w:t>
      </w:r>
    </w:p>
    <w:p>
      <w:pPr>
        <w:spacing w:after="0" w:line="11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For the nine months ended March 31, 2022, cash used in investing activities was $1.5 million which primarily consisted of cash outflows for capitalized software of $1.2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For the nine months ended March 31, 2023, net cash provided by financing activities increased to $65.5 million of cash provided by financing activities for the nine months ended March 31, 2023, as compared to $13.4 million cash provided by financing activities for the nine months ended March 31, 2022.</w:t>
      </w:r>
    </w:p>
    <w:p>
      <w:pPr>
        <w:sectPr>
          <w:pgSz w:w="11900" w:h="16838" w:orient="portrait"/>
          <w:cols w:equalWidth="0" w:num="1">
            <w:col w:w="9019"/>
          </w:cols>
          <w:pgMar w:left="1440" w:top="274" w:right="1440"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6" w:name="page77"/>
    <w:bookmarkEnd w:id="7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For the nine months ended March 31, 2023, cash provided by financing activities was $65.7 million, which consisted primarily of proceeds from the issuance of term loans of $60.3 million, contributions from the Merger and PIPE financing, net of transaction costs, of $49.8 million, proceeds from the issuance of common stock of $1.0 million, partially offset by repayment of term loans of $33.0 million, penalties and other costs on extinguishment of debt of $6.1 million, payment of deferred transactions costs of $1.9 million, principal payments of financing obligations of $3.7 million, and payment of debt issuance costs of $1.1 million.</w:t>
      </w:r>
    </w:p>
    <w:p>
      <w:pPr>
        <w:spacing w:after="0" w:line="97"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For the nine months ended March 31, 2022, cash provided by financing activities was $13.4 million, which consisted primarily of proceeds from the issuance of term loans of $12.6 million and proceeds from the issuance of convertible promissory notes of $5.5 million, partially offset by payments of financing obligations of $2.0 million, payments of deferred transaction costs of $1.5 million, and payments of debt issuance costs of $1.1 million.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Obligations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of March 31, 2023 and June 30, 2022, the Company’s financing obligations consisted of the following:</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As of</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As of</w:t>
            </w:r>
          </w:p>
        </w:tc>
      </w:tr>
      <w:tr>
        <w:trPr>
          <w:trHeight w:val="203"/>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March 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55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2023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5"/>
              </w:rPr>
              <w:t>2022</w:t>
            </w:r>
          </w:p>
        </w:tc>
        <w:tc>
          <w:tcPr>
            <w:tcW w:w="140" w:type="dxa"/>
            <w:vAlign w:val="bottom"/>
          </w:tcPr>
          <w:p>
            <w:pPr>
              <w:spacing w:after="0"/>
              <w:rPr>
                <w:sz w:val="18"/>
                <w:szCs w:val="18"/>
                <w:color w:val="auto"/>
              </w:rPr>
            </w:pPr>
          </w:p>
        </w:tc>
      </w:tr>
      <w:tr>
        <w:trPr>
          <w:trHeight w:val="46"/>
        </w:trPr>
        <w:tc>
          <w:tcPr>
            <w:tcW w:w="5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4"/>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Receivable financing facility</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57"/>
        </w:trPr>
        <w:tc>
          <w:tcPr>
            <w:tcW w:w="5500" w:type="dxa"/>
            <w:vAlign w:val="bottom"/>
          </w:tcPr>
          <w:p>
            <w:pPr>
              <w:spacing w:after="0"/>
              <w:rPr>
                <w:sz w:val="20"/>
                <w:szCs w:val="20"/>
                <w:color w:val="auto"/>
              </w:rPr>
            </w:pPr>
            <w:r>
              <w:rPr>
                <w:rFonts w:ascii="Arial" w:cs="Arial" w:eastAsia="Arial" w:hAnsi="Arial"/>
                <w:sz w:val="18"/>
                <w:szCs w:val="18"/>
                <w:color w:val="auto"/>
              </w:rPr>
              <w:t>Equipment financing facility</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1,266</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2,929</w:t>
            </w:r>
          </w:p>
        </w:tc>
        <w:tc>
          <w:tcPr>
            <w:tcW w:w="140" w:type="dxa"/>
            <w:vAlign w:val="bottom"/>
          </w:tcPr>
          <w:p>
            <w:pPr>
              <w:spacing w:after="0"/>
              <w:rPr>
                <w:sz w:val="22"/>
                <w:szCs w:val="22"/>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financing obligations</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57"/>
        </w:trPr>
        <w:tc>
          <w:tcPr>
            <w:tcW w:w="5500" w:type="dxa"/>
            <w:vAlign w:val="bottom"/>
          </w:tcPr>
          <w:p>
            <w:pPr>
              <w:spacing w:after="0"/>
              <w:rPr>
                <w:sz w:val="20"/>
                <w:szCs w:val="20"/>
                <w:color w:val="auto"/>
              </w:rPr>
            </w:pPr>
            <w:r>
              <w:rPr>
                <w:rFonts w:ascii="Arial" w:cs="Arial" w:eastAsia="Arial" w:hAnsi="Arial"/>
                <w:sz w:val="18"/>
                <w:szCs w:val="18"/>
                <w:color w:val="auto"/>
              </w:rPr>
              <w:t>Less: financing obligations, current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(3,720)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(8,840)</w:t>
            </w: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financing obligations, non-current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Receivable Financing Facility</w:t>
      </w:r>
    </w:p>
    <w:p>
      <w:pPr>
        <w:spacing w:after="0" w:line="15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On April 27, 2021, we entered into an investment arrangement to provide future receivables available to an outside investor to invest in exchange for an upfront payment. Through this arrangement, we obtained financing in the form of a large upfront payment, which we have accounted for as a borrowing by recording the proceeds received as a financing obligation, which will be repaid through payments collected from accounts receivable debtors relating to future receivables. The financing obligation is non-recourse; however, we are responsible for collections as we must first collect payments from the debtors and remit them to the investor. We recognize interest on the financed amount using the effective interest method. The effective interest rate is the interest rate that equates the present value of the cash amounts to be received by the investor with the present value of the cash amounts paid by the investor to us. The receivable financing facility has a term of 5 years and the arrangement allows us and the financier to mutually agree to roll forward our borrowings as they come due.</w:t>
      </w:r>
    </w:p>
    <w:p>
      <w:pPr>
        <w:spacing w:after="0" w:line="87"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On August 15, 2021, November 16, 2021, February 22, 2022, May 31, 2022, and August 18, 2022, in accordance with the terms of the receivable financing facility, we rolled forward the receivable financing facility, enabling us to continue our quarterly borrowings for a minimum of twelve-months. Subject to the approval of the financier, we may continue rolling forward the receivable financing facility.</w:t>
      </w:r>
    </w:p>
    <w:p>
      <w:pPr>
        <w:spacing w:after="0" w:line="104"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On April 15, 2023, the Company entered into an amended and restated investment arrangement to amend the payment due dates and periodic payment amounts to be made under the investment agreement. The agreement calls for payments of principal and interest of $0.7 million, $3.5 million and $0.9 million in fiscal years 2023, 2024 and 2025, respectively. The agreement allows investors to have direct recourse against the Company in the event of a non-payment default by the Company’s customer.</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Equipment Financing Facility</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Beginning in 2019, we entered into arrangements with third party financiers to secure payments of certain tablet purchases. Such arrangements generally have terms ranging from 3 to 5 years and interest rates ranging from 8% to 14%. We then lease the tablets monetized by the financiers to our customers through operating leases that have 4-year terms.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7" w:name="page78"/>
    <w:bookmarkEnd w:id="7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In fiscal year 2023, due to our liquidity position and other commitments, we postponed certain payments on certain arrangements with third party financiers, which resulted in us defaulting on said arrangements. We have remedied the matter via repayment agreements with our third party financiers, as discussed below.</w:t>
      </w:r>
    </w:p>
    <w:p>
      <w:pPr>
        <w:spacing w:after="0" w:line="81"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On November 4, 2022, the Company executed an amendment with one of its third-party financiers to defer non-payments, which increased the monthly payments due for the remaining term of the arrangement.</w:t>
      </w:r>
    </w:p>
    <w:p>
      <w:pPr>
        <w:spacing w:after="0" w:line="56"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On November 21, 2022, the Company executed an amendment with one of its third-party financiers. The Company repaid one of the arrangements by making a cash disbursement of $0.4 million, of which extinguished all obligations and resulted in $0.3 million being recorded as a loss on extinguishment of debt and financial obligations on the condensed consolidated statement of operations and comprehensive income (loss).</w:t>
      </w:r>
    </w:p>
    <w:p>
      <w:pPr>
        <w:spacing w:after="0" w:line="76"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As a result of the amendment executed on November 4, 2022 and early termination executed on November 21, 2022, the default on payments due as described above has been waived and the Company is in compliance as of March 31, 2023. We have classified all of our obligations under these arrangements as short-term within financing obligations, current as of March 31, 2023 and June 30, 2022.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Debt Arrangements</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As of March 31, 2023 and June 30, 2022, our outstanding debt, net of debt discounts, consisted of the following:</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As of</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As of</w:t>
            </w:r>
          </w:p>
        </w:tc>
      </w:tr>
      <w:tr>
        <w:trPr>
          <w:trHeight w:val="203"/>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March 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55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2023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5"/>
              </w:rPr>
              <w:t>2022</w:t>
            </w:r>
          </w:p>
        </w:tc>
        <w:tc>
          <w:tcPr>
            <w:tcW w:w="140" w:type="dxa"/>
            <w:vAlign w:val="bottom"/>
          </w:tcPr>
          <w:p>
            <w:pPr>
              <w:spacing w:after="0"/>
              <w:rPr>
                <w:sz w:val="18"/>
                <w:szCs w:val="18"/>
                <w:color w:val="auto"/>
              </w:rPr>
            </w:pPr>
          </w:p>
        </w:tc>
      </w:tr>
      <w:tr>
        <w:trPr>
          <w:trHeight w:val="46"/>
        </w:trPr>
        <w:tc>
          <w:tcPr>
            <w:tcW w:w="5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Term loans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53,979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25,443</w:t>
            </w:r>
          </w:p>
        </w:tc>
        <w:tc>
          <w:tcPr>
            <w:tcW w:w="140" w:type="dxa"/>
            <w:vAlign w:val="bottom"/>
          </w:tcPr>
          <w:p>
            <w:pPr>
              <w:spacing w:after="0"/>
              <w:rPr>
                <w:sz w:val="21"/>
                <w:szCs w:val="21"/>
                <w:color w:val="auto"/>
              </w:rPr>
            </w:pPr>
          </w:p>
        </w:tc>
      </w:tr>
      <w:tr>
        <w:trPr>
          <w:trHeight w:val="41"/>
        </w:trPr>
        <w:tc>
          <w:tcPr>
            <w:tcW w:w="5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75"/>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PPP Loans</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37"/>
        </w:trPr>
        <w:tc>
          <w:tcPr>
            <w:tcW w:w="5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debt</w:t>
            </w: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53,979</w:t>
            </w:r>
          </w:p>
        </w:tc>
        <w:tc>
          <w:tcPr>
            <w:tcW w:w="1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117,106</w:t>
            </w:r>
          </w:p>
        </w:tc>
        <w:tc>
          <w:tcPr>
            <w:tcW w:w="140" w:type="dxa"/>
            <w:vAlign w:val="bottom"/>
            <w:tcBorders>
              <w:top w:val="single" w:sz="8" w:color="CCEEFF"/>
            </w:tcBorders>
          </w:tcPr>
          <w:p>
            <w:pPr>
              <w:spacing w:after="0"/>
              <w:rPr>
                <w:sz w:val="20"/>
                <w:szCs w:val="20"/>
                <w:color w:val="auto"/>
              </w:rPr>
            </w:pPr>
          </w:p>
        </w:tc>
      </w:tr>
      <w:tr>
        <w:trPr>
          <w:trHeight w:val="40"/>
        </w:trPr>
        <w:tc>
          <w:tcPr>
            <w:tcW w:w="5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0"/>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debt, current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(115,106)</w:t>
            </w:r>
          </w:p>
        </w:tc>
      </w:tr>
      <w:tr>
        <w:trPr>
          <w:trHeight w:val="20"/>
        </w:trPr>
        <w:tc>
          <w:tcPr>
            <w:tcW w:w="5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44"/>
        </w:trPr>
        <w:tc>
          <w:tcPr>
            <w:tcW w:w="5500" w:type="dxa"/>
            <w:vAlign w:val="bottom"/>
          </w:tcPr>
          <w:p>
            <w:pPr>
              <w:spacing w:after="0"/>
              <w:rPr>
                <w:sz w:val="20"/>
                <w:szCs w:val="20"/>
                <w:color w:val="auto"/>
              </w:rPr>
            </w:pPr>
            <w:r>
              <w:rPr>
                <w:rFonts w:ascii="Arial" w:cs="Arial" w:eastAsia="Arial" w:hAnsi="Arial"/>
                <w:sz w:val="18"/>
                <w:szCs w:val="18"/>
                <w:color w:val="auto"/>
              </w:rPr>
              <w:t>Total debt, noncurrent</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21"/>
                <w:szCs w:val="2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Credit Agreement</w:t>
      </w:r>
    </w:p>
    <w:p>
      <w:pPr>
        <w:spacing w:after="0" w:line="15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On September 21, 2022, in connection with the consummation of the Merger, we entered into a Credit Agreement (the “Credit Agreement”) with the subsidiary guarantors party thereto, Metropolitan Partners, the lenders (“Lenders”) and other parties party thereto, pursuant to which the Lenders extended term loans having an aggregate original principal amount of $55.0 million (the “Term Loans”).</w:t>
      </w:r>
    </w:p>
    <w:p>
      <w:pPr>
        <w:spacing w:after="0" w:line="10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In March 2023, we entered into the First Amendment in which we amended certain covenants and payment provisions of the existing Credit Agreement. In connection with the First Amendment, we entered into the First Fee Letter with Metropolitan, pursuant to which we paid an amendment fee equal to $0.2 million and granted warrants to purchase 400,000 shares of Common Stock of Presto, with an exercise price of $0.01 per share, to the Metropolitan Entities. We recorded additional debt discount of $0.8 million in which represents the fees paid plus the fair value of the warrants and recorded the warrants as liabilities.</w:t>
      </w:r>
    </w:p>
    <w:p>
      <w:pPr>
        <w:spacing w:after="0" w:line="97"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Term Loans were borrowed in full at closing. Amounts outstanding under the Credit Agreement will incur interest at the rate of 15% per annum. During the first 18 months following the closing date, we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 nine months after the closing date, we may elect for 100% of the interest payment to be capitalized as PIK Interest on a monthly basis. With respect to interest accruing after the nine month anniversary of the closing date, but before the 18 month anniversary of the closing date, we may elect for 50% of the interest payment to be capitalized as PIK Interest on a monthly basis. The Term Loans mature on March 21, 2025.</w:t>
      </w:r>
    </w:p>
    <w:p>
      <w:pPr>
        <w:spacing w:after="0" w:line="11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Term Loans may be prepaid by us; however, any voluntary or mandatory prepayment made prior to the 18 month anniversary of the closing date must be accompanied by payment of a make whole premium equal to the interest and fees that would have accrued on the aggregate principal amount of the Term Loans (including any interest</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8" w:name="page79"/>
    <w:bookmarkEnd w:id="7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that could have been capitalized as PIK Interest during such period) from the date of payment through the 18 month anniversary of the closing date. The Term Loans may not be reborrowed once repaid. We are required to pay the Agent certain upfront fees and administrative fees in connection with the Term Loans. Our obligations under the Credit Agreement are secured by substantially all of our assets.</w:t>
      </w:r>
    </w:p>
    <w:p>
      <w:pPr>
        <w:spacing w:after="0" w:line="104"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must comply with certain financial covenants as set forth in the Credit Agreement, including a minimum cash covenant and maximum net leverage ratio of 1.20 to 1.00. The minimum cash covenant requires us to maintain cash in a separate account in an amount equal to the prior six months of operating expenses plus $1.1 million. Were unable to comply with these financial covenants and, as noted below, have obtained a waiver.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We are also restricted from paying dividends or making other distributions or payments on our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As of March 31, 2023, the Company obtained a waiver in the First Amendment noted above, of the minimum cash covenant for February 28, 2023 and March 31, 2023, the net leverage ratio for the period from February 28, 2023 through May 31, 2023 and any default occurring from the Chief Executive Officer separation from the Board of Directors. The Company is seeking a further waiver in conjunction with its efforts to raise additional financing. The Company is in compliance with all other applicable covenants. However, since the Company cannot be certain it will be in compliance with all covenants in the next twelve months if additional financing is not secured, the Company has classified the balance of the Credit Agreement as current on the condensed consolidated balance sheets as of March 31, 2023.</w:t>
      </w:r>
    </w:p>
    <w:p>
      <w:pPr>
        <w:spacing w:after="0" w:line="101"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In conjunction with the Credit Agreement, we issued 1,500,000 warrants to purchase common stock to the lenders. Such warrants were determined to be equity classified and we recorded the value associated with such warrants of $2.1 million within additional paid in capital, with an offsetting debt discount being recorded.</w:t>
      </w:r>
    </w:p>
    <w:p>
      <w:pPr>
        <w:spacing w:after="0" w:line="6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As a condition to entering into the Credit Agreement, the Sponsors agreed to transfer 600,000 shares to the lenders to the Credit Agreement. The share transfer by the Sponsor to the lenders to the Credit Agreement was such that the substance of the transaction was that the Sponsors made a capital contribution to us, and we then made a share-based payment to the lenders as an incentive for the Lenders to enter into the Credit Agreement. Accordingly, we recorded the transaction as debt issuance costs discount of $2.8 million in our condensed consolidated balance sheet with an offsetting increase to additional paid-in capital for the contribution.</w:t>
      </w:r>
    </w:p>
    <w:p>
      <w:pPr>
        <w:spacing w:after="0" w:line="127"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incurred cash debt issuance costs of $1.0 million in conjunction with the signing of the Credit Agreement which were recorded as a debt discount.</w:t>
      </w:r>
    </w:p>
    <w:p>
      <w:pPr>
        <w:spacing w:after="0" w:line="103"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During the three and nine months ended March 31, 2023, we recorded PIK interest expense amounts of $2.1 million and $4.5 million, respectively, which has been reflected as an increase to the outstanding debt balance. Further, during the three and nine months ended March 31, 2023, we recorded interest expense associated with the amortization of debt discounts in the amount $0.6 million and $1.2 million, respectively. Accordingly at March 31, 2023, the term loans, noncurrent balance of $54.0 million reflects $55.0 million of principal and $4.5 million PIK interest accrual, as reduced by unamortized debt issuance costs of $5.5 million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Convertible Promissory Notes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As of June 30, 2022, we had convertible notes outstanding to various investors, all of which were accounted for under the fair value option. As of June 30, 2022, the fair value of such convertible promissory notes was $89.7 million. In conjunction with the Merger, all convertible promissory notes converted into shares of common stock. Further certain convertible notes which were together with warrants also had the related warrants converted into shares of common stock. As a consequence of the note and warrant conversion, 8,147,938 shares of common stock were issued. Immediately prior to conversion, the convertible promissory notes were remeasured to the then fair value of $41.4 million, resulting in a gain on remeasurement of $48.3 million which was recorded within change in fair value of warrants and convertible promissory notes on the condensed consolidated statement of operations and comprehensive income (loss) for the nine months ended March 31, 2023.</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During the nine months ended March 31, 2022 we issued the July 2021 notes for $0.5 million of convertible promissory notes and issued the February 2022 notes for $25.7 million and repaid the June 2021 notes for $20.0 million with the February 2022 notes. During the three and nine months ended March 31, 2022, we recorded a gain on remeasurement of $19.2 million and loss of $10.6 million, respectively, on all outstanding convertible promissory notes, which were recorded within change in fair value of warrants and convertible promissory notes on the condensed consolidated statement of operations and comprehensive income (loss).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Term Loans</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Horizon Loan</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On March 4, 2021, we entered into a loan agreement (the “Horizon Loan”) with Horizon Technology Finance Corporation (“Horizon”), which provided us with $15.0 million,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We pledged certain assets against the Horizon Loan. The Horizon Loan contains financial covenants that require the maintenance of an unrestricted cash plus accounts receivable balance and achievement of quarterly bookings targets. On March 11, 2022, we amended the Horizon Loan to shorten the total term to 24 months with a maturity date of March 20, 2023.</w:t>
      </w:r>
    </w:p>
    <w:p>
      <w:pPr>
        <w:spacing w:after="0" w:line="11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In connection with the entry into the Credit Agreement, (defined below), on September 21, 2022, we repaid the Horizon Loan making a cash disbursement of $17.0 million, of which $15.0 million was repayment of principal and $0.6 million was payment of interest expense and accrued interest. Further, $1.7 million was recorded as a loss on extinguishment of debt and financial obligations on our condensed consolidated statement of operations and comprehensive income (loss).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Lago Loans</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On March 11, 2022, we entered into a loan agreement (the “Lago Loan”) with Lago Innovation Fund I &amp; II, LLC, which provided us with $12.6 million, bears interest at the greater of 12% plus the greater of 1% or 30 day LIBOR, bears 2% payable in kind interest, and matures on April 1, 2023. We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We may prepay at any time for a fee, dependent on the time of prepayment. The Lago Loan contains financial covenants that require the maintenance of unrestricted cash plus accounts receivable balance and achievement of quarterly bookings targets. We issued 205,602 warrants to purchase common stock with the Lago Loan. Refer to Note 10 of the interim unaudited condensed consolidated financial statements as of and for the three and nine months ended March 31, 2023 for further details.</w:t>
      </w:r>
    </w:p>
    <w:p>
      <w:pPr>
        <w:spacing w:after="0" w:line="114"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On August 4, 2022, we received an additional tranche of term loan in the amount of $5.3 million via an amendment to the Lago Loan. Further, we issued an additional 169,310 warrants to purchase common stock with the additional tranche. We determined that the amendment with the lender should be accounted for as an extinguishment and recorded a loss on extinguishment of debt and financial obligations of $6.0 million on our condensed consolidated statement of operations and comprehensive income (loss).</w:t>
      </w:r>
    </w:p>
    <w:p>
      <w:pPr>
        <w:spacing w:after="0" w:line="10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connection with the entry into the Credit Agreement on September 21, 2022, we repaid all outstanding loans by making a cash disbursement of $22.4 million, of which $17.8 million was repayment of principal and $0.1 million was payment of payable in kind interest. Further $4.4 million of cash was paid related to prepayment and other penalties.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Paycheck Protection Program Loan</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In April 2020, the Company obtained a Paycheck Protection Program (“PPP”) loan for $2.6 million through the U.S. Small Business Administration. In March 2021, a second PPP loan was obtained in the amount of $2.0 million, for a total of $4.6 million. The loans will be fully forgiven if the funds are used for payroll costs, interest on mortgages, rent, and utilities, with at least 60% being used for payroll. We used the funds for these expenses and applied for loan</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0" w:name="page81"/>
    <w:bookmarkEnd w:id="8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 xml:space="preserve">forgiveness of the PPP funds. No collateral or personal guarantees were required for the loan. The PPP loans would bear an interest rate of 1% and a maturity of two years for the first loan and five years for the second loan. We account for the loans as debt subject to the accounting guidance in ASC 470, </w:t>
      </w:r>
      <w:r>
        <w:rPr>
          <w:rFonts w:ascii="Arial" w:cs="Arial" w:eastAsia="Arial" w:hAnsi="Arial"/>
          <w:sz w:val="17"/>
          <w:szCs w:val="17"/>
          <w:i w:val="1"/>
          <w:iCs w:val="1"/>
          <w:color w:val="auto"/>
        </w:rPr>
        <w:t>Debt</w:t>
      </w:r>
      <w:r>
        <w:rPr>
          <w:rFonts w:ascii="Arial" w:cs="Arial" w:eastAsia="Arial" w:hAnsi="Arial"/>
          <w:sz w:val="17"/>
          <w:szCs w:val="17"/>
          <w:color w:val="auto"/>
        </w:rPr>
        <w:t>.</w:t>
      </w:r>
    </w:p>
    <w:p>
      <w:pPr>
        <w:spacing w:after="0" w:line="9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During the nine months ended March 31, 2022 we received forgiveness for the first PPP loan of $2.6 million and recognized as other income, net. In July 2022, we were granted forgiveness of the second loan in an amount of approximately $2.0 million, which was recognized as other income, net on the condensed consolidated statement of operations and comprehensive income (loss) for the nine months ended March 31, 2023.</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did not have any off-balance sheet arrangements as of March 31, 2023 and June 30, 2022.</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Recent Developments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In June 2022, we received a favorable arbitrator ruling related to a matter with our third-party subcontractor and were awarded approximately $11.3 million in damages related to our loss on infrequent product repairs and to cover our legal expenses. This arbitration ruling was affirmed by the appellate court in the country of the arbitration ruling on March 6, 2023. On May 2, 2023, the vendor appealed the ruling to the highest court there. The award has not met the criteria to be considered realizable as of March 31, 2023. As a result, we have not recognized any gain related to this settlement in our condensed consolidated statement of operations and comprehensive income (loss).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Transactions</w:t>
      </w:r>
    </w:p>
    <w:p>
      <w:pPr>
        <w:spacing w:after="0" w:line="162"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We have certain convertible promissory notes and embedded warrants with entities in which a member of our board of directors is an officer of the entity and has a financial interest in the entity (“affiliated entities”). As of June 30, 2022, $9.6 million of our convertible promissory notes and embedded warrants balance is due to a related party, all of which are due within 12 months. The convertible notes and embedded warrants converted into shares of common stock during the nine months ended March 31, 2023. Refer to Note 7 for further details.</w:t>
      </w:r>
    </w:p>
    <w:p>
      <w:pPr>
        <w:spacing w:after="0" w:line="9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During the nine months ended March 31, 2023, we received an equity investment of $1,000 from an investor in exchange for 133,333 shares of common stock in the Company. Refer to Note 9 of the interim unaudited condensed consolidated financial statements as of and for the three and nine months ended March 31, 2023 for further details.</w:t>
      </w:r>
    </w:p>
    <w:p>
      <w:pPr>
        <w:spacing w:after="0" w:line="10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addition, during the nine month ended March 31, 2023 we granted 1,200,000 of RSUs to a director and interim CEO of the Company with a grant date fair value of $4.56 per RSU. Refer to Note 11 of the interim unaudited condensed consolidated financial statements as of and for the three and nine months ended March 31, 2023 for further details.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The preparation of financial statements in conformity with U.S. GAAP requires us to make certain estimates and assumptions. These estimates and assumptions affect the reported amounts of assets, liabilities, revenues, expenses and disclosures. Our most significant estimates and judgments are related to collectability of accounts receivable, the useful lives of property and equipment and intangible assets, inventory valuation, the fair value of financial instruments, valuation of deferred tax assets and liabilities, valuation assumptions utilized in calculating the estimated value of stock-based compensation, valuation of warrants, earnout and unvested founder shares arrangements, valuation of investments in non-affiliates, valuation of goodwill and intangible assets acquired and impairment of long-lived assets. Actual results may differ from these estimates. To the extent that there are differences between our estimates and actual results, our future financial statement presentation, financial condition, results of operations, and cash flows will be affected.</w:t>
      </w:r>
    </w:p>
    <w:p>
      <w:pPr>
        <w:spacing w:after="0" w:line="101"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We believe that the accounting policies described below involve a greater degree of judgment and complexity. Accordingly, these are the policies we believe are the most critical to aid in fully understanding and evaluating our financial condition and results of operations. For further information, see Note 1 to the audited consolidated financial statements as of and for the years ended June 30, 2022 and 2021 and the related notes contained in exhibit 99.1 of the Current Report on Form 8-K filed with the SEC on December 16, 2022.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Revenue is recognized when promised goods or services are transferred to the customer in an amount that reflects the consideration to which we expect to be entitled in exchange for those goods or services, net of any taxes collected from customers (e.g., sales and other indirect taxes), which are subsequently remitted to government authorities.</w:t>
      </w:r>
    </w:p>
    <w:p>
      <w:pPr>
        <w:spacing w:after="0" w:line="119"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During the three and nine months ended March 31, 2023 and 2022, we derived our revenues from two revenue streams: (1) sales and leases of the Presto Touch and AI Platform products (“</w:t>
      </w:r>
      <w:r>
        <w:rPr>
          <w:rFonts w:ascii="Arial" w:cs="Arial" w:eastAsia="Arial" w:hAnsi="Arial"/>
          <w:sz w:val="16"/>
          <w:szCs w:val="16"/>
          <w:b w:val="1"/>
          <w:bCs w:val="1"/>
          <w:color w:val="auto"/>
        </w:rPr>
        <w:t>Platform revenue</w:t>
      </w:r>
      <w:r>
        <w:rPr>
          <w:rFonts w:ascii="Arial" w:cs="Arial" w:eastAsia="Arial" w:hAnsi="Arial"/>
          <w:sz w:val="16"/>
          <w:szCs w:val="16"/>
          <w:color w:val="auto"/>
        </w:rPr>
        <w:t>”), which includes hardware, hardware accessories, software, customer support and maintenance, and (2) Premium Content (gaming) and other revenue, which includes professional services (“</w:t>
      </w:r>
      <w:r>
        <w:rPr>
          <w:rFonts w:ascii="Arial" w:cs="Arial" w:eastAsia="Arial" w:hAnsi="Arial"/>
          <w:sz w:val="16"/>
          <w:szCs w:val="16"/>
          <w:b w:val="1"/>
          <w:bCs w:val="1"/>
          <w:color w:val="auto"/>
        </w:rPr>
        <w:t>Transaction revenue</w:t>
      </w:r>
      <w:r>
        <w:rPr>
          <w:rFonts w:ascii="Arial" w:cs="Arial" w:eastAsia="Arial" w:hAnsi="Arial"/>
          <w:sz w:val="16"/>
          <w:szCs w:val="16"/>
          <w:color w:val="auto"/>
        </w:rPr>
        <w: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Platform Revenue</w:t>
      </w:r>
    </w:p>
    <w:p>
      <w:pPr>
        <w:spacing w:after="0" w:line="15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platform revenue stream is generated from fees charged to customers for access to our Presto Touch product and is recognized ratably. Part of the total contract value is due upon execution of the contract, and the remainder is due monthly over the term of the contract. Our contracts with customers are generally for a term ranging from 12 to 24 months. Amounts invoiced in excess of revenue recognized are recorded as deferred revenue. Revenue generated from AI Platform products was not material for the three and nine months ended March 31, 2023 and 2022. Such revenue generated from AI Platform products is inclusive of $0.5 million and $1.1 million of contra-revenue related to the fair value of the warrant treated as a reduction to the transaction price of a customer for the three and nine months ended March 31, 2023, respectively. Refer to the Components of Results of Operations above for further details. We also maintain arrangements with a certain customer whereby we leased the Presto Touch product to that customer. Revenue associated with the lease was recognized on a straight-line basis as platform revenue over the lease term in the condensed consolidated statements of operations and comprehensive income (loss). Refer to the Components of Results of Operations section above for further details.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Transaction Revenue</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58" w:lineRule="exact"/>
        <w:rPr>
          <w:sz w:val="20"/>
          <w:szCs w:val="20"/>
          <w:color w:val="auto"/>
        </w:rPr>
      </w:pPr>
    </w:p>
    <w:p>
      <w:pPr>
        <w:jc w:val="both"/>
        <w:ind w:left="1320" w:right="459" w:hanging="434"/>
        <w:spacing w:after="0" w:line="271" w:lineRule="auto"/>
        <w:tabs>
          <w:tab w:leader="none" w:pos="1293" w:val="left"/>
        </w:tabs>
        <w:numPr>
          <w:ilvl w:val="0"/>
          <w:numId w:val="41"/>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 — We enter into a master sales agreement (“</w:t>
      </w:r>
      <w:r>
        <w:rPr>
          <w:rFonts w:ascii="Arial" w:cs="Arial" w:eastAsia="Arial" w:hAnsi="Arial"/>
          <w:sz w:val="17"/>
          <w:szCs w:val="17"/>
          <w:b w:val="1"/>
          <w:bCs w:val="1"/>
          <w:color w:val="auto"/>
        </w:rPr>
        <w:t>MSA</w:t>
      </w:r>
      <w:r>
        <w:rPr>
          <w:rFonts w:ascii="Arial" w:cs="Arial" w:eastAsia="Arial" w:hAnsi="Arial"/>
          <w:sz w:val="17"/>
          <w:szCs w:val="17"/>
          <w:color w:val="auto"/>
        </w:rPr>
        <w:t>”) with the customer which is signed by both parties. The rights and obligations are outlined in the MSA and payment terms are clearly defined. We then enter into a license agreement, typically with each franchisee, which outlines the specified goods and services to be provided. We also enter into separate gaming agreements with diners, whereby our customer agrees to pay for use of the premium content. Each MSA, in conjunction with a license agreement, and each gaming agreement, has commercial substance, whereby we are to provide products and services in exchange for payment, and collectability is probable.</w:t>
      </w:r>
    </w:p>
    <w:p>
      <w:pPr>
        <w:spacing w:after="0" w:line="97" w:lineRule="exact"/>
        <w:rPr>
          <w:rFonts w:ascii="Arial" w:cs="Arial" w:eastAsia="Arial" w:hAnsi="Arial"/>
          <w:sz w:val="17"/>
          <w:szCs w:val="17"/>
          <w:color w:val="auto"/>
        </w:rPr>
      </w:pPr>
    </w:p>
    <w:p>
      <w:pPr>
        <w:jc w:val="both"/>
        <w:ind w:left="1320" w:right="459" w:hanging="434"/>
        <w:spacing w:after="0" w:line="269" w:lineRule="auto"/>
        <w:tabs>
          <w:tab w:leader="none" w:pos="1293" w:val="left"/>
        </w:tabs>
        <w:numPr>
          <w:ilvl w:val="0"/>
          <w:numId w:val="41"/>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 — Our contracts with customers include promises to transfer multiple services. For all arrangements with multiple services, we evaluate whether the individual services qualify as distinct performance obligations. In our assessment of whether a service is a distinct performance obligation, we determine whether the customer can benefit from the service on its own or with other readily available resources and whether the service is separately identifiable from other services in the contract. This evaluation requires us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2" w:name="page83"/>
    <w:bookmarkEnd w:id="8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320" w:right="459"/>
        <w:spacing w:after="0" w:line="301" w:lineRule="auto"/>
        <w:rPr>
          <w:sz w:val="20"/>
          <w:szCs w:val="20"/>
          <w:color w:val="auto"/>
        </w:rPr>
      </w:pPr>
      <w:r>
        <w:rPr>
          <w:rFonts w:ascii="Arial" w:cs="Arial" w:eastAsia="Arial" w:hAnsi="Arial"/>
          <w:sz w:val="16"/>
          <w:szCs w:val="16"/>
          <w:color w:val="auto"/>
        </w:rPr>
        <w:t>We identified the following performance obligations: for the MSAs and license agreements, 1) sales or leases of hardware, SaaS and maintenance as one combined performance obligation for the Presto Touch product, and for gaming agreements, 2) premium content, or gaming. Professional services were insignificant during the three and nine months ended March 31, 2023 and 2022.</w:t>
      </w:r>
    </w:p>
    <w:p>
      <w:pPr>
        <w:spacing w:after="0" w:line="90" w:lineRule="exact"/>
        <w:rPr>
          <w:sz w:val="20"/>
          <w:szCs w:val="20"/>
          <w:color w:val="auto"/>
        </w:rPr>
      </w:pPr>
    </w:p>
    <w:p>
      <w:pPr>
        <w:jc w:val="both"/>
        <w:ind w:left="1320" w:right="459"/>
        <w:spacing w:after="0" w:line="259" w:lineRule="auto"/>
        <w:rPr>
          <w:sz w:val="20"/>
          <w:szCs w:val="20"/>
          <w:color w:val="auto"/>
        </w:rPr>
      </w:pPr>
      <w:r>
        <w:rPr>
          <w:rFonts w:ascii="Arial" w:cs="Arial" w:eastAsia="Arial" w:hAnsi="Arial"/>
          <w:sz w:val="18"/>
          <w:szCs w:val="18"/>
          <w:color w:val="auto"/>
        </w:rPr>
        <w:t>Our Presto Touch is considered to have a single performance obligation because each element of the Presto Touch product is interdependent and cannot function independently. The software and hardware for the Presto Touch product represents one combined output and the customer cannot benefit from the use of one element without the other.</w:t>
      </w:r>
    </w:p>
    <w:p>
      <w:pPr>
        <w:spacing w:after="0" w:line="119" w:lineRule="exact"/>
        <w:rPr>
          <w:sz w:val="20"/>
          <w:szCs w:val="20"/>
          <w:color w:val="auto"/>
        </w:rPr>
      </w:pPr>
    </w:p>
    <w:p>
      <w:pPr>
        <w:jc w:val="both"/>
        <w:ind w:left="1320" w:right="459"/>
        <w:spacing w:after="0" w:line="289" w:lineRule="auto"/>
        <w:rPr>
          <w:sz w:val="20"/>
          <w:szCs w:val="20"/>
          <w:color w:val="auto"/>
        </w:rPr>
      </w:pPr>
      <w:r>
        <w:rPr>
          <w:rFonts w:ascii="Arial" w:cs="Arial" w:eastAsia="Arial" w:hAnsi="Arial"/>
          <w:sz w:val="16"/>
          <w:szCs w:val="16"/>
          <w:color w:val="auto"/>
        </w:rPr>
        <w:t>When we enter into gaming agreements, our Presto Touch product includes the capability of providing entertainment services, designed (either on its own or through other subcontractors) and provided by us via internet, that can be purchased by diners. The games are only accessible over the internet, and upon the diner making the decision to pay for the content, the diner receives the right to access the game on the Presto Touch product. Gaming fees are usage based through the diner’s use of the device and stipulated in a separate contract with the diner. Any fees that are incurred are collected by the restaurant as part of the normal payment for the dining check from the diner and remitted back to us, net of commissions paid to the restaurant as the sales. Premium content revenue, or gaming revenue, is therefore one performance obligation.</w:t>
      </w:r>
    </w:p>
    <w:p>
      <w:pPr>
        <w:spacing w:after="0" w:line="85" w:lineRule="exact"/>
        <w:rPr>
          <w:sz w:val="20"/>
          <w:szCs w:val="20"/>
          <w:color w:val="auto"/>
        </w:rPr>
      </w:pPr>
    </w:p>
    <w:p>
      <w:pPr>
        <w:jc w:val="both"/>
        <w:ind w:left="1320" w:right="459" w:hanging="434"/>
        <w:spacing w:after="0" w:line="254" w:lineRule="auto"/>
        <w:tabs>
          <w:tab w:leader="none" w:pos="1293"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Determination of the transaction price — our MSAs stipulate the terms and conditions, and separate license agreements dictate the transaction price, and typically outlines as a price per store location or number of Presto Touch product. The transaction price is generally fixed fee, with a portion due upfront upon signing of the contract and the remainder due upon installation of the Presto Touch products. The transaction price for transaction revenue is a fixed fee charged per game. We occasionally provide consideration payable to a customer, which is recorded as a capitalized asset upon payment and included as part of deferred costs and amortized as contra-revenue over the expected customer life.</w:t>
      </w:r>
    </w:p>
    <w:p>
      <w:pPr>
        <w:spacing w:after="0" w:line="124" w:lineRule="exact"/>
        <w:rPr>
          <w:rFonts w:ascii="Arial" w:cs="Arial" w:eastAsia="Arial" w:hAnsi="Arial"/>
          <w:sz w:val="18"/>
          <w:szCs w:val="18"/>
          <w:color w:val="auto"/>
        </w:rPr>
      </w:pPr>
    </w:p>
    <w:p>
      <w:pPr>
        <w:jc w:val="both"/>
        <w:ind w:left="1320" w:right="459" w:hanging="434"/>
        <w:spacing w:after="0" w:line="263" w:lineRule="auto"/>
        <w:tabs>
          <w:tab w:leader="none" w:pos="1293"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 The Presto Touch and premium content contracts are each comprised of one performance obligation and do not require reallocation of the contract price.</w:t>
      </w:r>
    </w:p>
    <w:p>
      <w:pPr>
        <w:spacing w:after="0" w:line="116" w:lineRule="exact"/>
        <w:rPr>
          <w:rFonts w:ascii="Arial" w:cs="Arial" w:eastAsia="Arial" w:hAnsi="Arial"/>
          <w:sz w:val="18"/>
          <w:szCs w:val="18"/>
          <w:color w:val="auto"/>
        </w:rPr>
      </w:pPr>
    </w:p>
    <w:p>
      <w:pPr>
        <w:jc w:val="both"/>
        <w:ind w:left="1320" w:right="459" w:hanging="434"/>
        <w:spacing w:after="0" w:line="273" w:lineRule="auto"/>
        <w:tabs>
          <w:tab w:leader="none" w:pos="1293"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Recognition of revenue when, or as, we satisfy a performance obligation — As the customer simultaneously receives and consumes the benefits provided by us through continuous access to our SaaS platform, revenue from the Presto Touch and the AI Platform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Stock-Based Compensation</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have a stock incentive plan under which incentive stock options and restricted stock units (“RSUs”) are granted to employees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fair value of our common stock underlying the awards has historically been determined by the board of directors with input from management and third-party valuation specialists, as there was no public market for our common stock. The board of directors determines the fair value of the common stock by considering a number of objective and subjective factors including: the valuation of comparable companies, our operating and financial performance, the lack of liquidity of common stock, transactions in our preferred or common stock, and general and industry specific economic outlook, amongst other factors.</w:t>
      </w:r>
    </w:p>
    <w:p>
      <w:pPr>
        <w:spacing w:after="0" w:line="11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fair value of each option award is estimated on the grant date using the Black-Scholes option pricing model. The Black-Scholes option pricing model requires the input of subjective assumptions, including the fair value of the underlying common stock, risk-free interest rates, the expected term of the option, expected volatility, and expected dividend yield. The fair value of each RSU is the fair value of the underlying common stock on the grant date. The related stock-based compensation expense is recognized on a straight-line basis over the requisite service period 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3" w:name="page84"/>
    <w:bookmarkEnd w:id="8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awards, which is generally four years. For awards with performance conditions, the related cumulative stock-based compensation expense from inception to date is recognized when it is probable that the performance condition will be achieved. We account for forfeitures as they occur.</w:t>
      </w:r>
    </w:p>
    <w:p>
      <w:pPr>
        <w:spacing w:after="0" w:line="11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estimated the fair values of each option awarded on the date of grant using the Black-Scholes-Merton option pricing model utilizing the assumptions noted below.</w:t>
      </w:r>
    </w:p>
    <w:p>
      <w:pPr>
        <w:spacing w:after="0" w:line="103" w:lineRule="exact"/>
        <w:rPr>
          <w:sz w:val="20"/>
          <w:szCs w:val="20"/>
          <w:color w:val="auto"/>
        </w:rPr>
      </w:pPr>
    </w:p>
    <w:p>
      <w:pPr>
        <w:jc w:val="both"/>
        <w:ind w:left="1320" w:right="459" w:hanging="434"/>
        <w:spacing w:after="0" w:line="259" w:lineRule="auto"/>
        <w:tabs>
          <w:tab w:leader="none" w:pos="1316"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 The risk-free interest rate was calculated using the average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published interest rates of U.S. Treasury zero-coupon issues with maturities that approximate the expected term. The dividend yield assumption is zero as we have no history of, nor plans to distribute, dividend payments.</w:t>
      </w:r>
    </w:p>
    <w:p>
      <w:pPr>
        <w:spacing w:after="0" w:line="105" w:lineRule="exact"/>
        <w:rPr>
          <w:rFonts w:ascii="Arial" w:cs="Arial" w:eastAsia="Arial" w:hAnsi="Arial"/>
          <w:sz w:val="18"/>
          <w:szCs w:val="18"/>
          <w:color w:val="auto"/>
        </w:rPr>
      </w:pPr>
    </w:p>
    <w:p>
      <w:pPr>
        <w:jc w:val="both"/>
        <w:ind w:left="1320" w:right="459" w:hanging="434"/>
        <w:spacing w:after="0" w:line="257" w:lineRule="auto"/>
        <w:tabs>
          <w:tab w:leader="none" w:pos="1316"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 The expected term of the options is based on the average period the stock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expected to remain outstanding, calculated as the midpoint of the options vesting term and the contractual expiration period, as we did not have sufficient historical information to develop reasonable expectations about future exercise patterns and post-vesting employment termination behavior.</w:t>
      </w:r>
    </w:p>
    <w:p>
      <w:pPr>
        <w:spacing w:after="0" w:line="120" w:lineRule="exact"/>
        <w:rPr>
          <w:rFonts w:ascii="Arial" w:cs="Arial" w:eastAsia="Arial" w:hAnsi="Arial"/>
          <w:sz w:val="18"/>
          <w:szCs w:val="18"/>
          <w:color w:val="auto"/>
        </w:rPr>
      </w:pPr>
    </w:p>
    <w:p>
      <w:pPr>
        <w:jc w:val="both"/>
        <w:ind w:left="1320" w:right="459" w:hanging="434"/>
        <w:spacing w:after="0" w:line="263" w:lineRule="auto"/>
        <w:tabs>
          <w:tab w:leader="none" w:pos="1316"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 The expected stock price volatility for our stock was determined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examining the historical volatilities of our industry peers as we did not have any trading history of our Common Stock.</w:t>
      </w:r>
    </w:p>
    <w:p>
      <w:pPr>
        <w:spacing w:after="0" w:line="116"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dividend yield </w:t>
      </w:r>
      <w:r>
        <w:rPr>
          <w:rFonts w:ascii="Arial" w:cs="Arial" w:eastAsia="Arial" w:hAnsi="Arial"/>
          <w:sz w:val="18"/>
          <w:szCs w:val="18"/>
          <w:color w:val="auto"/>
        </w:rPr>
        <w:t>— The dividend yield assumption is zero as we have no history of, nor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to distribute, dividend payments.</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did not grant options during the three and nine months ended March 31, 2023.</w:t>
      </w:r>
    </w:p>
    <w:p>
      <w:pPr>
        <w:spacing w:after="0" w:line="15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The earnout shares are equity classified since they do not meet the liability classification criteria outlined in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and are under ASC 815-40 are both (i) indexed to the Company’s own shares and (ii) meet the criteria for equity classification. The fair value of the earnout shares is determined based on “Level 3” inputs, due to a lack of market data over inputs such as the volatility and the time incurred to meet the minimum VWAP as discussed above. At initial recognition, the earnout shares were measured at fair value using the Monte Carlo valuation model. The valuation model utilized various key assumptions, such as volatility, discount rate and time incurred to meet the minimum VWAP.</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Inventories</w:t>
      </w:r>
    </w:p>
    <w:p>
      <w:pPr>
        <w:spacing w:after="0" w:line="15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We purchase our inventories from a third-party manufacturer as finished goods and store the inventory partially in our own warehouse and partially at a third-party warehouse. We establish provisions for excess and obsolete inventories after an evaluation of historical sales, future demand and market conditions, expected product life cycles, 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three and nine months ended March 31, 2023 and 2022.</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4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10" w:lineRule="exact"/>
        <w:rPr>
          <w:sz w:val="20"/>
          <w:szCs w:val="20"/>
          <w:color w:val="auto"/>
        </w:rPr>
      </w:pPr>
    </w:p>
    <w:p>
      <w:pPr>
        <w:jc w:val="center"/>
        <w:ind w:left="4420" w:right="1479" w:hanging="3534"/>
        <w:spacing w:after="0" w:line="481" w:lineRule="auto"/>
        <w:tabs>
          <w:tab w:leader="none" w:pos="1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as of the reporting date.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9" w:lineRule="auto"/>
        <w:tabs>
          <w:tab w:leader="none" w:pos="1316"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spacing w:after="0" w:line="119"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Financial instruments consist of cash equivalents, accounts receivable, accounts payable, convertible promissory notes and embedded warrants, warrant liabilities, and unvested founder shares liability. Accounts receivable and accounts payable are stated at their carrying value, which approximates fair value due to the short time to the expected receipt or payment date.</w:t>
      </w:r>
    </w:p>
    <w:p>
      <w:pPr>
        <w:spacing w:after="0" w:line="10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elected the fair value option to account for the convertible promissory notes and embedded warrants because we believe it more accurately reflects the value of the debt in the financial statements.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private financing of preferred stock, conversion upon next financing in a public liquidity event, conversion upon a change in control, conversion upon maturity and default. Other inputs included a discount rate of 16.5% for the principal amount of the convertible promissory notes as of June 30, 2022. Changes in the fair value of the convertible promissory notes and embedded warrants were included in change in fair value of warrants and convertible promissory notes in the condensed consolidated statement of operations and comprehensive loss.</w:t>
      </w:r>
    </w:p>
    <w:p>
      <w:pPr>
        <w:spacing w:after="0" w:line="114"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The fair value of the unvested founder shares liability was determined using a Monte Carlo valuation model, which requires significant estimates including the expected volatility of our common stock. The expected annual volatility of our common stock was estimated to be 76.2% and 71.9% as of the Merger date and March 31, 2023, respectively, based on the historical volatility of comparable publicly traded companies.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in Non-Affiliate</w:t>
      </w:r>
    </w:p>
    <w:p>
      <w:pPr>
        <w:spacing w:after="0" w:line="15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Investments in non-affiliates include equity security investments in third party entities without a readily determinable fair value in which the Company’s influence is deemed not to be significant. Investments in non-affiliates are recorded using the measurement alternative for investments without readily determinable fair values, whereby the investment is measured at cost less any impairment recorded or observable price changes. Any impairments or observable price changes are reported in other income, net on the condensed consolidated statements of operations and comprehensive income (loss).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44"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We evaluate the carrying value of long-lived assets on an annual basis, or more frequently whenever circumstances indicate a long-lived asset may be impaired. When indicators of impairment exist, we estimate future undiscounted cash flows attributable to such assets. In the event cash flows are not expected to be sufficient to recover the recorded value of the assets, the assets are written down to their estimated fair value.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5" w:name="page86"/>
    <w:bookmarkEnd w:id="8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14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See the sections entitled “</w:t>
      </w:r>
      <w:r>
        <w:rPr>
          <w:rFonts w:ascii="Arial" w:cs="Arial" w:eastAsia="Arial" w:hAnsi="Arial"/>
          <w:sz w:val="16"/>
          <w:szCs w:val="16"/>
          <w:i w:val="1"/>
          <w:iCs w:val="1"/>
          <w:color w:val="auto"/>
        </w:rPr>
        <w:t>Recently Adopted Accounting Standards</w:t>
      </w:r>
      <w:r>
        <w:rPr>
          <w:rFonts w:ascii="Arial" w:cs="Arial" w:eastAsia="Arial" w:hAnsi="Arial"/>
          <w:sz w:val="16"/>
          <w:szCs w:val="16"/>
          <w:color w:val="auto"/>
        </w:rPr>
        <w:t>” and “</w:t>
      </w:r>
      <w:r>
        <w:rPr>
          <w:rFonts w:ascii="Arial" w:cs="Arial" w:eastAsia="Arial" w:hAnsi="Arial"/>
          <w:sz w:val="16"/>
          <w:szCs w:val="16"/>
          <w:i w:val="1"/>
          <w:iCs w:val="1"/>
          <w:color w:val="auto"/>
        </w:rPr>
        <w:t>Recently Issued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Standards Not Yet Adopted</w:t>
      </w:r>
      <w:r>
        <w:rPr>
          <w:rFonts w:ascii="Arial" w:cs="Arial" w:eastAsia="Arial" w:hAnsi="Arial"/>
          <w:sz w:val="16"/>
          <w:szCs w:val="16"/>
          <w:color w:val="auto"/>
        </w:rPr>
        <w:t>” in Note 1 to our condensed consolidated financial statements included elsewhere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prospectus for recently adopted accounting pronouncements and recently issued accounting pronouncements not yet adopted as of the date of the financial statements included in this prospectus.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Emerging Growth Company</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have operations in the United States and in Canada, and we are exposed to market risks in the ordinary course of our business. These risks primarily include interest rate, credit and inflation risks. We are not exposed to significant foreign exchange risk.</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Sensitivity</w:t>
      </w:r>
    </w:p>
    <w:p>
      <w:pPr>
        <w:spacing w:after="0" w:line="144"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Our cash and cash equivalents are held primarily in cash deposits and money market funds. The fair value of our cash and cash equivalents would not be significantly affected by either an increase or decrease in interest rates due mainly to the short-term nature of these instruments. A hypothetical 10% change in interest rates would not have a material impact on our current results of operations due to the short-term nature of our cash and cash equivalents. Additionally, changes to interest rates will not impact the cost of our currently outstanding borrowings. Interest rates on the Credit Agreement are fixed. Potential changes in interest rates would also not materially impact the interest expense associated with our financing obligations.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Credit Risk</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are exposed to credit risk on accounts receivable and merchant cash advance balances. A small number of customers represent significant portions of our consolidated accounts receivable and revenue. We evaluate the solvency of our customers on an ongoing basis to determine if allowances for doubtful accounts need to be recorded.</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customers accounted for more than 10% of revenues during the following periods: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2400" w:type="dxa"/>
            <w:vAlign w:val="bottom"/>
            <w:gridSpan w:val="6"/>
          </w:tcPr>
          <w:p>
            <w:pPr>
              <w:jc w:val="center"/>
              <w:ind w:right="20"/>
              <w:spacing w:after="0"/>
              <w:rPr>
                <w:sz w:val="20"/>
                <w:szCs w:val="20"/>
                <w:color w:val="auto"/>
              </w:rPr>
            </w:pPr>
            <w:r>
              <w:rPr>
                <w:rFonts w:ascii="Arial" w:cs="Arial" w:eastAsia="Arial" w:hAnsi="Arial"/>
                <w:sz w:val="16"/>
                <w:szCs w:val="16"/>
                <w:b w:val="1"/>
                <w:bCs w:val="1"/>
                <w:color w:val="auto"/>
                <w:w w:val="90"/>
              </w:rPr>
              <w:t>Three months ended</w:t>
            </w:r>
          </w:p>
        </w:tc>
        <w:tc>
          <w:tcPr>
            <w:tcW w:w="100" w:type="dxa"/>
            <w:vAlign w:val="bottom"/>
          </w:tcPr>
          <w:p>
            <w:pPr>
              <w:spacing w:after="0"/>
              <w:rPr>
                <w:sz w:val="17"/>
                <w:szCs w:val="17"/>
                <w:color w:val="auto"/>
              </w:rPr>
            </w:pPr>
          </w:p>
        </w:tc>
        <w:tc>
          <w:tcPr>
            <w:tcW w:w="2520" w:type="dxa"/>
            <w:vAlign w:val="bottom"/>
            <w:gridSpan w:val="6"/>
          </w:tcPr>
          <w:p>
            <w:pPr>
              <w:jc w:val="center"/>
              <w:spacing w:after="0"/>
              <w:rPr>
                <w:sz w:val="20"/>
                <w:szCs w:val="20"/>
                <w:color w:val="auto"/>
              </w:rPr>
            </w:pPr>
            <w:r>
              <w:rPr>
                <w:rFonts w:ascii="Arial" w:cs="Arial" w:eastAsia="Arial" w:hAnsi="Arial"/>
                <w:sz w:val="16"/>
                <w:szCs w:val="16"/>
                <w:b w:val="1"/>
                <w:bCs w:val="1"/>
                <w:color w:val="auto"/>
                <w:w w:val="88"/>
              </w:rPr>
              <w:t>Nine months ended</w:t>
            </w:r>
          </w:p>
        </w:tc>
      </w:tr>
      <w:tr>
        <w:trPr>
          <w:trHeight w:val="210"/>
        </w:trPr>
        <w:tc>
          <w:tcPr>
            <w:tcW w:w="3080" w:type="dxa"/>
            <w:vAlign w:val="bottom"/>
          </w:tcPr>
          <w:p>
            <w:pPr>
              <w:spacing w:after="0"/>
              <w:rPr>
                <w:sz w:val="18"/>
                <w:szCs w:val="18"/>
                <w:color w:val="auto"/>
              </w:rPr>
            </w:pPr>
          </w:p>
        </w:tc>
        <w:tc>
          <w:tcPr>
            <w:tcW w:w="1600" w:type="dxa"/>
            <w:vAlign w:val="bottom"/>
            <w:gridSpan w:val="4"/>
          </w:tcPr>
          <w:p>
            <w:pPr>
              <w:jc w:val="center"/>
              <w:ind w:left="713"/>
              <w:spacing w:after="0"/>
              <w:rPr>
                <w:sz w:val="20"/>
                <w:szCs w:val="20"/>
                <w:color w:val="auto"/>
              </w:rPr>
            </w:pPr>
            <w:r>
              <w:rPr>
                <w:rFonts w:ascii="Arial" w:cs="Arial" w:eastAsia="Arial" w:hAnsi="Arial"/>
                <w:sz w:val="16"/>
                <w:szCs w:val="16"/>
                <w:b w:val="1"/>
                <w:bCs w:val="1"/>
                <w:color w:val="auto"/>
                <w:w w:val="97"/>
              </w:rPr>
              <w:t>March 31,</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4"/>
          </w:tcPr>
          <w:p>
            <w:pPr>
              <w:jc w:val="center"/>
              <w:ind w:left="779"/>
              <w:spacing w:after="0"/>
              <w:rPr>
                <w:sz w:val="20"/>
                <w:szCs w:val="20"/>
                <w:color w:val="auto"/>
              </w:rPr>
            </w:pPr>
            <w:r>
              <w:rPr>
                <w:rFonts w:ascii="Arial" w:cs="Arial" w:eastAsia="Arial" w:hAnsi="Arial"/>
                <w:sz w:val="16"/>
                <w:szCs w:val="16"/>
                <w:b w:val="1"/>
                <w:bCs w:val="1"/>
                <w:color w:val="auto"/>
                <w:w w:val="97"/>
              </w:rPr>
              <w:t>March 31,</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7"/>
        </w:trPr>
        <w:tc>
          <w:tcPr>
            <w:tcW w:w="30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17"/>
        </w:trPr>
        <w:tc>
          <w:tcPr>
            <w:tcW w:w="3080" w:type="dxa"/>
            <w:vAlign w:val="bottom"/>
          </w:tcPr>
          <w:p>
            <w:pPr>
              <w:spacing w:after="0"/>
              <w:rPr>
                <w:sz w:val="18"/>
                <w:szCs w:val="18"/>
                <w:color w:val="auto"/>
              </w:rPr>
            </w:pPr>
          </w:p>
        </w:tc>
        <w:tc>
          <w:tcPr>
            <w:tcW w:w="980" w:type="dxa"/>
            <w:vAlign w:val="bottom"/>
          </w:tcPr>
          <w:p>
            <w:pPr>
              <w:jc w:val="right"/>
              <w:ind w:right="173"/>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11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ind w:right="232"/>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r>
      <w:tr>
        <w:trPr>
          <w:trHeight w:val="46"/>
        </w:trPr>
        <w:tc>
          <w:tcPr>
            <w:tcW w:w="30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1140" w:type="dxa"/>
            <w:vAlign w:val="bottom"/>
            <w:tcBorders>
              <w:bottom w:val="single" w:sz="8" w:color="CCEEFF"/>
            </w:tcBorders>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94"/>
              </w:rPr>
              <w:t>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1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Customer B</w:t>
            </w:r>
          </w:p>
        </w:tc>
        <w:tc>
          <w:tcPr>
            <w:tcW w:w="1140" w:type="dxa"/>
            <w:vAlign w:val="bottom"/>
            <w:gridSpan w:val="2"/>
          </w:tcPr>
          <w:p>
            <w:pPr>
              <w:jc w:val="center"/>
              <w:ind w:left="713"/>
              <w:spacing w:after="0"/>
              <w:rPr>
                <w:sz w:val="20"/>
                <w:szCs w:val="20"/>
                <w:color w:val="auto"/>
              </w:rPr>
            </w:pPr>
            <w:r>
              <w:rPr>
                <w:rFonts w:ascii="Arial" w:cs="Arial" w:eastAsia="Arial" w:hAnsi="Arial"/>
                <w:sz w:val="18"/>
                <w:szCs w:val="18"/>
                <w:color w:val="auto"/>
                <w:w w:val="94"/>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40"/>
        </w:trPr>
        <w:tc>
          <w:tcPr>
            <w:tcW w:w="30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0"/>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C</w:t>
            </w:r>
          </w:p>
        </w:tc>
        <w:tc>
          <w:tcPr>
            <w:tcW w:w="1140" w:type="dxa"/>
            <w:vAlign w:val="bottom"/>
            <w:tcBorders>
              <w:bottom w:val="single" w:sz="8" w:color="CCEEFF"/>
            </w:tcBorders>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94"/>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20"/>
        </w:trPr>
        <w:tc>
          <w:tcPr>
            <w:tcW w:w="30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44"/>
        </w:trPr>
        <w:tc>
          <w:tcPr>
            <w:tcW w:w="3080" w:type="dxa"/>
            <w:vAlign w:val="bottom"/>
          </w:tcPr>
          <w:p>
            <w:pPr>
              <w:spacing w:after="0"/>
              <w:rPr>
                <w:sz w:val="21"/>
                <w:szCs w:val="21"/>
                <w:color w:val="auto"/>
              </w:rPr>
            </w:pPr>
          </w:p>
        </w:tc>
        <w:tc>
          <w:tcPr>
            <w:tcW w:w="1140" w:type="dxa"/>
            <w:vAlign w:val="bottom"/>
            <w:gridSpan w:val="2"/>
          </w:tcPr>
          <w:p>
            <w:pPr>
              <w:jc w:val="center"/>
              <w:ind w:left="713"/>
              <w:spacing w:after="0"/>
              <w:rPr>
                <w:sz w:val="20"/>
                <w:szCs w:val="20"/>
                <w:color w:val="auto"/>
              </w:rPr>
            </w:pPr>
            <w:r>
              <w:rPr>
                <w:rFonts w:ascii="Arial" w:cs="Arial" w:eastAsia="Arial" w:hAnsi="Arial"/>
                <w:sz w:val="18"/>
                <w:szCs w:val="18"/>
                <w:color w:val="auto"/>
                <w:w w:val="94"/>
              </w:rPr>
              <w:t>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r>
      <w:tr>
        <w:trPr>
          <w:trHeight w:val="20"/>
        </w:trPr>
        <w:tc>
          <w:tcPr>
            <w:tcW w:w="30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92"/>
        </w:trPr>
        <w:tc>
          <w:tcPr>
            <w:tcW w:w="30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left="713"/>
              <w:spacing w:after="0"/>
              <w:rPr>
                <w:sz w:val="20"/>
                <w:szCs w:val="20"/>
                <w:color w:val="auto"/>
              </w:rPr>
            </w:pPr>
            <w:r>
              <w:rPr>
                <w:rFonts w:ascii="Arial" w:cs="Arial" w:eastAsia="Arial" w:hAnsi="Arial"/>
                <w:sz w:val="18"/>
                <w:szCs w:val="18"/>
                <w:color w:val="auto"/>
                <w:w w:val="89"/>
              </w:rPr>
              <w:t>78</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86" w:name="page87"/>
    <w:bookmarkEnd w:id="8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customers accounted for more than 10% of accounts receivable as of March 31, 2023 and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30, 2022:</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2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As of</w:t>
            </w:r>
          </w:p>
        </w:tc>
        <w:tc>
          <w:tcPr>
            <w:tcW w:w="10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As of</w:t>
            </w:r>
          </w:p>
        </w:tc>
      </w:tr>
      <w:tr>
        <w:trPr>
          <w:trHeight w:val="203"/>
        </w:trPr>
        <w:tc>
          <w:tcPr>
            <w:tcW w:w="5520" w:type="dxa"/>
            <w:vAlign w:val="bottom"/>
          </w:tcPr>
          <w:p>
            <w:pPr>
              <w:spacing w:after="0"/>
              <w:rPr>
                <w:sz w:val="17"/>
                <w:szCs w:val="17"/>
                <w:color w:val="auto"/>
              </w:rPr>
            </w:pPr>
          </w:p>
        </w:tc>
        <w:tc>
          <w:tcPr>
            <w:tcW w:w="12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March 31,</w:t>
            </w:r>
          </w:p>
        </w:tc>
        <w:tc>
          <w:tcPr>
            <w:tcW w:w="10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5520" w:type="dxa"/>
            <w:vAlign w:val="bottom"/>
          </w:tcPr>
          <w:p>
            <w:pPr>
              <w:spacing w:after="0"/>
              <w:rPr>
                <w:sz w:val="18"/>
                <w:szCs w:val="18"/>
                <w:color w:val="auto"/>
              </w:rPr>
            </w:pPr>
          </w:p>
        </w:tc>
        <w:tc>
          <w:tcPr>
            <w:tcW w:w="1000" w:type="dxa"/>
            <w:vAlign w:val="bottom"/>
          </w:tcPr>
          <w:p>
            <w:pPr>
              <w:jc w:val="center"/>
              <w:ind w:left="114"/>
              <w:spacing w:after="0"/>
              <w:rPr>
                <w:sz w:val="20"/>
                <w:szCs w:val="20"/>
                <w:color w:val="auto"/>
              </w:rPr>
            </w:pPr>
            <w:r>
              <w:rPr>
                <w:rFonts w:ascii="Arial" w:cs="Arial" w:eastAsia="Arial" w:hAnsi="Arial"/>
                <w:sz w:val="16"/>
                <w:szCs w:val="16"/>
                <w:b w:val="1"/>
                <w:bCs w:val="1"/>
                <w:color w:val="auto"/>
                <w:w w:val="89"/>
              </w:rPr>
              <w:t>2023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left="193"/>
              <w:spacing w:after="0"/>
              <w:rPr>
                <w:sz w:val="20"/>
                <w:szCs w:val="20"/>
                <w:color w:val="auto"/>
              </w:rPr>
            </w:pPr>
            <w:r>
              <w:rPr>
                <w:rFonts w:ascii="Arial" w:cs="Arial" w:eastAsia="Arial" w:hAnsi="Arial"/>
                <w:sz w:val="16"/>
                <w:szCs w:val="16"/>
                <w:b w:val="1"/>
                <w:bCs w:val="1"/>
                <w:color w:val="auto"/>
                <w:w w:val="89"/>
              </w:rPr>
              <w:t>2022</w:t>
            </w:r>
          </w:p>
        </w:tc>
        <w:tc>
          <w:tcPr>
            <w:tcW w:w="180" w:type="dxa"/>
            <w:vAlign w:val="bottom"/>
          </w:tcPr>
          <w:p>
            <w:pPr>
              <w:spacing w:after="0"/>
              <w:rPr>
                <w:sz w:val="18"/>
                <w:szCs w:val="18"/>
                <w:color w:val="auto"/>
              </w:rPr>
            </w:pPr>
          </w:p>
        </w:tc>
      </w:tr>
      <w:tr>
        <w:trPr>
          <w:trHeight w:val="46"/>
        </w:trPr>
        <w:tc>
          <w:tcPr>
            <w:tcW w:w="55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1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Customer B</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41%</w:t>
            </w:r>
          </w:p>
        </w:tc>
      </w:tr>
      <w:tr>
        <w:trPr>
          <w:trHeight w:val="40"/>
        </w:trPr>
        <w:tc>
          <w:tcPr>
            <w:tcW w:w="5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84"/>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D</w:t>
            </w:r>
          </w:p>
        </w:tc>
        <w:tc>
          <w:tcPr>
            <w:tcW w:w="1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552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Customer C represents less than 10% of accounts receivable and therefore was omitted from the above schedule.</w:t>
      </w:r>
    </w:p>
    <w:p>
      <w:pPr>
        <w:spacing w:after="0" w:line="174"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We are exposed to vendor concentration risk as we supply tablets from one vendor and currently source some of our hardware and software components used in the AI Platform from one vendor. Our operating results could be adversely affected should any of the following occur: the vendor used to supply tablets increases their prices or either vendor incurs disruptions in its supply of goods or services.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Inflation Risk</w:t>
      </w:r>
    </w:p>
    <w:p>
      <w:pPr>
        <w:spacing w:after="0" w:line="15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Institutions</w:t>
      </w:r>
    </w:p>
    <w:p>
      <w:pPr>
        <w:spacing w:after="0" w:line="14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Financial instruments that potentially expose us to concentrations of credit risk consist principally of cash and cash equivalents on deposit with financial institutions, the balances of which frequently exceed federally insured limits. On March 10, 2023, SVB was closed by the California Department of Financial Protection and Innovation, which appointed the FDIC as receiver. If any of the financial institutions with whom we do business were to be placed into receivership, we may be unable to access to the cash we have on deposit with such institutions. If we are unable to access our cash and cash equivalents as needed, our financial position and ability to operate our business could be adversely affected. The Company has $26.5 million in deposits in excess of the FDIC limits as of March 31, 2023.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7" w:name="page88"/>
    <w:bookmarkEnd w:id="8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 and Management</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The following persons serve as Presto’s executive officers and directors. Each director will hold office until his or her term expires at the next annual meeting of stockholders for such director’s class or until his or her death, resignation, removal or the earlier termination of his or her term of office. The ages of the executive officers and directors of Presto indicated in this section are as of June 15, 2023. In addition, Ashish Gupta previously served as Presto’s Chief Financial Officer until March 7, 2023. Mr. Gupta resigned as an employee of the Company effective as of March 7, 2023, and pursuant to an agreement with the Company is continuing to provide services to the Company to ensure a smooth transition as it conducts its search for a new Chief Financial Officer. Pursuant to the agreement, Mr. Gupta is preforming services similar to those provided by a principal financial officer.</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0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18"/>
                <w:szCs w:val="18"/>
                <w:color w:val="auto"/>
              </w:rPr>
            </w:pPr>
          </w:p>
        </w:tc>
        <w:tc>
          <w:tcPr>
            <w:tcW w:w="4160" w:type="dxa"/>
            <w:vAlign w:val="bottom"/>
          </w:tcPr>
          <w:p>
            <w:pPr>
              <w:ind w:left="1800"/>
              <w:spacing w:after="0"/>
              <w:rPr>
                <w:sz w:val="20"/>
                <w:szCs w:val="20"/>
                <w:color w:val="auto"/>
              </w:rPr>
            </w:pPr>
            <w:r>
              <w:rPr>
                <w:rFonts w:ascii="Arial" w:cs="Arial" w:eastAsia="Arial" w:hAnsi="Arial"/>
                <w:sz w:val="16"/>
                <w:szCs w:val="16"/>
                <w:b w:val="1"/>
                <w:bCs w:val="1"/>
                <w:color w:val="auto"/>
              </w:rPr>
              <w:t>Position</w:t>
            </w:r>
          </w:p>
        </w:tc>
      </w:tr>
      <w:tr>
        <w:trPr>
          <w:trHeight w:val="46"/>
        </w:trPr>
        <w:tc>
          <w:tcPr>
            <w:tcW w:w="3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r>
      <w:tr>
        <w:trPr>
          <w:trHeight w:val="257"/>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160" w:type="dxa"/>
            <w:vAlign w:val="bottom"/>
            <w:tcBorders>
              <w:bottom w:val="single" w:sz="8" w:color="CCEEFF"/>
            </w:tcBorders>
            <w:shd w:val="clear" w:color="auto" w:fill="CCEEFF"/>
          </w:tcPr>
          <w:p>
            <w:pPr>
              <w:spacing w:after="0"/>
              <w:rPr>
                <w:sz w:val="22"/>
                <w:szCs w:val="22"/>
                <w:color w:val="auto"/>
              </w:rPr>
            </w:pPr>
          </w:p>
        </w:tc>
      </w:tr>
      <w:tr>
        <w:trPr>
          <w:trHeight w:val="243"/>
        </w:trPr>
        <w:tc>
          <w:tcPr>
            <w:tcW w:w="3000" w:type="dxa"/>
            <w:vAlign w:val="bottom"/>
          </w:tcPr>
          <w:p>
            <w:pPr>
              <w:spacing w:after="0"/>
              <w:rPr>
                <w:sz w:val="20"/>
                <w:szCs w:val="20"/>
                <w:color w:val="auto"/>
              </w:rPr>
            </w:pPr>
            <w:r>
              <w:rPr>
                <w:rFonts w:ascii="Arial" w:cs="Arial" w:eastAsia="Arial" w:hAnsi="Arial"/>
                <w:sz w:val="18"/>
                <w:szCs w:val="18"/>
                <w:color w:val="auto"/>
              </w:rPr>
              <w:t>Krishna Gupta</w:t>
            </w:r>
          </w:p>
        </w:tc>
        <w:tc>
          <w:tcPr>
            <w:tcW w:w="8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35</w:t>
            </w:r>
          </w:p>
        </w:tc>
        <w:tc>
          <w:tcPr>
            <w:tcW w:w="10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Interim Chief Executive Officer and Director</w:t>
            </w:r>
          </w:p>
        </w:tc>
      </w:tr>
      <w:tr>
        <w:trPr>
          <w:trHeight w:val="40"/>
        </w:trPr>
        <w:tc>
          <w:tcPr>
            <w:tcW w:w="3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160" w:type="dxa"/>
            <w:vAlign w:val="bottom"/>
          </w:tcPr>
          <w:p>
            <w:pPr>
              <w:spacing w:after="0"/>
              <w:rPr>
                <w:sz w:val="3"/>
                <w:szCs w:val="3"/>
                <w:color w:val="auto"/>
              </w:rPr>
            </w:pPr>
          </w:p>
        </w:tc>
      </w:tr>
      <w:tr>
        <w:trPr>
          <w:trHeight w:val="263"/>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Dan Mosher</w:t>
            </w:r>
          </w:p>
        </w:tc>
        <w:tc>
          <w:tcPr>
            <w:tcW w:w="8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2"/>
                <w:szCs w:val="22"/>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President</w:t>
            </w:r>
          </w:p>
        </w:tc>
      </w:tr>
      <w:tr>
        <w:trPr>
          <w:trHeight w:val="243"/>
        </w:trPr>
        <w:tc>
          <w:tcPr>
            <w:tcW w:w="3000" w:type="dxa"/>
            <w:vAlign w:val="bottom"/>
          </w:tcPr>
          <w:p>
            <w:pPr>
              <w:spacing w:after="0"/>
              <w:rPr>
                <w:sz w:val="20"/>
                <w:szCs w:val="20"/>
                <w:color w:val="auto"/>
              </w:rPr>
            </w:pPr>
            <w:r>
              <w:rPr>
                <w:rFonts w:ascii="Arial" w:cs="Arial" w:eastAsia="Arial" w:hAnsi="Arial"/>
                <w:sz w:val="18"/>
                <w:szCs w:val="18"/>
                <w:color w:val="auto"/>
              </w:rPr>
              <w:t>William (Bill) Healey</w:t>
            </w:r>
          </w:p>
        </w:tc>
        <w:tc>
          <w:tcPr>
            <w:tcW w:w="8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39</w:t>
            </w:r>
          </w:p>
        </w:tc>
        <w:tc>
          <w:tcPr>
            <w:tcW w:w="10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40"/>
        </w:trPr>
        <w:tc>
          <w:tcPr>
            <w:tcW w:w="3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160" w:type="dxa"/>
            <w:vAlign w:val="bottom"/>
          </w:tcPr>
          <w:p>
            <w:pPr>
              <w:spacing w:after="0"/>
              <w:rPr>
                <w:sz w:val="3"/>
                <w:szCs w:val="3"/>
                <w:color w:val="auto"/>
              </w:rPr>
            </w:pPr>
          </w:p>
        </w:tc>
      </w:tr>
      <w:tr>
        <w:trPr>
          <w:trHeight w:val="264"/>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Stanley Mbugua</w:t>
            </w:r>
          </w:p>
        </w:tc>
        <w:tc>
          <w:tcPr>
            <w:tcW w:w="8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52</w:t>
            </w:r>
          </w:p>
        </w:tc>
        <w:tc>
          <w:tcPr>
            <w:tcW w:w="100" w:type="dxa"/>
            <w:vAlign w:val="bottom"/>
            <w:tcBorders>
              <w:bottom w:val="single" w:sz="8" w:color="CCEEFF"/>
            </w:tcBorders>
            <w:shd w:val="clear" w:color="auto" w:fill="CCEEFF"/>
          </w:tcPr>
          <w:p>
            <w:pPr>
              <w:spacing w:after="0"/>
              <w:rPr>
                <w:sz w:val="22"/>
                <w:szCs w:val="22"/>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Accounting Officer</w:t>
            </w:r>
          </w:p>
        </w:tc>
      </w:tr>
      <w:tr>
        <w:trPr>
          <w:trHeight w:val="243"/>
        </w:trPr>
        <w:tc>
          <w:tcPr>
            <w:tcW w:w="3000" w:type="dxa"/>
            <w:vAlign w:val="bottom"/>
          </w:tcPr>
          <w:p>
            <w:pPr>
              <w:spacing w:after="0"/>
              <w:rPr>
                <w:sz w:val="20"/>
                <w:szCs w:val="20"/>
                <w:color w:val="auto"/>
              </w:rPr>
            </w:pPr>
            <w:r>
              <w:rPr>
                <w:rFonts w:ascii="Arial" w:cs="Arial" w:eastAsia="Arial" w:hAnsi="Arial"/>
                <w:sz w:val="18"/>
                <w:szCs w:val="18"/>
                <w:color w:val="auto"/>
              </w:rPr>
              <w:t>Xavier Casanova</w:t>
            </w:r>
          </w:p>
        </w:tc>
        <w:tc>
          <w:tcPr>
            <w:tcW w:w="8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41"/>
        </w:trPr>
        <w:tc>
          <w:tcPr>
            <w:tcW w:w="3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160" w:type="dxa"/>
            <w:vAlign w:val="bottom"/>
          </w:tcPr>
          <w:p>
            <w:pPr>
              <w:spacing w:after="0"/>
              <w:rPr>
                <w:sz w:val="3"/>
                <w:szCs w:val="3"/>
                <w:color w:val="auto"/>
              </w:rPr>
            </w:pPr>
          </w:p>
        </w:tc>
      </w:tr>
      <w:tr>
        <w:trPr>
          <w:trHeight w:val="263"/>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Non-Executive Directors:</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160" w:type="dxa"/>
            <w:vAlign w:val="bottom"/>
            <w:tcBorders>
              <w:bottom w:val="single" w:sz="8" w:color="CCEEFF"/>
            </w:tcBorders>
            <w:shd w:val="clear" w:color="auto" w:fill="CCEEFF"/>
          </w:tcPr>
          <w:p>
            <w:pPr>
              <w:spacing w:after="0"/>
              <w:rPr>
                <w:sz w:val="22"/>
                <w:szCs w:val="22"/>
                <w:color w:val="auto"/>
              </w:rPr>
            </w:pPr>
          </w:p>
        </w:tc>
      </w:tr>
      <w:tr>
        <w:trPr>
          <w:trHeight w:val="243"/>
        </w:trPr>
        <w:tc>
          <w:tcPr>
            <w:tcW w:w="3000" w:type="dxa"/>
            <w:vAlign w:val="bottom"/>
          </w:tcPr>
          <w:p>
            <w:pPr>
              <w:spacing w:after="0"/>
              <w:rPr>
                <w:sz w:val="20"/>
                <w:szCs w:val="20"/>
                <w:color w:val="auto"/>
              </w:rPr>
            </w:pPr>
            <w:r>
              <w:rPr>
                <w:rFonts w:ascii="Arial" w:cs="Arial" w:eastAsia="Arial" w:hAnsi="Arial"/>
                <w:sz w:val="18"/>
                <w:szCs w:val="18"/>
                <w:color w:val="auto"/>
              </w:rPr>
              <w:t>Ilya Golubovich</w:t>
            </w:r>
          </w:p>
        </w:tc>
        <w:tc>
          <w:tcPr>
            <w:tcW w:w="8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37</w:t>
            </w:r>
          </w:p>
        </w:tc>
        <w:tc>
          <w:tcPr>
            <w:tcW w:w="10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Director</w:t>
            </w:r>
          </w:p>
        </w:tc>
      </w:tr>
      <w:tr>
        <w:trPr>
          <w:trHeight w:val="40"/>
        </w:trPr>
        <w:tc>
          <w:tcPr>
            <w:tcW w:w="3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160" w:type="dxa"/>
            <w:vAlign w:val="bottom"/>
          </w:tcPr>
          <w:p>
            <w:pPr>
              <w:spacing w:after="0"/>
              <w:rPr>
                <w:sz w:val="3"/>
                <w:szCs w:val="3"/>
                <w:color w:val="auto"/>
              </w:rPr>
            </w:pPr>
          </w:p>
        </w:tc>
      </w:tr>
      <w:tr>
        <w:trPr>
          <w:trHeight w:val="263"/>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Keith Kravcik</w:t>
            </w:r>
          </w:p>
        </w:tc>
        <w:tc>
          <w:tcPr>
            <w:tcW w:w="8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61</w:t>
            </w:r>
          </w:p>
        </w:tc>
        <w:tc>
          <w:tcPr>
            <w:tcW w:w="100" w:type="dxa"/>
            <w:vAlign w:val="bottom"/>
            <w:tcBorders>
              <w:bottom w:val="single" w:sz="8" w:color="CCEEFF"/>
            </w:tcBorders>
            <w:shd w:val="clear" w:color="auto" w:fill="CCEEFF"/>
          </w:tcPr>
          <w:p>
            <w:pPr>
              <w:spacing w:after="0"/>
              <w:rPr>
                <w:sz w:val="22"/>
                <w:szCs w:val="22"/>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43"/>
        </w:trPr>
        <w:tc>
          <w:tcPr>
            <w:tcW w:w="3000" w:type="dxa"/>
            <w:vAlign w:val="bottom"/>
          </w:tcPr>
          <w:p>
            <w:pPr>
              <w:spacing w:after="0"/>
              <w:rPr>
                <w:sz w:val="20"/>
                <w:szCs w:val="20"/>
                <w:color w:val="auto"/>
              </w:rPr>
            </w:pPr>
            <w:r>
              <w:rPr>
                <w:rFonts w:ascii="Arial" w:cs="Arial" w:eastAsia="Arial" w:hAnsi="Arial"/>
                <w:sz w:val="18"/>
                <w:szCs w:val="18"/>
                <w:color w:val="auto"/>
              </w:rPr>
              <w:t>Scott Raskin</w:t>
            </w:r>
          </w:p>
        </w:tc>
        <w:tc>
          <w:tcPr>
            <w:tcW w:w="8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Non-Executive Chairman of the Board</w:t>
            </w:r>
          </w:p>
        </w:tc>
      </w:tr>
      <w:tr>
        <w:trPr>
          <w:trHeight w:val="40"/>
        </w:trPr>
        <w:tc>
          <w:tcPr>
            <w:tcW w:w="3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160" w:type="dxa"/>
            <w:vAlign w:val="bottom"/>
          </w:tcPr>
          <w:p>
            <w:pPr>
              <w:spacing w:after="0"/>
              <w:rPr>
                <w:sz w:val="3"/>
                <w:szCs w:val="3"/>
                <w:color w:val="auto"/>
              </w:rPr>
            </w:pPr>
          </w:p>
        </w:tc>
      </w:tr>
      <w:tr>
        <w:trPr>
          <w:trHeight w:val="264"/>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Gail Zauder</w:t>
            </w:r>
          </w:p>
        </w:tc>
        <w:tc>
          <w:tcPr>
            <w:tcW w:w="8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65</w:t>
            </w:r>
          </w:p>
        </w:tc>
        <w:tc>
          <w:tcPr>
            <w:tcW w:w="100" w:type="dxa"/>
            <w:vAlign w:val="bottom"/>
            <w:tcBorders>
              <w:bottom w:val="single" w:sz="8" w:color="CCEEFF"/>
            </w:tcBorders>
            <w:shd w:val="clear" w:color="auto" w:fill="CCEEFF"/>
          </w:tcPr>
          <w:p>
            <w:pPr>
              <w:spacing w:after="0"/>
              <w:rPr>
                <w:sz w:val="22"/>
                <w:szCs w:val="22"/>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43"/>
        </w:trPr>
        <w:tc>
          <w:tcPr>
            <w:tcW w:w="3000" w:type="dxa"/>
            <w:vAlign w:val="bottom"/>
          </w:tcPr>
          <w:p>
            <w:pPr>
              <w:spacing w:after="0"/>
              <w:rPr>
                <w:sz w:val="20"/>
                <w:szCs w:val="20"/>
                <w:color w:val="auto"/>
              </w:rPr>
            </w:pPr>
            <w:r>
              <w:rPr>
                <w:rFonts w:ascii="Arial" w:cs="Arial" w:eastAsia="Arial" w:hAnsi="Arial"/>
                <w:sz w:val="18"/>
                <w:szCs w:val="18"/>
                <w:color w:val="auto"/>
              </w:rPr>
              <w:t>Edward Scheetz</w:t>
            </w:r>
          </w:p>
        </w:tc>
        <w:tc>
          <w:tcPr>
            <w:tcW w:w="8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is a biographical summary of the experience of our executive officers and directors:</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Officers</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b w:val="1"/>
          <w:bCs w:val="1"/>
          <w:color w:val="auto"/>
        </w:rPr>
        <w:t xml:space="preserve">Krishna K. Gupta </w:t>
      </w:r>
      <w:r>
        <w:rPr>
          <w:rFonts w:ascii="Arial" w:cs="Arial" w:eastAsia="Arial" w:hAnsi="Arial"/>
          <w:sz w:val="17"/>
          <w:szCs w:val="17"/>
          <w:color w:val="auto"/>
        </w:rPr>
        <w:t>has served as the Interim Chief Executive Officer of Presto since March 2023, and has</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a member of the Presto Board since September 2022. Prior to being appointed as Interim CEO, Mr. Gupta also served as Non-Executive Chairman of the Board. Mr. Gupta is the founder of REMUS Capital and Romulus Capital (collectively referred to herein as “REMUS Capital”), technology-focused venture capital firms he initially founded in 2008. Mr. Gupta serves as a director on the boards of several privately held companies, including: Allurion Technologies, a weight loss technology platform; Ceres Imaging, which provides computer vision-analytics in agriculture; Cogito, which provides voice AI for large enterprises; Cohealo, Inc., which provides equipment sharing service for health systems; Spotta, which develops smart insect and pest monitoring solutions; and ZeroCater, which provides catering technology for enterprises. Prior to REMUS Capital, Mr. Gupta held roles at McKinsey &amp; Company, a management consulting firm, and JPMorgan, an investment banking firm, where he advised several Fortune 100 clients on tech M&amp;A deals. Mr. Gupta holds B.S. degrees in materials science and engineering, as well as in management sciences, both from the Massachusetts Institute of Technology.</w:t>
      </w:r>
    </w:p>
    <w:p>
      <w:pPr>
        <w:spacing w:after="0" w:line="10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b w:val="1"/>
          <w:bCs w:val="1"/>
          <w:color w:val="auto"/>
        </w:rPr>
        <w:t xml:space="preserve">Dan Mosher </w:t>
      </w:r>
      <w:r>
        <w:rPr>
          <w:rFonts w:ascii="Arial" w:cs="Arial" w:eastAsia="Arial" w:hAnsi="Arial"/>
          <w:sz w:val="17"/>
          <w:szCs w:val="17"/>
          <w:color w:val="auto"/>
        </w:rPr>
        <w:t>has served as the President of Presto since March 2023. He also serves as Chief Revenue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of Presto since March 2021. Prior to joining Presto, Mr. Mosher served as Chief Operating Officer at VuMedi, Inc., a video education platform for doctors, from March 2020 to January 2021. From June 2017 to March 2020, Mr. Mosher was Senior Vice President and Merchant Lead at Postmates Inc., an on-demand delivery platform, where he built and led the team responsible for acquiring new merchants for the platform. From 2011 to June 2017, Mr. Mosher managed BrightRoll, Inc.’s exchange, BRX, an online advertising marketplace, serving first as Senior Vice President and General Manager at BrightRoll, Inc. and, following BrightRoll, Inc.’s 2014 acquisition by Yahoo Inc., as Vice President and General Manager, BrightRoll Exchange at Yahoo Inc. Mr. Mosher also currently serves on the board of directors of Czinger Vehicles, Inc., a manufacturer of hybrid sports cars. Mr. Mosher holds a B.S. in finance from University of California, Berkeley — Walter A. Haas School of Business.</w:t>
      </w:r>
    </w:p>
    <w:p>
      <w:pPr>
        <w:sectPr>
          <w:pgSz w:w="11900" w:h="16838" w:orient="portrait"/>
          <w:cols w:equalWidth="0" w:num="1">
            <w:col w:w="9019"/>
          </w:cols>
          <w:pgMar w:left="1440" w:top="274"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8" w:name="page89"/>
    <w:bookmarkEnd w:id="8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7"/>
          <w:szCs w:val="17"/>
          <w:b w:val="1"/>
          <w:bCs w:val="1"/>
          <w:color w:val="auto"/>
        </w:rPr>
        <w:t xml:space="preserve">William (Bill) Healey </w:t>
      </w:r>
      <w:r>
        <w:rPr>
          <w:rFonts w:ascii="Arial" w:cs="Arial" w:eastAsia="Arial" w:hAnsi="Arial"/>
          <w:sz w:val="17"/>
          <w:szCs w:val="17"/>
          <w:color w:val="auto"/>
        </w:rPr>
        <w:t>has served as Chief Technology Officer of Presto since September 2014, having</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served as Lead Software Architect from August 2013 to September 2014 and as Engineering Lead from October 2011 to August 2013. Prior to joining Presto, Mr. Healey worked on P2P protocols and wireless WAN as a Software Development Engineer at Microsoft Corporation. Mr. Healey holds an M.S. in computer engineering and computer science from University of Illinois Urbana-Champaign.</w:t>
      </w:r>
    </w:p>
    <w:p>
      <w:pPr>
        <w:spacing w:after="0" w:line="10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b w:val="1"/>
          <w:bCs w:val="1"/>
          <w:color w:val="auto"/>
        </w:rPr>
        <w:t xml:space="preserve">Stanley Mbugua </w:t>
      </w:r>
      <w:r>
        <w:rPr>
          <w:rFonts w:ascii="Arial" w:cs="Arial" w:eastAsia="Arial" w:hAnsi="Arial"/>
          <w:sz w:val="18"/>
          <w:szCs w:val="18"/>
          <w:color w:val="auto"/>
        </w:rPr>
        <w:t>has served as the Chief Accounting Officer of Presto since March 2023. Prior to joining</w:t>
      </w:r>
      <w:r>
        <w:rPr>
          <w:rFonts w:ascii="Arial" w:cs="Arial" w:eastAsia="Arial" w:hAnsi="Arial"/>
          <w:sz w:val="18"/>
          <w:szCs w:val="18"/>
          <w:b w:val="1"/>
          <w:bCs w:val="1"/>
          <w:color w:val="auto"/>
        </w:rPr>
        <w:t xml:space="preserve"> </w:t>
      </w:r>
      <w:r>
        <w:rPr>
          <w:rFonts w:ascii="Arial" w:cs="Arial" w:eastAsia="Arial" w:hAnsi="Arial"/>
          <w:sz w:val="18"/>
          <w:szCs w:val="18"/>
          <w:color w:val="auto"/>
        </w:rPr>
        <w:t>Presto, Mr. Mbugua served as Chief Accounting Officer at Skillz Inc., a mobile eSports platform, a position he held since 2021. Mr. Mbugua served as Group Vice President and Chief Accounting Officer of Rimini Street, a software company delivering third-party enterprise software support for Oracle, SAP, JD Edwards, PeopleSoft, Siebel, and other applications, from 2017 to 2021. From 2015 to 2017, Mr. Mbugua served as Senior Director and Corporate Controller at Lattice Semiconductor, a manufacturer of high-performance programmable logic devices. Mr. Mbugua is a Certified Public Accountant and has a Bachelor’s degree from the University of Nairobi.</w:t>
      </w:r>
    </w:p>
    <w:p>
      <w:pPr>
        <w:spacing w:after="0" w:line="12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b w:val="1"/>
          <w:bCs w:val="1"/>
          <w:color w:val="auto"/>
        </w:rPr>
        <w:t xml:space="preserve">Xavier Casanova </w:t>
      </w:r>
      <w:r>
        <w:rPr>
          <w:rFonts w:ascii="Arial" w:cs="Arial" w:eastAsia="Arial" w:hAnsi="Arial"/>
          <w:sz w:val="17"/>
          <w:szCs w:val="17"/>
          <w:color w:val="auto"/>
        </w:rPr>
        <w:t>has served as Chief Operating Officer of Presto since March 2023. He previously</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Chief Product Officer of Presto since July 2022. Prior to joining Presto, Mr. Casanova was Founder and Chief Executive Officer of Liveclicker, a provider of real-time personalization solutions for business to consumer marketers, from January 2008 until the company’s acquisition by the Campaign Monitor (the CM Group) in July 2018. He continued to serve as the General Manager of the Liveclicker business segment until October 2019. Mr. Casanova has founded other technology driven start-up companies, such as Wambo and Everystep. Mr. Casanova holds a B.S. in Math and Computer Science from École Polytechnique and a Master of Science in Electrical Engineering from Stanford University.</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Non-Executive Directors</w:t>
      </w:r>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b w:val="1"/>
          <w:bCs w:val="1"/>
          <w:color w:val="auto"/>
        </w:rPr>
        <w:t xml:space="preserve">Ilya Golubovich </w:t>
      </w:r>
      <w:r>
        <w:rPr>
          <w:rFonts w:ascii="Arial" w:cs="Arial" w:eastAsia="Arial" w:hAnsi="Arial"/>
          <w:sz w:val="17"/>
          <w:szCs w:val="17"/>
          <w:color w:val="auto"/>
        </w:rPr>
        <w:t>has served as a member of the Presto Board since September 2022. Mr. Golubovich has</w:t>
      </w:r>
      <w:r>
        <w:rPr>
          <w:rFonts w:ascii="Arial" w:cs="Arial" w:eastAsia="Arial" w:hAnsi="Arial"/>
          <w:sz w:val="17"/>
          <w:szCs w:val="17"/>
          <w:b w:val="1"/>
          <w:bCs w:val="1"/>
          <w:color w:val="auto"/>
        </w:rPr>
        <w:t xml:space="preserve"> </w:t>
      </w:r>
      <w:r>
        <w:rPr>
          <w:rFonts w:ascii="Arial" w:cs="Arial" w:eastAsia="Arial" w:hAnsi="Arial"/>
          <w:sz w:val="17"/>
          <w:szCs w:val="17"/>
          <w:color w:val="auto"/>
        </w:rPr>
        <w:t>been Founding Partner and Managing Director of I2BF Global Ventures, a venture fund facilitating the advancement of the second wave of digital transformation, headquartered in New York City, since 2007. Mr. Golubovich serves as a director on the boards of OctiTV (SuperMediaFuture Corp.), an augmented reality social networking company, Enki Labs, Inc., a developer of business learning solutions and Buzzoola Group, Inc., a leading native advertising platform in Russia and the Commonwealth of Independent States. His investment portfolio includes companies in vertical SaaS, deep tech, and new media. In 2014, Mr. Golubovich co-founded Aeroxo, a long-range aerial robotics and data gathering company, where he also serves as Chief Strategist. Since 2015, Mr. Golubovich has also served as a member of the Advisory Council of the Physics and Astronomy Department of Johns Hopkins University. Mr. Golubovich holds a B.S. in management science and engineering from Stanford University.</w:t>
      </w:r>
    </w:p>
    <w:p>
      <w:pPr>
        <w:spacing w:after="0" w:line="114"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b w:val="1"/>
          <w:bCs w:val="1"/>
          <w:color w:val="auto"/>
        </w:rPr>
        <w:t xml:space="preserve">Keith Kravcik </w:t>
      </w:r>
      <w:r>
        <w:rPr>
          <w:rFonts w:ascii="Arial" w:cs="Arial" w:eastAsia="Arial" w:hAnsi="Arial"/>
          <w:sz w:val="16"/>
          <w:szCs w:val="16"/>
          <w:color w:val="auto"/>
        </w:rPr>
        <w:t>has served as a member of the Presto Board since September 2022. Mr. Kravcik is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the Chief Financial Officer and Chief Investment Officer of all of Cleveland Avenue’s various Investment Funds. He has been at Cleveland Avenue since its inception in September 2015. Prior to Cleveland Avenue, he served as the Chief Financial Officer of Ovation Brands (d/b/a Buffet Inc.), an operator of a number of American national buffet chain restaurants, from July 2013 to August 2015. He previously served as Group Vice President, Controller and Corporate Officer of SUPERVALU Inc., an American wholesaler and retailer of grocery products, between April 2011 and June 2013 where he was the key strategic partner in developing financial and operational strategies to turnaround results and create shareholder value. This effort culminated in him becoming the strategy and financial resource lead during the completion of the $3.3B sale of underperforming retail grocery chains to the Cerberus Capital consortium. Prior to SUPERVALU Inc, Keith spent 16 years at McDonald’s, where he held four progressive executive management positions including being responsible for all of Worldwide Financial Reporting as well as Strategy and Corporate Development when McDonald’s acquired Chipotle. He also became the CFO of Latin America where his strategies reversed losses by increasing sales over 100% in a three-year period, and ultimately the Corporate Vice President and Controller for McDonald’s USA, LLC., in which during his tenure, he developed company operated restaurant ownership and profit optimization plans which significantly improved operating margins and increased operating profits by $198mm in a three-year period. Keith began his career at Ernst &amp; Young where he worked his way up the audit ranks in the Chicago office during his eleven-year tenure. He studied at DePaul University, where he has a Bachelor of Science in Accounting degree and is a Certified Public Accountant. Keith maintains several board positions on businesses within the Cleveland Avenue investment portfolio and advises several founders of entrepreneurial food and technology concepts. He has also served as a Board member of the Illinois CPA Society Technical Accounting Committee as well as having served on the Board of Directors of other not for profit organizations.</w:t>
      </w:r>
    </w:p>
    <w:p>
      <w:pPr>
        <w:sectPr>
          <w:pgSz w:w="11900" w:h="16838" w:orient="portrait"/>
          <w:cols w:equalWidth="0" w:num="1">
            <w:col w:w="9019"/>
          </w:cols>
          <w:pgMar w:left="1440" w:top="274" w:right="1440" w:bottom="1440" w:gutter="0" w:footer="0" w:header="0"/>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9" w:name="page90"/>
    <w:bookmarkEnd w:id="8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b w:val="1"/>
          <w:bCs w:val="1"/>
          <w:color w:val="auto"/>
        </w:rPr>
        <w:t xml:space="preserve">Scott Raskin </w:t>
      </w:r>
      <w:r>
        <w:rPr>
          <w:rFonts w:ascii="Arial" w:cs="Arial" w:eastAsia="Arial" w:hAnsi="Arial"/>
          <w:sz w:val="16"/>
          <w:szCs w:val="16"/>
          <w:color w:val="auto"/>
        </w:rPr>
        <w:t>has served as a member of the Presto Board since February 2023 and as Non-Executive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since February 2023. Mr. Raskin has served as the Lead Independent Director of Presto since March 2023. Mr. Raskin has served as President of Quotient Technology Inc., a digital media and promotions technology company, since 2019 and previously served on its Board of Directors as Lead Independent Director and the Chair of the Compensation Committee from 2017 to 2019. Mr. Raskin served as Chairman of the Board of Neology Inc., a provider of integrated, end-to-end solutions for tolling, electronic vehicle registration and public safety markets, from 2019 to 2022 and as Chairman of the Board of MariaDB Corporation, a new-generation cloud database company, from 2015 to 2022. Mr. Raskin was previously President and Chief Executive Officer of Spigit, Inc., an innovation management software company, from 2016 to 2019.</w:t>
      </w:r>
    </w:p>
    <w:p>
      <w:pPr>
        <w:spacing w:after="0" w:line="99"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b w:val="1"/>
          <w:bCs w:val="1"/>
          <w:color w:val="auto"/>
        </w:rPr>
        <w:t xml:space="preserve">Gail Zauder </w:t>
      </w:r>
      <w:r>
        <w:rPr>
          <w:rFonts w:ascii="Arial" w:cs="Arial" w:eastAsia="Arial" w:hAnsi="Arial"/>
          <w:sz w:val="17"/>
          <w:szCs w:val="17"/>
          <w:color w:val="auto"/>
        </w:rPr>
        <w:t>has served as a member of the Presto Board since September 2022. Ms. Zauder has over</w:t>
      </w:r>
      <w:r>
        <w:rPr>
          <w:rFonts w:ascii="Arial" w:cs="Arial" w:eastAsia="Arial" w:hAnsi="Arial"/>
          <w:sz w:val="17"/>
          <w:szCs w:val="17"/>
          <w:b w:val="1"/>
          <w:bCs w:val="1"/>
          <w:color w:val="auto"/>
        </w:rPr>
        <w:t xml:space="preserve"> </w:t>
      </w:r>
      <w:r>
        <w:rPr>
          <w:rFonts w:ascii="Arial" w:cs="Arial" w:eastAsia="Arial" w:hAnsi="Arial"/>
          <w:sz w:val="17"/>
          <w:szCs w:val="17"/>
          <w:color w:val="auto"/>
        </w:rPr>
        <w:t>35 years of experience as an investment banker specializing in M&amp;A and financings in the consumer products, beauty, luxury goods and retail and apparel sectors. She is also an experienced director and operating executive. Since January 2002, Ms. Zauder has served as Managing Partner of Elixir Advisors LLC, a financial and strategic advisory firm she founded to focus on entrepreneur-led companies in the luxury goods, beauty, retail, apparel and consumer products sectors. Ms. Zauder was the Chief Financial Officer of Urban Zen, Ms. Donna Karan’s luxury lifestyle brand and foundation, from May 2012 to December 2013 and the Chief Executive Officer of Soap &amp; Glory Ltd, a global beauty products company, from July 2011 to February 2012 and from November 2012 until April 2014. Ms. Zauder began her investment banking career in 1985 as a member of the Mergers &amp; Acquisitions Group at The First Boston Corporation, and served in various senior leadership roles at Credit Suisse First Boston, its successor firm, until 2001, including as the Head of M&amp;A for Retail and Apparel Investment Banking and the Worldwide Head of Luxury Goods Investment Banking. Ms. Zauder has served as a director on numerous private company boards, including Kenneth Cole Productions, since December 2017, where she is compensation committee chair, and Siddhi Acquisition Corp., a blank-check company targeting “better-for-you” food and beverage companies which has filed to list on the NYSE, since March 2021, where she serves on the audit and nominating and governance committees. Previously, she was a member of the boards of Altuzarra LLC, a women’s luxury ready-to-wear and accessories company, from September 2013 to February 2021, Edun Apparel Ltd, an ethical apparel brand, from May 2009 to September 2018, and Allurion Technologies, a consumer-facing medical device company disrupting the treatment of obesity, from October 2017 to July 2021, where she served as audit committee chair. She joined the board of Soap &amp; Glory in November 2008 and became Chairman in July 2009, serving in this capacity until November 2014 when the company was acquired by Alliance Boots. She is also currently a director of the Gordon A. Rich Memorial Foundation, 122E82 Owners Corp. and the Smith College Business Advisory Network. Ms. Zauder holds a B.A. in urban environmental studies from Smith College and an M.B.A. from Yale University’s School of Management.</w:t>
      </w:r>
    </w:p>
    <w:p>
      <w:pPr>
        <w:spacing w:after="0" w:line="112"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b w:val="1"/>
          <w:bCs w:val="1"/>
          <w:color w:val="auto"/>
        </w:rPr>
        <w:t xml:space="preserve">Edward Scheetz </w:t>
      </w:r>
      <w:r>
        <w:rPr>
          <w:rFonts w:ascii="Arial" w:cs="Arial" w:eastAsia="Arial" w:hAnsi="Arial"/>
          <w:sz w:val="17"/>
          <w:szCs w:val="17"/>
          <w:color w:val="auto"/>
        </w:rPr>
        <w:t>has served as a member of the Presto Board since September 2022. Mr. Scheetz has</w:t>
      </w:r>
      <w:r>
        <w:rPr>
          <w:rFonts w:ascii="Arial" w:cs="Arial" w:eastAsia="Arial" w:hAnsi="Arial"/>
          <w:sz w:val="17"/>
          <w:szCs w:val="17"/>
          <w:b w:val="1"/>
          <w:bCs w:val="1"/>
          <w:color w:val="auto"/>
        </w:rPr>
        <w:t xml:space="preserve"> </w:t>
      </w:r>
      <w:r>
        <w:rPr>
          <w:rFonts w:ascii="Arial" w:cs="Arial" w:eastAsia="Arial" w:hAnsi="Arial"/>
          <w:sz w:val="17"/>
          <w:szCs w:val="17"/>
          <w:color w:val="auto"/>
        </w:rPr>
        <w:t>been VTAQ’s Chief Executive Officer and Chairman since August 2020. He is also the co-founder, Chief Executive Officer and Chairman of Ventoux Acquisition Holdings LLC (“Ventoux Acquisition”), VTAQ’s co-sponsor. From November, 2016 until present, Mr. Scheetz has actively pursued a range of projects in the hospitality and real estate sectors. In June 2018, Mr. Scheetz, with partners, acquired a mixed use hotel and condominium project in West Hollywood, CA. In March 2020, he began the redevelopment and expansion of the project. From 2013 until October 2016, Mr. Scheetz was Chief Executive Officer of Chelsea Hotels until the sale of that company. In March, 2011, Mr. Scheetz founded and served as Chief Executive Officer of King &amp; Grove Hotels until 2013 when King &amp; Grove Hotels became Chelsea Hotels. In 2005, Mr. Scheetz became Chief Executive Officer of Morgans Hotel Group Co. In 2006, he took Morgans public (NASDAQ: MHGC). Morgans was the developer, owner and operator of such iconic hotel properties as Delano and Shore Club in Miami, Mondrian in Los Angeles, Morgans, Royalton, Paramount and Hudson in New York, and Sanderson and St. Martin’s Lane in London. In 1997, Mr. Scheetz co-founded NorthStar Capital Investment Corp. (“NCIC”). While at NCIC, Mr. Scheetz co-founded real estate investment trust NorthStar Realty Finance Corp., which went public in 2004 (NYSE: NRF). Mr. Scheetz continued to serve as Executive Chairman of NRF through 2007. From 1993 until 1997, Mr. Scheetz was a partner at Apollo Management where he was the co-head of Apollo Real Estate Advisors and raised, invested and managed their first three real estate funds. Prior to his work at Apollo, Mr. Scheetz was at The Trammell Crow Companies and Crow Family Ventures where he was involved with Wyndham Hotels, assisted the Chief Financial Officer in restructuring The Trammell Crow Companies, and was a Principal at Trammell Crow Ventures. Mr. Scheetz graduated from Princeton University where he earned an A.B. in Economics.</w:t>
      </w:r>
    </w:p>
    <w:p>
      <w:pPr>
        <w:spacing w:after="0" w:line="10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Pursuant to the terms of the Governance Agreement, described below, REMUS Capital designated Mr. Gupta for appointment and Cleveland Avenue designated Keith Kravcik for appointment to the Presto Board</w:t>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0" w:name="page91"/>
    <w:bookmarkEnd w:id="9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 are no family relationships among our directors and executive officers.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Composition of the Board of Directors</w:t>
      </w:r>
    </w:p>
    <w:p>
      <w:pPr>
        <w:spacing w:after="0" w:line="158"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Presto’s business affairs are managed under the direction of the board. The Presto Board currently consists of six members with one vacancy, divided into three classes of staggered three-year terms.</w:t>
      </w:r>
    </w:p>
    <w:p>
      <w:pPr>
        <w:spacing w:after="0" w:line="65"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In connection with the Business Combination, the Company entered into a Governance Agreement with Rajat Suri, our former Chief Executive Officer, the REMUS Capital Stockholders, Cleveland Avenue and I2BF Global Investments Ltd. Pursuant to the Governance Agreement, for so long as the REMUS Capital Stockholders and any of their affiliates hold, in the aggregate, not less than 5% of the outstanding voting securities of Presto, the REMUS Capital Stockholders shall be entitled to nominate and require the Presto Board to include one Class I director in the slate of nominees recommended by the Presto Board; for so long as Mr. Suri and his affiliates hold, in the aggregate, not less 5% of the outstanding voting securities of Presto, he shall be entitled to nominate and require the Presto Board to include one Class II director in the slate of nominees recommended by the Presto Board; and for so long as Cleveland Avenue and its affiliates hold, in the aggregate, not less than 75.0% of the shares of Presto Common Stock they held immediately following the Business Combination, Cleveland Avenue shall be entitled to nominate and require the Presto Board to include one Class I director in the slate of nominees recommended by the Presto Board. Such designees are required to comply with the requirements of the Charter for, and related guidelines of, Presto’s nominating and corporate governance committee.</w:t>
      </w:r>
    </w:p>
    <w:p>
      <w:pPr>
        <w:spacing w:after="0" w:line="117"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Pursuant to the Governance Agreement, the parties agreed that the initial Presto Board upon the completion of the Business Combination would consist of the following seven individuals: Ilya Golubovich, Krishna K. Gupta, Keith Kravcik, Kim Axel Lopdrup, Rajat Suri, Gail Zauder and Edward Scheetz, with Mr. Gupta serving as the chairman until the earlier of (i) such time as he is no longer a director of Presto and</w:t>
      </w:r>
    </w:p>
    <w:p>
      <w:pPr>
        <w:spacing w:after="0" w:line="2" w:lineRule="exact"/>
        <w:rPr>
          <w:sz w:val="20"/>
          <w:szCs w:val="20"/>
          <w:color w:val="auto"/>
        </w:rPr>
      </w:pPr>
    </w:p>
    <w:p>
      <w:pPr>
        <w:jc w:val="both"/>
        <w:ind w:left="460" w:right="459" w:hanging="6"/>
        <w:spacing w:after="0" w:line="271" w:lineRule="auto"/>
        <w:tabs>
          <w:tab w:leader="none" w:pos="773"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next annual meeting of stockholders at which his class of directors is subject to reelection. On February 6, 2023, Mr. Lopdrup resigned from the Presto Board and on February 8, 2023, the Presto Board appointed Scott Raskin. Mr. Raskin serves as a Class III director with a term expiring at Presto’s 2025 annual meeting of stockholders. On March 21, 2023, the Presto Board accepted the resignation of Rajat Suri, Presto’s founder, as Chief Executive Officer and member of the Presto Board.</w:t>
      </w:r>
    </w:p>
    <w:p>
      <w:pPr>
        <w:spacing w:after="0" w:line="11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Presto Board is divided into three staggered classes of directors. At each annual meeting of its stockholders, a class of directors will be elected for a three-year term to succeed the same class whose term is then expiring, as follows:</w:t>
      </w:r>
    </w:p>
    <w:p>
      <w:pPr>
        <w:spacing w:after="0" w:line="103" w:lineRule="exact"/>
        <w:rPr>
          <w:sz w:val="20"/>
          <w:szCs w:val="20"/>
          <w:color w:val="auto"/>
        </w:rPr>
      </w:pPr>
    </w:p>
    <w:p>
      <w:pPr>
        <w:ind w:left="1320" w:right="459" w:hanging="434"/>
        <w:spacing w:after="0" w:line="277" w:lineRule="auto"/>
        <w:tabs>
          <w:tab w:leader="none" w:pos="131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Class I directors, whose terms expire at the annual meeting of stockholders to be held in 2023, are Krishna K. Gupta, Keith Kravcik and Edward Scheetz;</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Class II director, whose term expires at the annual meeting of stockholders to be held in 2024, is Ilya Golubovich; and</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Class III directors, whose terms expire at the annual meeting of stockholders to be held in 2025, are Scott Raskin and Gail Zauder.</w:t>
      </w:r>
    </w:p>
    <w:p>
      <w:pPr>
        <w:spacing w:after="0" w:line="8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Pursuant to the Company’s Charter and the Governance Agreement, any change to the size of the Presto Board must be authorized by the affirmative vote of a majority of the entire board.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 Presto Board has determined that each of Ilya Golubovich, Scott Raskin, Gail Zauder, Keith Kravcik and Edward Scheetz qualifies as “independent” as defined under the applicable Nasdaq rules. Because he is serving as our Interim CEO, Mr. Gupta is currently not considered to be independent.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44"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The Presto Board directs the management of its business and affairs, as provided by Delaware law, and conducts its business through meetings of the board of directors and standing committees. Presto has a standing audit committee, compensation committee, nominating and corporate governance committee and strategic finance committee, each of which will operate under a written charter.</w:t>
      </w:r>
    </w:p>
    <w:p>
      <w:pPr>
        <w:spacing w:after="0" w:line="10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In addition, from time to time, special committees may be established under the direction of the Presto Board when the board deems it necessary or advisable to address specific issues. Current copies of Presto’s committee charters are posted on its website, </w:t>
      </w:r>
      <w:r>
        <w:rPr>
          <w:rFonts w:ascii="Arial" w:cs="Arial" w:eastAsia="Arial" w:hAnsi="Arial"/>
          <w:sz w:val="18"/>
          <w:szCs w:val="18"/>
          <w:i w:val="1"/>
          <w:iCs w:val="1"/>
          <w:color w:val="auto"/>
        </w:rPr>
        <w:t>www.presto.com</w:t>
      </w:r>
      <w:r>
        <w:rPr>
          <w:rFonts w:ascii="Arial" w:cs="Arial" w:eastAsia="Arial" w:hAnsi="Arial"/>
          <w:sz w:val="18"/>
          <w:szCs w:val="18"/>
          <w:color w:val="auto"/>
        </w:rPr>
        <w:t>, as required by applicable SEC and Nasdaq rules. The information on or available through any of such website is not deemed incorporated in this prospectus and does not form part of this prospectus.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Presto’s audit committee consists of Keith Kravcik, Ilya Golubovich, Gail Zauder and Edward Scheetz. Mr. Kravcik serves as the chair of the audit committee. Our board of directors has determined that each of these individuals meets the independence requirements of the Sarbanes-Oxley Act of 2002, as amended, or the Sarbanes-Oxley Act, Rule 10A-3 under the Exchange Act and the applicable listing standards of Nasdaq. Each member of Presto’s audit committee is able to read and understand fundamental financial statements in accordance with Nasdaq audit committee requirements. In arriving at this determination, the board examined each audit committee member’s scope of experience and the nature of their prior and/or current employment.</w:t>
      </w:r>
    </w:p>
    <w:p>
      <w:pPr>
        <w:spacing w:after="0" w:line="85"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board of directors has determined that Ms. Zauder qualifies as an audit committee financial expert within the meaning of SEC regulations and meets the financial sophistication requirements of the Nasdaq rules. In making this determination, the board considered formal education and previous and current experience in financial and accounting roles. Both Presto’s independent registered public accounting firm and management periodically will meet privately with Presto’s audit committee.</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audit committee’s responsibilities include, among other things:</w:t>
      </w:r>
    </w:p>
    <w:p>
      <w:pPr>
        <w:spacing w:after="0" w:line="158" w:lineRule="exact"/>
        <w:rPr>
          <w:sz w:val="20"/>
          <w:szCs w:val="20"/>
          <w:color w:val="auto"/>
        </w:rPr>
      </w:pPr>
    </w:p>
    <w:p>
      <w:pPr>
        <w:ind w:left="1320" w:right="459" w:hanging="434"/>
        <w:spacing w:after="0" w:line="277" w:lineRule="auto"/>
        <w:tabs>
          <w:tab w:leader="none" w:pos="1316"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Presto’s independent registered public accounting firm;</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discussing with Presto’s independent registered public accounting firm their independence from management;</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with Presto’s independent registered public accounting firm the scope and results of their audit;</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pre-approving all audit and permissible non-audit services to be performed by Presto’s independent registered public accounting firm;</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316" w:val="left"/>
        </w:tabs>
        <w:numPr>
          <w:ilvl w:val="0"/>
          <w:numId w:val="49"/>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Presto’s independent registered public accounting firm the interim and annual financial statements that Presto’s files with the SEC;</w:t>
      </w:r>
    </w:p>
    <w:p>
      <w:pPr>
        <w:spacing w:after="0" w:line="116"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and monitoring Presto’s accounting principles, accounting policies, financial and accounting controls and compliance with legal and regulatory requirements; and</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concerns regarding questionable accounting, internal controls or auditing matters.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2" w:name="page93"/>
    <w:bookmarkEnd w:id="9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Presto’s compensation committee consists of Edward Scheetz, Scott Raskin and Gail Zauder. Mr. Raskin serves as the chair of the compensation committee. All members are non-employee directors, as defined in Rule 16b-3 promulgated under the Exchange Act. Our board of directors has determined that each member is “independent” as defined under the applicable Nasdaq listing standards, including the standards specific to members of a compensation committee. The compensation committee’s responsibilities include, among other things:</w:t>
      </w:r>
    </w:p>
    <w:p>
      <w:pPr>
        <w:spacing w:after="0" w:line="125" w:lineRule="exact"/>
        <w:rPr>
          <w:sz w:val="20"/>
          <w:szCs w:val="20"/>
          <w:color w:val="auto"/>
        </w:rPr>
      </w:pPr>
    </w:p>
    <w:p>
      <w:pPr>
        <w:ind w:left="1320" w:right="459" w:hanging="434"/>
        <w:spacing w:after="0" w:line="277" w:lineRule="auto"/>
        <w:tabs>
          <w:tab w:leader="none" w:pos="1316"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and setting or making recommendations to the Presto Board regarding the compensation of Presto’s executive officers;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making recommendations to the Presto Board regarding the compensation of Presto’s directors;</w:t>
      </w:r>
    </w:p>
    <w:p>
      <w:pPr>
        <w:spacing w:after="0" w:line="155" w:lineRule="exact"/>
        <w:rPr>
          <w:rFonts w:ascii="Arial" w:cs="Arial" w:eastAsia="Arial" w:hAnsi="Arial"/>
          <w:sz w:val="17"/>
          <w:szCs w:val="17"/>
          <w:color w:val="auto"/>
        </w:rPr>
      </w:pPr>
    </w:p>
    <w:p>
      <w:pPr>
        <w:ind w:left="1320" w:right="459" w:hanging="434"/>
        <w:spacing w:after="0" w:line="277" w:lineRule="auto"/>
        <w:tabs>
          <w:tab w:leader="none" w:pos="1316"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the Presto Board regarding Presto’s incentive compensation and equity-based plans and arrangements; and</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5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Presto’s nominating and corporate governance committee currently consists of Ilya Golubovich and Keith Kravcik. Mr. Gupta previously served as a member of the nominating and corporate governance committee, but does not serve as such while he is our Interim CEO. Mr. Golubovich serves as the chair of the nominating and corporate governance committee. Our board of directors has determined that each member is “independent” as defined under the applicable Nasdaq listing standards. The nominating and corporate governance committee’s responsibilities include, among other things:</w:t>
      </w:r>
    </w:p>
    <w:p>
      <w:pPr>
        <w:spacing w:after="0" w:line="97" w:lineRule="exact"/>
        <w:rPr>
          <w:sz w:val="20"/>
          <w:szCs w:val="20"/>
          <w:color w:val="auto"/>
        </w:rPr>
      </w:pPr>
    </w:p>
    <w:p>
      <w:pPr>
        <w:ind w:left="1320" w:right="459" w:hanging="434"/>
        <w:spacing w:after="0" w:line="277" w:lineRule="auto"/>
        <w:tabs>
          <w:tab w:leader="none" w:pos="1316" w:val="left"/>
        </w:tabs>
        <w:numPr>
          <w:ilvl w:val="0"/>
          <w:numId w:val="51"/>
        </w:numPr>
        <w:rPr>
          <w:rFonts w:ascii="Arial" w:cs="Arial" w:eastAsia="Arial" w:hAnsi="Arial"/>
          <w:sz w:val="18"/>
          <w:szCs w:val="18"/>
          <w:color w:val="auto"/>
        </w:rPr>
      </w:pPr>
      <w:r>
        <w:rPr>
          <w:rFonts w:ascii="Arial" w:cs="Arial" w:eastAsia="Arial" w:hAnsi="Arial"/>
          <w:sz w:val="18"/>
          <w:szCs w:val="18"/>
          <w:color w:val="auto"/>
        </w:rPr>
        <w:t>identifying, evaluating and selecting, or making recommendations to the Presto Board regarding, nominees for election to the board and its committees;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evaluating the performance of the board and of individual directors;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considering, and making recommendations to the board regarding the composition of the board and its committees;</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evaluating the adequacy of the corporate governance practices and reporting;</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related person transactions; and</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developing, and making recommendations to the board regarding, corporate governance guidelines and matters.</w:t>
      </w:r>
    </w:p>
    <w:p>
      <w:pPr>
        <w:spacing w:after="0" w:line="10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nominating and corporate governance committee consider a number of qualifications relating to management and leadership experience, background and integrity and professionalism in evaluating a person’s candidacy for membership on the board.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corporate governance committee will not distinguish among nominees recommended by stockholders and other persons.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Strategic Finance Committee</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Presto’s strategic finance committee consists of Scott Raskin, Ed Scheetz and Gail Zauder, with Ms. Zauder serving as the chair. The strategic finance committee’s responsibilities include, among other things, reviewing and evaluating analyses and recommendations of management regarding:</w:t>
      </w:r>
    </w:p>
    <w:p>
      <w:pPr>
        <w:spacing w:after="0" w:line="103" w:lineRule="exact"/>
        <w:rPr>
          <w:sz w:val="20"/>
          <w:szCs w:val="20"/>
          <w:color w:val="auto"/>
        </w:rPr>
      </w:pPr>
    </w:p>
    <w:p>
      <w:pPr>
        <w:ind w:left="4420" w:right="1639" w:hanging="3534"/>
        <w:spacing w:after="0" w:line="481" w:lineRule="auto"/>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Company’s capital structure, its financial position, balance sheet and cash flows;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3" w:name="page94"/>
    <w:bookmarkEnd w:id="9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459" w:hanging="434"/>
        <w:spacing w:after="0" w:line="277" w:lineRule="auto"/>
        <w:tabs>
          <w:tab w:leader="none" w:pos="131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Company’s overall cash management and financing requirements including its cash burn analysis, annual budget and long-term financial plan;</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Company’s credit facilities, compliance with any financial covenants to which it is subject and negotiations with its lenders;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amounts, timing, types and terms of any equity and equity-related issuances and public or private debt offerings;</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Company’s capital allocation, including any organic or inorganic investments that may have a material impact on its capital position; and</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of the Company’s proposed acquisition and divestitures that may have a material impact on the Company’s capital position or are not in the ordinary course of business.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Code of Ethics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Presto has a code of ethics that applies to all of its executive officers, directors and employees, including its principal executive officer, principal financial officer, principal accounting officer or controller or persons performing similar functions. The code of ethics is available on Presto’s website, </w:t>
      </w:r>
      <w:r>
        <w:rPr>
          <w:rFonts w:ascii="Arial" w:cs="Arial" w:eastAsia="Arial" w:hAnsi="Arial"/>
          <w:sz w:val="18"/>
          <w:szCs w:val="18"/>
          <w:i w:val="1"/>
          <w:iCs w:val="1"/>
          <w:color w:val="auto"/>
        </w:rPr>
        <w:t>www.presto.com</w:t>
      </w:r>
      <w:r>
        <w:rPr>
          <w:rFonts w:ascii="Arial" w:cs="Arial" w:eastAsia="Arial" w:hAnsi="Arial"/>
          <w:sz w:val="18"/>
          <w:szCs w:val="18"/>
          <w:color w:val="auto"/>
        </w:rPr>
        <w:t>. The information on or available through any of such website is not deemed incorporated in this prospectus and does not form part of this prospectus. Presto intends to make any legally required disclosures regarding amendments to, or waivers of, provisions of its code of ethics on its website rather than by filing a Current Report on Form 8-K.</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None of Presto’s executive officers currently serves, or has served during the last year, as a member of the board of directors or compensation committee of any entity, other than Presto, that has one or more executive officers serving as a member of the Presto Board.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14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As an emerging growth company under the JOBS Act, we have opted to comply with the executive compensation disclosure rules applicable to “smaller reporting companies” as such term is defined in the rules promulgated under the Securities Act, which permit us to limit reporting of executive compensation to our principal executive officer and our two other most highly compensated executive officers.</w:t>
      </w:r>
    </w:p>
    <w:p>
      <w:pPr>
        <w:spacing w:after="0" w:line="10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Our executive compensation program is designed to attract, motivate and retain high quality leadership and incentivize our executive officers to achieve performance goals over the short-and long-term, which also aligns the interests of our executive officers with those of our stockholders.</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named executive officers (or “NEOs”) for the fiscal year ended June 30, 2022, which consist of any individual serving as our principal executive officer during such year and our two other most highly compensated executive officers, other than the principal executive officer, serving as executive officers at the end of such year, were:</w:t>
      </w:r>
    </w:p>
    <w:p>
      <w:pPr>
        <w:spacing w:after="0" w:line="106" w:lineRule="exact"/>
        <w:rPr>
          <w:sz w:val="20"/>
          <w:szCs w:val="20"/>
          <w:color w:val="auto"/>
        </w:rPr>
      </w:pPr>
    </w:p>
    <w:p>
      <w:pPr>
        <w:ind w:left="1320" w:hanging="434"/>
        <w:spacing w:after="0"/>
        <w:tabs>
          <w:tab w:leader="none" w:pos="1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Rajat Suri, who served as our Chief Executive Officer until March 21, 2023;</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Ashish Gupta, who served as our Chief Financial Officer until March 31, 2023 and is currently serving as the Company’s principal financial officer through July 31, 2023; and</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54"/>
        </w:numPr>
        <w:rPr>
          <w:rFonts w:ascii="Arial" w:cs="Arial" w:eastAsia="Arial" w:hAnsi="Arial"/>
          <w:sz w:val="18"/>
          <w:szCs w:val="18"/>
          <w:color w:val="auto"/>
        </w:rPr>
      </w:pPr>
      <w:r>
        <w:rPr>
          <w:rFonts w:ascii="Arial" w:cs="Arial" w:eastAsia="Arial" w:hAnsi="Arial"/>
          <w:sz w:val="18"/>
          <w:szCs w:val="18"/>
          <w:color w:val="auto"/>
        </w:rPr>
        <w:t>Dan Mosher, our President and Chief Revenue Officer since March 2023 and March 2021,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48"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following table presents compensation awarded to, earned by and paid to the NEOs for the fiscal years ended June 30, 2022 and 2021.</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Non-Equity</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Incentive Plan</w:t>
            </w:r>
          </w:p>
        </w:tc>
        <w:tc>
          <w:tcPr>
            <w:tcW w:w="100" w:type="dxa"/>
            <w:vAlign w:val="bottom"/>
          </w:tcPr>
          <w:p>
            <w:pPr>
              <w:spacing w:after="0"/>
              <w:rPr>
                <w:sz w:val="17"/>
                <w:szCs w:val="17"/>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Option</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53"/>
              <w:spacing w:after="0"/>
              <w:rPr>
                <w:sz w:val="20"/>
                <w:szCs w:val="20"/>
                <w:color w:val="auto"/>
              </w:rPr>
            </w:pPr>
            <w:r>
              <w:rPr>
                <w:rFonts w:ascii="Arial" w:cs="Arial" w:eastAsia="Arial" w:hAnsi="Arial"/>
                <w:sz w:val="16"/>
                <w:szCs w:val="16"/>
                <w:b w:val="1"/>
                <w:bCs w:val="1"/>
                <w:color w:val="auto"/>
              </w:rPr>
              <w:t>Salary</w:t>
            </w:r>
          </w:p>
        </w:tc>
        <w:tc>
          <w:tcPr>
            <w:tcW w:w="100" w:type="dxa"/>
            <w:vAlign w:val="bottom"/>
          </w:tcPr>
          <w:p>
            <w:pPr>
              <w:spacing w:after="0"/>
              <w:rPr>
                <w:sz w:val="17"/>
                <w:szCs w:val="17"/>
                <w:color w:val="auto"/>
              </w:rPr>
            </w:pPr>
          </w:p>
        </w:tc>
        <w:tc>
          <w:tcPr>
            <w:tcW w:w="660" w:type="dxa"/>
            <w:vAlign w:val="bottom"/>
          </w:tcPr>
          <w:p>
            <w:pPr>
              <w:jc w:val="right"/>
              <w:ind w:right="32"/>
              <w:spacing w:after="0"/>
              <w:rPr>
                <w:sz w:val="20"/>
                <w:szCs w:val="20"/>
                <w:color w:val="auto"/>
              </w:rPr>
            </w:pPr>
            <w:r>
              <w:rPr>
                <w:rFonts w:ascii="Arial" w:cs="Arial" w:eastAsia="Arial" w:hAnsi="Arial"/>
                <w:sz w:val="16"/>
                <w:szCs w:val="16"/>
                <w:b w:val="1"/>
                <w:bCs w:val="1"/>
                <w:color w:val="auto"/>
              </w:rPr>
              <w:t>Bonus</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Compensation</w:t>
            </w:r>
          </w:p>
        </w:tc>
        <w:tc>
          <w:tcPr>
            <w:tcW w:w="100" w:type="dxa"/>
            <w:vAlign w:val="bottom"/>
          </w:tcPr>
          <w:p>
            <w:pPr>
              <w:spacing w:after="0"/>
              <w:rPr>
                <w:sz w:val="17"/>
                <w:szCs w:val="17"/>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Awards</w:t>
            </w:r>
          </w:p>
        </w:tc>
        <w:tc>
          <w:tcPr>
            <w:tcW w:w="840" w:type="dxa"/>
            <w:vAlign w:val="bottom"/>
          </w:tcPr>
          <w:p>
            <w:pPr>
              <w:jc w:val="right"/>
              <w:ind w:right="1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3"/>
        </w:trPr>
        <w:tc>
          <w:tcPr>
            <w:tcW w:w="2820" w:type="dxa"/>
            <w:vAlign w:val="bottom"/>
          </w:tcPr>
          <w:p>
            <w:pPr>
              <w:spacing w:after="0"/>
              <w:rPr>
                <w:sz w:val="20"/>
                <w:szCs w:val="20"/>
                <w:color w:val="auto"/>
              </w:rPr>
            </w:pPr>
            <w:r>
              <w:rPr>
                <w:rFonts w:ascii="Arial" w:cs="Arial" w:eastAsia="Arial" w:hAnsi="Arial"/>
                <w:sz w:val="16"/>
                <w:szCs w:val="16"/>
                <w:b w:val="1"/>
                <w:bCs w:val="1"/>
                <w:color w:val="auto"/>
              </w:rPr>
              <w:t>Name and Principal Position</w:t>
            </w:r>
          </w:p>
        </w:tc>
        <w:tc>
          <w:tcPr>
            <w:tcW w:w="80" w:type="dxa"/>
            <w:vAlign w:val="bottom"/>
          </w:tcPr>
          <w:p>
            <w:pPr>
              <w:spacing w:after="0"/>
              <w:rPr>
                <w:sz w:val="21"/>
                <w:szCs w:val="21"/>
                <w:color w:val="auto"/>
              </w:rPr>
            </w:pPr>
          </w:p>
        </w:tc>
        <w:tc>
          <w:tcPr>
            <w:tcW w:w="660" w:type="dxa"/>
            <w:vAlign w:val="bottom"/>
          </w:tcPr>
          <w:p>
            <w:pPr>
              <w:ind w:left="180"/>
              <w:spacing w:after="0"/>
              <w:rPr>
                <w:sz w:val="20"/>
                <w:szCs w:val="20"/>
                <w:color w:val="auto"/>
              </w:rPr>
            </w:pPr>
            <w:r>
              <w:rPr>
                <w:rFonts w:ascii="Arial" w:cs="Arial" w:eastAsia="Arial" w:hAnsi="Arial"/>
                <w:sz w:val="16"/>
                <w:szCs w:val="16"/>
                <w:b w:val="1"/>
                <w:bCs w:val="1"/>
                <w:color w:val="auto"/>
              </w:rPr>
              <w:t>Year</w:t>
            </w:r>
          </w:p>
        </w:tc>
        <w:tc>
          <w:tcPr>
            <w:tcW w:w="820" w:type="dxa"/>
            <w:vAlign w:val="bottom"/>
            <w:gridSpan w:val="2"/>
          </w:tcPr>
          <w:p>
            <w:pPr>
              <w:jc w:val="center"/>
              <w:ind w:right="113"/>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8"/>
                <w:szCs w:val="18"/>
                <w:b w:val="1"/>
                <w:bCs w:val="1"/>
                <w:color w:val="auto"/>
                <w:vertAlign w:val="superscript"/>
              </w:rPr>
              <w:t>(1)</w:t>
            </w:r>
          </w:p>
        </w:tc>
        <w:tc>
          <w:tcPr>
            <w:tcW w:w="760" w:type="dxa"/>
            <w:vAlign w:val="bottom"/>
            <w:gridSpan w:val="2"/>
          </w:tcPr>
          <w:p>
            <w:pPr>
              <w:jc w:val="right"/>
              <w:ind w:right="92"/>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8"/>
                <w:szCs w:val="18"/>
                <w:b w:val="1"/>
                <w:bCs w:val="1"/>
                <w:color w:val="auto"/>
                <w:vertAlign w:val="superscript"/>
              </w:rPr>
              <w:t>(2)</w:t>
            </w:r>
          </w:p>
        </w:tc>
        <w:tc>
          <w:tcPr>
            <w:tcW w:w="1180" w:type="dxa"/>
            <w:vAlign w:val="bottom"/>
            <w:gridSpan w:val="2"/>
          </w:tcPr>
          <w:p>
            <w:pPr>
              <w:jc w:val="center"/>
              <w:ind w:left="33"/>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tcPr>
          <w:p>
            <w:pPr>
              <w:jc w:val="center"/>
              <w:ind w:left="12"/>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18"/>
                <w:szCs w:val="18"/>
                <w:b w:val="1"/>
                <w:bCs w:val="1"/>
                <w:color w:val="auto"/>
                <w:w w:val="87"/>
                <w:vertAlign w:val="superscript"/>
              </w:rPr>
              <w:t>(3)</w:t>
            </w:r>
          </w:p>
        </w:tc>
        <w:tc>
          <w:tcPr>
            <w:tcW w:w="100" w:type="dxa"/>
            <w:vAlign w:val="bottom"/>
          </w:tcPr>
          <w:p>
            <w:pPr>
              <w:spacing w:after="0"/>
              <w:rPr>
                <w:sz w:val="21"/>
                <w:szCs w:val="21"/>
                <w:color w:val="auto"/>
              </w:rPr>
            </w:pPr>
          </w:p>
        </w:tc>
        <w:tc>
          <w:tcPr>
            <w:tcW w:w="840" w:type="dxa"/>
            <w:vAlign w:val="bottom"/>
          </w:tcPr>
          <w:p>
            <w:pPr>
              <w:jc w:val="right"/>
              <w:ind w:right="23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8"/>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Rajat Suri</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86"/>
              </w:rPr>
              <w:t>250,000</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303"/>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Former Chief Executive Officer</w:t>
            </w:r>
          </w:p>
        </w:tc>
        <w:tc>
          <w:tcPr>
            <w:tcW w:w="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2021</w:t>
            </w:r>
          </w:p>
        </w:tc>
        <w:tc>
          <w:tcPr>
            <w:tcW w:w="82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217,187</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1,022,753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1,239,940</w:t>
            </w:r>
          </w:p>
        </w:tc>
        <w:tc>
          <w:tcPr>
            <w:tcW w:w="0" w:type="dxa"/>
            <w:vAlign w:val="bottom"/>
          </w:tcPr>
          <w:p>
            <w:pPr>
              <w:spacing w:after="0"/>
              <w:rPr>
                <w:sz w:val="1"/>
                <w:szCs w:val="1"/>
                <w:color w:val="auto"/>
              </w:rPr>
            </w:pPr>
          </w:p>
        </w:tc>
      </w:tr>
      <w:tr>
        <w:trPr>
          <w:trHeight w:val="365"/>
        </w:trPr>
        <w:tc>
          <w:tcPr>
            <w:tcW w:w="2820" w:type="dxa"/>
            <w:vAlign w:val="bottom"/>
          </w:tcPr>
          <w:p>
            <w:pPr>
              <w:spacing w:after="0"/>
              <w:rPr>
                <w:sz w:val="20"/>
                <w:szCs w:val="20"/>
                <w:color w:val="auto"/>
              </w:rPr>
            </w:pPr>
            <w:r>
              <w:rPr>
                <w:rFonts w:ascii="Arial" w:cs="Arial" w:eastAsia="Arial" w:hAnsi="Arial"/>
                <w:sz w:val="18"/>
                <w:szCs w:val="18"/>
                <w:color w:val="auto"/>
              </w:rPr>
              <w:t>Ashish Gupta</w:t>
            </w: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2022</w:t>
            </w:r>
          </w:p>
        </w:tc>
        <w:tc>
          <w:tcPr>
            <w:tcW w:w="820" w:type="dxa"/>
            <w:vAlign w:val="bottom"/>
            <w:gridSpan w:val="2"/>
          </w:tcPr>
          <w:p>
            <w:pPr>
              <w:jc w:val="right"/>
              <w:ind w:right="53"/>
              <w:spacing w:after="0"/>
              <w:rPr>
                <w:sz w:val="20"/>
                <w:szCs w:val="20"/>
                <w:color w:val="auto"/>
              </w:rPr>
            </w:pPr>
            <w:r>
              <w:rPr>
                <w:rFonts w:ascii="Arial" w:cs="Arial" w:eastAsia="Arial" w:hAnsi="Arial"/>
                <w:sz w:val="18"/>
                <w:szCs w:val="18"/>
                <w:color w:val="auto"/>
              </w:rPr>
              <w:t>340,167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4"/>
                <w:szCs w:val="24"/>
                <w:color w:val="auto"/>
              </w:rPr>
            </w:pPr>
          </w:p>
        </w:tc>
        <w:tc>
          <w:tcPr>
            <w:tcW w:w="1080" w:type="dxa"/>
            <w:vAlign w:val="bottom"/>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390,167</w:t>
            </w:r>
          </w:p>
        </w:tc>
        <w:tc>
          <w:tcPr>
            <w:tcW w:w="0" w:type="dxa"/>
            <w:vAlign w:val="bottom"/>
          </w:tcPr>
          <w:p>
            <w:pPr>
              <w:spacing w:after="0"/>
              <w:rPr>
                <w:sz w:val="1"/>
                <w:szCs w:val="1"/>
                <w:color w:val="auto"/>
              </w:rPr>
            </w:pPr>
          </w:p>
        </w:tc>
      </w:tr>
      <w:tr>
        <w:trPr>
          <w:trHeight w:val="242"/>
        </w:trPr>
        <w:tc>
          <w:tcPr>
            <w:tcW w:w="2820" w:type="dxa"/>
            <w:vAlign w:val="bottom"/>
          </w:tcPr>
          <w:p>
            <w:pPr>
              <w:ind w:left="180"/>
              <w:spacing w:after="0"/>
              <w:rPr>
                <w:sz w:val="20"/>
                <w:szCs w:val="20"/>
                <w:color w:val="auto"/>
              </w:rPr>
            </w:pPr>
            <w:r>
              <w:rPr>
                <w:rFonts w:ascii="Arial" w:cs="Arial" w:eastAsia="Arial" w:hAnsi="Arial"/>
                <w:sz w:val="18"/>
                <w:szCs w:val="18"/>
                <w:i w:val="1"/>
                <w:iCs w:val="1"/>
                <w:color w:val="auto"/>
                <w:w w:val="95"/>
              </w:rPr>
              <w:t>Former Chief Financial Officer and</w:t>
            </w: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2021</w:t>
            </w:r>
          </w:p>
        </w:tc>
        <w:tc>
          <w:tcPr>
            <w:tcW w:w="820" w:type="dxa"/>
            <w:vAlign w:val="bottom"/>
            <w:gridSpan w:val="2"/>
          </w:tcPr>
          <w:p>
            <w:pPr>
              <w:jc w:val="right"/>
              <w:ind w:right="53"/>
              <w:spacing w:after="0"/>
              <w:rPr>
                <w:sz w:val="20"/>
                <w:szCs w:val="20"/>
                <w:color w:val="auto"/>
              </w:rPr>
            </w:pPr>
            <w:r>
              <w:rPr>
                <w:rFonts w:ascii="Arial" w:cs="Arial" w:eastAsia="Arial" w:hAnsi="Arial"/>
                <w:sz w:val="18"/>
                <w:szCs w:val="18"/>
                <w:color w:val="auto"/>
              </w:rPr>
              <w:t>323,409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080" w:type="dxa"/>
            <w:vAlign w:val="bottom"/>
          </w:tcPr>
          <w:p>
            <w:pPr>
              <w:ind w:left="7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171,210</w:t>
            </w:r>
          </w:p>
        </w:tc>
        <w:tc>
          <w:tcPr>
            <w:tcW w:w="840" w:type="dxa"/>
            <w:vAlign w:val="bottom"/>
          </w:tcPr>
          <w:p>
            <w:pPr>
              <w:jc w:val="right"/>
              <w:spacing w:after="0"/>
              <w:rPr>
                <w:sz w:val="20"/>
                <w:szCs w:val="20"/>
                <w:color w:val="auto"/>
              </w:rPr>
            </w:pPr>
            <w:r>
              <w:rPr>
                <w:rFonts w:ascii="Arial" w:cs="Arial" w:eastAsia="Arial" w:hAnsi="Arial"/>
                <w:sz w:val="18"/>
                <w:szCs w:val="18"/>
                <w:color w:val="auto"/>
              </w:rPr>
              <w:t>544,619</w:t>
            </w:r>
          </w:p>
        </w:tc>
        <w:tc>
          <w:tcPr>
            <w:tcW w:w="0" w:type="dxa"/>
            <w:vAlign w:val="bottom"/>
          </w:tcPr>
          <w:p>
            <w:pPr>
              <w:spacing w:after="0"/>
              <w:rPr>
                <w:sz w:val="1"/>
                <w:szCs w:val="1"/>
                <w:color w:val="auto"/>
              </w:rPr>
            </w:pPr>
          </w:p>
        </w:tc>
      </w:tr>
      <w:tr>
        <w:trPr>
          <w:trHeight w:val="230"/>
        </w:trPr>
        <w:tc>
          <w:tcPr>
            <w:tcW w:w="2820" w:type="dxa"/>
            <w:vAlign w:val="bottom"/>
          </w:tcPr>
          <w:p>
            <w:pPr>
              <w:ind w:left="180"/>
              <w:spacing w:after="0"/>
              <w:rPr>
                <w:sz w:val="20"/>
                <w:szCs w:val="20"/>
                <w:color w:val="auto"/>
              </w:rPr>
            </w:pPr>
            <w:r>
              <w:rPr>
                <w:rFonts w:ascii="Arial" w:cs="Arial" w:eastAsia="Arial" w:hAnsi="Arial"/>
                <w:sz w:val="18"/>
                <w:szCs w:val="18"/>
                <w:i w:val="1"/>
                <w:iCs w:val="1"/>
                <w:color w:val="auto"/>
                <w:w w:val="98"/>
              </w:rPr>
              <w:t>current Principal Financial Officer</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Dan Mosher</w:t>
            </w:r>
          </w:p>
        </w:tc>
        <w:tc>
          <w:tcPr>
            <w:tcW w:w="74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2022</w:t>
            </w:r>
          </w:p>
        </w:tc>
        <w:tc>
          <w:tcPr>
            <w:tcW w:w="820" w:type="dxa"/>
            <w:vAlign w:val="bottom"/>
            <w:gridSpan w:val="2"/>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240,765</w:t>
            </w:r>
          </w:p>
        </w:tc>
        <w:tc>
          <w:tcPr>
            <w:tcW w:w="10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9"/>
                <w:szCs w:val="19"/>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392,809</w:t>
            </w:r>
          </w:p>
        </w:tc>
        <w:tc>
          <w:tcPr>
            <w:tcW w:w="0" w:type="dxa"/>
            <w:vAlign w:val="bottom"/>
          </w:tcPr>
          <w:p>
            <w:pPr>
              <w:spacing w:after="0"/>
              <w:rPr>
                <w:sz w:val="1"/>
                <w:szCs w:val="1"/>
                <w:color w:val="auto"/>
              </w:rPr>
            </w:pPr>
          </w:p>
        </w:tc>
      </w:tr>
      <w:tr>
        <w:trPr>
          <w:trHeight w:val="175"/>
        </w:trPr>
        <w:tc>
          <w:tcPr>
            <w:tcW w:w="2820" w:type="dxa"/>
            <w:vAlign w:val="bottom"/>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152,044​</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820" w:type="dxa"/>
            <w:vAlign w:val="bottom"/>
            <w:vMerge w:val="restart"/>
            <w:shd w:val="clear" w:color="auto" w:fill="CCEEFF"/>
          </w:tcPr>
          <w:p>
            <w:pPr>
              <w:ind w:left="180"/>
              <w:spacing w:after="0"/>
              <w:rPr>
                <w:sz w:val="20"/>
                <w:szCs w:val="20"/>
                <w:color w:val="auto"/>
              </w:rPr>
            </w:pPr>
            <w:r>
              <w:rPr>
                <w:rFonts w:ascii="Arial" w:cs="Arial" w:eastAsia="Arial" w:hAnsi="Arial"/>
                <w:sz w:val="18"/>
                <w:szCs w:val="18"/>
                <w:i w:val="1"/>
                <w:iCs w:val="1"/>
                <w:color w:val="auto"/>
                <w:w w:val="89"/>
              </w:rPr>
              <w:t>Chief Revenue Officer and President</w:t>
            </w:r>
          </w:p>
        </w:tc>
        <w:tc>
          <w:tcPr>
            <w:tcW w:w="74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2021</w:t>
            </w:r>
          </w:p>
        </w:tc>
        <w:tc>
          <w:tcPr>
            <w:tcW w:w="8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520,252</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587,335</w:t>
            </w:r>
          </w:p>
        </w:tc>
        <w:tc>
          <w:tcPr>
            <w:tcW w:w="0" w:type="dxa"/>
            <w:vAlign w:val="bottom"/>
          </w:tcPr>
          <w:p>
            <w:pPr>
              <w:spacing w:after="0"/>
              <w:rPr>
                <w:sz w:val="1"/>
                <w:szCs w:val="1"/>
                <w:color w:val="auto"/>
              </w:rPr>
            </w:pPr>
          </w:p>
        </w:tc>
      </w:tr>
      <w:tr>
        <w:trPr>
          <w:trHeight w:val="175"/>
        </w:trPr>
        <w:tc>
          <w:tcPr>
            <w:tcW w:w="2820" w:type="dxa"/>
            <w:vAlign w:val="bottom"/>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8"/>
              </w:rPr>
              <w:t>67,083​</w:t>
            </w: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940" w:type="dxa"/>
            <w:vAlign w:val="bottom"/>
            <w:gridSpan w:val="3"/>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Includes amounts paid to Messrs. Suri and Gupta to restore prior salary reductions implemented in 2020 due to</w:t>
      </w:r>
    </w:p>
    <w:p>
      <w:pPr>
        <w:spacing w:after="0" w:line="33" w:lineRule="exact"/>
        <w:rPr>
          <w:rFonts w:ascii="Arial" w:cs="Arial" w:eastAsia="Arial" w:hAnsi="Arial"/>
          <w:sz w:val="15"/>
          <w:szCs w:val="15"/>
          <w:color w:val="auto"/>
        </w:rPr>
      </w:pPr>
    </w:p>
    <w:p>
      <w:pPr>
        <w:ind w:left="880"/>
        <w:spacing w:after="0"/>
        <w:rPr>
          <w:rFonts w:ascii="Arial" w:cs="Arial" w:eastAsia="Arial" w:hAnsi="Arial"/>
          <w:sz w:val="15"/>
          <w:szCs w:val="15"/>
          <w:color w:val="auto"/>
        </w:rPr>
      </w:pPr>
      <w:r>
        <w:rPr>
          <w:rFonts w:ascii="Arial" w:cs="Arial" w:eastAsia="Arial" w:hAnsi="Arial"/>
          <w:sz w:val="16"/>
          <w:szCs w:val="16"/>
          <w:color w:val="auto"/>
        </w:rPr>
        <w:t>COVID.</w:t>
      </w:r>
    </w:p>
    <w:p>
      <w:pPr>
        <w:spacing w:after="0" w:line="18" w:lineRule="exact"/>
        <w:rPr>
          <w:rFonts w:ascii="Arial" w:cs="Arial" w:eastAsia="Arial" w:hAnsi="Arial"/>
          <w:sz w:val="15"/>
          <w:szCs w:val="15"/>
          <w:color w:val="auto"/>
        </w:rPr>
      </w:pPr>
    </w:p>
    <w:p>
      <w:pPr>
        <w:ind w:left="880" w:hanging="426"/>
        <w:spacing w:after="0"/>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Reflects an annual bonus, with the amount payable determined by our Chief Executive Officer.</w:t>
      </w:r>
    </w:p>
    <w:p>
      <w:pPr>
        <w:spacing w:after="0" w:line="18" w:lineRule="exact"/>
        <w:rPr>
          <w:rFonts w:ascii="Arial" w:cs="Arial" w:eastAsia="Arial" w:hAnsi="Arial"/>
          <w:sz w:val="16"/>
          <w:szCs w:val="16"/>
          <w:color w:val="auto"/>
        </w:rPr>
      </w:pPr>
    </w:p>
    <w:p>
      <w:pPr>
        <w:jc w:val="both"/>
        <w:ind w:left="880" w:right="459" w:hanging="426"/>
        <w:spacing w:after="0" w:line="264" w:lineRule="auto"/>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amounts reported here do not reflect the actual economic value realized by each NEO. In accordance with SEC rules, these amounts represent the grant date fair value of stock options, calculated in accordance with Financial Accounting Standards Board Accounting Standards Codification Topic 718, Stock Compensation (“ASC Topic 718”). For additional information, see Note 11. Stock-Based Compensation to the notes accompanying our audited consolidated financial statements located elsewhere in this prospectus. The assumptions used in calculating the grant date fair value of the stock options reported in this table are set forth in the section entitled “Management’s Discussion and Analysis of Financial Condition and Results of Operations of Presto — Critical Accounting Policies and Estimates — Stock Based Compensation.”</w:t>
      </w:r>
    </w:p>
    <w:p>
      <w:pPr>
        <w:ind w:left="880" w:hanging="426"/>
        <w:spacing w:after="0"/>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Reflects commission-based annual incentive payments.</w:t>
      </w:r>
    </w:p>
    <w:p>
      <w:pPr>
        <w:spacing w:after="0" w:line="18" w:lineRule="exact"/>
        <w:rPr>
          <w:rFonts w:ascii="Arial" w:cs="Arial" w:eastAsia="Arial" w:hAnsi="Arial"/>
          <w:sz w:val="16"/>
          <w:szCs w:val="16"/>
          <w:color w:val="auto"/>
        </w:rPr>
      </w:pPr>
    </w:p>
    <w:p>
      <w:pPr>
        <w:ind w:left="880" w:right="459" w:hanging="426"/>
        <w:spacing w:after="0" w:line="288" w:lineRule="auto"/>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Reflects the prorated portion of Mr. Mosher’s $230,000 annual base salary paid from his start date on March 15, 2021 through June 30, 2021.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48" w:lineRule="exact"/>
        <w:rPr>
          <w:sz w:val="20"/>
          <w:szCs w:val="20"/>
          <w:color w:val="auto"/>
        </w:rPr>
      </w:pPr>
    </w:p>
    <w:p>
      <w:pPr>
        <w:ind w:left="460" w:right="459" w:firstLine="432"/>
        <w:spacing w:after="0" w:line="308" w:lineRule="auto"/>
        <w:rPr>
          <w:sz w:val="20"/>
          <w:szCs w:val="20"/>
          <w:color w:val="auto"/>
        </w:rPr>
      </w:pPr>
      <w:r>
        <w:rPr>
          <w:rFonts w:ascii="Arial" w:cs="Arial" w:eastAsia="Arial" w:hAnsi="Arial"/>
          <w:sz w:val="17"/>
          <w:szCs w:val="17"/>
          <w:color w:val="auto"/>
        </w:rPr>
        <w:t>The following describes the material elements of our compensation program for the fiscal year ended June 30, 2022 as applicable to the NEOs and reflected in the Summary Compensation Table above.</w:t>
      </w:r>
    </w:p>
    <w:p>
      <w:pPr>
        <w:sectPr>
          <w:pgSz w:w="11900" w:h="16838" w:orient="portrait"/>
          <w:cols w:equalWidth="0" w:num="1">
            <w:col w:w="9019"/>
          </w:cols>
          <w:pgMar w:left="1440" w:top="274" w:right="1440"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5" w:name="page96"/>
    <w:bookmarkEnd w:id="9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Base Salary</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Base salaries for our executive officers were established primarily based on individual negotiations with the executive officers when they joined us. In determining compensation for our executive officers, we considered salaries provided to executive officers of our peer companies, each executive officer’s anticipated role criticality relative to others at the Company and our determination of the essential need to attract and retain these executive officers.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Annual Incentive Awards</w:t>
      </w:r>
    </w:p>
    <w:p>
      <w:pPr>
        <w:spacing w:after="0" w:line="158"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Mr. Gupta received an annual cash bonus of $50,000, with the amount payable determined by the Chief Executive Officer, and Mr. Mosher received commission-based annual incentive payments of $152,044.</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Employee Benefits and Perquisites</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provide health, dental, vision, life and disability insurance benefits to our named executive officers, on the same terms and conditions as provided to our other senior executives. We generally do not provide perquisites to our NEOs.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i w:val="1"/>
          <w:iCs w:val="1"/>
          <w:color w:val="auto"/>
        </w:rPr>
        <w:t xml:space="preserve">401(k) Plan. </w:t>
      </w:r>
      <w:r>
        <w:rPr>
          <w:rFonts w:ascii="Arial" w:cs="Arial" w:eastAsia="Arial" w:hAnsi="Arial"/>
          <w:sz w:val="17"/>
          <w:szCs w:val="17"/>
          <w:color w:val="auto"/>
        </w:rPr>
        <w:t>We maintain a 401(k) plan that provides eligible U.S. employees with an opportunity to</w:t>
      </w:r>
      <w:r>
        <w:rPr>
          <w:rFonts w:ascii="Arial" w:cs="Arial" w:eastAsia="Arial" w:hAnsi="Arial"/>
          <w:sz w:val="17"/>
          <w:szCs w:val="17"/>
          <w:i w:val="1"/>
          <w:iCs w:val="1"/>
          <w:color w:val="auto"/>
        </w:rPr>
        <w:t xml:space="preserve"> </w:t>
      </w:r>
      <w:r>
        <w:rPr>
          <w:rFonts w:ascii="Arial" w:cs="Arial" w:eastAsia="Arial" w:hAnsi="Arial"/>
          <w:sz w:val="17"/>
          <w:szCs w:val="17"/>
          <w:color w:val="auto"/>
        </w:rPr>
        <w:t>save for retirement on a tax advantaged basis. Eligible employees are able to defer eligible compensation up to certain Code limits, which are updated annually. Contributions are allocated to each participant’s individual account and are then invested in selected investment alternatives according to the participants’ directions. Employees are immediately and fully vested in their own contributions. The Company may elect to make matching or other contributions into participant’s individual accounts, but made no such contributions in 2020.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entered into offer letters with Messrs. Gupta and Mosher in August 2019 and February 2021, respectively, which provided for at-will employment and set forth each NEO’s initial base salary, certain employee benefits, eligibility (subject to Board approval) to receive a grant of stock options and, in the case of Mr. Gupta, eligibility to participate in the Company’s annual cash bonus program. The offer letters do not provide for any severance in the event of a termination of employment. Mr. Mosher also entered into a restrictive covenant agreement that includes perpetual confidentiality and twelve-month post-termination employee non-solicitation provisions.</w:t>
      </w:r>
    </w:p>
    <w:p>
      <w:pPr>
        <w:spacing w:after="0" w:line="127"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In March 2023, we entered into a Consulting Agreement with Mr. Gupta in connection with his determination to leave the Company at the end of the third quarter 2023 to pursue other opportunities. The Consulting Agreement provides that Mr. Gupta’s employment ends as of March 7, 2023, but that he will remain with the Company on a contract basis as its principal financial officer through May 19, 2023. Pursuant to the Consulting Agreement, Mr. Gupta receives $50,000 for his services and an additional $50,000 upon the filing of the Company’s Quarterly Report on Form 10-Q for the third quarter 2023. Additionally, Mr. Gupta’s outstanding equity awards will continue to vest through the end of the term of the Consulting Agreement and the exercisability of any stock options vested as of such date is extended for three years from the end of the term. In May 2023, we entered into an Amendment to the Consulting Agreement with Mr. Gupta. The Amendment extended the term of the Consulting Agreement from May 1, 2023 until July 31, 2023. In consideration, Mr. Gupta will be compensated at a rate of $50,000 per month during the extended term. The Amendment also provides for a grant to Mr. Gupta of 250,000 restricted stock units, one half of which will vest in monthly increments during the extended term and the remaining half of which will vest upon the achievement of certain targets agreed to by the Company and Mr. Gupta.</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6" w:name="page97"/>
    <w:bookmarkEnd w:id="9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 March 2021, Messrs. Suri and Gupta were granted 1,562,019 and 143,770 stock options, respectively, with an exercise price of $1.44 under our 2018 Equity Incentive Plan. Mr. Suri’s award agreement provided that 961,267 of the stock options would vest in monthly installments over four years, subject to continued employment, and 600,752 would be subject to performance-based vesting conditions, with half of such options vesting in connection with the closing of a financing event and half in connection with a public liquidity event. Mr. Gupta’s award agreement provided that his stock options would vest in equal monthly installments over a two year period, subject to continued employment. Mr. Suri resigned from his roles with the Company on March 21, 2023, and any stock options that were vested as of such date will remain exercisable for 90 days. All unvested stock options were accelerated on March 25, 2023 and any stock options vested as of such date would remain exercisable for three years.</w:t>
      </w:r>
    </w:p>
    <w:p>
      <w:pPr>
        <w:spacing w:after="0" w:line="11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April 2021, in connection with his hiring, Mr. Mosher was granted 513,358 stock options with an exercise price of $2.23 under our 2018 Plan. The stock options are subject to a four-year vesting schedule, with 25% vesting upon the first anniversary of the vesting commencement date, and the remainder vesting monthly in equal installments, subject to Mr. Mosher’s continued employment. Fifty percent of any unvested stock options will vest in the event Mr. Mosher is terminated without “Cause” within three months following a “Change in Control” (in each case, as defined in his offer letter).</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5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 xml:space="preserve">Generally, our NEOs are not entitled to any payments and benefits upon a termination of employment or a change in control other than certain of Mr. Gupta’s stock options granted in 2019 and 2020 and Mr. Mosher’s options, which would accelerate upon certain terminations in connection with a change in control as described below in the section entitled “— </w:t>
      </w:r>
      <w:r>
        <w:rPr>
          <w:rFonts w:ascii="Arial" w:cs="Arial" w:eastAsia="Arial" w:hAnsi="Arial"/>
          <w:sz w:val="17"/>
          <w:szCs w:val="17"/>
          <w:i w:val="1"/>
          <w:iCs w:val="1"/>
          <w:color w:val="auto"/>
        </w:rPr>
        <w:t>Outstanding Equity Awards at Fiscal Year-End</w:t>
      </w:r>
      <w:r>
        <w:rPr>
          <w:rFonts w:ascii="Arial" w:cs="Arial" w:eastAsia="Arial" w:hAnsi="Arial"/>
          <w:sz w:val="17"/>
          <w:szCs w:val="17"/>
          <w:color w:val="auto"/>
        </w:rPr>
        <w: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following table presents information regarding outstanding equity awards held by the NEOs as of June 30, 2022.</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Equity Incentive</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ind w:right="78"/>
              <w:spacing w:after="0" w:line="149" w:lineRule="exact"/>
              <w:rPr>
                <w:sz w:val="20"/>
                <w:szCs w:val="20"/>
                <w:color w:val="auto"/>
              </w:rPr>
            </w:pPr>
            <w:r>
              <w:rPr>
                <w:rFonts w:ascii="Arial" w:cs="Arial" w:eastAsia="Arial" w:hAnsi="Arial"/>
                <w:sz w:val="14"/>
                <w:szCs w:val="14"/>
                <w:b w:val="1"/>
                <w:bCs w:val="1"/>
                <w:color w:val="auto"/>
              </w:rPr>
              <w:t>Plan Awards: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gridSpan w:val="2"/>
          </w:tcPr>
          <w:p>
            <w:pPr>
              <w:jc w:val="center"/>
              <w:ind w:left="154"/>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020" w:type="dxa"/>
            <w:vAlign w:val="bottom"/>
            <w:gridSpan w:val="2"/>
          </w:tcPr>
          <w:p>
            <w:pPr>
              <w:jc w:val="center"/>
              <w:ind w:left="45"/>
              <w:spacing w:after="0" w:line="149"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 Options</w:t>
            </w:r>
          </w:p>
        </w:tc>
        <w:tc>
          <w:tcPr>
            <w:tcW w:w="12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Price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86"/>
        </w:trPr>
        <w:tc>
          <w:tcPr>
            <w:tcW w:w="2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260" w:type="dxa"/>
            <w:vAlign w:val="bottom"/>
            <w:gridSpan w:val="2"/>
          </w:tcPr>
          <w:p>
            <w:pPr>
              <w:jc w:val="center"/>
              <w:ind w:left="38"/>
              <w:spacing w:after="0"/>
              <w:rPr>
                <w:sz w:val="20"/>
                <w:szCs w:val="20"/>
                <w:color w:val="auto"/>
              </w:rPr>
            </w:pPr>
            <w:r>
              <w:rPr>
                <w:rFonts w:ascii="Arial" w:cs="Arial" w:eastAsia="Arial" w:hAnsi="Arial"/>
                <w:sz w:val="14"/>
                <w:szCs w:val="14"/>
                <w:b w:val="1"/>
                <w:bCs w:val="1"/>
                <w:color w:val="auto"/>
                <w:w w:val="93"/>
              </w:rPr>
              <w:t>(#)</w:t>
            </w:r>
          </w:p>
        </w:tc>
        <w:tc>
          <w:tcPr>
            <w:tcW w:w="86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5"/>
        </w:trPr>
        <w:tc>
          <w:tcPr>
            <w:tcW w:w="2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Rajat Suri</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2,221,689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0.02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8/26/2027</w:t>
            </w:r>
          </w:p>
        </w:tc>
        <w:tc>
          <w:tcPr>
            <w:tcW w:w="0" w:type="dxa"/>
            <w:vAlign w:val="bottom"/>
          </w:tcPr>
          <w:p>
            <w:pPr>
              <w:spacing w:after="0"/>
              <w:rPr>
                <w:sz w:val="1"/>
                <w:szCs w:val="1"/>
                <w:color w:val="auto"/>
              </w:rPr>
            </w:pPr>
          </w:p>
        </w:tc>
      </w:tr>
      <w:tr>
        <w:trPr>
          <w:trHeight w:val="283"/>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Former Chief Executive Officer</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791,292</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0.02</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8/26/2027</w:t>
            </w:r>
          </w:p>
        </w:tc>
        <w:tc>
          <w:tcPr>
            <w:tcW w:w="0" w:type="dxa"/>
            <w:vAlign w:val="bottom"/>
          </w:tcPr>
          <w:p>
            <w:pPr>
              <w:spacing w:after="0"/>
              <w:rPr>
                <w:sz w:val="1"/>
                <w:szCs w:val="1"/>
                <w:color w:val="auto"/>
              </w:rPr>
            </w:pPr>
          </w:p>
        </w:tc>
      </w:tr>
      <w:tr>
        <w:trPr>
          <w:trHeight w:val="283"/>
        </w:trPr>
        <w:tc>
          <w:tcPr>
            <w:tcW w:w="2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723,528</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0.02</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8/26/2027</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300,376</w:t>
            </w:r>
          </w:p>
        </w:tc>
        <w:tc>
          <w:tcPr>
            <w:tcW w:w="140" w:type="dxa"/>
            <w:vAlign w:val="bottom"/>
            <w:shd w:val="clear" w:color="auto" w:fill="CCEEFF"/>
          </w:tcPr>
          <w:p>
            <w:pPr>
              <w:spacing w:after="0"/>
              <w:rPr>
                <w:sz w:val="20"/>
                <w:szCs w:val="20"/>
                <w:color w:val="auto"/>
              </w:rPr>
            </w:pPr>
            <w:r>
              <w:rPr>
                <w:rFonts w:ascii="Arial" w:cs="Arial" w:eastAsia="Arial" w:hAnsi="Arial"/>
                <w:sz w:val="10"/>
                <w:szCs w:val="10"/>
                <w:color w:val="auto"/>
                <w:w w:val="97"/>
              </w:rPr>
              <w:t>(5)</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980" w:type="dxa"/>
            <w:vAlign w:val="bottom"/>
            <w:gridSpan w:val="3"/>
            <w:vMerge w:val="restart"/>
            <w:shd w:val="clear" w:color="auto" w:fill="CCEEFF"/>
          </w:tcPr>
          <w:p>
            <w:pPr>
              <w:ind w:left="560"/>
              <w:spacing w:after="0"/>
              <w:rPr>
                <w:sz w:val="20"/>
                <w:szCs w:val="20"/>
                <w:color w:val="auto"/>
              </w:rPr>
            </w:pPr>
            <w:r>
              <w:rPr>
                <w:rFonts w:ascii="Arial" w:cs="Arial" w:eastAsia="Arial" w:hAnsi="Arial"/>
                <w:sz w:val="18"/>
                <w:szCs w:val="18"/>
                <w:color w:val="auto"/>
              </w:rPr>
              <w:t>1.44</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3/4/2031</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8"/>
              <w:spacing w:after="0" w:line="162" w:lineRule="exact"/>
              <w:rPr>
                <w:sz w:val="20"/>
                <w:szCs w:val="20"/>
                <w:color w:val="auto"/>
              </w:rPr>
            </w:pPr>
            <w:r>
              <w:rPr>
                <w:rFonts w:ascii="Arial" w:cs="Arial" w:eastAsia="Arial" w:hAnsi="Arial"/>
                <w:sz w:val="18"/>
                <w:szCs w:val="18"/>
                <w:color w:val="auto"/>
              </w:rPr>
              <w:t>300,376​</w:t>
            </w:r>
          </w:p>
        </w:tc>
        <w:tc>
          <w:tcPr>
            <w:tcW w:w="980" w:type="dxa"/>
            <w:vAlign w:val="bottom"/>
            <w:gridSpan w:val="3"/>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340,448</w:t>
            </w:r>
          </w:p>
        </w:tc>
        <w:tc>
          <w:tcPr>
            <w:tcW w:w="14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980" w:type="dxa"/>
            <w:vAlign w:val="bottom"/>
            <w:gridSpan w:val="3"/>
            <w:vMerge w:val="restart"/>
            <w:shd w:val="clear" w:color="auto" w:fill="CCEEFF"/>
          </w:tcPr>
          <w:p>
            <w:pPr>
              <w:ind w:left="560"/>
              <w:spacing w:after="0"/>
              <w:rPr>
                <w:sz w:val="20"/>
                <w:szCs w:val="20"/>
                <w:color w:val="auto"/>
              </w:rPr>
            </w:pPr>
            <w:r>
              <w:rPr>
                <w:rFonts w:ascii="Arial" w:cs="Arial" w:eastAsia="Arial" w:hAnsi="Arial"/>
                <w:sz w:val="18"/>
                <w:szCs w:val="18"/>
                <w:color w:val="auto"/>
              </w:rPr>
              <w:t>1.44</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3/4/2031</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7"/>
              <w:spacing w:after="0" w:line="162" w:lineRule="exact"/>
              <w:rPr>
                <w:sz w:val="20"/>
                <w:szCs w:val="20"/>
                <w:color w:val="auto"/>
              </w:rPr>
            </w:pPr>
            <w:r>
              <w:rPr>
                <w:rFonts w:ascii="Arial" w:cs="Arial" w:eastAsia="Arial" w:hAnsi="Arial"/>
                <w:sz w:val="18"/>
                <w:szCs w:val="18"/>
                <w:color w:val="auto"/>
              </w:rPr>
              <w:t>620,818​</w:t>
            </w:r>
          </w:p>
        </w:tc>
        <w:tc>
          <w:tcPr>
            <w:tcW w:w="8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40" w:type="dxa"/>
            <w:vAlign w:val="bottom"/>
            <w:vMerge w:val="restart"/>
          </w:tcPr>
          <w:p>
            <w:pPr>
              <w:spacing w:after="0"/>
              <w:rPr>
                <w:sz w:val="20"/>
                <w:szCs w:val="20"/>
                <w:color w:val="auto"/>
              </w:rPr>
            </w:pPr>
            <w:r>
              <w:rPr>
                <w:rFonts w:ascii="Arial" w:cs="Arial" w:eastAsia="Arial" w:hAnsi="Arial"/>
                <w:sz w:val="18"/>
                <w:szCs w:val="18"/>
                <w:color w:val="auto"/>
              </w:rPr>
              <w:t>Ashish Gupta</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313,390</w:t>
            </w:r>
          </w:p>
        </w:tc>
        <w:tc>
          <w:tcPr>
            <w:tcW w:w="1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21"/>
                <w:szCs w:val="21"/>
                <w:color w:val="auto"/>
              </w:rPr>
            </w:pPr>
          </w:p>
        </w:tc>
        <w:tc>
          <w:tcPr>
            <w:tcW w:w="1180" w:type="dxa"/>
            <w:vAlign w:val="bottom"/>
            <w:vMerge w:val="restart"/>
          </w:tcPr>
          <w:p>
            <w:pPr>
              <w:jc w:val="right"/>
              <w:ind w:right="78"/>
              <w:spacing w:after="0"/>
              <w:rPr>
                <w:sz w:val="20"/>
                <w:szCs w:val="20"/>
                <w:color w:val="auto"/>
              </w:rPr>
            </w:pPr>
            <w:r>
              <w:rPr>
                <w:rFonts w:ascii="Arial" w:cs="Arial" w:eastAsia="Arial" w:hAnsi="Arial"/>
                <w:sz w:val="18"/>
                <w:szCs w:val="18"/>
                <w:color w:val="auto"/>
              </w:rPr>
              <w:t>—</w:t>
            </w:r>
          </w:p>
        </w:tc>
        <w:tc>
          <w:tcPr>
            <w:tcW w:w="980" w:type="dxa"/>
            <w:vAlign w:val="bottom"/>
            <w:gridSpan w:val="3"/>
            <w:vMerge w:val="restart"/>
          </w:tcPr>
          <w:p>
            <w:pPr>
              <w:ind w:left="560"/>
              <w:spacing w:after="0"/>
              <w:rPr>
                <w:sz w:val="20"/>
                <w:szCs w:val="20"/>
                <w:color w:val="auto"/>
              </w:rPr>
            </w:pPr>
            <w:r>
              <w:rPr>
                <w:rFonts w:ascii="Arial" w:cs="Arial" w:eastAsia="Arial" w:hAnsi="Arial"/>
                <w:sz w:val="18"/>
                <w:szCs w:val="18"/>
                <w:color w:val="auto"/>
              </w:rPr>
              <w:t>0.41</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2"/>
              </w:rPr>
              <w:t>9/21/2029</w:t>
            </w:r>
          </w:p>
        </w:tc>
        <w:tc>
          <w:tcPr>
            <w:tcW w:w="0" w:type="dxa"/>
            <w:vAlign w:val="bottom"/>
          </w:tcPr>
          <w:p>
            <w:pPr>
              <w:spacing w:after="0"/>
              <w:rPr>
                <w:sz w:val="1"/>
                <w:szCs w:val="1"/>
                <w:color w:val="auto"/>
              </w:rPr>
            </w:pPr>
          </w:p>
        </w:tc>
      </w:tr>
      <w:tr>
        <w:trPr>
          <w:trHeight w:val="175"/>
        </w:trPr>
        <w:tc>
          <w:tcPr>
            <w:tcW w:w="284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37"/>
              <w:spacing w:after="0" w:line="175" w:lineRule="exact"/>
              <w:rPr>
                <w:sz w:val="20"/>
                <w:szCs w:val="20"/>
                <w:color w:val="auto"/>
              </w:rPr>
            </w:pPr>
            <w:r>
              <w:rPr>
                <w:rFonts w:ascii="Arial" w:cs="Arial" w:eastAsia="Arial" w:hAnsi="Arial"/>
                <w:sz w:val="18"/>
                <w:szCs w:val="18"/>
                <w:color w:val="auto"/>
              </w:rPr>
              <w:t>142,696​</w:t>
            </w:r>
          </w:p>
        </w:tc>
        <w:tc>
          <w:tcPr>
            <w:tcW w:w="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840" w:type="dxa"/>
            <w:vAlign w:val="bottom"/>
            <w:vMerge w:val="restart"/>
          </w:tcPr>
          <w:p>
            <w:pPr>
              <w:ind w:left="180"/>
              <w:spacing w:after="0"/>
              <w:rPr>
                <w:sz w:val="20"/>
                <w:szCs w:val="20"/>
                <w:color w:val="auto"/>
              </w:rPr>
            </w:pPr>
            <w:r>
              <w:rPr>
                <w:rFonts w:ascii="Arial" w:cs="Arial" w:eastAsia="Arial" w:hAnsi="Arial"/>
                <w:sz w:val="18"/>
                <w:szCs w:val="18"/>
                <w:i w:val="1"/>
                <w:iCs w:val="1"/>
                <w:color w:val="auto"/>
              </w:rPr>
              <w:t>Former Chief Financial Officer</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55,982</w:t>
            </w:r>
          </w:p>
        </w:tc>
        <w:tc>
          <w:tcPr>
            <w:tcW w:w="140" w:type="dxa"/>
            <w:vAlign w:val="bottom"/>
          </w:tcPr>
          <w:p>
            <w:pPr>
              <w:spacing w:after="0"/>
              <w:rPr>
                <w:sz w:val="9"/>
                <w:szCs w:val="9"/>
                <w:color w:val="auto"/>
              </w:rPr>
            </w:pPr>
          </w:p>
        </w:tc>
        <w:tc>
          <w:tcPr>
            <w:tcW w:w="102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(2)</w:t>
            </w:r>
          </w:p>
        </w:tc>
        <w:tc>
          <w:tcPr>
            <w:tcW w:w="80" w:type="dxa"/>
            <w:vAlign w:val="bottom"/>
          </w:tcPr>
          <w:p>
            <w:pPr>
              <w:spacing w:after="0"/>
              <w:rPr>
                <w:sz w:val="9"/>
                <w:szCs w:val="9"/>
                <w:color w:val="auto"/>
              </w:rPr>
            </w:pPr>
          </w:p>
        </w:tc>
        <w:tc>
          <w:tcPr>
            <w:tcW w:w="1180" w:type="dxa"/>
            <w:vAlign w:val="bottom"/>
            <w:vMerge w:val="restart"/>
          </w:tcPr>
          <w:p>
            <w:pPr>
              <w:jc w:val="right"/>
              <w:ind w:right="78"/>
              <w:spacing w:after="0"/>
              <w:rPr>
                <w:sz w:val="20"/>
                <w:szCs w:val="20"/>
                <w:color w:val="auto"/>
              </w:rPr>
            </w:pPr>
            <w:r>
              <w:rPr>
                <w:rFonts w:ascii="Arial" w:cs="Arial" w:eastAsia="Arial" w:hAnsi="Arial"/>
                <w:sz w:val="18"/>
                <w:szCs w:val="18"/>
                <w:color w:val="auto"/>
              </w:rPr>
              <w:t>—</w:t>
            </w:r>
          </w:p>
        </w:tc>
        <w:tc>
          <w:tcPr>
            <w:tcW w:w="980" w:type="dxa"/>
            <w:vAlign w:val="bottom"/>
            <w:gridSpan w:val="3"/>
            <w:vMerge w:val="restart"/>
          </w:tcPr>
          <w:p>
            <w:pPr>
              <w:ind w:left="560"/>
              <w:spacing w:after="0"/>
              <w:rPr>
                <w:sz w:val="20"/>
                <w:szCs w:val="20"/>
                <w:color w:val="auto"/>
              </w:rPr>
            </w:pPr>
            <w:r>
              <w:rPr>
                <w:rFonts w:ascii="Arial" w:cs="Arial" w:eastAsia="Arial" w:hAnsi="Arial"/>
                <w:sz w:val="18"/>
                <w:szCs w:val="18"/>
                <w:color w:val="auto"/>
              </w:rPr>
              <w:t>1.44</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12/16/2030</w:t>
            </w:r>
          </w:p>
        </w:tc>
        <w:tc>
          <w:tcPr>
            <w:tcW w:w="0" w:type="dxa"/>
            <w:vAlign w:val="bottom"/>
          </w:tcPr>
          <w:p>
            <w:pPr>
              <w:spacing w:after="0"/>
              <w:rPr>
                <w:sz w:val="1"/>
                <w:szCs w:val="1"/>
                <w:color w:val="auto"/>
              </w:rPr>
            </w:pPr>
          </w:p>
        </w:tc>
      </w:tr>
      <w:tr>
        <w:trPr>
          <w:trHeight w:val="175"/>
        </w:trPr>
        <w:tc>
          <w:tcPr>
            <w:tcW w:w="284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37"/>
              <w:spacing w:after="0" w:line="175" w:lineRule="exact"/>
              <w:rPr>
                <w:sz w:val="20"/>
                <w:szCs w:val="20"/>
                <w:color w:val="auto"/>
              </w:rPr>
            </w:pPr>
            <w:r>
              <w:rPr>
                <w:rFonts w:ascii="Arial" w:cs="Arial" w:eastAsia="Arial" w:hAnsi="Arial"/>
                <w:sz w:val="18"/>
                <w:szCs w:val="18"/>
                <w:color w:val="auto"/>
              </w:rPr>
              <w:t>71,979​</w:t>
            </w:r>
          </w:p>
        </w:tc>
        <w:tc>
          <w:tcPr>
            <w:tcW w:w="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840" w:type="dxa"/>
            <w:vAlign w:val="bottom"/>
          </w:tcPr>
          <w:p>
            <w:pPr>
              <w:spacing w:after="0"/>
              <w:rPr>
                <w:sz w:val="9"/>
                <w:szCs w:val="9"/>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101,836</w:t>
            </w:r>
          </w:p>
        </w:tc>
        <w:tc>
          <w:tcPr>
            <w:tcW w:w="140" w:type="dxa"/>
            <w:vAlign w:val="bottom"/>
          </w:tcPr>
          <w:p>
            <w:pPr>
              <w:spacing w:after="0"/>
              <w:rPr>
                <w:sz w:val="9"/>
                <w:szCs w:val="9"/>
                <w:color w:val="auto"/>
              </w:rPr>
            </w:pPr>
          </w:p>
        </w:tc>
        <w:tc>
          <w:tcPr>
            <w:tcW w:w="102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(3)</w:t>
            </w:r>
          </w:p>
        </w:tc>
        <w:tc>
          <w:tcPr>
            <w:tcW w:w="80" w:type="dxa"/>
            <w:vAlign w:val="bottom"/>
          </w:tcPr>
          <w:p>
            <w:pPr>
              <w:spacing w:after="0"/>
              <w:rPr>
                <w:sz w:val="9"/>
                <w:szCs w:val="9"/>
                <w:color w:val="auto"/>
              </w:rPr>
            </w:pPr>
          </w:p>
        </w:tc>
        <w:tc>
          <w:tcPr>
            <w:tcW w:w="1180" w:type="dxa"/>
            <w:vAlign w:val="bottom"/>
            <w:vMerge w:val="restart"/>
          </w:tcPr>
          <w:p>
            <w:pPr>
              <w:jc w:val="right"/>
              <w:ind w:right="78"/>
              <w:spacing w:after="0"/>
              <w:rPr>
                <w:sz w:val="20"/>
                <w:szCs w:val="20"/>
                <w:color w:val="auto"/>
              </w:rPr>
            </w:pPr>
            <w:r>
              <w:rPr>
                <w:rFonts w:ascii="Arial" w:cs="Arial" w:eastAsia="Arial" w:hAnsi="Arial"/>
                <w:sz w:val="18"/>
                <w:szCs w:val="18"/>
                <w:color w:val="auto"/>
              </w:rPr>
              <w:t>—</w:t>
            </w:r>
          </w:p>
        </w:tc>
        <w:tc>
          <w:tcPr>
            <w:tcW w:w="980" w:type="dxa"/>
            <w:vAlign w:val="bottom"/>
            <w:gridSpan w:val="3"/>
            <w:vMerge w:val="restart"/>
          </w:tcPr>
          <w:p>
            <w:pPr>
              <w:ind w:left="560"/>
              <w:spacing w:after="0"/>
              <w:rPr>
                <w:sz w:val="20"/>
                <w:szCs w:val="20"/>
                <w:color w:val="auto"/>
              </w:rPr>
            </w:pPr>
            <w:r>
              <w:rPr>
                <w:rFonts w:ascii="Arial" w:cs="Arial" w:eastAsia="Arial" w:hAnsi="Arial"/>
                <w:sz w:val="18"/>
                <w:szCs w:val="18"/>
                <w:color w:val="auto"/>
              </w:rPr>
              <w:t>1.44</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1"/>
              </w:rPr>
              <w:t>3/4/2031</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7"/>
              <w:spacing w:after="0" w:line="162" w:lineRule="exact"/>
              <w:rPr>
                <w:sz w:val="20"/>
                <w:szCs w:val="20"/>
                <w:color w:val="auto"/>
              </w:rPr>
            </w:pPr>
            <w:r>
              <w:rPr>
                <w:rFonts w:ascii="Arial" w:cs="Arial" w:eastAsia="Arial" w:hAnsi="Arial"/>
                <w:sz w:val="18"/>
                <w:szCs w:val="18"/>
                <w:color w:val="auto"/>
              </w:rPr>
              <w:t>41,933​</w:t>
            </w: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Dan Mosher</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160,423</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21"/>
                <w:szCs w:val="21"/>
                <w:color w:val="auto"/>
              </w:rPr>
            </w:pPr>
          </w:p>
        </w:tc>
        <w:tc>
          <w:tcPr>
            <w:tcW w:w="118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980" w:type="dxa"/>
            <w:vAlign w:val="bottom"/>
            <w:gridSpan w:val="3"/>
            <w:vMerge w:val="restart"/>
            <w:shd w:val="clear" w:color="auto" w:fill="CCEEFF"/>
          </w:tcPr>
          <w:p>
            <w:pPr>
              <w:ind w:left="560"/>
              <w:spacing w:after="0"/>
              <w:rPr>
                <w:sz w:val="20"/>
                <w:szCs w:val="20"/>
                <w:color w:val="auto"/>
              </w:rPr>
            </w:pPr>
            <w:r>
              <w:rPr>
                <w:rFonts w:ascii="Arial" w:cs="Arial" w:eastAsia="Arial" w:hAnsi="Arial"/>
                <w:sz w:val="18"/>
                <w:szCs w:val="18"/>
                <w:color w:val="auto"/>
              </w:rPr>
              <w:t>2.23</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4/25/2031</w:t>
            </w:r>
          </w:p>
        </w:tc>
        <w:tc>
          <w:tcPr>
            <w:tcW w:w="0" w:type="dxa"/>
            <w:vAlign w:val="bottom"/>
          </w:tcPr>
          <w:p>
            <w:pPr>
              <w:spacing w:after="0"/>
              <w:rPr>
                <w:sz w:val="1"/>
                <w:szCs w:val="1"/>
                <w:color w:val="auto"/>
              </w:rPr>
            </w:pPr>
          </w:p>
        </w:tc>
      </w:tr>
      <w:tr>
        <w:trPr>
          <w:trHeight w:val="162"/>
        </w:trPr>
        <w:tc>
          <w:tcPr>
            <w:tcW w:w="284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7"/>
              <w:spacing w:after="0" w:line="162" w:lineRule="exact"/>
              <w:rPr>
                <w:sz w:val="20"/>
                <w:szCs w:val="20"/>
                <w:color w:val="auto"/>
              </w:rPr>
            </w:pPr>
            <w:r>
              <w:rPr>
                <w:rFonts w:ascii="Arial" w:cs="Arial" w:eastAsia="Arial" w:hAnsi="Arial"/>
                <w:sz w:val="18"/>
                <w:szCs w:val="18"/>
                <w:color w:val="auto"/>
              </w:rPr>
              <w:t>352,934​</w:t>
            </w:r>
          </w:p>
        </w:tc>
        <w:tc>
          <w:tcPr>
            <w:tcW w:w="8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-256540</wp:posOffset>
            </wp:positionV>
            <wp:extent cx="1808480" cy="436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08480" cy="43688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5"/>
          <w:szCs w:val="15"/>
          <w:i w:val="1"/>
          <w:iCs w:val="1"/>
          <w:color w:val="auto"/>
        </w:rPr>
        <w:t xml:space="preserve">Chief Revenue Officer and President </w:t>
      </w:r>
      <w:r>
        <w:rPr>
          <w:sz w:val="1"/>
          <w:szCs w:val="1"/>
          <w:color w:val="auto"/>
        </w:rPr>
        <w:drawing>
          <wp:inline distT="0" distB="0" distL="0" distR="0">
            <wp:extent cx="3335020" cy="1524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35020" cy="152400"/>
                    </a:xfrm>
                    <a:prstGeom prst="rect">
                      <a:avLst/>
                    </a:prstGeom>
                    <a:noFill/>
                    <a:ln>
                      <a:noFill/>
                    </a:ln>
                  </pic:spPr>
                </pic:pic>
              </a:graphicData>
            </a:graphic>
          </wp:inline>
        </w:drawing>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880" w:right="459" w:hanging="426"/>
        <w:spacing w:after="0" w:line="265" w:lineRule="auto"/>
        <w:tabs>
          <w:tab w:leader="none" w:pos="8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Reflects time-based stock options that vest in equal monthly installments over four years from the vesting commencement date, subject to the NEO’s continued employment. Mr. Suri resigned from his roles with the Company on March 21, 2023, and any stock options that were vested as of such date will remain exercisable for 90 days. All unvested stock options were accelerated on March 25, 2023 and any stock options vested as of such date would remain exercisable for three years.</w:t>
      </w:r>
    </w:p>
    <w:p>
      <w:pPr>
        <w:jc w:val="both"/>
        <w:ind w:left="880" w:right="459" w:hanging="426"/>
        <w:spacing w:after="0" w:line="270" w:lineRule="auto"/>
        <w:tabs>
          <w:tab w:leader="none" w:pos="8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Reflects time-based stock options that vest over four years, with 25% vesting upon the first anniversary of the vesting commencement date, and the remainder vesting monthly in equal installments, subject to the NEO’s continued employment, and will fully vest in the event of a termination by the Company without “Cause” (as defined in the 2018 Plan) or the NEO resigns for “Good Reason” (as defined in the applicable award agreement) 90 days prior to or 12 months following a change</w:t>
      </w:r>
    </w:p>
    <w:p>
      <w:pPr>
        <w:sectPr>
          <w:pgSz w:w="11900" w:h="16838" w:orient="portrait"/>
          <w:cols w:equalWidth="0" w:num="1">
            <w:col w:w="9019"/>
          </w:cols>
          <w:pgMar w:left="1440" w:top="274"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7" w:name="page98"/>
    <w:bookmarkEnd w:id="9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both"/>
        <w:ind w:left="880" w:right="459"/>
        <w:spacing w:after="0" w:line="298" w:lineRule="auto"/>
        <w:rPr>
          <w:sz w:val="20"/>
          <w:szCs w:val="20"/>
          <w:color w:val="auto"/>
        </w:rPr>
      </w:pPr>
      <w:r>
        <w:rPr>
          <w:rFonts w:ascii="Arial" w:cs="Arial" w:eastAsia="Arial" w:hAnsi="Arial"/>
          <w:sz w:val="14"/>
          <w:szCs w:val="14"/>
          <w:color w:val="auto"/>
        </w:rPr>
        <w:t>in control (within the meaning of the 2018 Plan). The terms of Mr. Gupta’s stock options were amended in connection with the Consulting Agreement entered into in March 2023 to provide for continued vesting through the term of his consulting arrangement and that any stock options vested as of such date would remain exercisable for three years.</w:t>
      </w:r>
    </w:p>
    <w:p>
      <w:pPr>
        <w:spacing w:after="0" w:line="2" w:lineRule="exact"/>
        <w:rPr>
          <w:sz w:val="20"/>
          <w:szCs w:val="20"/>
          <w:color w:val="auto"/>
        </w:rPr>
      </w:pPr>
    </w:p>
    <w:p>
      <w:pPr>
        <w:jc w:val="both"/>
        <w:ind w:left="880" w:right="459" w:hanging="426"/>
        <w:spacing w:after="0" w:line="264" w:lineRule="auto"/>
        <w:tabs>
          <w:tab w:leader="none" w:pos="8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Reflects time-based stock options that vest in equal monthly installments over two years from the vesting commencement date, subject to the NEO’s continued employment. The terms of Mr. Gupta’s stock options were amended in connection with the Consulting Agreement entered into in March 2023 to provide for continued vesting through the term of his consulting arrangement and that any stock options vested as of such date would remain exercisable for three years.</w:t>
      </w:r>
    </w:p>
    <w:p>
      <w:pPr>
        <w:jc w:val="both"/>
        <w:ind w:left="880" w:right="459" w:hanging="426"/>
        <w:spacing w:after="0" w:line="281" w:lineRule="auto"/>
        <w:tabs>
          <w:tab w:leader="none" w:pos="8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Reflects time-based stock options that vest over four-years, with 25% vesting upon the first anniversary of the vesting commencement date, and the remainder vesting monthly in equal installments, subject to the NEO’s continued employment. Fifty percent of any unvested stock options will vest in the event of a termination without “Cause” within three months following a “Change in Control” (in each case, as defined in his offer letter).</w:t>
      </w:r>
    </w:p>
    <w:p>
      <w:pPr>
        <w:spacing w:after="0" w:line="2" w:lineRule="exact"/>
        <w:rPr>
          <w:rFonts w:ascii="Arial" w:cs="Arial" w:eastAsia="Arial" w:hAnsi="Arial"/>
          <w:sz w:val="15"/>
          <w:szCs w:val="15"/>
          <w:color w:val="auto"/>
        </w:rPr>
      </w:pPr>
    </w:p>
    <w:p>
      <w:pPr>
        <w:jc w:val="both"/>
        <w:ind w:left="880" w:right="459" w:hanging="426"/>
        <w:spacing w:after="0" w:line="295" w:lineRule="auto"/>
        <w:tabs>
          <w:tab w:leader="none" w:pos="8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Reflects performance based options, with half of such options vesting in connection with the closing of a financing event and half in connection with a public liquidity event, subject to the NEO’s continued employment. Mr. Suri resigned from his roles with the Company on March 21, 2023, half of the performance based options were met and any stock options vested as of such date would remain exercisable for three years.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Plans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2022 Equity Incentive Plan</w:t>
      </w:r>
    </w:p>
    <w:p>
      <w:pPr>
        <w:spacing w:after="0" w:line="144"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In connection with the closing of the Business Combination, our shareholders approved and we adopted the 2022 Incentive Award Plan (the “2022 Plan”). The material terms of the 2022 Plan are summarized below.</w:t>
      </w:r>
    </w:p>
    <w:p>
      <w:pPr>
        <w:spacing w:after="0" w:line="56"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Compensation Committee of the Presto Board administers the 2022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generally has the authority to designate participants, determine the type or types of awards to be granted to a participant, determine the terms and conditions of any agreements evidencing any awards granted under the 2022 Plan, accelerate the vesting or exercisability of, payment for or lapse of restrictions on, awards and to adopt, alter and repeal rules, guidelines and practices relating to the 2022 Plan. The Compensation Committee has full discretion to administer and interpret the 2022 Plan and to make any other determinations and/or take any other action that it deems necessary or desirable for the administration of the 2022 Plan, and any such determinations or actions taken by the Committee shall be final, conclusive and binding upon all persons and entities. The Committee may delegate to one or more officers of Presto or any affiliate the authority to act on behalf of the Committee with respect to any matter, right, obligation or election that is the responsibility of or that is allocated to the Committee in the 2022 Plan and that may be so delegated as a matter of law, except for grants of awards to persons subject to Section 16 of the Exchange Act.</w:t>
      </w:r>
    </w:p>
    <w:p>
      <w:pPr>
        <w:spacing w:after="0" w:line="100"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Certain employees, directors, officers, advisors or consultants of Presto or its affiliates are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participate in the 2022 Plan. Approximately 190 employees, consultants, advisors and service providers and all of our directors are eligible to participate in the 2022 Plan.</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i w:val="1"/>
          <w:iCs w:val="1"/>
          <w:color w:val="auto"/>
        </w:rPr>
        <w:t xml:space="preserve">Number of Shares Authorized. </w:t>
      </w:r>
      <w:r>
        <w:rPr>
          <w:rFonts w:ascii="Arial" w:cs="Arial" w:eastAsia="Arial" w:hAnsi="Arial"/>
          <w:sz w:val="18"/>
          <w:szCs w:val="18"/>
          <w:color w:val="auto"/>
        </w:rPr>
        <w:t>The 2022 Plan provides for an aggregate of 4,617,400 shares of Presto</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to be delivered, plus any shares representing Optionholder Earnout Shares (as defined in the Merger Agreement) that are forfeited by reason of a termination of service or employment following the effective date, not to exceed an aggregate of 4,500,000 shares.</w:t>
      </w:r>
    </w:p>
    <w:p>
      <w:pPr>
        <w:spacing w:after="0" w:line="119"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number of shares reserved for issuance under the 2022 Plan will increase automatically on January 1 of each of 2023 through 2032 by the number of shares equal to the lesser of (i) one percent (1%) of the total number of outstanding shares (rounded down to the nearest whole share) of Presto Common Stock as of the immediately preceding December 31, or (ii) a number as may be determined by the Presto Board. Notwithstanding anything to the contrary in the 2022 Plan, no more than 23,087,000 shares of Presto Common Stock may be issued pursuant to the exercise of ISOs under the 2022 Plan.</w:t>
      </w:r>
    </w:p>
    <w:p>
      <w:pPr>
        <w:spacing w:after="0" w:line="11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Shares of Presto Common Stock underlying awards under the 2022 Plan that are forfeited, canceled, expire unexercised or are settled in cash will be available again for new awards under the 2022 Plan. If there is any change in our corporate capitalization, the Committee in its sole discretion may make substitutions or adjustments to the number of shares of Presto Common Stock reserved for issuance under the 2022 Plan, the number of shares of Presto Common Stock covered by awards then outstanding under the 2022 Plan, the limitations on awards under the 2022 Plan, the exercise price of outstanding options and such other equitable substitutions or adjustments as it may determine appropriate.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8" w:name="page99"/>
    <w:bookmarkEnd w:id="9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2022 Plan has a term of 10 years from the date it was approved by stockholders, and no further awards may be granted under the 2022 Plan after that date.</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i w:val="1"/>
          <w:iCs w:val="1"/>
          <w:color w:val="auto"/>
        </w:rPr>
        <w:t xml:space="preserve">Awards Available for Grant. </w:t>
      </w:r>
      <w:r>
        <w:rPr>
          <w:rFonts w:ascii="Arial" w:cs="Arial" w:eastAsia="Arial" w:hAnsi="Arial"/>
          <w:sz w:val="18"/>
          <w:szCs w:val="18"/>
          <w:color w:val="auto"/>
        </w:rPr>
        <w:t>The Compensation Committee may grant awards of nonqualified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ISOs, stock appreciation rights (“SARs”), restricted stock, restricted stock units (“RSUs”), other stock-based awards, other cash-based awards, dividend equivalents, and/or performance compensation awards or any combination of the foregoing.</w:t>
      </w:r>
    </w:p>
    <w:p>
      <w:pPr>
        <w:spacing w:after="0" w:line="11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i w:val="1"/>
          <w:iCs w:val="1"/>
          <w:color w:val="auto"/>
        </w:rPr>
        <w:t xml:space="preserve">Stock Options and Stock Appreciation Rights. </w:t>
      </w:r>
      <w:r>
        <w:rPr>
          <w:rFonts w:ascii="Arial" w:cs="Arial" w:eastAsia="Arial" w:hAnsi="Arial"/>
          <w:sz w:val="17"/>
          <w:szCs w:val="17"/>
          <w:color w:val="auto"/>
        </w:rPr>
        <w:t>Stock options provide for the purchase of shares of Presto</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in the future at an exercise price set on the grant date. ISOs, in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exercise price of a stock option or SAR may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w:t>
      </w:r>
    </w:p>
    <w:p>
      <w:pPr>
        <w:spacing w:after="0" w:line="10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Restricted stock is an award of nontransferable shares of Presto Common Stock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subject to certain vesting conditions and other restrictions.</w:t>
      </w:r>
    </w:p>
    <w:p>
      <w:pPr>
        <w:spacing w:after="0" w:line="10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i w:val="1"/>
          <w:iCs w:val="1"/>
          <w:color w:val="auto"/>
        </w:rPr>
        <w:t xml:space="preserve">RSUs. </w:t>
      </w:r>
      <w:r>
        <w:rPr>
          <w:rFonts w:ascii="Arial" w:cs="Arial" w:eastAsia="Arial" w:hAnsi="Arial"/>
          <w:sz w:val="17"/>
          <w:szCs w:val="17"/>
          <w:color w:val="auto"/>
        </w:rPr>
        <w:t>RSUs are contractual promises to deliver shares of Presto Common Stock in the future, which</w:t>
      </w:r>
      <w:r>
        <w:rPr>
          <w:rFonts w:ascii="Arial" w:cs="Arial" w:eastAsia="Arial" w:hAnsi="Arial"/>
          <w:sz w:val="17"/>
          <w:szCs w:val="17"/>
          <w:i w:val="1"/>
          <w:iCs w:val="1"/>
          <w:color w:val="auto"/>
        </w:rPr>
        <w:t xml:space="preserve"> </w:t>
      </w:r>
      <w:r>
        <w:rPr>
          <w:rFonts w:ascii="Arial" w:cs="Arial" w:eastAsia="Arial" w:hAnsi="Arial"/>
          <w:sz w:val="17"/>
          <w:szCs w:val="17"/>
          <w:color w:val="auto"/>
        </w:rPr>
        <w:t>may also remain forfeitable unless and until specified conditions are met and may be accompanied by the right to receive the equivalent value of dividends paid on shares of Common Stock prior to the delivery of the underlying shares (i.e., dividend equivalent rights). The Compensation Committee may provide that the delivery of the shares underlying RSUs will be deferred on a mandatory basis or at the election of the participant. The terms and conditions applicable to RSUs will be determined by the Compensation Committee, subject to the conditions and limitations contained in the 2022 Plan.</w:t>
      </w:r>
    </w:p>
    <w:p>
      <w:pPr>
        <w:spacing w:after="0" w:line="110"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i w:val="1"/>
          <w:iCs w:val="1"/>
          <w:color w:val="auto"/>
        </w:rPr>
        <w:t xml:space="preserve">Other Stock or Cash-Based Awards. </w:t>
      </w:r>
      <w:r>
        <w:rPr>
          <w:rFonts w:ascii="Arial" w:cs="Arial" w:eastAsia="Arial" w:hAnsi="Arial"/>
          <w:sz w:val="17"/>
          <w:szCs w:val="17"/>
          <w:color w:val="auto"/>
        </w:rPr>
        <w:t>Other stock or cash based awards are awards of cash, fully vested</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Presto Common Stock and other awards valued wholly or partially by referring to, or otherwise based on, shares of Presto Common Stock. Other stock or cash based awards may be granted to participants and may also be available as a payment form in the settlement of other awards, as standalone payments and as payment in lieu of compensation to which a participant is otherwise entitled.</w:t>
      </w:r>
    </w:p>
    <w:p>
      <w:pPr>
        <w:spacing w:after="0" w:line="95"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Dividend equivalents represent the right to receive the equivalent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paid on shares of Presto Common Stock and may be granted alone or in tandem with awards other than stock options or SARs. Dividend equivalents are credited as of the dividend record dates during the period between the date an award is granted and the date such award vests, is exercised, is distributed or expires, as determined by the Committee.</w:t>
      </w:r>
    </w:p>
    <w:p>
      <w:pPr>
        <w:spacing w:after="0" w:line="12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Performance awards granted pursuant to the 2022 Plan may be in the form of a</w:t>
      </w:r>
      <w:r>
        <w:rPr>
          <w:rFonts w:ascii="Arial" w:cs="Arial" w:eastAsia="Arial" w:hAnsi="Arial"/>
          <w:sz w:val="18"/>
          <w:szCs w:val="18"/>
          <w:i w:val="1"/>
          <w:iCs w:val="1"/>
          <w:color w:val="auto"/>
        </w:rPr>
        <w:t xml:space="preserve"> </w:t>
      </w:r>
      <w:r>
        <w:rPr>
          <w:rFonts w:ascii="Arial" w:cs="Arial" w:eastAsia="Arial" w:hAnsi="Arial"/>
          <w:sz w:val="18"/>
          <w:szCs w:val="18"/>
          <w:color w:val="auto"/>
        </w:rPr>
        <w:t>cash bonus, or an award of performance shares or performance units denominated in shares of Presto Common Stock, that may be settled in cash, property or by issuance of those shares subject to the satisfaction or achievement of specified performance conditions.</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Each award may be exercised during the participant’s lifetime only by the participant or,</w:t>
      </w:r>
      <w:r>
        <w:rPr>
          <w:rFonts w:ascii="Arial" w:cs="Arial" w:eastAsia="Arial" w:hAnsi="Arial"/>
          <w:sz w:val="18"/>
          <w:szCs w:val="18"/>
          <w:i w:val="1"/>
          <w:iCs w:val="1"/>
          <w:color w:val="auto"/>
        </w:rPr>
        <w:t xml:space="preserve"> </w:t>
      </w:r>
      <w:r>
        <w:rPr>
          <w:rFonts w:ascii="Arial" w:cs="Arial" w:eastAsia="Arial" w:hAnsi="Arial"/>
          <w:sz w:val="18"/>
          <w:szCs w:val="18"/>
          <w:color w:val="auto"/>
        </w:rPr>
        <w:t>if permissible under applicable aw, by the participant’s guardian or legal representative and may not be otherwise assigned, alienated, pledged, attached, sold or otherwise transferred or encumbered by a participant other than by will or by the laws of descent and distribution. The Committee, however, may permit awards (other than ISOs) to be transferred to family members, a trust for the benefit of such family members, a partnership or limited liability company whose partners or stockholders are the participant and his or her family members or anyone else approved by it.</w:t>
      </w:r>
    </w:p>
    <w:p>
      <w:pPr>
        <w:spacing w:after="0" w:line="11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i w:val="1"/>
          <w:iCs w:val="1"/>
          <w:color w:val="auto"/>
        </w:rPr>
        <w:t xml:space="preserve">Amendment and Termination; Repricing. </w:t>
      </w:r>
      <w:r>
        <w:rPr>
          <w:rFonts w:ascii="Arial" w:cs="Arial" w:eastAsia="Arial" w:hAnsi="Arial"/>
          <w:sz w:val="18"/>
          <w:szCs w:val="18"/>
          <w:color w:val="auto"/>
        </w:rPr>
        <w:t>In general, our Board may amend, alter, suspend, discontinue</w:t>
      </w:r>
      <w:r>
        <w:rPr>
          <w:rFonts w:ascii="Arial" w:cs="Arial" w:eastAsia="Arial" w:hAnsi="Arial"/>
          <w:sz w:val="18"/>
          <w:szCs w:val="18"/>
          <w:i w:val="1"/>
          <w:iCs w:val="1"/>
          <w:color w:val="auto"/>
        </w:rPr>
        <w:t xml:space="preserve"> </w:t>
      </w:r>
      <w:r>
        <w:rPr>
          <w:rFonts w:ascii="Arial" w:cs="Arial" w:eastAsia="Arial" w:hAnsi="Arial"/>
          <w:sz w:val="18"/>
          <w:szCs w:val="18"/>
          <w:color w:val="auto"/>
        </w:rPr>
        <w:t>or terminate the 2022 Plan at any time. However, stockholder approval to amend the 2022 Plan may be necessary if the law or the 2022 Plan so requires. No amendment, alteration, suspension, discontinuance or termination will impair the rights of any participant or recipient of any award without the consent of the participant or recipient. Stockholder approval will not be required for any amendment that reduces the exercise price of any stock option or SAR, or cancels</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9" w:name="page100"/>
    <w:bookmarkEnd w:id="9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any stock option or SAR that has an exercise price that is greater than the then-current fair market value of Presto Common Stock in exchange for cash, other awards or stock options or SARs with an exercise price per share that is less than the exercise price per share of the original stock options or SARs.</w:t>
      </w:r>
    </w:p>
    <w:p>
      <w:pPr>
        <w:spacing w:after="0" w:line="98"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i w:val="1"/>
          <w:iCs w:val="1"/>
          <w:color w:val="auto"/>
        </w:rPr>
        <w:t xml:space="preserve">Adjustments; Corporate Transactions. </w:t>
      </w:r>
      <w:r>
        <w:rPr>
          <w:rFonts w:ascii="Arial" w:cs="Arial" w:eastAsia="Arial" w:hAnsi="Arial"/>
          <w:sz w:val="18"/>
          <w:szCs w:val="18"/>
          <w:color w:val="auto"/>
        </w:rPr>
        <w:t>In the event of certain capitalization events or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(as set forth in the 2022 Plan), including the consummation of a merger or consolidation of Presto with another corporation, the Committee may adjust the number of shares of Presto Common Stock or other securities of Presto (or number and kind of other securities or other property) subject to an award, the exercise or strike price of an award, or any applicable performance measure, and may provide for the substitution or assumption of outstanding awards in a manner that substantially preserves the terms of such awards, the acceleration of the exercisability or lapse of restrictions applicable to outstanding awards and the cancellation of outstanding awards in exchange for the consideration received by stockholders of Presto in connection with such transaction.</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2018 Equity Incentive Plan and 2008 Stock Incentive Plan</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2018 Equity Incentive Plan (the “2018 Plan”) was adopted by our Board in November 2018 and our 2008 Stock Incentive Plan (the “2008 Plan”) was adopted by our Board in 2008. The 2008 Plan terminated in connection with the adoption of the 2018 Plan and the 2018 Plan terminated in connection with the adoption of the 2022 Plan, although outstanding awards under each of the plans continue to be governed by the terms of the respective plans. Both plans provided for the grant of qualified and non-qualified stock options, restricted stock, RSUs and stock appreciation rights.</w:t>
      </w:r>
    </w:p>
    <w:p>
      <w:pPr>
        <w:spacing w:after="0" w:line="11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As of March 31, 2023, stock options to purchase 4,773,401 shares of Presto Common Stock with a weighted-average exercise price of $1.30 per share, and 844,857 RSUs were outstanding under the 2018 Plan and stock options to purchase 4,822,839 shares of Presto Common Stock with a weighted-average exercise price of $0.04 per share were outstanding under the 2008 Plan.</w:t>
      </w:r>
    </w:p>
    <w:p>
      <w:pPr>
        <w:spacing w:after="0" w:line="119"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Our 2018 Plan provides that it is administered by a committee consisting of at least one member of our Board or, if no such members are designated, our Board, and the 2008 Plan provides that it is administered by our Board. The committee, or Board, as applicable, has the authority to construe and interpret the plans and any award agreements; prescribe and modify the plans, or grant any waiver of any conditions of the plans or any award; approve grantees, and determine the form and terms of, awards; interpret the plans (including correcting any defects or inconsistencies); and make all other determinations and findings necessary or advisable for the administration of the plans. The determinations of the committee or the Board, as applicable, are final and binding. The committee or the Board, as applicable generally may delegate its authority to grant an award to officers of the Company or other committees of our Board to the extent permitted by law.</w:t>
      </w:r>
    </w:p>
    <w:p>
      <w:pPr>
        <w:spacing w:after="0" w:line="99"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In the event that the Company’s common stock is changed by a stock dividend, recapitalization, stock split, reverse stock split, subdivision, combination, reclassification or other change in the capital structure of the Company affecting shares of Presto Common Stock without consideration, then appropriate adjustments will be made to (a) the number and class of shares reserved for issuance under the plans or subject to outstanding awards and (b) the exercise prices, as applicable, and other terms and conditions of outstanding awards.</w:t>
      </w:r>
    </w:p>
    <w:p>
      <w:pPr>
        <w:spacing w:after="0" w:line="80"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In the event of a “change in control” (referred to as an “acquisition or other combination” in the 2018 Plan and a “reorganization event” in the 2008 Plan), the 2018 Plan provides that an award will be subject to the terms of the applicable transaction agreement, which will provide for one or more of the following: (1) continuation by the Company, (2) assumption or substitution, (3) full or partial vesting, (4) cash-out (including the cancelation for no consideration of any underwater stock option) or (5) cancelation of an unvested or unexercised award for no consideration and the 2008 Plan provides that the Presto Board may take one or more of the following actions with respect to outstanding awards on terms determined by the Presto Board:</w:t>
      </w:r>
    </w:p>
    <w:p>
      <w:pPr>
        <w:spacing w:after="0" w:line="2" w:lineRule="exact"/>
        <w:rPr>
          <w:sz w:val="20"/>
          <w:szCs w:val="20"/>
          <w:color w:val="auto"/>
        </w:rPr>
      </w:pPr>
    </w:p>
    <w:p>
      <w:pPr>
        <w:ind w:left="460" w:right="459" w:hanging="6"/>
        <w:spacing w:after="0" w:line="323" w:lineRule="auto"/>
        <w:tabs>
          <w:tab w:leader="none" w:pos="726" w:val="left"/>
        </w:tabs>
        <w:numPr>
          <w:ilvl w:val="0"/>
          <w:numId w:val="58"/>
        </w:numPr>
        <w:rPr>
          <w:rFonts w:ascii="Arial" w:cs="Arial" w:eastAsia="Arial" w:hAnsi="Arial"/>
          <w:sz w:val="16"/>
          <w:szCs w:val="16"/>
          <w:color w:val="auto"/>
        </w:rPr>
      </w:pPr>
      <w:r>
        <w:rPr>
          <w:rFonts w:ascii="Arial" w:cs="Arial" w:eastAsia="Arial" w:hAnsi="Arial"/>
          <w:sz w:val="16"/>
          <w:szCs w:val="16"/>
          <w:color w:val="auto"/>
        </w:rPr>
        <w:t>assumption or substitution, (2) termination if unexercised, (3) accelerate vesting or exercisability, (4) cash-out any in-the-money options or (5) cancelation of an unvested or unexercised award for no consideration.</w:t>
      </w:r>
    </w:p>
    <w:p>
      <w:pPr>
        <w:spacing w:after="0" w:line="7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Awards granted under our 2018 Plan and 2008 Plan generally may not be transferred or assigned in any manner other than by will, by the laws of descent and distribution, unless otherwise permitted by the committee or the Board.</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Presto Board may terminate any outstanding award under the 2018 Plan upon a dissolution or liquidation of the Company, followed by payment of the Company’s creditors and distribution of remaining funds to the Company’s stockholders. Further, the Presto Board may amend or terminate any award under the 2008 Plan without a participant’s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0" w:name="page101"/>
    <w:bookmarkEnd w:id="10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consent unless such amendment or termination would adversely impact the rights of the participant and may amend or substitute any award, without stockholder approval, to provide an exercise price that is lower than that provided in the applicable award.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Non-Employee Director Compensation</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During fiscal 2022, no director received cash, equity or other non-equity compensation for service on Presto’s Board.</w:t>
      </w:r>
    </w:p>
    <w:p>
      <w:pPr>
        <w:spacing w:after="0" w:line="10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In July 2022, each of Kim Lopdrup, who served as a member of the Presto Board until February 2023, and Gail Zauder were granted 60,744 RSUs under the 2018 Plan that vest in monthly increments over a 36 month period beginning October 2021.</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In connection with but prior to the Closing of the Business Combination, in September 2022, the Presto Board, upon receipt of the approval of Presto’s disinterested shareholders, granted Krishna K. Gupta approximately 1.2 million Presto RSUs, which are subject to the same terms as the 2018 Plan (although they were granted outside of the 2018 Plan) and the terms of the award agreement governing such RSUs and are subject to a three year service-based vesting schedule.</w:t>
      </w:r>
    </w:p>
    <w:p>
      <w:pPr>
        <w:spacing w:after="0" w:line="120"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In March 2023, Presto adopted a director compensation program that is designed to align compensation with its business objectives and the creation of stockholder value, while enabling Presto to attract, retain, incentivize and reward directors who contribute to the long-term success of Presto. Pursuant to the program, upon joining the Board, each non-employee director will receive an initial grant of RSUs having a value equal to $200,000, which vest quarterly over a three-year period. The program provides for an annual cash retainer of $40,000 per year, paid quarterly, and an annual RSU award with a value of $125,000 that vests in full on the earlier of one year from the date of grant, or the day prior to the next annual meeting of stockholders. Additionally, the program provides for the following additional cash compensation, which will be paid quarterly, for service on Board committees and for the Non-Executive Chair and Lead Director roles: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Non-Executive Chair</w:t>
            </w:r>
          </w:p>
        </w:tc>
        <w:tc>
          <w:tcPr>
            <w:tcW w:w="23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Lead Independent Director</w:t>
            </w:r>
          </w:p>
        </w:tc>
        <w:tc>
          <w:tcPr>
            <w:tcW w:w="23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40"/>
        </w:trPr>
        <w:tc>
          <w:tcPr>
            <w:tcW w:w="49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3"/>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Committee Chairs</w:t>
            </w:r>
          </w:p>
        </w:tc>
        <w:tc>
          <w:tcPr>
            <w:tcW w:w="23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Audit</w:t>
            </w:r>
          </w:p>
        </w:tc>
        <w:tc>
          <w:tcPr>
            <w:tcW w:w="23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40"/>
        </w:trPr>
        <w:tc>
          <w:tcPr>
            <w:tcW w:w="49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3"/>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Strategic Finance</w:t>
            </w:r>
          </w:p>
        </w:tc>
        <w:tc>
          <w:tcPr>
            <w:tcW w:w="23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23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14,000</w:t>
            </w:r>
          </w:p>
        </w:tc>
      </w:tr>
      <w:tr>
        <w:trPr>
          <w:trHeight w:val="40"/>
        </w:trPr>
        <w:tc>
          <w:tcPr>
            <w:tcW w:w="49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4"/>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Nominating and Corporate Governance</w:t>
            </w:r>
          </w:p>
        </w:tc>
        <w:tc>
          <w:tcPr>
            <w:tcW w:w="23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Committee Membership</w:t>
            </w:r>
          </w:p>
        </w:tc>
        <w:tc>
          <w:tcPr>
            <w:tcW w:w="2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40"/>
        </w:trPr>
        <w:tc>
          <w:tcPr>
            <w:tcW w:w="49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3"/>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Audit</w:t>
            </w:r>
          </w:p>
        </w:tc>
        <w:tc>
          <w:tcPr>
            <w:tcW w:w="23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Strategic Finance</w:t>
            </w:r>
          </w:p>
        </w:tc>
        <w:tc>
          <w:tcPr>
            <w:tcW w:w="23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40"/>
        </w:trPr>
        <w:tc>
          <w:tcPr>
            <w:tcW w:w="49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3"/>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23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Nominating and Corporate Governance</w:t>
            </w:r>
          </w:p>
        </w:tc>
        <w:tc>
          <w:tcPr>
            <w:tcW w:w="23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4,500</w:t>
            </w:r>
          </w:p>
        </w:tc>
      </w:tr>
    </w:tbl>
    <w:p>
      <w:pPr>
        <w:spacing w:after="0" w:line="215"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Compensation Committee of Presto’s Board expects to review director compensation periodically to ensure that director compensation remains competitive such that Presto is able to recruit and retain qualified directors.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1" w:name="page102"/>
    <w:bookmarkEnd w:id="10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OF SECURITIES</w:t>
      </w:r>
    </w:p>
    <w:p>
      <w:pPr>
        <w:spacing w:after="0" w:line="148"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capital stock as of June 15, 2023 by:</w:t>
      </w:r>
    </w:p>
    <w:p>
      <w:pPr>
        <w:spacing w:after="0" w:line="103" w:lineRule="exact"/>
        <w:rPr>
          <w:sz w:val="20"/>
          <w:szCs w:val="20"/>
          <w:color w:val="auto"/>
        </w:rPr>
      </w:pPr>
    </w:p>
    <w:p>
      <w:pPr>
        <w:ind w:left="1320" w:hanging="434"/>
        <w:spacing w:after="0"/>
        <w:tabs>
          <w:tab w:leader="none" w:pos="1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person who is the beneficial owner of more than 5% of Presto Common Stock;</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person who is a named executive officer or director of the Company; and</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executive officers and directors of the Company, as a group.</w:t>
      </w:r>
    </w:p>
    <w:p>
      <w:pPr>
        <w:spacing w:after="0" w:line="15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Beneficial ownership is determined in accordance with the rules of the SEC. In computing the number of shares beneficially owned by a person and the percentage ownership of that person, shares of common stock subject to options or warrants held by that person that are currently exercisable or exercisable within 60 days of June 15, 2023 are deemed outstanding, but are not deemed outstanding for computing the percentage ownership of any other person. The percentage of beneficial ownership is based on 56,389,005 shares of our Common Stock outstanding as of June 15, 2023.</w:t>
      </w:r>
    </w:p>
    <w:p>
      <w:pPr>
        <w:spacing w:after="0" w:line="110"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Unless otherwise indicated, the Company believes that all persons named below have sole voting and investment power with respect to the voting securities indicated in the table below and the corresponding footnotes as being beneficially owned by them.</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r>
      <w:tr>
        <w:trPr>
          <w:trHeight w:val="203"/>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shares of Presto</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4"/>
              </w:rPr>
              <w:t>Presto</w:t>
            </w:r>
          </w:p>
        </w:tc>
      </w:tr>
      <w:tr>
        <w:trPr>
          <w:trHeight w:val="253"/>
        </w:trPr>
        <w:tc>
          <w:tcPr>
            <w:tcW w:w="5500" w:type="dxa"/>
            <w:vAlign w:val="bottom"/>
          </w:tcPr>
          <w:p>
            <w:pPr>
              <w:spacing w:after="0"/>
              <w:rPr>
                <w:sz w:val="20"/>
                <w:szCs w:val="20"/>
                <w:color w:val="auto"/>
              </w:rPr>
            </w:pPr>
            <w:r>
              <w:rPr>
                <w:rFonts w:ascii="Arial" w:cs="Arial" w:eastAsia="Arial" w:hAnsi="Arial"/>
                <w:sz w:val="16"/>
                <w:szCs w:val="16"/>
                <w:b w:val="1"/>
                <w:bCs w:val="1"/>
                <w:color w:val="auto"/>
              </w:rPr>
              <w:t>Name and Address of Beneficial Owner</w:t>
            </w:r>
            <w:r>
              <w:rPr>
                <w:rFonts w:ascii="Arial" w:cs="Arial" w:eastAsia="Arial" w:hAnsi="Arial"/>
                <w:sz w:val="18"/>
                <w:szCs w:val="18"/>
                <w:b w:val="1"/>
                <w:bCs w:val="1"/>
                <w:color w:val="auto"/>
                <w:vertAlign w:val="superscript"/>
              </w:rPr>
              <w:t>(1)</w:t>
            </w:r>
          </w:p>
        </w:tc>
        <w:tc>
          <w:tcPr>
            <w:tcW w:w="100" w:type="dxa"/>
            <w:vAlign w:val="bottom"/>
          </w:tcPr>
          <w:p>
            <w:pPr>
              <w:spacing w:after="0"/>
              <w:rPr>
                <w:sz w:val="21"/>
                <w:szCs w:val="21"/>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Common Stock</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0"/>
              </w:rPr>
              <w:t>Common Stock</w:t>
            </w:r>
          </w:p>
        </w:tc>
      </w:tr>
      <w:tr>
        <w:trPr>
          <w:trHeight w:val="261"/>
        </w:trPr>
        <w:tc>
          <w:tcPr>
            <w:tcW w:w="55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Directors and Executive Officers</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80"/>
        </w:trPr>
        <w:tc>
          <w:tcPr>
            <w:tcW w:w="5500" w:type="dxa"/>
            <w:vAlign w:val="bottom"/>
          </w:tcPr>
          <w:p>
            <w:pPr>
              <w:spacing w:after="0"/>
              <w:rPr>
                <w:sz w:val="20"/>
                <w:szCs w:val="20"/>
                <w:color w:val="auto"/>
              </w:rPr>
            </w:pPr>
            <w:r>
              <w:rPr>
                <w:rFonts w:ascii="Arial" w:cs="Arial" w:eastAsia="Arial" w:hAnsi="Arial"/>
                <w:sz w:val="18"/>
                <w:szCs w:val="18"/>
                <w:color w:val="auto"/>
              </w:rPr>
              <w:t>Krishna K. Gupta</w:t>
            </w:r>
            <w:r>
              <w:rPr>
                <w:rFonts w:ascii="Arial" w:cs="Arial" w:eastAsia="Arial" w:hAnsi="Arial"/>
                <w:sz w:val="20"/>
                <w:szCs w:val="20"/>
                <w:color w:val="auto"/>
                <w:vertAlign w:val="superscript"/>
              </w:rPr>
              <w:t>(2)</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15,046,019</w:t>
            </w:r>
          </w:p>
        </w:tc>
        <w:tc>
          <w:tcPr>
            <w:tcW w:w="124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67"/>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Keith Kravcik</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0"/>
        </w:trPr>
        <w:tc>
          <w:tcPr>
            <w:tcW w:w="5500" w:type="dxa"/>
            <w:vAlign w:val="bottom"/>
          </w:tcPr>
          <w:p>
            <w:pPr>
              <w:spacing w:after="0"/>
              <w:rPr>
                <w:sz w:val="20"/>
                <w:szCs w:val="20"/>
                <w:color w:val="auto"/>
              </w:rPr>
            </w:pPr>
            <w:r>
              <w:rPr>
                <w:rFonts w:ascii="Arial" w:cs="Arial" w:eastAsia="Arial" w:hAnsi="Arial"/>
                <w:sz w:val="18"/>
                <w:szCs w:val="18"/>
                <w:color w:val="auto"/>
              </w:rPr>
              <w:t>Gail Zauder</w:t>
            </w:r>
            <w:r>
              <w:rPr>
                <w:rFonts w:ascii="Arial" w:cs="Arial" w:eastAsia="Arial" w:hAnsi="Arial"/>
                <w:sz w:val="20"/>
                <w:szCs w:val="20"/>
                <w:color w:val="auto"/>
                <w:vertAlign w:val="superscript"/>
              </w:rPr>
              <w:t>(3)</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52,517</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Scott Raskin</w:t>
            </w:r>
            <w:r>
              <w:rPr>
                <w:rFonts w:ascii="Arial" w:cs="Arial" w:eastAsia="Arial" w:hAnsi="Arial"/>
                <w:sz w:val="20"/>
                <w:szCs w:val="20"/>
                <w:color w:val="auto"/>
                <w:vertAlign w:val="superscript"/>
              </w:rPr>
              <w:t>(4)</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13,968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0"/>
        </w:trPr>
        <w:tc>
          <w:tcPr>
            <w:tcW w:w="5500" w:type="dxa"/>
            <w:vAlign w:val="bottom"/>
          </w:tcPr>
          <w:p>
            <w:pPr>
              <w:spacing w:after="0"/>
              <w:rPr>
                <w:sz w:val="20"/>
                <w:szCs w:val="20"/>
                <w:color w:val="auto"/>
              </w:rPr>
            </w:pPr>
            <w:r>
              <w:rPr>
                <w:rFonts w:ascii="Arial" w:cs="Arial" w:eastAsia="Arial" w:hAnsi="Arial"/>
                <w:sz w:val="18"/>
                <w:szCs w:val="18"/>
                <w:color w:val="auto"/>
              </w:rPr>
              <w:t>Ilya Golubovich</w:t>
            </w:r>
            <w:r>
              <w:rPr>
                <w:rFonts w:ascii="Arial" w:cs="Arial" w:eastAsia="Arial" w:hAnsi="Arial"/>
                <w:sz w:val="20"/>
                <w:szCs w:val="20"/>
                <w:color w:val="auto"/>
                <w:vertAlign w:val="superscript"/>
              </w:rPr>
              <w:t>(5)</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4,444,901</w:t>
            </w:r>
          </w:p>
        </w:tc>
        <w:tc>
          <w:tcPr>
            <w:tcW w:w="12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8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Dan Mosher</w:t>
            </w:r>
            <w:r>
              <w:rPr>
                <w:rFonts w:ascii="Arial" w:cs="Arial" w:eastAsia="Arial" w:hAnsi="Arial"/>
                <w:sz w:val="20"/>
                <w:szCs w:val="20"/>
                <w:color w:val="auto"/>
                <w:vertAlign w:val="superscript"/>
              </w:rPr>
              <w:t>(6)</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312,710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0"/>
        </w:trPr>
        <w:tc>
          <w:tcPr>
            <w:tcW w:w="5500" w:type="dxa"/>
            <w:vAlign w:val="bottom"/>
          </w:tcPr>
          <w:p>
            <w:pPr>
              <w:spacing w:after="0"/>
              <w:rPr>
                <w:sz w:val="20"/>
                <w:szCs w:val="20"/>
                <w:color w:val="auto"/>
              </w:rPr>
            </w:pPr>
            <w:r>
              <w:rPr>
                <w:rFonts w:ascii="Arial" w:cs="Arial" w:eastAsia="Arial" w:hAnsi="Arial"/>
                <w:sz w:val="18"/>
                <w:szCs w:val="18"/>
                <w:color w:val="auto"/>
              </w:rPr>
              <w:t>Edward Scheetz</w:t>
            </w:r>
            <w:r>
              <w:rPr>
                <w:rFonts w:ascii="Arial" w:cs="Arial" w:eastAsia="Arial" w:hAnsi="Arial"/>
                <w:sz w:val="20"/>
                <w:szCs w:val="20"/>
                <w:color w:val="auto"/>
                <w:vertAlign w:val="superscript"/>
              </w:rPr>
              <w:t>(7)</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631,023</w:t>
            </w: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8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Rajat Suri</w:t>
            </w:r>
            <w:r>
              <w:rPr>
                <w:rFonts w:ascii="Arial" w:cs="Arial" w:eastAsia="Arial" w:hAnsi="Arial"/>
                <w:sz w:val="20"/>
                <w:szCs w:val="20"/>
                <w:color w:val="auto"/>
                <w:vertAlign w:val="superscript"/>
              </w:rPr>
              <w:t>(8)</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8,038,273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80"/>
        </w:trPr>
        <w:tc>
          <w:tcPr>
            <w:tcW w:w="5500" w:type="dxa"/>
            <w:vAlign w:val="bottom"/>
          </w:tcPr>
          <w:p>
            <w:pPr>
              <w:spacing w:after="0"/>
              <w:rPr>
                <w:sz w:val="20"/>
                <w:szCs w:val="20"/>
                <w:color w:val="auto"/>
              </w:rPr>
            </w:pPr>
            <w:r>
              <w:rPr>
                <w:rFonts w:ascii="Arial" w:cs="Arial" w:eastAsia="Arial" w:hAnsi="Arial"/>
                <w:sz w:val="18"/>
                <w:szCs w:val="18"/>
                <w:color w:val="auto"/>
              </w:rPr>
              <w:t>Ashish Gupta</w:t>
            </w:r>
            <w:r>
              <w:rPr>
                <w:rFonts w:ascii="Arial" w:cs="Arial" w:eastAsia="Arial" w:hAnsi="Arial"/>
                <w:sz w:val="20"/>
                <w:szCs w:val="20"/>
                <w:color w:val="auto"/>
                <w:vertAlign w:val="superscript"/>
              </w:rPr>
              <w:t>(9)</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797,008</w:t>
            </w: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67"/>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(ten individuals)</w:t>
            </w:r>
          </w:p>
        </w:tc>
        <w:tc>
          <w:tcPr>
            <w:tcW w:w="1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30,318,334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Five Percent Holders:</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40"/>
        </w:trPr>
        <w:tc>
          <w:tcPr>
            <w:tcW w:w="5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84"/>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Cleveland Avenue, LLC</w:t>
            </w:r>
            <w:r>
              <w:rPr>
                <w:rFonts w:ascii="Arial" w:cs="Arial" w:eastAsia="Arial" w:hAnsi="Arial"/>
                <w:sz w:val="20"/>
                <w:szCs w:val="20"/>
                <w:color w:val="auto"/>
                <w:vertAlign w:val="superscript"/>
              </w:rPr>
              <w:t>(10)</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8,500,000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77"/>
        </w:trPr>
        <w:tc>
          <w:tcPr>
            <w:tcW w:w="5500" w:type="dxa"/>
            <w:vAlign w:val="bottom"/>
          </w:tcPr>
          <w:p>
            <w:pPr>
              <w:spacing w:after="0"/>
              <w:rPr>
                <w:sz w:val="20"/>
                <w:szCs w:val="20"/>
                <w:color w:val="auto"/>
              </w:rPr>
            </w:pPr>
            <w:r>
              <w:rPr>
                <w:rFonts w:ascii="Arial" w:cs="Arial" w:eastAsia="Arial" w:hAnsi="Arial"/>
                <w:sz w:val="18"/>
                <w:szCs w:val="18"/>
                <w:color w:val="auto"/>
              </w:rPr>
              <w:t>Chardan International Investments, LLC</w:t>
            </w:r>
            <w:r>
              <w:rPr>
                <w:rFonts w:ascii="Arial" w:cs="Arial" w:eastAsia="Arial" w:hAnsi="Arial"/>
                <w:sz w:val="20"/>
                <w:szCs w:val="20"/>
                <w:color w:val="auto"/>
                <w:vertAlign w:val="superscript"/>
              </w:rPr>
              <w:t>(11)</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2,983,171</w:t>
            </w: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Less than one percent.</w:t>
      </w:r>
    </w:p>
    <w:p>
      <w:pPr>
        <w:spacing w:after="0" w:line="22" w:lineRule="exact"/>
        <w:rPr>
          <w:sz w:val="20"/>
          <w:szCs w:val="20"/>
          <w:color w:val="auto"/>
        </w:rPr>
      </w:pPr>
    </w:p>
    <w:p>
      <w:pPr>
        <w:ind w:left="880" w:right="459" w:hanging="426"/>
        <w:spacing w:after="0" w:line="264" w:lineRule="auto"/>
        <w:tabs>
          <w:tab w:leader="none" w:pos="8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of Presto’s stockholders is c/o Presto Automation Inc., 985 Industrial Road, San Carlos, CA 94070.</w:t>
      </w:r>
    </w:p>
    <w:p>
      <w:pPr>
        <w:jc w:val="both"/>
        <w:ind w:left="880" w:right="459" w:hanging="426"/>
        <w:spacing w:after="0" w:line="301" w:lineRule="auto"/>
        <w:tabs>
          <w:tab w:leader="none" w:pos="8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Consists of (i) (a) 1,479,680 shares of Presto Common Stock and (b) 695,629 options to purchase shares of Presto Common Stock exercisable within 60 days owned by KKG Enterprises LLC, for which Krishna K. Gupta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 of Romulus II, through which Mr. Gupta exercises joint voting and dispositive control of the Presto Common Stock held by Romulus II; (iv) 8,225,642 shares of Presto Common Stock held of record by Romulus Capital III, L.P. (“Romulus III”), for which Mr. Gupta is one of two 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Presto Common Stock held by Romulus Special Opportunity; and</w:t>
      </w:r>
    </w:p>
    <w:p>
      <w:pPr>
        <w:spacing w:after="0" w:line="8" w:lineRule="exact"/>
        <w:rPr>
          <w:rFonts w:ascii="Arial" w:cs="Arial" w:eastAsia="Arial" w:hAnsi="Arial"/>
          <w:sz w:val="14"/>
          <w:szCs w:val="14"/>
          <w:color w:val="auto"/>
        </w:rPr>
      </w:pPr>
    </w:p>
    <w:p>
      <w:pPr>
        <w:ind w:left="880" w:right="459" w:firstLine="6"/>
        <w:spacing w:after="0" w:line="288" w:lineRule="auto"/>
        <w:tabs>
          <w:tab w:leader="none" w:pos="1190" w:val="left"/>
        </w:tabs>
        <w:numPr>
          <w:ilvl w:val="1"/>
          <w:numId w:val="61"/>
        </w:numPr>
        <w:rPr>
          <w:rFonts w:ascii="Arial" w:cs="Arial" w:eastAsia="Arial" w:hAnsi="Arial"/>
          <w:sz w:val="16"/>
          <w:szCs w:val="16"/>
          <w:color w:val="auto"/>
        </w:rPr>
      </w:pPr>
      <w:r>
        <w:rPr>
          <w:rFonts w:ascii="Arial" w:cs="Arial" w:eastAsia="Arial" w:hAnsi="Arial"/>
          <w:sz w:val="16"/>
          <w:szCs w:val="16"/>
          <w:color w:val="auto"/>
        </w:rPr>
        <w:t>638,076 shares of Presto Common Stock held of record by Zaffran Special Opportunities LLC, for which Mr. Gupta is the sole general partner.</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2" w:name="page103"/>
    <w:bookmarkEnd w:id="10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ind w:left="880" w:hanging="426"/>
        <w:spacing w:after="0"/>
        <w:tabs>
          <w:tab w:leader="none" w:pos="8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Consists of 52,517 options to purchase shares of Presto Common Stock exercisable within 60 days.</w:t>
      </w:r>
    </w:p>
    <w:p>
      <w:pPr>
        <w:spacing w:after="0" w:line="12" w:lineRule="exact"/>
        <w:rPr>
          <w:rFonts w:ascii="Arial" w:cs="Arial" w:eastAsia="Arial" w:hAnsi="Arial"/>
          <w:sz w:val="16"/>
          <w:szCs w:val="16"/>
          <w:color w:val="auto"/>
        </w:rPr>
      </w:pPr>
    </w:p>
    <w:p>
      <w:pPr>
        <w:ind w:left="880" w:hanging="426"/>
        <w:spacing w:after="0"/>
        <w:tabs>
          <w:tab w:leader="none" w:pos="8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Consists of 13,968 options to purchase shares of Presto Common Stock exercisable within 60 days.</w:t>
      </w:r>
    </w:p>
    <w:p>
      <w:pPr>
        <w:spacing w:after="0" w:line="18" w:lineRule="exact"/>
        <w:rPr>
          <w:rFonts w:ascii="Arial" w:cs="Arial" w:eastAsia="Arial" w:hAnsi="Arial"/>
          <w:sz w:val="16"/>
          <w:szCs w:val="16"/>
          <w:color w:val="auto"/>
        </w:rPr>
      </w:pPr>
    </w:p>
    <w:p>
      <w:pPr>
        <w:jc w:val="both"/>
        <w:ind w:left="880" w:right="459" w:hanging="426"/>
        <w:spacing w:after="0" w:line="264" w:lineRule="auto"/>
        <w:tabs>
          <w:tab w:leader="none" w:pos="8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Consists of (i) 4,429,505 shares of Presto Common Stock and (ii) 15,396 options to purchase shares of Presto Common Stock exercisable within 60 days held of record by I2BF Global Investments LTD (“I2BF”). Ilya Golubovich is the sole director of I2BF and possesses both voting and dispositive power over the shares. The business address of I2BF is C/O HSM Corporate Services Ltd. 68 Fort Street, PO Box 31726, Grand Cayman KY 1-1297, Cayman Islands.</w:t>
      </w:r>
    </w:p>
    <w:p>
      <w:pPr>
        <w:ind w:left="880" w:hanging="426"/>
        <w:spacing w:after="0"/>
        <w:tabs>
          <w:tab w:leader="none" w:pos="8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Consists of 312,710 options to purchase shares of Presto Common Stock exercisable within 60 days.</w:t>
      </w:r>
    </w:p>
    <w:p>
      <w:pPr>
        <w:spacing w:after="0" w:line="18" w:lineRule="exact"/>
        <w:rPr>
          <w:rFonts w:ascii="Arial" w:cs="Arial" w:eastAsia="Arial" w:hAnsi="Arial"/>
          <w:sz w:val="16"/>
          <w:szCs w:val="16"/>
          <w:color w:val="auto"/>
        </w:rPr>
      </w:pPr>
    </w:p>
    <w:p>
      <w:pPr>
        <w:jc w:val="both"/>
        <w:ind w:left="880" w:right="459" w:hanging="426"/>
        <w:spacing w:after="0" w:line="281" w:lineRule="auto"/>
        <w:tabs>
          <w:tab w:leader="none" w:pos="8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Consists of (i) 615,627 shares of Presto Common Stock and (ii) 15,396 options to purchase shares of Presto Common Stock exercisable within 60 days. Includes shares owned by Ventoux Acquisition Holdings LLC, for which Edward Scheetz is a managing member and has voting and/or dispositive powers with respect to such shares.</w:t>
      </w:r>
    </w:p>
    <w:p>
      <w:pPr>
        <w:spacing w:after="0" w:line="1" w:lineRule="exact"/>
        <w:rPr>
          <w:rFonts w:ascii="Arial" w:cs="Arial" w:eastAsia="Arial" w:hAnsi="Arial"/>
          <w:sz w:val="15"/>
          <w:szCs w:val="15"/>
          <w:color w:val="auto"/>
        </w:rPr>
      </w:pPr>
    </w:p>
    <w:p>
      <w:pPr>
        <w:jc w:val="both"/>
        <w:ind w:left="880" w:right="459" w:hanging="426"/>
        <w:spacing w:after="0" w:line="264" w:lineRule="auto"/>
        <w:tabs>
          <w:tab w:leader="none" w:pos="8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Consists of (i) 2,220,462 shares of Presto Common Stock and (ii) 5,817,811 options to purchase shares of Presto Common Stock exercisable within 60 days. Mr. Suri resigned from his roles with the Company on March 21, 2023, and any unvested stock options were accelerated on March 25, 2023 and any stock options vested as of such date would remain exercisable for three years.</w:t>
      </w:r>
    </w:p>
    <w:p>
      <w:pPr>
        <w:jc w:val="both"/>
        <w:ind w:left="880" w:right="459" w:hanging="426"/>
        <w:spacing w:after="0" w:line="264" w:lineRule="auto"/>
        <w:tabs>
          <w:tab w:leader="none" w:pos="8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Consists of 797,008 options to purchase shares of Presto Common Stock exercisable within 60 days. The terms of Mr. Gupta’s stock options were amended in connection with the Consulting Agreement entered into in March 2023 to provide for continued vesting through the term of his consulting arrangement and that any stock options vested as of the date of the consulting agreement will remain exercisable for three years.</w:t>
      </w:r>
    </w:p>
    <w:p>
      <w:pPr>
        <w:jc w:val="both"/>
        <w:ind w:left="880" w:right="459" w:hanging="426"/>
        <w:spacing w:after="0" w:line="281" w:lineRule="auto"/>
        <w:tabs>
          <w:tab w:leader="none" w:pos="8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Consists of 8,500,000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3" w:lineRule="exact"/>
        <w:rPr>
          <w:rFonts w:ascii="Arial" w:cs="Arial" w:eastAsia="Arial" w:hAnsi="Arial"/>
          <w:sz w:val="15"/>
          <w:szCs w:val="15"/>
          <w:color w:val="auto"/>
        </w:rPr>
      </w:pPr>
    </w:p>
    <w:p>
      <w:pPr>
        <w:jc w:val="both"/>
        <w:ind w:left="880" w:right="459" w:hanging="426"/>
        <w:spacing w:after="0" w:line="274" w:lineRule="auto"/>
        <w:tabs>
          <w:tab w:leader="none" w:pos="874"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Consists of (i) 1,108,171 shares of Presto Common Stock and 1,875,000 private placement warrants held by Chardan International Investments,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Floor, New York, NY 10004.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3" w:name="page104"/>
    <w:bookmarkEnd w:id="10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4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The shares of Presto Common Stock being offered by the Selling Securityholders are those previously issued to certain Selling Securityholders pursuant to the Purchase Agreement and shares of Presto Common Stock issuable upon the exercise of the Resale Warrants. For additional information regarding the issuances of those Resale Shares, see “Purchase Agreement” and “Second Amendment to Credit Agreement” above. We are registering the Resale Shares in order to permit the Selling Securityholder to offer the Resale Shares for resale from time to time. Except for the ownership of the Resale Shares, and except as described below, the Selling Securityholders have not had any material relationship with us within the past three years.</w:t>
      </w:r>
    </w:p>
    <w:p>
      <w:pPr>
        <w:spacing w:after="0" w:line="99"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Cleveland Avenue LLC is a beneficial owner of more than 5% of Presto Common Stock with approximately 15.1% beneficial ownership based on 56,389,005 shares of Presto Common Stock outstanding as of June 15, 2023. Keith Kravcik, a director and significant stockholder of the Company, is the Chief Financial Officer and Chief Investment Officer for all of Cleveland Avenue LLC’s various investment funds.</w:t>
      </w:r>
    </w:p>
    <w:p>
      <w:pPr>
        <w:spacing w:after="0" w:line="9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Presto is party to the Credit Agreement with Metropolitan, as administrative, payment and collateral agent, the lenders and other parties party thereto, pursuant to which such lenders extended us term loans having an aggregate original principal amount of $55 million, which the Company borrowed in full at the consummation of the Business Combination.</w:t>
      </w:r>
    </w:p>
    <w:p>
      <w:pPr>
        <w:spacing w:after="0" w:line="10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table below lists the Selling Securityholders and other information regarding the beneficial ownership of the shares of Presto Common Stock by each of the Selling Securityholders. The first column lists the number of shares of Presto Common Stock beneficially owned by each Selling Securityholder, based on its ownership of the shares of common stock, as of June 15, 2023.</w:t>
      </w:r>
    </w:p>
    <w:p>
      <w:pPr>
        <w:spacing w:after="0" w:line="11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third column lists the shares of Presto Common Stock being offered by this prospectus by the Selling Securityholders.</w:t>
      </w:r>
    </w:p>
    <w:p>
      <w:pPr>
        <w:spacing w:after="0" w:line="103"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In accordance with the terms of the 2023 PIPE Registration Rights Agreement and Metropolitan Registration Rights Agreement with the Selling Securityholders, this prospectus generally covers the resale of the number of shares of Presto Common Stock issued to the Selling Securityholders as set forth in the “Purchase Agreement” and “Second Amendment to Credit Agreement” described above. The fourth column assumes the sale of all of the Resale Shares offered by the Selling Securityholders pursuant to this prospectus.</w:t>
      </w:r>
    </w:p>
    <w:p>
      <w:pPr>
        <w:spacing w:after="0" w:line="80"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Selling Securityholders may sell all, some or none of their shares in this offering. See “Plan of Distribution.”</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Common Stock</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Maximum</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80" w:type="dxa"/>
            <w:vAlign w:val="bottom"/>
            <w:gridSpan w:val="4"/>
            <w:vMerge w:val="restart"/>
          </w:tcPr>
          <w:p>
            <w:pPr>
              <w:jc w:val="center"/>
              <w:ind w:right="100"/>
              <w:spacing w:after="0"/>
              <w:rPr>
                <w:sz w:val="20"/>
                <w:szCs w:val="20"/>
                <w:color w:val="auto"/>
              </w:rPr>
            </w:pPr>
            <w:r>
              <w:rPr>
                <w:rFonts w:ascii="Arial" w:cs="Arial" w:eastAsia="Arial" w:hAnsi="Arial"/>
                <w:sz w:val="16"/>
                <w:szCs w:val="16"/>
                <w:b w:val="1"/>
                <w:bCs w:val="1"/>
                <w:color w:val="auto"/>
                <w:w w:val="92"/>
              </w:rPr>
              <w:t>Beneficially</w:t>
            </w:r>
          </w:p>
        </w:tc>
        <w:tc>
          <w:tcPr>
            <w:tcW w:w="1240" w:type="dxa"/>
            <w:vAlign w:val="bottom"/>
            <w:gridSpan w:val="2"/>
            <w:vMerge w:val="continue"/>
          </w:tcPr>
          <w:p>
            <w:pPr>
              <w:spacing w:after="0"/>
              <w:rPr>
                <w:sz w:val="4"/>
                <w:szCs w:val="4"/>
                <w:color w:val="auto"/>
              </w:rPr>
            </w:pPr>
          </w:p>
        </w:tc>
        <w:tc>
          <w:tcPr>
            <w:tcW w:w="24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1"/>
              </w:rPr>
              <w:t>Common Stock</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4"/>
            <w:vMerge w:val="continue"/>
          </w:tcPr>
          <w:p>
            <w:pPr>
              <w:spacing w:after="0"/>
              <w:rPr>
                <w:sz w:val="14"/>
                <w:szCs w:val="14"/>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2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80" w:type="dxa"/>
            <w:vAlign w:val="bottom"/>
            <w:gridSpan w:val="4"/>
            <w:vMerge w:val="restart"/>
          </w:tcPr>
          <w:p>
            <w:pPr>
              <w:jc w:val="center"/>
              <w:ind w:right="120"/>
              <w:spacing w:after="0"/>
              <w:rPr>
                <w:sz w:val="20"/>
                <w:szCs w:val="20"/>
                <w:color w:val="auto"/>
              </w:rPr>
            </w:pPr>
            <w:r>
              <w:rPr>
                <w:rFonts w:ascii="Arial" w:cs="Arial" w:eastAsia="Arial" w:hAnsi="Arial"/>
                <w:sz w:val="16"/>
                <w:szCs w:val="16"/>
                <w:b w:val="1"/>
                <w:bCs w:val="1"/>
                <w:color w:val="auto"/>
                <w:w w:val="94"/>
              </w:rPr>
              <w:t>Owned Prior to</w:t>
            </w:r>
          </w:p>
        </w:tc>
        <w:tc>
          <w:tcPr>
            <w:tcW w:w="1240" w:type="dxa"/>
            <w:vAlign w:val="bottom"/>
            <w:gridSpan w:val="2"/>
            <w:vMerge w:val="continue"/>
          </w:tcPr>
          <w:p>
            <w:pPr>
              <w:spacing w:after="0"/>
              <w:rPr>
                <w:sz w:val="3"/>
                <w:szCs w:val="3"/>
                <w:color w:val="auto"/>
              </w:rPr>
            </w:pPr>
          </w:p>
        </w:tc>
        <w:tc>
          <w:tcPr>
            <w:tcW w:w="24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2"/>
              </w:rPr>
              <w:t>Owned After</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4"/>
            <w:vMerge w:val="continue"/>
          </w:tcPr>
          <w:p>
            <w:pPr>
              <w:spacing w:after="0"/>
              <w:rPr>
                <w:sz w:val="12"/>
                <w:szCs w:val="12"/>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Common Stock</w:t>
            </w:r>
          </w:p>
        </w:tc>
        <w:tc>
          <w:tcPr>
            <w:tcW w:w="24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80" w:type="dxa"/>
            <w:vAlign w:val="bottom"/>
            <w:gridSpan w:val="4"/>
            <w:vMerge w:val="restart"/>
          </w:tcPr>
          <w:p>
            <w:pPr>
              <w:jc w:val="center"/>
              <w:ind w:right="120"/>
              <w:spacing w:after="0"/>
              <w:rPr>
                <w:sz w:val="20"/>
                <w:szCs w:val="20"/>
                <w:color w:val="auto"/>
              </w:rPr>
            </w:pPr>
            <w:r>
              <w:rPr>
                <w:rFonts w:ascii="Arial" w:cs="Arial" w:eastAsia="Arial" w:hAnsi="Arial"/>
                <w:sz w:val="16"/>
                <w:szCs w:val="16"/>
                <w:b w:val="1"/>
                <w:bCs w:val="1"/>
                <w:color w:val="auto"/>
                <w:w w:val="92"/>
              </w:rPr>
              <w:t>this Offering</w:t>
            </w:r>
          </w:p>
        </w:tc>
        <w:tc>
          <w:tcPr>
            <w:tcW w:w="1240" w:type="dxa"/>
            <w:vAlign w:val="bottom"/>
            <w:gridSpan w:val="2"/>
            <w:vMerge w:val="continue"/>
          </w:tcPr>
          <w:p>
            <w:pPr>
              <w:spacing w:after="0"/>
              <w:rPr>
                <w:sz w:val="4"/>
                <w:szCs w:val="4"/>
                <w:color w:val="auto"/>
              </w:rPr>
            </w:pPr>
          </w:p>
        </w:tc>
        <w:tc>
          <w:tcPr>
            <w:tcW w:w="24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1"/>
              </w:rPr>
              <w:t>this Offering</w:t>
            </w:r>
            <w:r>
              <w:rPr>
                <w:rFonts w:ascii="Arial" w:cs="Arial" w:eastAsia="Arial" w:hAnsi="Arial"/>
                <w:sz w:val="18"/>
                <w:szCs w:val="18"/>
                <w:b w:val="1"/>
                <w:bCs w:val="1"/>
                <w:color w:val="auto"/>
                <w:w w:val="91"/>
                <w:vertAlign w:val="superscript"/>
              </w:rPr>
              <w:t>(1)</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4"/>
            <w:vMerge w:val="continue"/>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to be Offered</w:t>
            </w:r>
          </w:p>
        </w:tc>
        <w:tc>
          <w:tcPr>
            <w:tcW w:w="24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980" w:type="dxa"/>
            <w:vAlign w:val="bottom"/>
            <w:gridSpan w:val="2"/>
          </w:tcPr>
          <w:p>
            <w:pPr>
              <w:spacing w:after="0" w:line="182" w:lineRule="exact"/>
              <w:rPr>
                <w:sz w:val="20"/>
                <w:szCs w:val="20"/>
                <w:color w:val="auto"/>
              </w:rPr>
            </w:pPr>
            <w:r>
              <w:rPr>
                <w:rFonts w:ascii="Arial" w:cs="Arial" w:eastAsia="Arial" w:hAnsi="Arial"/>
                <w:sz w:val="16"/>
                <w:szCs w:val="16"/>
                <w:b w:val="1"/>
                <w:bCs w:val="1"/>
                <w:color w:val="auto"/>
              </w:rPr>
              <w:t>Name of Selling</w:t>
            </w:r>
          </w:p>
        </w:tc>
        <w:tc>
          <w:tcPr>
            <w:tcW w:w="1240" w:type="dxa"/>
            <w:vAlign w:val="bottom"/>
            <w:tcBorders>
              <w:top w:val="single" w:sz="8" w:color="auto"/>
            </w:tcBorders>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92"/>
              </w:rPr>
              <w:t>Number of</w:t>
            </w: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90"/>
              </w:rPr>
              <w:t>Pursuant to this</w:t>
            </w:r>
          </w:p>
        </w:tc>
        <w:tc>
          <w:tcPr>
            <w:tcW w:w="1080" w:type="dxa"/>
            <w:vAlign w:val="bottom"/>
            <w:tcBorders>
              <w:top w:val="single" w:sz="8" w:color="auto"/>
            </w:tcBorders>
          </w:tcPr>
          <w:p>
            <w:pPr>
              <w:jc w:val="right"/>
              <w:ind w:right="73"/>
              <w:spacing w:after="0" w:line="182" w:lineRule="exact"/>
              <w:rPr>
                <w:sz w:val="20"/>
                <w:szCs w:val="20"/>
                <w:color w:val="auto"/>
              </w:rPr>
            </w:pPr>
            <w:r>
              <w:rPr>
                <w:rFonts w:ascii="Arial" w:cs="Arial" w:eastAsia="Arial" w:hAnsi="Arial"/>
                <w:sz w:val="16"/>
                <w:szCs w:val="16"/>
                <w:b w:val="1"/>
                <w:bCs w:val="1"/>
                <w:color w:val="auto"/>
              </w:rPr>
              <w:t>Number of</w:t>
            </w: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980" w:type="dxa"/>
            <w:vAlign w:val="bottom"/>
            <w:gridSpan w:val="2"/>
          </w:tcPr>
          <w:p>
            <w:pPr>
              <w:spacing w:after="0"/>
              <w:rPr>
                <w:sz w:val="20"/>
                <w:szCs w:val="20"/>
                <w:color w:val="auto"/>
              </w:rPr>
            </w:pPr>
            <w:r>
              <w:rPr>
                <w:rFonts w:ascii="Arial" w:cs="Arial" w:eastAsia="Arial" w:hAnsi="Arial"/>
                <w:sz w:val="16"/>
                <w:szCs w:val="16"/>
                <w:b w:val="1"/>
                <w:bCs w:val="1"/>
                <w:color w:val="auto"/>
              </w:rPr>
              <w:t>Securityholder</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1240" w:type="dxa"/>
            <w:vAlign w:val="bottom"/>
            <w:gridSpan w:val="2"/>
          </w:tcPr>
          <w:p>
            <w:pPr>
              <w:ind w:left="300"/>
              <w:spacing w:after="0"/>
              <w:rPr>
                <w:sz w:val="20"/>
                <w:szCs w:val="20"/>
                <w:color w:val="auto"/>
              </w:rPr>
            </w:pPr>
            <w:r>
              <w:rPr>
                <w:rFonts w:ascii="Arial" w:cs="Arial" w:eastAsia="Arial" w:hAnsi="Arial"/>
                <w:sz w:val="16"/>
                <w:szCs w:val="16"/>
                <w:b w:val="1"/>
                <w:bCs w:val="1"/>
                <w:color w:val="auto"/>
              </w:rPr>
              <w:t>Percent</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Prospectus</w:t>
            </w:r>
          </w:p>
        </w:tc>
        <w:tc>
          <w:tcPr>
            <w:tcW w:w="1080" w:type="dxa"/>
            <w:vAlign w:val="bottom"/>
          </w:tcPr>
          <w:p>
            <w:pPr>
              <w:jc w:val="right"/>
              <w:ind w:right="213"/>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220" w:type="dxa"/>
            <w:vAlign w:val="bottom"/>
          </w:tcPr>
          <w:p>
            <w:pPr>
              <w:jc w:val="right"/>
              <w:ind w:right="252"/>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Metropolitan Levered</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Partners Fund VII,</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1,603,571</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801,789</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801,782</w:t>
            </w:r>
          </w:p>
        </w:tc>
        <w:tc>
          <w:tcPr>
            <w:tcW w:w="1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5"/>
        </w:trPr>
        <w:tc>
          <w:tcPr>
            <w:tcW w:w="1980" w:type="dxa"/>
            <w:vAlign w:val="bottom"/>
            <w:gridSpan w:val="2"/>
            <w:shd w:val="clear" w:color="auto" w:fill="CCEEFF"/>
          </w:tcPr>
          <w:p>
            <w:pPr>
              <w:ind w:left="180"/>
              <w:spacing w:after="0" w:line="265" w:lineRule="exact"/>
              <w:rPr>
                <w:sz w:val="20"/>
                <w:szCs w:val="20"/>
                <w:color w:val="auto"/>
              </w:rPr>
            </w:pPr>
            <w:r>
              <w:rPr>
                <w:rFonts w:ascii="Arial" w:cs="Arial" w:eastAsia="Arial" w:hAnsi="Arial"/>
                <w:sz w:val="30"/>
                <w:szCs w:val="30"/>
                <w:color w:val="auto"/>
                <w:vertAlign w:val="subscript"/>
              </w:rPr>
              <w:t>LP</w:t>
            </w:r>
            <w:r>
              <w:rPr>
                <w:rFonts w:ascii="Arial" w:cs="Arial" w:eastAsia="Arial" w:hAnsi="Arial"/>
                <w:sz w:val="10"/>
                <w:szCs w:val="10"/>
                <w:color w:val="auto"/>
              </w:rPr>
              <w:t>(2)</w:t>
            </w:r>
          </w:p>
        </w:tc>
        <w:tc>
          <w:tcPr>
            <w:tcW w:w="1240" w:type="dxa"/>
            <w:vAlign w:val="bottom"/>
            <w:gridSpan w:val="2"/>
            <w:vMerge w:val="continue"/>
            <w:shd w:val="clear" w:color="auto" w:fill="CCEEFF"/>
          </w:tcPr>
          <w:p>
            <w:pPr>
              <w:spacing w:after="0"/>
              <w:rPr>
                <w:sz w:val="23"/>
                <w:szCs w:val="23"/>
                <w:color w:val="auto"/>
              </w:rPr>
            </w:pPr>
          </w:p>
        </w:tc>
        <w:tc>
          <w:tcPr>
            <w:tcW w:w="1240" w:type="dxa"/>
            <w:vAlign w:val="bottom"/>
            <w:gridSpan w:val="2"/>
            <w:vMerge w:val="continue"/>
            <w:shd w:val="clear" w:color="auto" w:fill="CCEEFF"/>
          </w:tcPr>
          <w:p>
            <w:pPr>
              <w:spacing w:after="0"/>
              <w:rPr>
                <w:sz w:val="23"/>
                <w:szCs w:val="23"/>
                <w:color w:val="auto"/>
              </w:rPr>
            </w:pPr>
          </w:p>
        </w:tc>
        <w:tc>
          <w:tcPr>
            <w:tcW w:w="1240" w:type="dxa"/>
            <w:vAlign w:val="bottom"/>
            <w:gridSpan w:val="2"/>
            <w:vMerge w:val="continue"/>
            <w:shd w:val="clear" w:color="auto" w:fill="CCEEFF"/>
          </w:tcPr>
          <w:p>
            <w:pPr>
              <w:spacing w:after="0"/>
              <w:rPr>
                <w:sz w:val="23"/>
                <w:szCs w:val="23"/>
                <w:color w:val="auto"/>
              </w:rPr>
            </w:pPr>
          </w:p>
        </w:tc>
        <w:tc>
          <w:tcPr>
            <w:tcW w:w="1080" w:type="dxa"/>
            <w:vAlign w:val="bottom"/>
            <w:vMerge w:val="continue"/>
            <w:shd w:val="clear" w:color="auto" w:fill="CCEEFF"/>
          </w:tcPr>
          <w:p>
            <w:pPr>
              <w:spacing w:after="0"/>
              <w:rPr>
                <w:sz w:val="23"/>
                <w:szCs w:val="23"/>
                <w:color w:val="auto"/>
              </w:rPr>
            </w:pPr>
          </w:p>
        </w:tc>
        <w:tc>
          <w:tcPr>
            <w:tcW w:w="1320" w:type="dxa"/>
            <w:vAlign w:val="bottom"/>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980" w:type="dxa"/>
            <w:vAlign w:val="bottom"/>
            <w:gridSpan w:val="2"/>
          </w:tcPr>
          <w:p>
            <w:pPr>
              <w:spacing w:after="0"/>
              <w:rPr>
                <w:sz w:val="20"/>
                <w:szCs w:val="20"/>
                <w:color w:val="auto"/>
              </w:rPr>
            </w:pPr>
            <w:r>
              <w:rPr>
                <w:rFonts w:ascii="Arial" w:cs="Arial" w:eastAsia="Arial" w:hAnsi="Arial"/>
                <w:sz w:val="18"/>
                <w:szCs w:val="18"/>
                <w:color w:val="auto"/>
              </w:rPr>
              <w:t>Metropolitan Partners</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2,231,480</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4.0%</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1,115,734</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1,115,746</w:t>
            </w: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5"/>
        </w:trPr>
        <w:tc>
          <w:tcPr>
            <w:tcW w:w="1980" w:type="dxa"/>
            <w:vAlign w:val="bottom"/>
            <w:gridSpan w:val="2"/>
          </w:tcPr>
          <w:p>
            <w:pPr>
              <w:ind w:left="180"/>
              <w:spacing w:after="0"/>
              <w:rPr>
                <w:sz w:val="20"/>
                <w:szCs w:val="20"/>
                <w:color w:val="auto"/>
              </w:rPr>
            </w:pPr>
            <w:r>
              <w:rPr>
                <w:rFonts w:ascii="Arial" w:cs="Arial" w:eastAsia="Arial" w:hAnsi="Arial"/>
                <w:sz w:val="18"/>
                <w:szCs w:val="18"/>
                <w:color w:val="auto"/>
              </w:rPr>
              <w:t>Fund VII, LP</w:t>
            </w:r>
            <w:r>
              <w:rPr>
                <w:rFonts w:ascii="Arial" w:cs="Arial" w:eastAsia="Arial" w:hAnsi="Arial"/>
                <w:sz w:val="20"/>
                <w:szCs w:val="20"/>
                <w:color w:val="auto"/>
                <w:vertAlign w:val="superscript"/>
              </w:rPr>
              <w:t>(2)</w:t>
            </w:r>
          </w:p>
        </w:tc>
        <w:tc>
          <w:tcPr>
            <w:tcW w:w="1240" w:type="dxa"/>
            <w:vAlign w:val="bottom"/>
            <w:gridSpan w:val="2"/>
            <w:vMerge w:val="continue"/>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13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1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Metropolitan Offshore</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Partners Fund VII,</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1980" w:type="dxa"/>
            <w:vAlign w:val="bottom"/>
            <w:gridSpan w:val="2"/>
            <w:shd w:val="clear" w:color="auto" w:fill="CCEEFF"/>
          </w:tcPr>
          <w:p>
            <w:pPr>
              <w:ind w:left="180"/>
              <w:spacing w:after="0" w:line="278" w:lineRule="exact"/>
              <w:rPr>
                <w:sz w:val="20"/>
                <w:szCs w:val="20"/>
                <w:color w:val="auto"/>
              </w:rPr>
            </w:pPr>
            <w:r>
              <w:rPr>
                <w:rFonts w:ascii="Arial" w:cs="Arial" w:eastAsia="Arial" w:hAnsi="Arial"/>
                <w:sz w:val="32"/>
                <w:szCs w:val="32"/>
                <w:color w:val="auto"/>
                <w:vertAlign w:val="subscript"/>
              </w:rPr>
              <w:t>LP</w:t>
            </w:r>
            <w:r>
              <w:rPr>
                <w:rFonts w:ascii="Arial" w:cs="Arial" w:eastAsia="Arial" w:hAnsi="Arial"/>
                <w:sz w:val="10"/>
                <w:szCs w:val="10"/>
                <w:color w:val="auto"/>
              </w:rPr>
              <w:t>(2)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528,575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264,296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264,279</w:t>
            </w:r>
          </w:p>
        </w:tc>
        <w:tc>
          <w:tcPr>
            <w:tcW w:w="13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0"/>
        </w:trPr>
        <w:tc>
          <w:tcPr>
            <w:tcW w:w="1980" w:type="dxa"/>
            <w:vAlign w:val="bottom"/>
            <w:gridSpan w:val="2"/>
          </w:tcPr>
          <w:p>
            <w:pPr>
              <w:spacing w:after="0"/>
              <w:rPr>
                <w:sz w:val="20"/>
                <w:szCs w:val="20"/>
                <w:color w:val="auto"/>
              </w:rPr>
            </w:pPr>
            <w:r>
              <w:rPr>
                <w:rFonts w:ascii="Arial" w:cs="Arial" w:eastAsia="Arial" w:hAnsi="Arial"/>
                <w:sz w:val="18"/>
                <w:szCs w:val="18"/>
                <w:color w:val="auto"/>
              </w:rPr>
              <w:t>CEOF Holdings LP</w:t>
            </w:r>
            <w:r>
              <w:rPr>
                <w:rFonts w:ascii="Arial" w:cs="Arial" w:eastAsia="Arial" w:hAnsi="Arial"/>
                <w:sz w:val="20"/>
                <w:szCs w:val="20"/>
                <w:color w:val="auto"/>
                <w:vertAlign w:val="superscript"/>
              </w:rPr>
              <w:t>(3)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636,374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318,181</w:t>
            </w:r>
          </w:p>
        </w:tc>
        <w:tc>
          <w:tcPr>
            <w:tcW w:w="1080" w:type="dxa"/>
            <w:vAlign w:val="bottom"/>
          </w:tcPr>
          <w:p>
            <w:pPr>
              <w:jc w:val="right"/>
              <w:spacing w:after="0"/>
              <w:rPr>
                <w:sz w:val="20"/>
                <w:szCs w:val="20"/>
                <w:color w:val="auto"/>
              </w:rPr>
            </w:pPr>
            <w:r>
              <w:rPr>
                <w:rFonts w:ascii="Arial" w:cs="Arial" w:eastAsia="Arial" w:hAnsi="Arial"/>
                <w:sz w:val="18"/>
                <w:szCs w:val="18"/>
                <w:color w:val="auto"/>
              </w:rPr>
              <w:t>318,193</w:t>
            </w:r>
          </w:p>
        </w:tc>
        <w:tc>
          <w:tcPr>
            <w:tcW w:w="13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7"/>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Presto CA LLC</w:t>
            </w:r>
            <w:r>
              <w:rPr>
                <w:rFonts w:ascii="Arial" w:cs="Arial" w:eastAsia="Arial" w:hAnsi="Arial"/>
                <w:sz w:val="20"/>
                <w:szCs w:val="20"/>
                <w:color w:val="auto"/>
                <w:vertAlign w:val="superscript"/>
              </w:rPr>
              <w:t>(4)(5)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980" w:type="dxa"/>
            <w:vAlign w:val="bottom"/>
            <w:gridSpan w:val="2"/>
          </w:tcPr>
          <w:p>
            <w:pPr>
              <w:spacing w:after="0"/>
              <w:rPr>
                <w:sz w:val="20"/>
                <w:szCs w:val="20"/>
                <w:color w:val="auto"/>
              </w:rPr>
            </w:pPr>
            <w:r>
              <w:rPr>
                <w:rFonts w:ascii="Arial" w:cs="Arial" w:eastAsia="Arial" w:hAnsi="Arial"/>
                <w:sz w:val="18"/>
                <w:szCs w:val="18"/>
                <w:color w:val="auto"/>
              </w:rPr>
              <w:t>Kepos Alpha Master</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500,000</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500,000</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1980" w:type="dxa"/>
            <w:vAlign w:val="bottom"/>
            <w:gridSpan w:val="2"/>
          </w:tcPr>
          <w:p>
            <w:pPr>
              <w:ind w:left="180"/>
              <w:spacing w:after="0"/>
              <w:rPr>
                <w:sz w:val="20"/>
                <w:szCs w:val="20"/>
                <w:color w:val="auto"/>
              </w:rPr>
            </w:pPr>
            <w:r>
              <w:rPr>
                <w:rFonts w:ascii="Arial" w:cs="Arial" w:eastAsia="Arial" w:hAnsi="Arial"/>
                <w:sz w:val="18"/>
                <w:szCs w:val="18"/>
                <w:color w:val="auto"/>
              </w:rPr>
              <w:t>Fund L.P.</w:t>
            </w:r>
            <w:r>
              <w:rPr>
                <w:rFonts w:ascii="Arial" w:cs="Arial" w:eastAsia="Arial" w:hAnsi="Arial"/>
                <w:sz w:val="20"/>
                <w:szCs w:val="20"/>
                <w:color w:val="auto"/>
                <w:vertAlign w:val="superscript"/>
              </w:rPr>
              <w:t>(4)(6)</w:t>
            </w:r>
          </w:p>
        </w:tc>
        <w:tc>
          <w:tcPr>
            <w:tcW w:w="1240" w:type="dxa"/>
            <w:vAlign w:val="bottom"/>
            <w:gridSpan w:val="2"/>
            <w:vMerge w:val="continue"/>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1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Connective Capital</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Emerging Energy</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1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QP,LP</w:t>
            </w:r>
            <w:r>
              <w:rPr>
                <w:rFonts w:ascii="Arial" w:cs="Arial" w:eastAsia="Arial" w:hAnsi="Arial"/>
                <w:sz w:val="20"/>
                <w:szCs w:val="20"/>
                <w:color w:val="auto"/>
                <w:vertAlign w:val="superscript"/>
              </w:rPr>
              <w:t>(4)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68,137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68,137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980" w:type="dxa"/>
            <w:vAlign w:val="bottom"/>
            <w:gridSpan w:val="2"/>
          </w:tcPr>
          <w:p>
            <w:pPr>
              <w:spacing w:after="0"/>
              <w:rPr>
                <w:sz w:val="20"/>
                <w:szCs w:val="20"/>
                <w:color w:val="auto"/>
              </w:rPr>
            </w:pPr>
            <w:r>
              <w:rPr>
                <w:rFonts w:ascii="Arial" w:cs="Arial" w:eastAsia="Arial" w:hAnsi="Arial"/>
                <w:sz w:val="18"/>
                <w:szCs w:val="18"/>
                <w:color w:val="auto"/>
              </w:rPr>
              <w:t>Connective Capital I</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31,863</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31,863</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2"/>
        </w:trPr>
        <w:tc>
          <w:tcPr>
            <w:tcW w:w="1980" w:type="dxa"/>
            <w:vAlign w:val="bottom"/>
            <w:gridSpan w:val="2"/>
          </w:tcPr>
          <w:p>
            <w:pPr>
              <w:ind w:left="180"/>
              <w:spacing w:after="0"/>
              <w:rPr>
                <w:sz w:val="20"/>
                <w:szCs w:val="20"/>
                <w:color w:val="auto"/>
              </w:rPr>
            </w:pPr>
            <w:r>
              <w:rPr>
                <w:rFonts w:ascii="Arial" w:cs="Arial" w:eastAsia="Arial" w:hAnsi="Arial"/>
                <w:sz w:val="18"/>
                <w:szCs w:val="18"/>
                <w:color w:val="auto"/>
              </w:rPr>
              <w:t>QP,LP</w:t>
            </w:r>
            <w:r>
              <w:rPr>
                <w:rFonts w:ascii="Arial" w:cs="Arial" w:eastAsia="Arial" w:hAnsi="Arial"/>
                <w:sz w:val="20"/>
                <w:szCs w:val="20"/>
                <w:color w:val="auto"/>
                <w:vertAlign w:val="superscript"/>
              </w:rPr>
              <w:t>(4)</w:t>
            </w:r>
          </w:p>
        </w:tc>
        <w:tc>
          <w:tcPr>
            <w:tcW w:w="1240" w:type="dxa"/>
            <w:vAlign w:val="bottom"/>
            <w:gridSpan w:val="2"/>
            <w:vMerge w:val="continue"/>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4" w:name="page105"/>
    <w:bookmarkEnd w:id="10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Common Stock</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Maximum</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80" w:type="dxa"/>
            <w:vAlign w:val="bottom"/>
            <w:gridSpan w:val="4"/>
            <w:vMerge w:val="restart"/>
          </w:tcPr>
          <w:p>
            <w:pPr>
              <w:jc w:val="center"/>
              <w:ind w:right="100"/>
              <w:spacing w:after="0"/>
              <w:rPr>
                <w:sz w:val="20"/>
                <w:szCs w:val="20"/>
                <w:color w:val="auto"/>
              </w:rPr>
            </w:pPr>
            <w:r>
              <w:rPr>
                <w:rFonts w:ascii="Arial" w:cs="Arial" w:eastAsia="Arial" w:hAnsi="Arial"/>
                <w:sz w:val="16"/>
                <w:szCs w:val="16"/>
                <w:b w:val="1"/>
                <w:bCs w:val="1"/>
                <w:color w:val="auto"/>
                <w:w w:val="92"/>
              </w:rPr>
              <w:t>Beneficially</w:t>
            </w:r>
          </w:p>
        </w:tc>
        <w:tc>
          <w:tcPr>
            <w:tcW w:w="1240" w:type="dxa"/>
            <w:vAlign w:val="bottom"/>
            <w:gridSpan w:val="2"/>
            <w:vMerge w:val="continue"/>
          </w:tcPr>
          <w:p>
            <w:pPr>
              <w:spacing w:after="0"/>
              <w:rPr>
                <w:sz w:val="4"/>
                <w:szCs w:val="4"/>
                <w:color w:val="auto"/>
              </w:rPr>
            </w:pPr>
          </w:p>
        </w:tc>
        <w:tc>
          <w:tcPr>
            <w:tcW w:w="24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1"/>
              </w:rPr>
              <w:t>Common Stock</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4"/>
            <w:vMerge w:val="continue"/>
          </w:tcPr>
          <w:p>
            <w:pPr>
              <w:spacing w:after="0"/>
              <w:rPr>
                <w:sz w:val="14"/>
                <w:szCs w:val="14"/>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2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80" w:type="dxa"/>
            <w:vAlign w:val="bottom"/>
            <w:gridSpan w:val="4"/>
            <w:vMerge w:val="restart"/>
          </w:tcPr>
          <w:p>
            <w:pPr>
              <w:jc w:val="center"/>
              <w:ind w:right="120"/>
              <w:spacing w:after="0"/>
              <w:rPr>
                <w:sz w:val="20"/>
                <w:szCs w:val="20"/>
                <w:color w:val="auto"/>
              </w:rPr>
            </w:pPr>
            <w:r>
              <w:rPr>
                <w:rFonts w:ascii="Arial" w:cs="Arial" w:eastAsia="Arial" w:hAnsi="Arial"/>
                <w:sz w:val="16"/>
                <w:szCs w:val="16"/>
                <w:b w:val="1"/>
                <w:bCs w:val="1"/>
                <w:color w:val="auto"/>
                <w:w w:val="94"/>
              </w:rPr>
              <w:t>Owned Prior to</w:t>
            </w:r>
          </w:p>
        </w:tc>
        <w:tc>
          <w:tcPr>
            <w:tcW w:w="1240" w:type="dxa"/>
            <w:vAlign w:val="bottom"/>
            <w:gridSpan w:val="2"/>
            <w:vMerge w:val="continue"/>
          </w:tcPr>
          <w:p>
            <w:pPr>
              <w:spacing w:after="0"/>
              <w:rPr>
                <w:sz w:val="3"/>
                <w:szCs w:val="3"/>
                <w:color w:val="auto"/>
              </w:rPr>
            </w:pPr>
          </w:p>
        </w:tc>
        <w:tc>
          <w:tcPr>
            <w:tcW w:w="24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2"/>
              </w:rPr>
              <w:t>Owned After</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4"/>
            <w:vMerge w:val="continue"/>
          </w:tcPr>
          <w:p>
            <w:pPr>
              <w:spacing w:after="0"/>
              <w:rPr>
                <w:sz w:val="12"/>
                <w:szCs w:val="12"/>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Common Stock</w:t>
            </w:r>
          </w:p>
        </w:tc>
        <w:tc>
          <w:tcPr>
            <w:tcW w:w="24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80" w:type="dxa"/>
            <w:vAlign w:val="bottom"/>
            <w:gridSpan w:val="4"/>
            <w:vMerge w:val="restart"/>
          </w:tcPr>
          <w:p>
            <w:pPr>
              <w:jc w:val="center"/>
              <w:ind w:right="120"/>
              <w:spacing w:after="0"/>
              <w:rPr>
                <w:sz w:val="20"/>
                <w:szCs w:val="20"/>
                <w:color w:val="auto"/>
              </w:rPr>
            </w:pPr>
            <w:r>
              <w:rPr>
                <w:rFonts w:ascii="Arial" w:cs="Arial" w:eastAsia="Arial" w:hAnsi="Arial"/>
                <w:sz w:val="16"/>
                <w:szCs w:val="16"/>
                <w:b w:val="1"/>
                <w:bCs w:val="1"/>
                <w:color w:val="auto"/>
                <w:w w:val="92"/>
              </w:rPr>
              <w:t>this Offering</w:t>
            </w:r>
          </w:p>
        </w:tc>
        <w:tc>
          <w:tcPr>
            <w:tcW w:w="1240" w:type="dxa"/>
            <w:vAlign w:val="bottom"/>
            <w:gridSpan w:val="2"/>
            <w:vMerge w:val="continue"/>
          </w:tcPr>
          <w:p>
            <w:pPr>
              <w:spacing w:after="0"/>
              <w:rPr>
                <w:sz w:val="4"/>
                <w:szCs w:val="4"/>
                <w:color w:val="auto"/>
              </w:rPr>
            </w:pPr>
          </w:p>
        </w:tc>
        <w:tc>
          <w:tcPr>
            <w:tcW w:w="24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1"/>
              </w:rPr>
              <w:t>this Offering</w:t>
            </w:r>
            <w:r>
              <w:rPr>
                <w:rFonts w:ascii="Arial" w:cs="Arial" w:eastAsia="Arial" w:hAnsi="Arial"/>
                <w:sz w:val="18"/>
                <w:szCs w:val="18"/>
                <w:b w:val="1"/>
                <w:bCs w:val="1"/>
                <w:color w:val="auto"/>
                <w:w w:val="91"/>
                <w:vertAlign w:val="superscript"/>
              </w:rPr>
              <w:t>(1)</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4"/>
            <w:vMerge w:val="continue"/>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to be Offered</w:t>
            </w:r>
          </w:p>
        </w:tc>
        <w:tc>
          <w:tcPr>
            <w:tcW w:w="24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980" w:type="dxa"/>
            <w:vAlign w:val="bottom"/>
            <w:gridSpan w:val="2"/>
          </w:tcPr>
          <w:p>
            <w:pPr>
              <w:spacing w:after="0" w:line="182" w:lineRule="exact"/>
              <w:rPr>
                <w:sz w:val="20"/>
                <w:szCs w:val="20"/>
                <w:color w:val="auto"/>
              </w:rPr>
            </w:pPr>
            <w:r>
              <w:rPr>
                <w:rFonts w:ascii="Arial" w:cs="Arial" w:eastAsia="Arial" w:hAnsi="Arial"/>
                <w:sz w:val="16"/>
                <w:szCs w:val="16"/>
                <w:b w:val="1"/>
                <w:bCs w:val="1"/>
                <w:color w:val="auto"/>
              </w:rPr>
              <w:t>Name of Selling</w:t>
            </w:r>
          </w:p>
        </w:tc>
        <w:tc>
          <w:tcPr>
            <w:tcW w:w="1240" w:type="dxa"/>
            <w:vAlign w:val="bottom"/>
            <w:tcBorders>
              <w:top w:val="single" w:sz="8" w:color="auto"/>
            </w:tcBorders>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92"/>
              </w:rPr>
              <w:t>Number of</w:t>
            </w: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90"/>
              </w:rPr>
              <w:t>Pursuant to this</w:t>
            </w:r>
          </w:p>
        </w:tc>
        <w:tc>
          <w:tcPr>
            <w:tcW w:w="1080" w:type="dxa"/>
            <w:vAlign w:val="bottom"/>
            <w:tcBorders>
              <w:top w:val="single" w:sz="8" w:color="auto"/>
            </w:tcBorders>
          </w:tcPr>
          <w:p>
            <w:pPr>
              <w:jc w:val="right"/>
              <w:ind w:right="72"/>
              <w:spacing w:after="0" w:line="182" w:lineRule="exact"/>
              <w:rPr>
                <w:sz w:val="20"/>
                <w:szCs w:val="20"/>
                <w:color w:val="auto"/>
              </w:rPr>
            </w:pPr>
            <w:r>
              <w:rPr>
                <w:rFonts w:ascii="Arial" w:cs="Arial" w:eastAsia="Arial" w:hAnsi="Arial"/>
                <w:sz w:val="16"/>
                <w:szCs w:val="16"/>
                <w:b w:val="1"/>
                <w:bCs w:val="1"/>
                <w:color w:val="auto"/>
              </w:rPr>
              <w:t>Number of</w:t>
            </w: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980" w:type="dxa"/>
            <w:vAlign w:val="bottom"/>
            <w:gridSpan w:val="2"/>
          </w:tcPr>
          <w:p>
            <w:pPr>
              <w:spacing w:after="0"/>
              <w:rPr>
                <w:sz w:val="20"/>
                <w:szCs w:val="20"/>
                <w:color w:val="auto"/>
              </w:rPr>
            </w:pPr>
            <w:r>
              <w:rPr>
                <w:rFonts w:ascii="Arial" w:cs="Arial" w:eastAsia="Arial" w:hAnsi="Arial"/>
                <w:sz w:val="16"/>
                <w:szCs w:val="16"/>
                <w:b w:val="1"/>
                <w:bCs w:val="1"/>
                <w:color w:val="auto"/>
              </w:rPr>
              <w:t>Securityholder</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1240" w:type="dxa"/>
            <w:vAlign w:val="bottom"/>
            <w:gridSpan w:val="2"/>
          </w:tcPr>
          <w:p>
            <w:pPr>
              <w:ind w:left="300"/>
              <w:spacing w:after="0"/>
              <w:rPr>
                <w:sz w:val="20"/>
                <w:szCs w:val="20"/>
                <w:color w:val="auto"/>
              </w:rPr>
            </w:pPr>
            <w:r>
              <w:rPr>
                <w:rFonts w:ascii="Arial" w:cs="Arial" w:eastAsia="Arial" w:hAnsi="Arial"/>
                <w:sz w:val="16"/>
                <w:szCs w:val="16"/>
                <w:b w:val="1"/>
                <w:bCs w:val="1"/>
                <w:color w:val="auto"/>
              </w:rPr>
              <w:t>Percent</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Prospectus</w:t>
            </w:r>
          </w:p>
        </w:tc>
        <w:tc>
          <w:tcPr>
            <w:tcW w:w="1080" w:type="dxa"/>
            <w:vAlign w:val="bottom"/>
          </w:tcPr>
          <w:p>
            <w:pPr>
              <w:jc w:val="right"/>
              <w:ind w:right="212"/>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220" w:type="dxa"/>
            <w:vAlign w:val="bottom"/>
          </w:tcPr>
          <w:p>
            <w:pPr>
              <w:jc w:val="right"/>
              <w:ind w:right="251"/>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46"/>
        </w:trPr>
        <w:tc>
          <w:tcPr>
            <w:tcW w:w="1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Sheel Tyle</w:t>
            </w:r>
            <w:r>
              <w:rPr>
                <w:rFonts w:ascii="Arial" w:cs="Arial" w:eastAsia="Arial" w:hAnsi="Arial"/>
                <w:sz w:val="20"/>
                <w:szCs w:val="20"/>
                <w:color w:val="auto"/>
                <w:vertAlign w:val="superscript"/>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980" w:type="dxa"/>
            <w:vAlign w:val="bottom"/>
            <w:gridSpan w:val="2"/>
          </w:tcPr>
          <w:p>
            <w:pPr>
              <w:spacing w:after="0"/>
              <w:rPr>
                <w:sz w:val="20"/>
                <w:szCs w:val="20"/>
                <w:color w:val="auto"/>
              </w:rPr>
            </w:pPr>
            <w:r>
              <w:rPr>
                <w:rFonts w:ascii="Arial" w:cs="Arial" w:eastAsia="Arial" w:hAnsi="Arial"/>
                <w:sz w:val="18"/>
                <w:szCs w:val="18"/>
                <w:color w:val="auto"/>
              </w:rPr>
              <w:t>William Souillard-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980" w:type="dxa"/>
            <w:vAlign w:val="bottom"/>
            <w:gridSpan w:val="2"/>
          </w:tcPr>
          <w:p>
            <w:pPr>
              <w:ind w:left="180"/>
              <w:spacing w:after="0"/>
              <w:rPr>
                <w:sz w:val="20"/>
                <w:szCs w:val="20"/>
                <w:color w:val="auto"/>
              </w:rPr>
            </w:pPr>
            <w:r>
              <w:rPr>
                <w:rFonts w:ascii="Arial" w:cs="Arial" w:eastAsia="Arial" w:hAnsi="Arial"/>
                <w:sz w:val="18"/>
                <w:szCs w:val="18"/>
                <w:color w:val="auto"/>
              </w:rPr>
              <w:t>Mandar</w:t>
            </w:r>
            <w:r>
              <w:rPr>
                <w:rFonts w:ascii="Arial" w:cs="Arial" w:eastAsia="Arial" w:hAnsi="Arial"/>
                <w:sz w:val="20"/>
                <w:szCs w:val="20"/>
                <w:color w:val="auto"/>
                <w:vertAlign w:val="superscript"/>
              </w:rPr>
              <w:t>(4)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375,000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375,000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7"/>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Shamsuddin Charania</w:t>
            </w:r>
            <w:r>
              <w:rPr>
                <w:rFonts w:ascii="Arial" w:cs="Arial" w:eastAsia="Arial" w:hAnsi="Arial"/>
                <w:sz w:val="20"/>
                <w:szCs w:val="20"/>
                <w:color w:val="auto"/>
                <w:vertAlign w:val="superscript"/>
              </w:rPr>
              <w:t>(4)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262,069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174,569</w:t>
            </w:r>
          </w:p>
        </w:tc>
        <w:tc>
          <w:tcPr>
            <w:tcW w:w="132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80" w:type="dxa"/>
            <w:vAlign w:val="bottom"/>
            <w:gridSpan w:val="2"/>
          </w:tcPr>
          <w:p>
            <w:pPr>
              <w:spacing w:after="0" w:line="201" w:lineRule="exact"/>
              <w:rPr>
                <w:sz w:val="20"/>
                <w:szCs w:val="20"/>
                <w:color w:val="auto"/>
              </w:rPr>
            </w:pPr>
            <w:r>
              <w:rPr>
                <w:rFonts w:ascii="Arial" w:cs="Arial" w:eastAsia="Arial" w:hAnsi="Arial"/>
                <w:sz w:val="18"/>
                <w:szCs w:val="18"/>
                <w:color w:val="auto"/>
              </w:rPr>
              <w:t>Schechter Private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980" w:type="dxa"/>
            <w:vAlign w:val="bottom"/>
            <w:gridSpan w:val="2"/>
          </w:tcPr>
          <w:p>
            <w:pPr>
              <w:ind w:left="180"/>
              <w:spacing w:after="0"/>
              <w:rPr>
                <w:sz w:val="20"/>
                <w:szCs w:val="20"/>
                <w:color w:val="auto"/>
              </w:rPr>
            </w:pPr>
            <w:r>
              <w:rPr>
                <w:rFonts w:ascii="Arial" w:cs="Arial" w:eastAsia="Arial" w:hAnsi="Arial"/>
                <w:sz w:val="18"/>
                <w:szCs w:val="18"/>
                <w:color w:val="auto"/>
              </w:rPr>
              <w:t>Capital I, LLC –</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1,932,773</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3.4%</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500,000</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1,432,773</w:t>
            </w: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5"/>
        </w:trPr>
        <w:tc>
          <w:tcPr>
            <w:tcW w:w="1980" w:type="dxa"/>
            <w:vAlign w:val="bottom"/>
            <w:gridSpan w:val="2"/>
          </w:tcPr>
          <w:p>
            <w:pPr>
              <w:ind w:left="220"/>
              <w:spacing w:after="0"/>
              <w:rPr>
                <w:sz w:val="20"/>
                <w:szCs w:val="20"/>
                <w:color w:val="auto"/>
              </w:rPr>
            </w:pPr>
            <w:r>
              <w:rPr>
                <w:rFonts w:ascii="Arial" w:cs="Arial" w:eastAsia="Arial" w:hAnsi="Arial"/>
                <w:sz w:val="18"/>
                <w:szCs w:val="18"/>
                <w:color w:val="auto"/>
              </w:rPr>
              <w:t>Series V</w:t>
            </w:r>
            <w:r>
              <w:rPr>
                <w:rFonts w:ascii="Arial" w:cs="Arial" w:eastAsia="Arial" w:hAnsi="Arial"/>
                <w:sz w:val="20"/>
                <w:szCs w:val="20"/>
                <w:color w:val="auto"/>
                <w:vertAlign w:val="superscript"/>
              </w:rPr>
              <w:t>(4)</w:t>
            </w:r>
          </w:p>
        </w:tc>
        <w:tc>
          <w:tcPr>
            <w:tcW w:w="1240" w:type="dxa"/>
            <w:vAlign w:val="bottom"/>
            <w:gridSpan w:val="2"/>
            <w:vMerge w:val="continue"/>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13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Nevinskiy</w:t>
            </w:r>
            <w:r>
              <w:rPr>
                <w:rFonts w:ascii="Arial" w:cs="Arial" w:eastAsia="Arial" w:hAnsi="Arial"/>
                <w:sz w:val="20"/>
                <w:szCs w:val="20"/>
                <w:color w:val="auto"/>
                <w:vertAlign w:val="superscript"/>
              </w:rPr>
              <w:t>(4)(7)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80" w:type="dxa"/>
            <w:vAlign w:val="bottom"/>
            <w:gridSpan w:val="2"/>
          </w:tcPr>
          <w:p>
            <w:pPr>
              <w:spacing w:after="0" w:line="201" w:lineRule="exact"/>
              <w:rPr>
                <w:sz w:val="20"/>
                <w:szCs w:val="20"/>
                <w:color w:val="auto"/>
              </w:rPr>
            </w:pPr>
            <w:r>
              <w:rPr>
                <w:rFonts w:ascii="Arial" w:cs="Arial" w:eastAsia="Arial" w:hAnsi="Arial"/>
                <w:sz w:val="18"/>
                <w:szCs w:val="18"/>
                <w:color w:val="auto"/>
                <w:w w:val="94"/>
              </w:rPr>
              <w:t>The Rebecca P. Samberg</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980" w:type="dxa"/>
            <w:vAlign w:val="bottom"/>
            <w:gridSpan w:val="2"/>
          </w:tcPr>
          <w:p>
            <w:pPr>
              <w:ind w:left="180"/>
              <w:spacing w:after="0"/>
              <w:rPr>
                <w:sz w:val="20"/>
                <w:szCs w:val="20"/>
                <w:color w:val="auto"/>
              </w:rPr>
            </w:pPr>
            <w:r>
              <w:rPr>
                <w:rFonts w:ascii="Arial" w:cs="Arial" w:eastAsia="Arial" w:hAnsi="Arial"/>
                <w:sz w:val="18"/>
                <w:szCs w:val="18"/>
                <w:color w:val="auto"/>
              </w:rPr>
              <w:t>2018 Revocable</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1980" w:type="dxa"/>
            <w:vAlign w:val="bottom"/>
            <w:gridSpan w:val="2"/>
          </w:tcPr>
          <w:p>
            <w:pPr>
              <w:ind w:left="180"/>
              <w:spacing w:after="0"/>
              <w:rPr>
                <w:sz w:val="20"/>
                <w:szCs w:val="20"/>
                <w:color w:val="auto"/>
              </w:rPr>
            </w:pPr>
            <w:r>
              <w:rPr>
                <w:rFonts w:ascii="Arial" w:cs="Arial" w:eastAsia="Arial" w:hAnsi="Arial"/>
                <w:sz w:val="18"/>
                <w:szCs w:val="18"/>
                <w:color w:val="auto"/>
              </w:rPr>
              <w:t>Trust</w:t>
            </w:r>
            <w:r>
              <w:rPr>
                <w:rFonts w:ascii="Arial" w:cs="Arial" w:eastAsia="Arial" w:hAnsi="Arial"/>
                <w:sz w:val="20"/>
                <w:szCs w:val="20"/>
                <w:color w:val="auto"/>
                <w:vertAlign w:val="superscript"/>
              </w:rPr>
              <w:t>(4)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409,640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125,000</w:t>
            </w:r>
          </w:p>
        </w:tc>
        <w:tc>
          <w:tcPr>
            <w:tcW w:w="1080" w:type="dxa"/>
            <w:vAlign w:val="bottom"/>
          </w:tcPr>
          <w:p>
            <w:pPr>
              <w:jc w:val="right"/>
              <w:spacing w:after="0"/>
              <w:rPr>
                <w:sz w:val="20"/>
                <w:szCs w:val="20"/>
                <w:color w:val="auto"/>
              </w:rPr>
            </w:pPr>
            <w:r>
              <w:rPr>
                <w:rFonts w:ascii="Arial" w:cs="Arial" w:eastAsia="Arial" w:hAnsi="Arial"/>
                <w:sz w:val="18"/>
                <w:szCs w:val="18"/>
                <w:color w:val="auto"/>
              </w:rPr>
              <w:t>284,640</w:t>
            </w:r>
          </w:p>
        </w:tc>
        <w:tc>
          <w:tcPr>
            <w:tcW w:w="132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7"/>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 Marjan Limited</w:t>
            </w:r>
            <w:r>
              <w:rPr>
                <w:rFonts w:ascii="Arial" w:cs="Arial" w:eastAsia="Arial" w:hAnsi="Arial"/>
                <w:sz w:val="20"/>
                <w:szCs w:val="20"/>
                <w:color w:val="auto"/>
                <w:vertAlign w:val="superscript"/>
              </w:rPr>
              <w:t>(4)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0"/>
        </w:trPr>
        <w:tc>
          <w:tcPr>
            <w:tcW w:w="1980" w:type="dxa"/>
            <w:vAlign w:val="bottom"/>
            <w:gridSpan w:val="2"/>
          </w:tcPr>
          <w:p>
            <w:pPr>
              <w:spacing w:after="0"/>
              <w:rPr>
                <w:sz w:val="20"/>
                <w:szCs w:val="20"/>
                <w:color w:val="auto"/>
              </w:rPr>
            </w:pPr>
            <w:r>
              <w:rPr>
                <w:rFonts w:ascii="Arial" w:cs="Arial" w:eastAsia="Arial" w:hAnsi="Arial"/>
                <w:sz w:val="18"/>
                <w:szCs w:val="18"/>
                <w:color w:val="auto"/>
              </w:rPr>
              <w:t>Dhari Albader</w:t>
            </w:r>
            <w:r>
              <w:rPr>
                <w:rFonts w:ascii="Arial" w:cs="Arial" w:eastAsia="Arial" w:hAnsi="Arial"/>
                <w:sz w:val="20"/>
                <w:szCs w:val="20"/>
                <w:color w:val="auto"/>
                <w:vertAlign w:val="superscript"/>
              </w:rPr>
              <w:t>(4)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247,500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1080" w:type="dxa"/>
            <w:vAlign w:val="bottom"/>
          </w:tcPr>
          <w:p>
            <w:pPr>
              <w:jc w:val="right"/>
              <w:spacing w:after="0"/>
              <w:rPr>
                <w:sz w:val="20"/>
                <w:szCs w:val="20"/>
                <w:color w:val="auto"/>
              </w:rPr>
            </w:pPr>
            <w:r>
              <w:rPr>
                <w:rFonts w:ascii="Arial" w:cs="Arial" w:eastAsia="Arial" w:hAnsi="Arial"/>
                <w:sz w:val="18"/>
                <w:szCs w:val="18"/>
                <w:color w:val="auto"/>
              </w:rPr>
              <w:t>147,500</w:t>
            </w:r>
          </w:p>
        </w:tc>
        <w:tc>
          <w:tcPr>
            <w:tcW w:w="132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Arbat Capital Group Ltd.</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201,100</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101,100</w:t>
            </w:r>
          </w:p>
        </w:tc>
        <w:tc>
          <w:tcPr>
            <w:tcW w:w="1320" w:type="dxa"/>
            <w:vAlign w:val="bottom"/>
            <w:gridSpan w:val="2"/>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1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0"/>
                <w:szCs w:val="10"/>
                <w:color w:val="auto"/>
              </w:rPr>
              <w:t>(4)(8)</w:t>
            </w:r>
          </w:p>
        </w:tc>
        <w:tc>
          <w:tcPr>
            <w:tcW w:w="10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gridSpan w:val="2"/>
            <w:vMerge w:val="continue"/>
            <w:shd w:val="clear" w:color="auto" w:fill="CCEEFF"/>
          </w:tcPr>
          <w:p>
            <w:pPr>
              <w:spacing w:after="0"/>
              <w:rPr>
                <w:sz w:val="12"/>
                <w:szCs w:val="12"/>
                <w:color w:val="auto"/>
              </w:rPr>
            </w:pPr>
          </w:p>
        </w:tc>
        <w:tc>
          <w:tcPr>
            <w:tcW w:w="1240" w:type="dxa"/>
            <w:vAlign w:val="bottom"/>
            <w:tcBorders>
              <w:bottom w:val="single" w:sz="8" w:color="CCEEFF"/>
            </w:tcBorders>
            <w:gridSpan w:val="2"/>
            <w:vMerge w:val="continue"/>
            <w:shd w:val="clear" w:color="auto" w:fill="CCEEFF"/>
          </w:tcPr>
          <w:p>
            <w:pPr>
              <w:spacing w:after="0"/>
              <w:rPr>
                <w:sz w:val="12"/>
                <w:szCs w:val="12"/>
                <w:color w:val="auto"/>
              </w:rPr>
            </w:pPr>
          </w:p>
        </w:tc>
        <w:tc>
          <w:tcPr>
            <w:tcW w:w="1240" w:type="dxa"/>
            <w:vAlign w:val="bottom"/>
            <w:tcBorders>
              <w:bottom w:val="single" w:sz="8" w:color="CCEEFF"/>
            </w:tcBorders>
            <w:gridSpan w:val="2"/>
            <w:vMerge w:val="continue"/>
            <w:shd w:val="clear" w:color="auto" w:fill="CCEEFF"/>
          </w:tcPr>
          <w:p>
            <w:pPr>
              <w:spacing w:after="0"/>
              <w:rPr>
                <w:sz w:val="12"/>
                <w:szCs w:val="12"/>
                <w:color w:val="auto"/>
              </w:rPr>
            </w:pPr>
          </w:p>
        </w:tc>
        <w:tc>
          <w:tcPr>
            <w:tcW w:w="1080" w:type="dxa"/>
            <w:vAlign w:val="bottom"/>
            <w:tcBorders>
              <w:bottom w:val="single" w:sz="8" w:color="CCEEFF"/>
            </w:tcBorders>
            <w:vMerge w:val="continue"/>
            <w:shd w:val="clear" w:color="auto" w:fill="CCEEFF"/>
          </w:tcPr>
          <w:p>
            <w:pPr>
              <w:spacing w:after="0"/>
              <w:rPr>
                <w:sz w:val="12"/>
                <w:szCs w:val="12"/>
                <w:color w:val="auto"/>
              </w:rPr>
            </w:pPr>
          </w:p>
        </w:tc>
        <w:tc>
          <w:tcPr>
            <w:tcW w:w="1320" w:type="dxa"/>
            <w:vAlign w:val="bottom"/>
            <w:tcBorders>
              <w:bottom w:val="single" w:sz="8" w:color="CCEEFF"/>
            </w:tcBorders>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1980" w:type="dxa"/>
            <w:vAlign w:val="bottom"/>
            <w:gridSpan w:val="2"/>
          </w:tcPr>
          <w:p>
            <w:pPr>
              <w:spacing w:after="0"/>
              <w:rPr>
                <w:sz w:val="20"/>
                <w:szCs w:val="20"/>
                <w:color w:val="auto"/>
              </w:rPr>
            </w:pPr>
            <w:r>
              <w:rPr>
                <w:rFonts w:ascii="Arial" w:cs="Arial" w:eastAsia="Arial" w:hAnsi="Arial"/>
                <w:sz w:val="18"/>
                <w:szCs w:val="18"/>
                <w:color w:val="auto"/>
              </w:rPr>
              <w:t>Nadir Noorani</w:t>
            </w:r>
            <w:r>
              <w:rPr>
                <w:rFonts w:ascii="Arial" w:cs="Arial" w:eastAsia="Arial" w:hAnsi="Arial"/>
                <w:sz w:val="20"/>
                <w:szCs w:val="20"/>
                <w:color w:val="auto"/>
                <w:vertAlign w:val="superscript"/>
              </w:rPr>
              <w:t>(4)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7"/>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Caltoris Limited</w:t>
            </w:r>
            <w:r>
              <w:rPr>
                <w:rFonts w:ascii="Arial" w:cs="Arial" w:eastAsia="Arial" w:hAnsi="Arial"/>
                <w:sz w:val="20"/>
                <w:szCs w:val="20"/>
                <w:color w:val="auto"/>
                <w:vertAlign w:val="superscript"/>
              </w:rPr>
              <w:t>(4)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252,687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167,687</w:t>
            </w:r>
          </w:p>
        </w:tc>
        <w:tc>
          <w:tcPr>
            <w:tcW w:w="132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0"/>
        </w:trPr>
        <w:tc>
          <w:tcPr>
            <w:tcW w:w="1980" w:type="dxa"/>
            <w:vAlign w:val="bottom"/>
            <w:gridSpan w:val="2"/>
          </w:tcPr>
          <w:p>
            <w:pPr>
              <w:spacing w:after="0"/>
              <w:rPr>
                <w:sz w:val="20"/>
                <w:szCs w:val="20"/>
                <w:color w:val="auto"/>
              </w:rPr>
            </w:pPr>
            <w:r>
              <w:rPr>
                <w:rFonts w:ascii="Arial" w:cs="Arial" w:eastAsia="Arial" w:hAnsi="Arial"/>
                <w:sz w:val="18"/>
                <w:szCs w:val="18"/>
                <w:color w:val="auto"/>
              </w:rPr>
              <w:t>Dipan Desai</w:t>
            </w:r>
            <w:r>
              <w:rPr>
                <w:rFonts w:ascii="Arial" w:cs="Arial" w:eastAsia="Arial" w:hAnsi="Arial"/>
                <w:sz w:val="20"/>
                <w:szCs w:val="20"/>
                <w:color w:val="auto"/>
                <w:vertAlign w:val="superscript"/>
              </w:rPr>
              <w:t>(4)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7"/>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Amir Ali Mithani</w:t>
            </w:r>
            <w:r>
              <w:rPr>
                <w:rFonts w:ascii="Arial" w:cs="Arial" w:eastAsia="Arial" w:hAnsi="Arial"/>
                <w:sz w:val="20"/>
                <w:szCs w:val="20"/>
                <w:color w:val="auto"/>
                <w:vertAlign w:val="superscript"/>
              </w:rPr>
              <w:t>(4)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0"/>
        </w:trPr>
        <w:tc>
          <w:tcPr>
            <w:tcW w:w="1980" w:type="dxa"/>
            <w:vAlign w:val="bottom"/>
            <w:gridSpan w:val="2"/>
          </w:tcPr>
          <w:p>
            <w:pPr>
              <w:spacing w:after="0"/>
              <w:rPr>
                <w:sz w:val="20"/>
                <w:szCs w:val="20"/>
                <w:color w:val="auto"/>
              </w:rPr>
            </w:pPr>
            <w:r>
              <w:rPr>
                <w:rFonts w:ascii="Arial" w:cs="Arial" w:eastAsia="Arial" w:hAnsi="Arial"/>
                <w:sz w:val="18"/>
                <w:szCs w:val="18"/>
                <w:color w:val="auto"/>
              </w:rPr>
              <w:t>EJK Investments LLC</w:t>
            </w:r>
            <w:r>
              <w:rPr>
                <w:rFonts w:ascii="Arial" w:cs="Arial" w:eastAsia="Arial" w:hAnsi="Arial"/>
                <w:sz w:val="20"/>
                <w:szCs w:val="20"/>
                <w:color w:val="auto"/>
                <w:vertAlign w:val="superscript"/>
              </w:rPr>
              <w:t>(4)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7"/>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Sasha Hoffman</w:t>
            </w:r>
            <w:r>
              <w:rPr>
                <w:rFonts w:ascii="Arial" w:cs="Arial" w:eastAsia="Arial" w:hAnsi="Arial"/>
                <w:sz w:val="20"/>
                <w:szCs w:val="20"/>
                <w:color w:val="auto"/>
                <w:vertAlign w:val="superscript"/>
              </w:rPr>
              <w:t>(4)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0"/>
        </w:trPr>
        <w:tc>
          <w:tcPr>
            <w:tcW w:w="1980" w:type="dxa"/>
            <w:vAlign w:val="bottom"/>
            <w:gridSpan w:val="2"/>
          </w:tcPr>
          <w:p>
            <w:pPr>
              <w:spacing w:after="0"/>
              <w:rPr>
                <w:sz w:val="20"/>
                <w:szCs w:val="20"/>
                <w:color w:val="auto"/>
              </w:rPr>
            </w:pPr>
            <w:r>
              <w:rPr>
                <w:rFonts w:ascii="Arial" w:cs="Arial" w:eastAsia="Arial" w:hAnsi="Arial"/>
                <w:sz w:val="18"/>
                <w:szCs w:val="18"/>
                <w:color w:val="auto"/>
              </w:rPr>
              <w:t>Kali Invest LLC</w:t>
            </w:r>
            <w:r>
              <w:rPr>
                <w:rFonts w:ascii="Arial" w:cs="Arial" w:eastAsia="Arial" w:hAnsi="Arial"/>
                <w:sz w:val="20"/>
                <w:szCs w:val="20"/>
                <w:color w:val="auto"/>
                <w:vertAlign w:val="superscript"/>
              </w:rPr>
              <w:t>(4)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7"/>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Georgia Sgardeli</w:t>
            </w:r>
            <w:r>
              <w:rPr>
                <w:rFonts w:ascii="Arial" w:cs="Arial" w:eastAsia="Arial" w:hAnsi="Arial"/>
                <w:sz w:val="20"/>
                <w:szCs w:val="20"/>
                <w:color w:val="auto"/>
                <w:vertAlign w:val="superscript"/>
              </w:rPr>
              <w:t>(4)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980" w:type="dxa"/>
            <w:vAlign w:val="bottom"/>
            <w:gridSpan w:val="2"/>
          </w:tcPr>
          <w:p>
            <w:pPr>
              <w:spacing w:after="0"/>
              <w:rPr>
                <w:sz w:val="20"/>
                <w:szCs w:val="20"/>
                <w:color w:val="auto"/>
              </w:rPr>
            </w:pPr>
            <w:r>
              <w:rPr>
                <w:rFonts w:ascii="Arial" w:cs="Arial" w:eastAsia="Arial" w:hAnsi="Arial"/>
                <w:sz w:val="18"/>
                <w:szCs w:val="18"/>
                <w:color w:val="auto"/>
              </w:rPr>
              <w:t>Amy Doshi &amp; Sarin</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15,000</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15,000</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vMerge w:val="restart"/>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1980" w:type="dxa"/>
            <w:vAlign w:val="bottom"/>
            <w:gridSpan w:val="2"/>
          </w:tcPr>
          <w:p>
            <w:pPr>
              <w:ind w:left="180"/>
              <w:spacing w:after="0"/>
              <w:rPr>
                <w:sz w:val="20"/>
                <w:szCs w:val="20"/>
                <w:color w:val="auto"/>
              </w:rPr>
            </w:pPr>
            <w:r>
              <w:rPr>
                <w:rFonts w:ascii="Arial" w:cs="Arial" w:eastAsia="Arial" w:hAnsi="Arial"/>
                <w:sz w:val="18"/>
                <w:szCs w:val="18"/>
                <w:color w:val="auto"/>
              </w:rPr>
              <w:t>Swami</w:t>
            </w:r>
            <w:r>
              <w:rPr>
                <w:rFonts w:ascii="Arial" w:cs="Arial" w:eastAsia="Arial" w:hAnsi="Arial"/>
                <w:sz w:val="20"/>
                <w:szCs w:val="20"/>
                <w:color w:val="auto"/>
                <w:vertAlign w:val="superscript"/>
              </w:rPr>
              <w:t>(4)</w:t>
            </w:r>
          </w:p>
        </w:tc>
        <w:tc>
          <w:tcPr>
            <w:tcW w:w="1240" w:type="dxa"/>
            <w:vAlign w:val="bottom"/>
            <w:gridSpan w:val="2"/>
            <w:vMerge w:val="continue"/>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Hoon Thye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1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Woei</w:t>
            </w:r>
            <w:r>
              <w:rPr>
                <w:rFonts w:ascii="Arial" w:cs="Arial" w:eastAsia="Arial" w:hAnsi="Arial"/>
                <w:sz w:val="20"/>
                <w:szCs w:val="20"/>
                <w:color w:val="auto"/>
                <w:vertAlign w:val="superscript"/>
              </w:rPr>
              <w:t>(4)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28,926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8,926</w:t>
            </w:r>
          </w:p>
        </w:tc>
        <w:tc>
          <w:tcPr>
            <w:tcW w:w="132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80" w:type="dxa"/>
            <w:vAlign w:val="bottom"/>
            <w:gridSpan w:val="2"/>
          </w:tcPr>
          <w:p>
            <w:pPr>
              <w:spacing w:after="0" w:line="201" w:lineRule="exact"/>
              <w:rPr>
                <w:sz w:val="20"/>
                <w:szCs w:val="20"/>
                <w:color w:val="auto"/>
              </w:rPr>
            </w:pPr>
            <w:r>
              <w:rPr>
                <w:rFonts w:ascii="Arial" w:cs="Arial" w:eastAsia="Arial" w:hAnsi="Arial"/>
                <w:sz w:val="18"/>
                <w:szCs w:val="18"/>
                <w:color w:val="auto"/>
              </w:rPr>
              <w:t>Nexxus Capital</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980" w:type="dxa"/>
            <w:vAlign w:val="bottom"/>
            <w:gridSpan w:val="2"/>
          </w:tcPr>
          <w:p>
            <w:pPr>
              <w:ind w:left="180"/>
              <w:spacing w:after="0"/>
              <w:rPr>
                <w:sz w:val="20"/>
                <w:szCs w:val="20"/>
                <w:color w:val="auto"/>
              </w:rPr>
            </w:pPr>
            <w:r>
              <w:rPr>
                <w:rFonts w:ascii="Arial" w:cs="Arial" w:eastAsia="Arial" w:hAnsi="Arial"/>
                <w:sz w:val="18"/>
                <w:szCs w:val="18"/>
                <w:color w:val="auto"/>
              </w:rPr>
              <w:t>Management Pte.</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42,029</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2,500</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39,529</w:t>
            </w:r>
          </w:p>
        </w:tc>
        <w:tc>
          <w:tcPr>
            <w:tcW w:w="1320" w:type="dxa"/>
            <w:vAlign w:val="bottom"/>
            <w:gridSpan w:val="2"/>
            <w:vMerge w:val="restart"/>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1980" w:type="dxa"/>
            <w:vAlign w:val="bottom"/>
            <w:gridSpan w:val="2"/>
          </w:tcPr>
          <w:p>
            <w:pPr>
              <w:ind w:left="180"/>
              <w:spacing w:after="0"/>
              <w:rPr>
                <w:sz w:val="20"/>
                <w:szCs w:val="20"/>
                <w:color w:val="auto"/>
              </w:rPr>
            </w:pPr>
            <w:r>
              <w:rPr>
                <w:rFonts w:ascii="Arial" w:cs="Arial" w:eastAsia="Arial" w:hAnsi="Arial"/>
                <w:sz w:val="18"/>
                <w:szCs w:val="18"/>
                <w:color w:val="auto"/>
              </w:rPr>
              <w:t>Ltd.</w:t>
            </w:r>
            <w:r>
              <w:rPr>
                <w:rFonts w:ascii="Arial" w:cs="Arial" w:eastAsia="Arial" w:hAnsi="Arial"/>
                <w:sz w:val="20"/>
                <w:szCs w:val="20"/>
                <w:color w:val="auto"/>
                <w:vertAlign w:val="superscript"/>
              </w:rPr>
              <w:t>(4)</w:t>
            </w:r>
          </w:p>
        </w:tc>
        <w:tc>
          <w:tcPr>
            <w:tcW w:w="1240" w:type="dxa"/>
            <w:vAlign w:val="bottom"/>
            <w:gridSpan w:val="2"/>
            <w:vMerge w:val="continue"/>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13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 Chin Nam</w:t>
            </w:r>
            <w:r>
              <w:rPr>
                <w:rFonts w:ascii="Arial" w:cs="Arial" w:eastAsia="Arial" w:hAnsi="Arial"/>
                <w:sz w:val="20"/>
                <w:szCs w:val="20"/>
                <w:color w:val="auto"/>
                <w:vertAlign w:val="superscript"/>
              </w:rPr>
              <w:t>(4)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8,926</w:t>
            </w:r>
          </w:p>
        </w:tc>
        <w:tc>
          <w:tcPr>
            <w:tcW w:w="132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1980" w:type="dxa"/>
            <w:vAlign w:val="bottom"/>
            <w:gridSpan w:val="2"/>
          </w:tcPr>
          <w:p>
            <w:pPr>
              <w:spacing w:after="0"/>
              <w:rPr>
                <w:sz w:val="20"/>
                <w:szCs w:val="20"/>
                <w:color w:val="auto"/>
              </w:rPr>
            </w:pPr>
            <w:r>
              <w:rPr>
                <w:rFonts w:ascii="Arial" w:cs="Arial" w:eastAsia="Arial" w:hAnsi="Arial"/>
                <w:sz w:val="18"/>
                <w:szCs w:val="18"/>
                <w:color w:val="auto"/>
              </w:rPr>
              <w:t>Shehzaan Chunara</w:t>
            </w:r>
            <w:r>
              <w:rPr>
                <w:rFonts w:ascii="Arial" w:cs="Arial" w:eastAsia="Arial" w:hAnsi="Arial"/>
                <w:sz w:val="20"/>
                <w:szCs w:val="20"/>
                <w:color w:val="auto"/>
                <w:vertAlign w:val="superscript"/>
              </w:rPr>
              <w:t>(4)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87,500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87,500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Biren Gosalia</w:t>
            </w:r>
            <w:r>
              <w:rPr>
                <w:rFonts w:ascii="Arial" w:cs="Arial" w:eastAsia="Arial" w:hAnsi="Arial"/>
                <w:sz w:val="20"/>
                <w:szCs w:val="20"/>
                <w:color w:val="auto"/>
                <w:vertAlign w:val="superscript"/>
              </w:rPr>
              <w:t>(4)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980" w:type="dxa"/>
            <w:vAlign w:val="bottom"/>
            <w:gridSpan w:val="2"/>
          </w:tcPr>
          <w:p>
            <w:pPr>
              <w:spacing w:after="0"/>
              <w:rPr>
                <w:sz w:val="20"/>
                <w:szCs w:val="20"/>
                <w:color w:val="auto"/>
              </w:rPr>
            </w:pPr>
            <w:r>
              <w:rPr>
                <w:rFonts w:ascii="Arial" w:cs="Arial" w:eastAsia="Arial" w:hAnsi="Arial"/>
                <w:sz w:val="18"/>
                <w:szCs w:val="18"/>
                <w:color w:val="auto"/>
              </w:rPr>
              <w:t>Monil Gandhi Personal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980" w:type="dxa"/>
            <w:vAlign w:val="bottom"/>
            <w:gridSpan w:val="2"/>
          </w:tcPr>
          <w:p>
            <w:pPr>
              <w:ind w:left="180"/>
              <w:spacing w:after="0"/>
              <w:rPr>
                <w:sz w:val="20"/>
                <w:szCs w:val="20"/>
                <w:color w:val="auto"/>
              </w:rPr>
            </w:pPr>
            <w:r>
              <w:rPr>
                <w:rFonts w:ascii="Arial" w:cs="Arial" w:eastAsia="Arial" w:hAnsi="Arial"/>
                <w:sz w:val="18"/>
                <w:szCs w:val="18"/>
                <w:color w:val="auto"/>
              </w:rPr>
              <w:t>Revocable Trust</w:t>
            </w:r>
            <w:r>
              <w:rPr>
                <w:rFonts w:ascii="Arial" w:cs="Arial" w:eastAsia="Arial" w:hAnsi="Arial"/>
                <w:sz w:val="20"/>
                <w:szCs w:val="20"/>
                <w:color w:val="auto"/>
                <w:vertAlign w:val="superscript"/>
              </w:rPr>
              <w:t>(4)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7"/>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Paresh Doshi</w:t>
            </w:r>
            <w:r>
              <w:rPr>
                <w:rFonts w:ascii="Arial" w:cs="Arial" w:eastAsia="Arial" w:hAnsi="Arial"/>
                <w:sz w:val="20"/>
                <w:szCs w:val="20"/>
                <w:color w:val="auto"/>
                <w:vertAlign w:val="superscript"/>
              </w:rPr>
              <w:t>(4)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Represents beneficial ownership of less than 1%.</w:t>
      </w:r>
    </w:p>
    <w:p>
      <w:pPr>
        <w:spacing w:after="0" w:line="22" w:lineRule="exact"/>
        <w:rPr>
          <w:sz w:val="20"/>
          <w:szCs w:val="20"/>
          <w:color w:val="auto"/>
        </w:rPr>
      </w:pPr>
    </w:p>
    <w:p>
      <w:pPr>
        <w:ind w:left="880" w:hanging="426"/>
        <w:spacing w:after="0"/>
        <w:tabs>
          <w:tab w:leader="none" w:pos="8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Assumes the sale of all shares being offered pursuant to this prospectus.</w:t>
      </w:r>
    </w:p>
    <w:p>
      <w:pPr>
        <w:spacing w:after="0" w:line="18" w:lineRule="exact"/>
        <w:rPr>
          <w:rFonts w:ascii="Arial" w:cs="Arial" w:eastAsia="Arial" w:hAnsi="Arial"/>
          <w:sz w:val="16"/>
          <w:szCs w:val="16"/>
          <w:color w:val="auto"/>
        </w:rPr>
      </w:pPr>
    </w:p>
    <w:p>
      <w:pPr>
        <w:jc w:val="both"/>
        <w:ind w:left="880" w:right="459" w:hanging="426"/>
        <w:spacing w:after="0" w:line="288" w:lineRule="auto"/>
        <w:tabs>
          <w:tab w:leader="none" w:pos="8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Shares of Presto Common Stock to be sold pursuant to this prospectus represent 2,181,819 shares of Presto Common Stock issuable upon the exercise of the Resale Warrants held of record by MPF VII GP, LLC, an affiliate of Metropolitan Partners Group, is the general partner of Metropolitan Levered Partners Fund VII, LP, Metropolitan Offshore Partners Fund VII, LP and Metropolitan Partners Fund VII, LP. Paul Lisiak, Alice Wang, Miles Peet and Dougal Gold are the Managing Partner and Chief Executive Officer, Chief Operating Officer, Deputy Chief Operating Officer and Chief Accounting Officer, respectively, of MPF VII GP, LLC and direct the voting and investment decisions with respect to the shares held by such entities. Metropolitan Levered Partners Fund VII, LP, Metropolitan Partners Fund VII, LP, Metropolitan Offshore Partners Fund VII, LP are lenders under the Credit Agreement. The business address of such entities is 850, Third Avenue, 18</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Floor, New York, New York 10022.</w:t>
      </w:r>
    </w:p>
    <w:p>
      <w:pPr>
        <w:sectPr>
          <w:pgSz w:w="11900" w:h="16838" w:orient="portrait"/>
          <w:cols w:equalWidth="0" w:num="1">
            <w:col w:w="9019"/>
          </w:cols>
          <w:pgMar w:left="1440" w:top="274" w:right="1440" w:bottom="1440" w:gutter="0" w:footer="0" w:header="0"/>
        </w:sectPr>
      </w:pP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5" w:name="page106"/>
    <w:bookmarkEnd w:id="10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both"/>
        <w:ind w:left="880" w:right="459" w:hanging="426"/>
        <w:spacing w:after="0" w:line="274" w:lineRule="auto"/>
        <w:tabs>
          <w:tab w:leader="none" w:pos="8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Shares of Presto Common Stock to be sold pursuant to this prospectus represent 318,181 shares of Presto Common Stock issuable upon the exercise of the Resale Warrants held of record by Corbin Capital Partners, L.P., is the investment manager of CEOF Holdings LP (“CEOF”). Craig Bergstrom is the Chief Investment Officer of Corbin Capital Partners, L.P. and directs the voting and investment decisions with respect to the shares held by CEOF. CEOF is a lender under the Credit Agreement. The business address of CEOF is 590 Madison Avenue, 31</w:t>
      </w:r>
      <w:r>
        <w:rPr>
          <w:rFonts w:ascii="Arial" w:cs="Arial" w:eastAsia="Arial" w:hAnsi="Arial"/>
          <w:sz w:val="17"/>
          <w:szCs w:val="17"/>
          <w:color w:val="auto"/>
          <w:vertAlign w:val="superscript"/>
        </w:rPr>
        <w:t>st</w:t>
      </w:r>
      <w:r>
        <w:rPr>
          <w:rFonts w:ascii="Arial" w:cs="Arial" w:eastAsia="Arial" w:hAnsi="Arial"/>
          <w:sz w:val="15"/>
          <w:szCs w:val="15"/>
          <w:color w:val="auto"/>
        </w:rPr>
        <w:t xml:space="preserve"> Floor, New York, New York 10022. Mr. Bergstrom disclaims beneficial ownership of shares held by CEOF.</w:t>
      </w:r>
    </w:p>
    <w:p>
      <w:pPr>
        <w:spacing w:after="0" w:line="1" w:lineRule="exact"/>
        <w:rPr>
          <w:rFonts w:ascii="Arial" w:cs="Arial" w:eastAsia="Arial" w:hAnsi="Arial"/>
          <w:sz w:val="15"/>
          <w:szCs w:val="15"/>
          <w:color w:val="auto"/>
        </w:rPr>
      </w:pPr>
    </w:p>
    <w:p>
      <w:pPr>
        <w:ind w:left="880" w:right="459" w:hanging="426"/>
        <w:spacing w:after="0" w:line="264" w:lineRule="auto"/>
        <w:tabs>
          <w:tab w:leader="none" w:pos="8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Unless otherwise noted, the shares of Presto Common Stock to be sold pursuant to this prospectus represent PIPE Shares held by the securityholders.</w:t>
      </w:r>
    </w:p>
    <w:p>
      <w:pPr>
        <w:jc w:val="both"/>
        <w:ind w:left="880" w:right="459" w:hanging="426"/>
        <w:spacing w:after="0" w:line="264" w:lineRule="auto"/>
        <w:tabs>
          <w:tab w:leader="none" w:pos="8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Shares of Presto Common Stock to be sold pursuant to this prospectus represent 1,500,000 PIPE Shares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Cleveland Avenue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1" w:lineRule="exact"/>
        <w:rPr>
          <w:rFonts w:ascii="Arial" w:cs="Arial" w:eastAsia="Arial" w:hAnsi="Arial"/>
          <w:sz w:val="16"/>
          <w:szCs w:val="16"/>
          <w:color w:val="auto"/>
        </w:rPr>
      </w:pPr>
    </w:p>
    <w:p>
      <w:pPr>
        <w:jc w:val="both"/>
        <w:ind w:left="880" w:right="459" w:hanging="426"/>
        <w:spacing w:after="0" w:line="279" w:lineRule="auto"/>
        <w:tabs>
          <w:tab w:leader="none" w:pos="8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Shares of Presto Common Stock to be sold pursuant to this prospectus represent 500,000 PIPE Shares held of record by Kepos Capital LP. Kepos Capital LP is the investment manager of Kepos Alpha Master Fund L.P. and Kepos Partners LLC is the General Partner of Kepos Alpha Master Fund L.P.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Kepos Alpha Master Fund L.P. Mr. Carhart disclaims beneficial ownership of the shares held by Kepos Alpha Master Fund L.P. The business address of Kepos Capital LP and Mr. Carhart is 11 Times Square, 35</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Floor, New York, NY 10036.</w:t>
      </w:r>
    </w:p>
    <w:p>
      <w:pPr>
        <w:spacing w:after="0" w:line="1" w:lineRule="exact"/>
        <w:rPr>
          <w:rFonts w:ascii="Arial" w:cs="Arial" w:eastAsia="Arial" w:hAnsi="Arial"/>
          <w:sz w:val="15"/>
          <w:szCs w:val="15"/>
          <w:color w:val="auto"/>
        </w:rPr>
      </w:pPr>
    </w:p>
    <w:p>
      <w:pPr>
        <w:jc w:val="both"/>
        <w:ind w:left="880" w:right="459" w:hanging="426"/>
        <w:spacing w:after="0" w:line="260" w:lineRule="auto"/>
        <w:tabs>
          <w:tab w:leader="none" w:pos="8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Shares of Presto Common Stock to be sold pursuant to this prospectus represent 250,000 PIPE Shares. As of April 2022, Mr. Nevinskiy was a partner of I2BF. I2BF, together with its affiliates, holds more than 5% beneficial ownership of the Company and Mr. Golubovich, the sole director of I2BF, currently serves as a director of the Company.</w:t>
      </w:r>
    </w:p>
    <w:p>
      <w:pPr>
        <w:spacing w:after="0" w:line="2" w:lineRule="exact"/>
        <w:rPr>
          <w:rFonts w:ascii="Arial" w:cs="Arial" w:eastAsia="Arial" w:hAnsi="Arial"/>
          <w:sz w:val="16"/>
          <w:szCs w:val="16"/>
          <w:color w:val="auto"/>
        </w:rPr>
      </w:pPr>
    </w:p>
    <w:p>
      <w:pPr>
        <w:jc w:val="both"/>
        <w:ind w:left="880" w:right="459" w:hanging="426"/>
        <w:spacing w:after="0" w:line="270" w:lineRule="auto"/>
        <w:tabs>
          <w:tab w:leader="none" w:pos="8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Shares of Presto Common Stock to be sold pursuant to this prospectus represent 100,000 PIPE Shares. Other shares of Presto Common Stock beneficially owned prior to this offering consists of 101,100 shares of Presto Common Stock. Mr. Golubovich is a director of Arbat Capital Group Ltd. (“Arbat”) and disclaims beneficial ownership of the Presto Common Stock held by Arbat except to the extent of his pecuniary interest therein. The business address of Arbat is 5 Themistokli Dervi St., 1066 Nicosia, Cyprus.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6" w:name="page107"/>
    <w:bookmarkEnd w:id="10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VTAQ Related Person Transactions</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On August 20, 2020, VTAQ issued an unsecured promissory note to one of its sponsors, Ventoux Acquisition Holdings LLC. The outstanding balance under the promissory note of $151,812 was repaid in full on December 31, 2020.</w:t>
      </w:r>
    </w:p>
    <w:p>
      <w:pPr>
        <w:spacing w:after="0" w:line="116"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In addition, at the closing of the IPO, VTAQ’s stockholders prior to the IPO purchased from the Company an aggregate of 6,000,000 Private Warrants at $1.00 per Private Warrant (for a total purchase price of $6,000,000). In connection with the closing of the issuance sale of the Over-Allotment Option Units, the Company’s stockholders prior to the IPO purchased from VTAQ an aggregate of 675,000 Private Warrants at $1.00 per Private Warrant (for a total purchase price of $675,000). As of December 31, 2020, VTAQ had no loans outstanding, including any loans from its directors or officers.</w:t>
      </w:r>
    </w:p>
    <w:p>
      <w:pPr>
        <w:spacing w:after="0" w:line="110"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Jonas Grossman and Alex Weil are affiliated with Chardan Capital Markets, in addition to being directors of the Company. While no direct compensation arrangements regarding such individuals have been entered into regarding such fees, these executives may benefit indirectly from any such amounts payable to Chardan Capital Markets in respect of marketing fees, costs and expenses incurred by Chardan Capital Markets in connection with the identification, review and negotiation and approval of the initial business combination and in respect of fees in connection with VTAQ’s capital raising efforts. Prior to the Closing, VTAQ and Presto intend to take reasonable steps to negotiate with their service providers to reduce their respective transaction expenses to be paid at the consummation of the Business Combination. The results of these negotiations are uncertain since the service providers can discontinue negotiations at any time and require the full amount of their fees payable upon the consummation of the Business Combination.</w:t>
      </w:r>
    </w:p>
    <w:p>
      <w:pPr>
        <w:spacing w:after="0" w:line="87"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VTAQ entered into an agreement, commencing on December 23, 2020 through VTAQ’s consummation of a Business Combination or its liquidation, to pay Chardan Capital Markets, LLC a total of $10,000 per month for office space, utilities and secretarial support.</w:t>
      </w:r>
    </w:p>
    <w:p>
      <w:pPr>
        <w:spacing w:after="0" w:line="116"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On March 29, 2022, Ventoux Acquisition Holdings LLC and Chardan International Investments, LLC, as the Sponsors, loaned $1,150,000 and $575,000 to VTAQ for the purpose of depositing such amounts into the Trust Account in order to extend the deadline for VTAQ to consummate the Business Combination from March 30, 2022 to June 30, 2022, in accordance with VTAQ’s certificate of incorporation and the trust agreement governing the Trust Account. In consideration for such loans, VTAQ issued two unsecured promissory notes (the “Extension Notes”) in the amounts of $1,150,000 and $575,000 to Ventoux Acquisition Holdings LLC and Chardan International Investments, LLC, respectively. On the same day, VTAQ wired the sum of $1,725,000 to Continental, as Trustee of the Trust Account, for the purpose of extending the deadline for VTAQ to consummate the Business Combination from March 30, 2022 to June 30, 2022.</w:t>
      </w:r>
    </w:p>
    <w:p>
      <w:pPr>
        <w:spacing w:after="0" w:line="99"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Also on March 29, 2022, Ventoux Acquisition Holdings LLC and Chardan International Investments, LLC loaned VTAQ $250,000 and $125,000 for additional working capital purposes. In consideration for such loans, VTAQ issued two unsecured promissory notes (the “Working Capital Notes”) in amounts of $250,000 and $125,000 to Ventoux Acquisition Holdings LLC and Chardan International Investments, LLC, respectively.</w:t>
      </w:r>
    </w:p>
    <w:p>
      <w:pPr>
        <w:spacing w:after="0" w:line="7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Extension Notes and Working Capital Notes were approved by VTAQ’s audit committee and VTAQ’s Board of Directors. The Extension Notes and Working Capital Notes do not bear interest and mature and are payable (subject to the waiver against trust provisions) upon on the earlier of (i) the date on which the Business Combination is consummated and (ii) the date of VTAQ’s liquidation.</w:t>
      </w:r>
    </w:p>
    <w:p>
      <w:pPr>
        <w:spacing w:after="0" w:line="119"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VTAQ’s officers and directors are entitled to reimbursement for any out-of-pocket expenses incurred in connection with activities on VTAQ’s behalf such as identifying potential target businesses and performing due diligence on suitable business combinations. VTAQ’s audit committee reviews on a quarterly basis all payments that were made to our Sponsor, VTAQ’s officers, directors or its or their affiliates.</w:t>
      </w:r>
    </w:p>
    <w:p>
      <w:pPr>
        <w:spacing w:after="0" w:line="9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Sponsors or an affiliate of our Sponsors or certain of its officers and directors may, but are not obligated to, loan VTAQ funds as may be required on a non-interest basis. Upon completion of the Business Combination, VTAQ repaid such loaned amounts.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7" w:name="page108"/>
    <w:bookmarkEnd w:id="10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Presto Related Party Transactions</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have certain convertible promissory notes with entities controlled by Krishna K. Gupta and Ilya Golubovich, each of whom is a member of our board of directors. In fiscal year 2021, we issued $1.5 million and $1 million of the July 2020 Notes and embedded warrants to the entities controlled by Mr. Gupta and Mr. Golubovich, respectively, and $2 million of the Q3 2021 Notes and embedded warrants to the entity controlled by Mr. Golubovich.</w:t>
      </w:r>
    </w:p>
    <w:p>
      <w:pPr>
        <w:spacing w:after="0" w:line="12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have elected the fair value option for our convertible promissory notes. As of June 30, 2022 and June 30, 2021, $9.6 million and $6.4 million of convertible promissory notes and embedded warrants were due to Mr. Gupta and Mr. Golubovich, respectively, of which $9.6 million and $3.6 million, respectively are due within 12 months.</w:t>
      </w:r>
    </w:p>
    <w:p>
      <w:pPr>
        <w:spacing w:after="0" w:line="11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In September 2022, in connection with but prior to the Closing, upon receipt of the approval of Presto’s disinterested shareholders, we granted 1,200,000 RSUs to Krishna K. Gupta, a director and significant stockholder of the Company, for services rendered in connection with the Business Combination. The RSUs, are subject to the same terms as the 2018 Plan (although they were granted outside of the 2018 Plan). The RSUs vest in the following tranches, subject to the continuous service through each applicable vesting date: 33.33% of the RSUs shall vest on September 30, 2022, 56.67% of the RSUs shall vest in equal monthly installments on the last day of each month during the subsequent 23-month period, and the remaining 10% shall vest upon the third anniversary of the vesting commencement date. The RSUs time-based vesting will accelerate upon an acquisition of the Company.</w:t>
      </w:r>
    </w:p>
    <w:p>
      <w:pPr>
        <w:spacing w:after="0" w:line="100"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In May 2023, in connection with the Purchase Agreement, we issued Presto CA LLC an aggregate amount of 1,500,000 shares of Presto Common Stock for $2.00 per share, resulting in gross proceeds of $3,000,000. Cleveland Avenue Food and Beverage Fund II, LP is the sole member of Presto CA LLC. Keith Kravcik, a director and significant stockholder of the Company, is the Chief Financial Officer and Chief Investment Officer for all of Cleveland Avenue LLC’s various investment funds. The 1,500,000 shares issued to Presto CA LLC are among the securities being registered under this prospectus.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In connection with the Closing of the Business Combination, the Presto Board adopted a written policy that sets forth the following policies and procedures for the review and approval or ratification of related person transactions (the “Related Person Transaction Policy”).</w:t>
      </w:r>
    </w:p>
    <w:p>
      <w:pPr>
        <w:spacing w:after="0" w:line="116"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A “Related Person Transaction” is a financial transaction, arrangement or relationship or any series of similar transactions, arrangement or relationships, in which Presto or any of its subsidiaries was, is or will be a participant, the amount of which involved exceeds $120,000, and in which any related person had, has or will have a direct or indirect material interest, other than an employment relationship or transaction involving an executive officer and any related compensation. A “Related Person” means:</w:t>
      </w:r>
    </w:p>
    <w:p>
      <w:pPr>
        <w:spacing w:after="0" w:line="95" w:lineRule="exact"/>
        <w:rPr>
          <w:sz w:val="20"/>
          <w:szCs w:val="20"/>
          <w:color w:val="auto"/>
        </w:rPr>
      </w:pPr>
    </w:p>
    <w:p>
      <w:pPr>
        <w:ind w:left="1320" w:right="459" w:hanging="434"/>
        <w:spacing w:after="0" w:line="277" w:lineRule="auto"/>
        <w:tabs>
          <w:tab w:leader="none" w:pos="131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Presto’s executive officers, a member or a member nominee of the Presto Board;</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person who is known by Presto to be the beneficial owner of more than 5% of its voting stock at the time of occurrence or existence of the Related Person Transaction; and</w:t>
      </w:r>
    </w:p>
    <w:p>
      <w:pPr>
        <w:spacing w:after="0" w:line="102" w:lineRule="exact"/>
        <w:rPr>
          <w:rFonts w:ascii="Arial" w:cs="Arial" w:eastAsia="Arial" w:hAnsi="Arial"/>
          <w:sz w:val="18"/>
          <w:szCs w:val="18"/>
          <w:color w:val="auto"/>
        </w:rPr>
      </w:pPr>
    </w:p>
    <w:p>
      <w:pPr>
        <w:jc w:val="both"/>
        <w:ind w:left="1320" w:right="459" w:hanging="434"/>
        <w:spacing w:after="0" w:line="255" w:lineRule="auto"/>
        <w:tabs>
          <w:tab w:leader="none" w:pos="131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which includes any child, stepchild, parent, stepparent, spouse, sibling, mother-in-law, father-in-law, son-in-law, daughter-in-law, brother-in-law or sister-in-law of a director, officer or a beneficial owner of more than 5% of Presto’s voting stock, and any person (other than a tenant or employee) sharing the household of such director, director nominee, executive officer or beneficial owner of more than 5% of Presto’s voting stock.</w:t>
      </w:r>
    </w:p>
    <w:p>
      <w:pPr>
        <w:spacing w:after="0" w:line="11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Each of the transactions described above that Presto has entered into since the adoption of the Related Person Transaction Policy was approved in accordance with such policy; the transactions entered into before the Closing were not subject to the policy.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8" w:name="page109"/>
    <w:bookmarkEnd w:id="10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MATERIAL UNITED STATES FEDERAL INCOME</w:t>
      </w:r>
    </w:p>
    <w:p>
      <w:pPr>
        <w:spacing w:after="0" w:line="2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TAX CONSIDERATIONS FOR NON-U.S. HOLDERS</w:t>
      </w:r>
    </w:p>
    <w:p>
      <w:pPr>
        <w:spacing w:after="0" w:line="130"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The following is a summary of the material U.S. federal income tax consequences applicable to non-U.S. holders (as defined below) of the ownership and disposition of our shares of Common Stock, but does not purport to be a complete analysis of all potential tax considerations related thereto. This discussion applies only to our Common Stock that is held as a capital asset within the meaning of Section 1221 of the U.S. Internal Revenue Code of 1986, as amended (the “Code”). This discussion assumes that any distributions made (or deemed made) by us on our Common Stock and any consideration received (or deemed received) by a holder in consideration for the sale or other disposition of our Common Stock will be in U.S. dollars.</w:t>
      </w:r>
    </w:p>
    <w:p>
      <w:pPr>
        <w:spacing w:after="0" w:line="99"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This discussion does not address the U.S. federal income tax consequences to our founders, sponsors, officers or directors.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94" w:lineRule="exact"/>
        <w:rPr>
          <w:sz w:val="20"/>
          <w:szCs w:val="20"/>
          <w:color w:val="auto"/>
        </w:rPr>
      </w:pPr>
    </w:p>
    <w:p>
      <w:pPr>
        <w:ind w:left="1320" w:hanging="434"/>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banks, financial institutions or financial services entities;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except as specifically provided below, persons that actually or constructively own five percent or more (by vote or value) of our shares;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that acquired our Common Stock pursuant to an exercise of employee share options, in connection with employee share incentive plans or otherwise as compensation;</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67"/>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our Common Stock;</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holding our Common Stock as part of a “straddle,” constructive sale, hedge, wash sale, conversion or other integrated or similar transaction;</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persons deemed to sell our common stock under the constructive sale provisions of the Code;</w:t>
      </w:r>
    </w:p>
    <w:p>
      <w:pPr>
        <w:spacing w:after="0" w:line="155" w:lineRule="exact"/>
        <w:rPr>
          <w:rFonts w:ascii="Arial" w:cs="Arial" w:eastAsia="Arial" w:hAnsi="Arial"/>
          <w:sz w:val="17"/>
          <w:szCs w:val="17"/>
          <w:color w:val="auto"/>
        </w:rPr>
      </w:pPr>
    </w:p>
    <w:p>
      <w:pPr>
        <w:ind w:left="1320" w:right="459" w:hanging="434"/>
        <w:spacing w:after="0" w:line="277" w:lineRule="auto"/>
        <w:tabs>
          <w:tab w:leader="none" w:pos="1316"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57" w:lineRule="exact"/>
        <w:rPr>
          <w:rFonts w:ascii="Arial" w:cs="Arial" w:eastAsia="Arial" w:hAnsi="Arial"/>
          <w:sz w:val="18"/>
          <w:szCs w:val="18"/>
          <w:color w:val="auto"/>
        </w:rPr>
      </w:pPr>
    </w:p>
    <w:p>
      <w:pPr>
        <w:ind w:left="1320" w:right="459" w:hanging="434"/>
        <w:spacing w:after="0" w:line="308" w:lineRule="auto"/>
        <w:tabs>
          <w:tab w:leader="none" w:pos="1316" w:val="left"/>
        </w:tabs>
        <w:numPr>
          <w:ilvl w:val="0"/>
          <w:numId w:val="67"/>
        </w:numPr>
        <w:rPr>
          <w:rFonts w:ascii="Arial" w:cs="Arial" w:eastAsia="Arial" w:hAnsi="Arial"/>
          <w:sz w:val="17"/>
          <w:szCs w:val="17"/>
          <w:color w:val="auto"/>
        </w:rPr>
      </w:pPr>
      <w:r>
        <w:rPr>
          <w:rFonts w:ascii="Arial" w:cs="Arial" w:eastAsia="Arial" w:hAnsi="Arial"/>
          <w:sz w:val="17"/>
          <w:szCs w:val="17"/>
          <w:color w:val="auto"/>
        </w:rPr>
        <w:t>partnerships (or entities or arrangements classified as partnerships or other pass-through entities for U.S. federal income tax purposes) and any beneficial owners of such partnerships;</w:t>
      </w:r>
    </w:p>
    <w:p>
      <w:pPr>
        <w:spacing w:after="0" w:line="65" w:lineRule="exact"/>
        <w:rPr>
          <w:rFonts w:ascii="Arial" w:cs="Arial" w:eastAsia="Arial" w:hAnsi="Arial"/>
          <w:sz w:val="17"/>
          <w:szCs w:val="17"/>
          <w:color w:val="auto"/>
        </w:rPr>
      </w:pPr>
    </w:p>
    <w:p>
      <w:pPr>
        <w:ind w:left="1320" w:hanging="434"/>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9" w:name="page110"/>
    <w:bookmarkEnd w:id="10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controlled foreign corporations; and</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ownership and disposition of our Common Stock.</w:t>
      </w:r>
    </w:p>
    <w:p>
      <w:pPr>
        <w:spacing w:after="0" w:line="114"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0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2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b w:val="1"/>
          <w:bCs w:val="1"/>
          <w:color w:val="auto"/>
        </w:rPr>
        <w:t>THIS DISCUSSION IS ONLY A SUMMARY OF CERTAIN U.S. FEDERAL INCOME TAX CONSIDERATIONS ASSOCIATED WITH THE OWNERSHIP AND DISPOSITION OF OUR COMMON STOCK. EACH PROSPECTIVE INVESTOR IN OUR COMMON STOCK IS URGED TO CONSULT ITS OWN TAX ADVISOR WITH RESPECT TO THE PARTICULAR TAX CONSEQUENCES TO SUCH INVESTOR OF THE OWNERSHIP AND DISPOSITION OF OUR COMMON STOCK, INCLUDING THE APPLICABILITY AND EFFECT OF ANY U.S. FEDERAL NON-INCOME, STATE, LOCAL, AND NON-U.S. TAX LAWS</w:t>
      </w:r>
      <w:r>
        <w:rPr>
          <w:rFonts w:ascii="Arial" w:cs="Arial" w:eastAsia="Arial" w:hAnsi="Arial"/>
          <w:sz w:val="18"/>
          <w:szCs w:val="18"/>
          <w:color w:val="auto"/>
        </w:rPr>
        <w: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Definition of Non-U.S. Holder</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As used herein, the term “Non-U.S. holder” means a beneficial owner of our Common Stock (other than a partnership or entity or arrangement classified as a partnership for U.S. federal income tax purposes) that is not a U.S. person.</w:t>
      </w:r>
    </w:p>
    <w:p>
      <w:pPr>
        <w:spacing w:after="0" w:line="11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 “U.S. person” is any person that, for U.S. federal income tax purposes, is or is treated as any of the following:</w:t>
      </w:r>
    </w:p>
    <w:p>
      <w:pPr>
        <w:spacing w:after="0" w:line="103" w:lineRule="exact"/>
        <w:rPr>
          <w:sz w:val="20"/>
          <w:szCs w:val="20"/>
          <w:color w:val="auto"/>
        </w:rPr>
      </w:pPr>
    </w:p>
    <w:p>
      <w:pPr>
        <w:ind w:left="1320" w:hanging="434"/>
        <w:spacing w:after="0"/>
        <w:tabs>
          <w:tab w:leader="none" w:pos="1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44" w:lineRule="exact"/>
        <w:rPr>
          <w:rFonts w:ascii="Arial" w:cs="Arial" w:eastAsia="Arial" w:hAnsi="Arial"/>
          <w:sz w:val="18"/>
          <w:szCs w:val="18"/>
          <w:color w:val="auto"/>
        </w:rPr>
      </w:pPr>
    </w:p>
    <w:p>
      <w:pPr>
        <w:ind w:left="1320" w:right="459" w:hanging="434"/>
        <w:spacing w:after="0" w:line="342" w:lineRule="auto"/>
        <w:tabs>
          <w:tab w:leader="none" w:pos="1316" w:val="left"/>
        </w:tabs>
        <w:numPr>
          <w:ilvl w:val="0"/>
          <w:numId w:val="69"/>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for U.S. federal income tax purposes, created or organized under the laws of the United States, any state thereof or the District of Columbia;</w:t>
      </w:r>
    </w:p>
    <w:p>
      <w:pPr>
        <w:spacing w:after="0" w:line="56" w:lineRule="exact"/>
        <w:rPr>
          <w:rFonts w:ascii="Arial" w:cs="Arial" w:eastAsia="Arial" w:hAnsi="Arial"/>
          <w:sz w:val="16"/>
          <w:szCs w:val="16"/>
          <w:color w:val="auto"/>
        </w:rPr>
      </w:pPr>
    </w:p>
    <w:p>
      <w:pPr>
        <w:ind w:left="1320" w:hanging="434"/>
        <w:spacing w:after="0"/>
        <w:tabs>
          <w:tab w:leader="none" w:pos="13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169" w:lineRule="exact"/>
        <w:rPr>
          <w:rFonts w:ascii="Arial" w:cs="Arial" w:eastAsia="Arial" w:hAnsi="Arial"/>
          <w:sz w:val="17"/>
          <w:szCs w:val="17"/>
          <w:color w:val="auto"/>
        </w:rPr>
      </w:pPr>
    </w:p>
    <w:p>
      <w:pPr>
        <w:jc w:val="both"/>
        <w:ind w:left="1320" w:right="459" w:hanging="434"/>
        <w:spacing w:after="0" w:line="259" w:lineRule="auto"/>
        <w:tabs>
          <w:tab w:leader="none" w:pos="1316"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trust if (a) a court within the United States is able to exercise primary supervision over the administration of the trust and one or more U.S. persons have the authority to control all substantial decisions of the trust or (b) it has in effect a valid election under applicable Treasury regulations to be treated as a U.S. person.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Taxation of Distributions</w:t>
      </w:r>
    </w:p>
    <w:p>
      <w:pPr>
        <w:spacing w:after="0" w:line="14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In general, any distributions (including constructive distributions, but not including certain distributions of our stock or rights to acquire our stock)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w:t>
      </w:r>
    </w:p>
    <w:p>
      <w:pPr>
        <w:sectPr>
          <w:pgSz w:w="11900" w:h="16838" w:orient="portrait"/>
          <w:cols w:equalWidth="0" w:num="1">
            <w:col w:w="9019"/>
          </w:cols>
          <w:pgMar w:left="1440" w:top="274" w:right="1440"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0" w:name="page111"/>
    <w:bookmarkEnd w:id="11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of withholding tax under an applicable income tax treaty and provides proper certification of its eligibility for such reduced rate (usually on an IRS Form W-8BEN or W-8BEN-E). These certifications must be provided to the applicable withholding agent prior to the payment of dividends and must be updated periodically. A Non-U.S. holder that does not timely furnish the required documentation, but is eligible for a reduced rate of withholding tax under an income tax treaty may obtain a refund or credit of any excess amounts withheld by filing an appropriate claim for refund with the IRS. In the case of any constructive dividend, it is possible that this tax would be withheld from any amount owed to a Non-U.S. holder by us or the applicable withholding agent, including cash distributions on other property or sale proceeds from warrants or other property subsequently paid or credited to such holder.</w:t>
      </w:r>
    </w:p>
    <w:p>
      <w:pPr>
        <w:spacing w:after="0" w:line="11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Dividends that are effectively connected with a Non-U.S. holder’s conduct of a trade or business within the United States and, if such Non-U.S. holder is entitled to claim treaty benefits (and the Non-U.S. holder complies with applicable certification and other requirements), that are attributable to a permanent establishment (or, for an individual, a fixed base) maintained by such Non-U.S. holder within the United States are not subject to the withholding tax described above but instead are subject to U.S. federal income tax on a net income basis at applicable graduated U.S. federal income tax rates. In order for its effectively connected dividends to be exempt from the withholding tax described above, a Non-U.S. holder will be required to provide a duly completed and properly executed IRS Form W-8ECI, certifying that the dividends are effectively connected with the Non-U.S. holder’s conduct of a trade or business within the United States. Dividends received by a Non-U.S. holder that is a corporation that are effectively connected with its conduct of a trade or business within the United States may be subject to an additional branch profits tax at a 30% rate or such lower rate as may be specified by an applicable income tax treaty.</w:t>
      </w:r>
    </w:p>
    <w:p>
      <w:pPr>
        <w:spacing w:after="0" w:line="111"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Any distribution in excess of current and accumulated earnings and profits will constitute a return of capital that will be treated first as reducing (but not below zero) the Non-U.S. holder’s adjusted tax basis in its shares of our Common Stock and, to the extent such distribution exceeds the Non-U.S. holder’s adjusted tax basis, as gain realized from the sale or other disposition of common stock, which will be treated as described under “</w:t>
      </w:r>
      <w:r>
        <w:rPr>
          <w:rFonts w:ascii="Arial" w:cs="Arial" w:eastAsia="Arial" w:hAnsi="Arial"/>
          <w:sz w:val="16"/>
          <w:szCs w:val="16"/>
          <w:i w:val="1"/>
          <w:iCs w:val="1"/>
          <w:color w:val="auto"/>
        </w:rPr>
        <w:t>Gain on Sale, Taxable Exchange or Other Taxable Disposition of Common Stock</w:t>
      </w:r>
      <w:r>
        <w:rPr>
          <w:rFonts w:ascii="Arial" w:cs="Arial" w:eastAsia="Arial" w:hAnsi="Arial"/>
          <w:sz w:val="16"/>
          <w:szCs w:val="16"/>
          <w:color w:val="auto"/>
        </w:rPr>
        <w:t>” below. In addition, if we determine that we are likely to be classified as a “United States real property holding corporation” (see “</w:t>
      </w:r>
      <w:r>
        <w:rPr>
          <w:rFonts w:ascii="Arial" w:cs="Arial" w:eastAsia="Arial" w:hAnsi="Arial"/>
          <w:sz w:val="16"/>
          <w:szCs w:val="16"/>
          <w:i w:val="1"/>
          <w:iCs w:val="1"/>
          <w:color w:val="auto"/>
        </w:rPr>
        <w:t>Gain on Sale, Taxable Exchange or Other Taxable Disposition of Common Stock</w:t>
      </w:r>
      <w:r>
        <w:rPr>
          <w:rFonts w:ascii="Arial" w:cs="Arial" w:eastAsia="Arial" w:hAnsi="Arial"/>
          <w:sz w:val="16"/>
          <w:szCs w:val="16"/>
          <w:color w:val="auto"/>
        </w:rPr>
        <w:t>” below), we generally will withhold 15% of any distribution that exceeds our current and accumulated earnings and profits.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Gain on Sale, Taxable Exchange or Other Taxable Disposition of Common Stock</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Subject to the discussion below regarding backup withholding and FATCA, a Non-U.S. holder generally will not be subject to U.S. federal income or withholding tax in respect of gain recognized on a sale, taxable exchange or other taxable disposition of our Common Stock, unless:</w:t>
      </w:r>
    </w:p>
    <w:p>
      <w:pPr>
        <w:spacing w:after="0" w:line="116" w:lineRule="exact"/>
        <w:rPr>
          <w:sz w:val="20"/>
          <w:szCs w:val="20"/>
          <w:color w:val="auto"/>
        </w:rPr>
      </w:pPr>
    </w:p>
    <w:p>
      <w:pPr>
        <w:jc w:val="both"/>
        <w:ind w:left="1320" w:right="459" w:hanging="434"/>
        <w:spacing w:after="0" w:line="286" w:lineRule="auto"/>
        <w:tabs>
          <w:tab w:leader="none" w:pos="1316"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w:t>
      </w:r>
    </w:p>
    <w:p>
      <w:pPr>
        <w:spacing w:after="0" w:line="97" w:lineRule="exact"/>
        <w:rPr>
          <w:rFonts w:ascii="Arial" w:cs="Arial" w:eastAsia="Arial" w:hAnsi="Arial"/>
          <w:sz w:val="17"/>
          <w:szCs w:val="17"/>
          <w:color w:val="auto"/>
        </w:rPr>
      </w:pPr>
    </w:p>
    <w:p>
      <w:pPr>
        <w:ind w:left="1320" w:right="459" w:hanging="434"/>
        <w:spacing w:after="0" w:line="277" w:lineRule="auto"/>
        <w:tabs>
          <w:tab w:leader="none" w:pos="131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non-U.S. holder is an individual present in the United States for 183 days or more in the taxable year of disposition and certain other requirements are met; or</w:t>
      </w:r>
    </w:p>
    <w:p>
      <w:pPr>
        <w:spacing w:after="0" w:line="89" w:lineRule="exact"/>
        <w:rPr>
          <w:rFonts w:ascii="Arial" w:cs="Arial" w:eastAsia="Arial" w:hAnsi="Arial"/>
          <w:sz w:val="18"/>
          <w:szCs w:val="18"/>
          <w:color w:val="auto"/>
        </w:rPr>
      </w:pPr>
    </w:p>
    <w:p>
      <w:pPr>
        <w:jc w:val="both"/>
        <w:ind w:left="1320" w:right="459" w:hanging="434"/>
        <w:spacing w:after="0" w:line="268" w:lineRule="auto"/>
        <w:tabs>
          <w:tab w:leader="none" w:pos="1316" w:val="left"/>
        </w:tabs>
        <w:numPr>
          <w:ilvl w:val="0"/>
          <w:numId w:val="70"/>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(as defined below) for U.S. federal income tax purposes at any time during the shorter of the five-year period ending on the date of disposition or the Non-U.S. holder’s holding period for the applicable Common Stock, except, in the case where shares of our Common Stock are “regularly traded on an established securities market” (within the meaning of applicable Treasury Regulations, referred to herein as “regularly traded”), and the Non-U.S. holders has owned, directly or constructively, 5% or less of our Common Stock at all times within the shorter of the five-year period preceding such disposition of Common Stock or such Non-U.S. holder’s holding period for such Common Stock. It is unclear how the rules for determining the 5% threshold for this purpose would be applied with respect to our Common Stock, including how a Non-U.S. holder’s ownership of warrants impacts the 5% threshold determination with respect to its common stock. We can provide no assurance as to our future status as a United States real property holding corporation or as to whether our Common Stock will be considered to be regularly traded. Non-U.S. holders should consult their own tax advisors regarding the application of the foregoing rules in light of their particular facts and circumstances.</w:t>
      </w:r>
    </w:p>
    <w:p>
      <w:pPr>
        <w:sectPr>
          <w:pgSz w:w="11900" w:h="16838" w:orient="portrait"/>
          <w:cols w:equalWidth="0" w:num="1">
            <w:col w:w="9019"/>
          </w:cols>
          <w:pgMar w:left="1440" w:top="274" w:right="1440" w:bottom="1440" w:gutter="0" w:footer="0" w:header="0"/>
        </w:sectPr>
      </w:pP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1" w:name="page112"/>
    <w:bookmarkEnd w:id="11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foreign corporation for U.S. federal income tax purposes may also be subject to an additional “branch profits tax” imposed at a 30% rate (or lower treaty rate).</w:t>
      </w:r>
    </w:p>
    <w:p>
      <w:pPr>
        <w:spacing w:after="0" w:line="12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Gain described in the second bullet point above will be subject to U.S. federal income tax at a flat 30% rate (or such lower rate as may be specified by an applicable income tax treaty), but may be offset by U.S. source capital losses realized during the same taxable year. Non-U.S. holders should consult any applicable income tax treaties that may provide for different rules.</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If the third bullet point above applies to a Non-U.S. holder, gain recognized by such holder on the sale, exchange or other disposition of our Common Stock will be subject to tax at generally applicable U.S. federal income tax rates. In addition, a buyer of our Common Stock from such holder may be required to withhold U.S. federal income tax at a rate of 15% of the amount realized upon such disposition. Any amounts withheld may be refunded or credited against a non-U.S. holder’s U.S. federal income tax liability, provided that the required information is timely provided to the IRS.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believe that we are not currently a United States real property holding corporation; however, there can be no assurance that we will not become a United States real property holding corporation in the future.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Information returns will be filed with the IRS in connection with payments of distributions and the proceeds from a sale or other disposition of shares of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required information is timely furnished to the IRS. Each Non-U.S. holder is urged to consult its tax advisor regarding the application of the information reporting rules and backup withholding to it.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FATCA Withholding Taxes</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Provisions commonly referred to as “FATCA” impose withholding of 30% on payments of dividends (including constructive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w:t>
      </w:r>
    </w:p>
    <w:p>
      <w:pPr>
        <w:spacing w:after="0" w:line="10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Non-U.S. holders should consult their tax advisors regarding the effects of FATCA on their investment in our Common Stock.</w:t>
      </w:r>
    </w:p>
    <w:p>
      <w:pPr>
        <w:sectPr>
          <w:pgSz w:w="11900" w:h="16838" w:orient="portrait"/>
          <w:cols w:equalWidth="0" w:num="1">
            <w:col w:w="9019"/>
          </w:cols>
          <w:pgMar w:left="1440" w:top="274" w:right="1440" w:bottom="1440" w:gutter="0" w:footer="0" w:header="0"/>
        </w:sectPr>
      </w:pP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2" w:name="page113"/>
    <w:bookmarkEnd w:id="11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i w:val="1"/>
          <w:iCs w:val="1"/>
          <w:color w:val="auto"/>
        </w:rPr>
        <w:t>The following description is a summary and is not complete. You are encouraged to read the applicable provisions of Delaware law, the Charter and the Bylaws in their entirety for a complete description of the rights and preferences of Presto’s securities.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Authorized and Outstanding Stock</w:t>
      </w:r>
    </w:p>
    <w:p>
      <w:pPr>
        <w:spacing w:after="0" w:line="162"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The Charter authorizes the issuance of shares of Presto capital stock, each with a par value of $0.0001, consisting of (a) 180,000,000 shares of Presto Common Stock and (b) 1,500,000 shares of preferred stock. As of June 15, 2023, Presto had outstanding 56,389,005 shares of Common Stock prior to any exercise of the Resale Warrants. As of June 15, 2023, Presto had 191 holders of record of shares of Common Stock.</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Charter provides the following with respect to the rights, powers, preferences and privileges of the common stock.</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 Power</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under the Charter, the holders of Presto Common Stock will possess all voting power for the election of directors and all other matters requiring stockholder action and are entitled to one vote per share on matters to be voted on by stockholders.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Subject to applicable law and the rights and preferences of any holders of any outstanding series of preferred stock, under the Charter, holders of Presto Common Stock are entitled to the payment of dividends when, as and if declared by the Presto Board in accordance with applicable law.</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Liquidation, Dissolution and Winding Up</w:t>
      </w:r>
    </w:p>
    <w:p>
      <w:pPr>
        <w:spacing w:after="0" w:line="162"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Subject to the rights and preferences of any holders of any shares of any outstanding series of preferred stock, in the event of the voluntary or involuntary liquidation, dissolution, or winding-up of Presto, the holders of Presto Common Stock are entitled to receive all the funds and assets of Presto available for distribution to stockholders, ratably in proportion to the number of shares of Presto Common Stock held by them, after the rights of creditors of Presto and the holders of any outstanding shares of preferred stock have been satisfied.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Preemptive or Other Rights</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holders of Presto Common Stock do not have preemptive or other subscription rights and there is no sinking fund or redemption provisions applicable to Presto Common Stock.</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Presto Preferred Stock may be issued from time to time in one or more series, each of such series to have such terms as stated or expressed in the Charter and in the resolution or resolutions providing for the creation and issuance of such series adopted by the Presto Board.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Resale Warrants</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There are currently outstanding an aggregate of 15,262,876 warrants, which entitles the holders to acquire Presto Common Stock.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3" w:name="page114"/>
    <w:bookmarkEnd w:id="11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Resale Warrants entitle Metropolitan Levered Partners Fund VII, LP, Metropolitan Partners Fund VII, LP, Metropolitan Off-shore Partners Fund VII, LP, and CEOF Holdings LP, the registered holders of the Resale Warrants, to purchase 801,789, 1,115,734, 264,296 and 318,181 shares of Presto Common Stock, respectively, at an exercise price of $0.01, subject to adjustment as described below, at any time commencing on May 22, 2023 (the “Issuance Date”). The warrants will expire on May 22, 2028, the fifth anniversary of the Issuance Date at, 11:59 p.m., Eastern time.</w:t>
      </w:r>
    </w:p>
    <w:p>
      <w:pPr>
        <w:spacing w:after="0" w:line="125"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Conversion Warrants were issued pursuant to Section 2 of the Second Amendment. The Second Amendment Warrants were issued pursuant to Section 5 of the Fee Letter.</w:t>
      </w:r>
    </w:p>
    <w:p>
      <w:pPr>
        <w:spacing w:after="0" w:line="10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Resale Warrants may be exercised by the registered holders at any time or times on or after the Issuance Date, in whole or in part, by (i) delivery of a written notice of the registered holder’s election to exercise the Resale Warrant and (ii) (A) payment to Presto of an amount equal to the applicable exercise price multiplied by the number of Presto Common Stock as to which the Resale Warrant is being exercised in cash by wire transfer or (B) if applicable, by notifying Presto that the Resale Warrant is being exercised pursuant to a cashless exercise.</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If Presto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the Conversion Warrants Shares and Second Amendment Warrants Shares will be proportionately increased. If Presto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Conversion Warrants Shares and Second Amendment Warrants Shares will be proportionately decreased.</w:t>
      </w:r>
    </w:p>
    <w:p>
      <w:pPr>
        <w:spacing w:after="0" w:line="12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Simultaneously with any adjustment to the exercise price, the number of Conversion Warrants Shares and Second Amendment Warrants Shares that may be purchased upon exercise of the Resale Warrants will be increased or decreased proportionately, so that after such adjustment the aggregate exercise price payable for the adjusted number of Resale Shares will be the same as the aggregate exercise price in effect immediately prior to such adjustment.</w:t>
      </w:r>
    </w:p>
    <w:p>
      <w:pPr>
        <w:spacing w:after="0" w:line="12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no event will the exercise price be reduced below the par value of the Presto’s Common Stock, but Presto may at any time during the term of the Resale Warrants, with prior written notice to the holders, reduce the then current exercise price to any amount and for any period of time deemed appropriate by the Presto Board.</w:t>
      </w:r>
    </w:p>
    <w:p>
      <w:pPr>
        <w:spacing w:after="0" w:line="106"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7"/>
          <w:szCs w:val="17"/>
          <w:color w:val="auto"/>
        </w:rPr>
        <w:t>Presto will not effect the exercise of any portion of the Resale Warrants, and the registered holders will not have the right to exercise any portion of the Resale Warrants and any such exercise will be null and void and treated as if never made, to the extent that after giving effect to such exercise, the registered holders together with the other affiliates collectively would beneficially own in excess of 4.99%. Upon delivery of a written notice to Presto, the registered holders may from time to time increase (with such increase not effective until the sixty-first (61</w:t>
      </w:r>
      <w:r>
        <w:rPr>
          <w:rFonts w:ascii="Arial" w:cs="Arial" w:eastAsia="Arial" w:hAnsi="Arial"/>
          <w:sz w:val="19"/>
          <w:szCs w:val="19"/>
          <w:color w:val="auto"/>
          <w:vertAlign w:val="superscript"/>
        </w:rPr>
        <w:t>st</w:t>
      </w:r>
      <w:r>
        <w:rPr>
          <w:rFonts w:ascii="Arial" w:cs="Arial" w:eastAsia="Arial" w:hAnsi="Arial"/>
          <w:sz w:val="17"/>
          <w:szCs w:val="17"/>
          <w:color w:val="auto"/>
        </w:rPr>
        <w:t>) day after delivery of such notice) or decrease beneficial ownership beyond 4.99% to any other percentage not in excess of 9.99% as specified in such notice; provided that (i) any such increase will not be effective until the sixty-first (61</w:t>
      </w:r>
      <w:r>
        <w:rPr>
          <w:rFonts w:ascii="Arial" w:cs="Arial" w:eastAsia="Arial" w:hAnsi="Arial"/>
          <w:sz w:val="19"/>
          <w:szCs w:val="19"/>
          <w:color w:val="auto"/>
          <w:vertAlign w:val="superscript"/>
        </w:rPr>
        <w:t>st</w:t>
      </w:r>
      <w:r>
        <w:rPr>
          <w:rFonts w:ascii="Arial" w:cs="Arial" w:eastAsia="Arial" w:hAnsi="Arial"/>
          <w:sz w:val="17"/>
          <w:szCs w:val="17"/>
          <w:color w:val="auto"/>
        </w:rPr>
        <w:t>) day after such notice is delivered to Presto and (ii) any such increase or decrease will apply only to the registered holder and the other affiliates and not to any other holder that is not an affiliate of the holder.</w:t>
      </w:r>
    </w:p>
    <w:p>
      <w:pPr>
        <w:spacing w:after="0" w:line="12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No fractional shares will be issued upon exercise of the Resale Warrants. If, upon exercise of the Resale Warrants, the registered holder would be entitled to receive a fractional interest in a share, Presto will, upon exercise, round down to the nearest whole number the number of shares of Common Stock to be issued to the registered holder.</w:t>
      </w:r>
    </w:p>
    <w:p>
      <w:pPr>
        <w:spacing w:after="0" w:line="106"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Resale Warrants are governed by and construed and enforced in accordance with, and all questions concerning the construction, validity, interpretation and performance of the Resale Warrants are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Presto and each holder irrevocably submits to the exclusive jurisdiction of the state and federal courts sitting in The City of New York, Borough of Manhattan irrevocably waives, and agrees not to assert in any suit, action or proceeding, any claim that it is not personally subject to the jurisdiction of any such court.</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4" w:name="page115"/>
    <w:bookmarkEnd w:id="11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Authorized but Unissued Shares</w:t>
      </w:r>
    </w:p>
    <w:p>
      <w:pPr>
        <w:spacing w:after="0" w:line="14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Charter authorizes 181,500,000 shares of capital stock, consisting of 180,000,000 shares of Presto Common Stock and 1,500,000 shares of preferred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Exclusive Forum for Certain Lawsuits</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The Charter provides that, unless Presto consents in writing to the selection of an alternative forum, the Court of Chancery of the State of Delaware will, to the fullest extent permitted by law, be the sole and exclusive forum for any stockholder to bring: (i) any derivative action, suit or proceeding brought on its behalf; (ii) any action asserting a breach of fiduciary duty owed by any current or former director, officer or other employee of Presto to Presto or its stockholders; (iii) any action asserting a claim against Presto, its directors, officers or employees arising under the DGCL, the Charter or the Bylaws or (iv) any action, suit or proceeding asserting a claim against Presto or any current or former director, officer or stockholder governed by the internal affairs doctrine, and, if brought outside of Delaware, the stockholder bringing the suit will be deemed to have consented to (A) the personal jurisdiction of the state and federal courts within Delaware and (B) service of process on such stockholder’s counsel. The provision of the Charter described in the immediately preceding sentence does not apply to (i) suits brought to enforce a duty or liability created by the Securities Act or any other claim for which the federal courts have exclusive jurisdiction and (ii) any action arising under the Exchange Act, as to which the federal courts for the United States of America shall have exclusive jurisdiction.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Special Meetings of Stockholders</w:t>
      </w:r>
    </w:p>
    <w:p>
      <w:pPr>
        <w:spacing w:after="0" w:line="15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The Charter provides that special meetings of Presto stockholders may be called at any time by the chairperson of the Presto Board, the Chief Executive Officer or the board of directors acting pursuant to a resolution adopted by a majority of the Presto Board, and may not be called by any other person or persons, subject to the rights of holders of any series of preferred stock then outstanding.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144"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and, in the case of a special meeting, the purpose or purposes for which the meeting is called. For any matter to be “properly brought” before a meeting, a stockholder will have to comply with advance notice requirements and provide Presto with certain information. Generally, to be timely, a stockholder’s notice must be received at Presto’s principal executive offices not less than 90 days nor more than 120 days prior to the first anniversary date of the immediately preceding annual meeting of stockholders (for the purposes of the first annual meeting of the stockholders of Presto following the adoption of the Bylaws, the date of the preceding annual meeting will be deemed to be September 14</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of the preceding calendar year). The Bylaws also specify requirements as to the form and content of a stockholder’s notice. The Bylaws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Presto.</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Presto Board or the chairman of the meeting may adjourn the meeting to another time or place (whether or not a quorum is present), and notice need not be given of the adjourned meeting if the time, place, if any, and the means of remote communications, if any, by which stockholders and proxy holders may be deemed to be present in person and vote at such meeting, are announced at the meeting at which such adjournment is made. At the adjourned meeting, Presto may transact any business which might have been transacted at the original meeting. If the adjournment is for more than 30 days, or after the adjournment a new record date is fixed for the adjourned meeting, a notice of the adjourned meeting shall be given to each stockholder of record entitled to vote at the meeting.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5" w:name="page116"/>
    <w:bookmarkEnd w:id="11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Action by Written Consent</w:t>
      </w:r>
    </w:p>
    <w:p>
      <w:pPr>
        <w:spacing w:after="0" w:line="14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Presto’s stock entitled to vote thereon were present and voted, unless Presto’s then-effective charter provides otherwise. Subject to applicable law and the rights, if any, of the holders of any outstanding series of preferred stock or any other outstanding class or series of stock of Presto, the Charter does not permit Presto’s holders of the Common Stock to act by consent in writing.</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Appraisal rights are statutory rights under the DGCL that enable stockholders who object to certain extraordinary transactions to demand that the corporation pay such stockholders the fair value of their shares instead of receiving the consideration offered to stockholders in connection with the extraordinary transaction. However, appraisal rights are not available in all circumstances.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Stockholders’ Derivative Actions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Under the DGCL, any of Presto’s stockholders may bring an action in Presto’s name to procure a judgment in Presto’s favor, also known as a derivative action, provided that the stockholder bringing the action is a holder of Presto’s shares at the time of the transaction to which the action relates or such stockholder’s stock thereafter devolved by operation of law.</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4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Charter will, to the maximum extent permitted from time to time by Delaware law, renounce any interest or expectancy that Presto has in, or right to be offered an opportunity to participate in, specified business opportunities that are from time to time presented to our directors or their affiliates, other than those directors or affiliates who are its employees. The Charter provides that, to the fullest extent permitted by law, none of the directors who are not employed by Presto (including any non-employee director who serves as one of its officers in both his or her director and officer capacities) or his or her affiliates will have any fiduciary duty to refrain from (i) engaging or possessing interests in a corporate opportunity in the same or similar lines of business in which Presto or its affiliates now engage or propose to engage or (ii) otherwise competing with Presto or its affiliates. The Charter will not renounce Presto’s interest in any business opportunity that is expressly offered to a non-employee director solely in his or her capacity as a director or officer of Presto. To the fullest extent permitted by law, a business opportunity will not be deemed to be a potential corporate opportunity for Presto if Presto is neither financially nor legally able, nor contractually permitted to undertake the opportunity, the opportunity is not in the line of Presto’s business or is of no practical advantage to Presto or it is one in which Presto has no interest or reasonable expectancy.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62"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 DGCL authorizes corporations to limit or eliminate the personal liability of directors of corporations and their stockholders for monetary damages for breaches of directors’ fiduciary duties, subject to certain exceptions. The Charter includes a provision that eliminates the personal liability of directors for monetary damages for any breach of fiduciary duty as a director except to the extent such exemption from liability or limitation thereof is not permitted under the DGCL as the same exists or may hereafter be amended.</w:t>
      </w:r>
    </w:p>
    <w:p>
      <w:pPr>
        <w:spacing w:after="0" w:line="9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Bylaws provide that Presto must indemnify and advance expenses to Presto’s directors and officers to the fullest extent authorized by the DGCL. Presto also is expressly authorized to carry directors’ and officers’ liability insurance providing indemnification for Presto directors, officers, and certain employees for some liabilities. Presto believes that these indemnification and advancement provisions and insurance are useful to attract and retain qualified directors and executive officers.</w:t>
      </w:r>
    </w:p>
    <w:p>
      <w:pPr>
        <w:spacing w:after="0" w:line="10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limitation of liability, advancement and indemnification provisions in the Charter and Bylaws may discourage stockholders from bringing lawsuit against directors for breach of their fiduciary duty. These provisions also may have the effect of reducing the likelihood of derivative litigation against directors and officers, even though</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6" w:name="page117"/>
    <w:bookmarkEnd w:id="11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such an action, if successful, might otherwise benefit Presto and its stockholders. In addition, your investment may be adversely affected to the extent Presto pays the costs of settlement and damage awards against directors and officer pursuant to these indemnification provisions.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Sponsor Registration Rights</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Presto, the Sponsors, the PIPE Investors and other holders of Presto capital stock (the “Presto Holders” and together with the Sponsors and PIPE Investors, the “Holders”) entered into the Amended and Restated Registration Rights Agreement in September 2022. Pursuant to the terms of the Amended and Restated Registration Rights Agreement and the Equity Subscription Agreements, within 30 days of the Closing, Presto was required to file a registration statement to register the resale of an aggregate of approximately 45.7 million shares of Presto Common Stock that was issued to the investors in the PIPE Investment, held by Presto’s directors and officers, and underlying Private Placement Warrants held by the Sponsors and VTAQ’s independent directors, as well as 5,775,000 Private Placement Warrants. Presto filed such registration statement in December 2022, which was declared effective by the SEC in January 2023. The Amended and Restated Registration Rights Agreement also provides the Holders with certain “demand” and “piggy-back” registration rights, subject to certain requirements and customary conditions. See the section entitled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w:t>
      </w:r>
      <w:r>
        <w:rPr>
          <w:rFonts w:ascii="Arial" w:cs="Arial" w:eastAsia="Arial" w:hAnsi="Arial"/>
          <w:sz w:val="16"/>
          <w:szCs w:val="16"/>
          <w:i w:val="1"/>
          <w:iCs w:val="1"/>
          <w:color w:val="auto"/>
        </w:rPr>
        <w:t>Restrictions on Resale of Securities — Lock-up Agreements</w:t>
      </w:r>
      <w:r>
        <w:rPr>
          <w:rFonts w:ascii="Arial" w:cs="Arial" w:eastAsia="Arial" w:hAnsi="Arial"/>
          <w:sz w:val="16"/>
          <w:szCs w:val="16"/>
          <w:color w:val="auto"/>
        </w:rPr>
        <w:t>” for a description of the lock-up agreements.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PIPE Registration Rights</w:t>
      </w:r>
    </w:p>
    <w:p>
      <w:pPr>
        <w:spacing w:after="0" w:line="15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On May 22, 2023, Presto entered into the 2023 PIPE Registration Rights Agreement with certain accredited investors named in the Purchase Agreement. Presto is filing this registration statement of which this prospectus forms a part pursuant to the provisions of the 2023 PIPE Registration Rights Agreement. Pursuant to the terms of the 2023 PIPE Registration Rights Agreement, Presto is required to file a registration statement to register the resale of 4,760,500 shares of Common Stock issued in the Private Placement held by the Purchasers, within 30 days of May 25, 2023.</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Metropolitan Registration Rights</w:t>
      </w:r>
    </w:p>
    <w:p>
      <w:pPr>
        <w:spacing w:after="0" w:line="14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On March 31, 2023, Presto and Metropolitan entered into the Metropolitan Registration Rights Agreement. In accordance with the terms of the Second Amendment, Presto and Metropolitan are registering the Conversion Warrants Shares and the Second Amendment Warrants Shares under the existing Metropolitan Registration Rights Agreement as Registrable Securities (as defined in the Metropolitan Registration Rights Agreement). Presto is filing this registration statement of which this prospectus forms a part pursuant to the provisions of the Metropolitan Registration Rights Agreement. Pursuant to the terms of the Metropolitan Registration Rights Agreement, Presto is required to file a registration statement to register the resale of 2,500,000 shares of Presto Common Stock issuable upon the exercise of the Resale Warrants held by the Metropolitan Entities, within 30 days of May 22, 2023.</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Agent, Warrant Agent and Registrar</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transfer agent for Presto capital stock is Continental. Presto agreed to indemnify Continental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Securities</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Presto’s common stock and public warrants are listed on the Nasdaq Stock Market under the symbols “PRST” and “PRSTW,”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SECURITIES ACT RESTRICTIONS ON RESALE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Resales under Rule 144</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Under the Securities Act, securities may be sold only if the sale is registered under the Securities Act or qualifies for an exemption from registration, including an exemption under Rule 144 under the Securities Act (“Rule 144”).</w:t>
      </w:r>
    </w:p>
    <w:p>
      <w:pPr>
        <w:spacing w:after="0" w:line="116"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Rule 144(b)(1) provides a safe harbor pursuant to which certain persons may sell shares of Presto Common Stock that constitute “restricted securities” as defined in Rule 144 without registration under the Securities Act. “Restricted securities” include, among other things, securities acquired directly or indirectly from the issuer, or from an affiliate of the issuer, in a transaction or chain of transactions not involving any public offering. In general, the conditions that must be met for a person to sell shares of Presto Common Stock pursuant to Rule 144(b)(1) are as follows: (i) the person selling the shares must not be an affiliate of Presto at the time of the sale, and must not have been an affiliate of Presto during the preceding three months, and</w:t>
      </w:r>
    </w:p>
    <w:p>
      <w:pPr>
        <w:spacing w:after="0" w:line="2" w:lineRule="exact"/>
        <w:rPr>
          <w:sz w:val="20"/>
          <w:szCs w:val="20"/>
          <w:color w:val="auto"/>
        </w:rPr>
      </w:pPr>
    </w:p>
    <w:p>
      <w:pPr>
        <w:jc w:val="both"/>
        <w:ind w:left="460" w:right="459" w:hanging="6"/>
        <w:spacing w:after="0" w:line="253" w:lineRule="auto"/>
        <w:tabs>
          <w:tab w:leader="none" w:pos="7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either (A) at least one year must have elapsed since the date of acquisition of the restricted securities from Presto or any of its affiliates or (B) if Presto satisfies the current public information requirements set forth in Rule 144, at least six months have elapsed since the date of acquisition of the restricted securities from Presto or any of its affiliates.</w:t>
      </w:r>
    </w:p>
    <w:p>
      <w:pPr>
        <w:spacing w:after="0" w:line="125"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Rule 144(b)(2) provides a safe harbor pursuant to which persons who are affiliates of Presto may sell shares of its stock, whether restricted securities or not, without registration under the Securities Act if certain conditions are met. In general, the conditions that must be met for a person who is an affiliate of Presto (or has been within three months prior to the date of sale) to sell shares of stock of Presto pursuant to Rule 144(b)</w:t>
      </w:r>
    </w:p>
    <w:p>
      <w:pPr>
        <w:spacing w:after="0" w:line="1" w:lineRule="exact"/>
        <w:rPr>
          <w:sz w:val="20"/>
          <w:szCs w:val="20"/>
          <w:color w:val="auto"/>
        </w:rPr>
      </w:pPr>
    </w:p>
    <w:p>
      <w:pPr>
        <w:jc w:val="both"/>
        <w:ind w:left="460" w:right="459" w:hanging="6"/>
        <w:spacing w:after="0" w:line="292" w:lineRule="auto"/>
        <w:tabs>
          <w:tab w:leader="none" w:pos="736" w:val="left"/>
        </w:tabs>
        <w:numPr>
          <w:ilvl w:val="0"/>
          <w:numId w:val="72"/>
        </w:numPr>
        <w:rPr>
          <w:rFonts w:ascii="Arial" w:cs="Arial" w:eastAsia="Arial" w:hAnsi="Arial"/>
          <w:sz w:val="16"/>
          <w:szCs w:val="16"/>
          <w:color w:val="auto"/>
        </w:rPr>
      </w:pPr>
      <w:r>
        <w:rPr>
          <w:rFonts w:ascii="Arial" w:cs="Arial" w:eastAsia="Arial" w:hAnsi="Arial"/>
          <w:sz w:val="16"/>
          <w:szCs w:val="16"/>
          <w:color w:val="auto"/>
        </w:rPr>
        <w:t>are as follows (1) if the shares being sold are restricted securities, at least six months must have elapsed since the date of acquisition of the shares of stock from Presto or any of its affiliates, (2) the seller must comply with volume limitations, manner of sale restrictions and notice requirements and (3) Presto must satisfy the current public information requirements set forth in Rule 144. In order to comply with the volume limitations, a seller may not sell, in any three month period, more than the following number of shares:</w:t>
      </w:r>
    </w:p>
    <w:p>
      <w:pPr>
        <w:spacing w:after="0" w:line="81" w:lineRule="exact"/>
        <w:rPr>
          <w:rFonts w:ascii="Arial" w:cs="Arial" w:eastAsia="Arial" w:hAnsi="Arial"/>
          <w:sz w:val="16"/>
          <w:szCs w:val="16"/>
          <w:color w:val="auto"/>
        </w:rPr>
      </w:pPr>
    </w:p>
    <w:p>
      <w:pPr>
        <w:ind w:left="1320" w:right="459" w:hanging="434"/>
        <w:spacing w:after="0" w:line="277" w:lineRule="auto"/>
        <w:tabs>
          <w:tab w:leader="none" w:pos="1316" w:val="left"/>
        </w:tabs>
        <w:numPr>
          <w:ilvl w:val="1"/>
          <w:numId w:val="72"/>
        </w:numPr>
        <w:rPr>
          <w:rFonts w:ascii="Arial" w:cs="Arial" w:eastAsia="Arial" w:hAnsi="Arial"/>
          <w:sz w:val="18"/>
          <w:szCs w:val="18"/>
          <w:color w:val="auto"/>
        </w:rPr>
      </w:pPr>
      <w:r>
        <w:rPr>
          <w:rFonts w:ascii="Arial" w:cs="Arial" w:eastAsia="Arial" w:hAnsi="Arial"/>
          <w:sz w:val="18"/>
          <w:szCs w:val="18"/>
          <w:color w:val="auto"/>
        </w:rPr>
        <w:t>of the shares of Presto Common Stock then outstanding as shown by the most recent report or statement published by Presto;</w:t>
      </w:r>
    </w:p>
    <w:p>
      <w:pPr>
        <w:spacing w:after="0" w:line="102" w:lineRule="exact"/>
        <w:rPr>
          <w:rFonts w:ascii="Arial" w:cs="Arial" w:eastAsia="Arial" w:hAnsi="Arial"/>
          <w:sz w:val="18"/>
          <w:szCs w:val="18"/>
          <w:color w:val="auto"/>
        </w:rPr>
      </w:pPr>
    </w:p>
    <w:p>
      <w:pPr>
        <w:jc w:val="both"/>
        <w:ind w:left="1320" w:right="459" w:hanging="434"/>
        <w:spacing w:after="0" w:line="255" w:lineRule="auto"/>
        <w:tabs>
          <w:tab w:leader="none" w:pos="1316"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average weekly reported volume of trading in Presto Common Stock on all national securities exchanges and/or reported through the automated quotation system of a registered securities association during the four calendar weeks preceding the filing of the notice required to be filed by the seller under Rule 144 or if no such notice is required, the date of receipt of the order to execute the transaction by the broker or the date of execution of the transaction directly with a market maker; or</w:t>
      </w:r>
    </w:p>
    <w:p>
      <w:pPr>
        <w:spacing w:after="0" w:line="124" w:lineRule="exact"/>
        <w:rPr>
          <w:rFonts w:ascii="Arial" w:cs="Arial" w:eastAsia="Arial" w:hAnsi="Arial"/>
          <w:sz w:val="18"/>
          <w:szCs w:val="18"/>
          <w:color w:val="auto"/>
        </w:rPr>
      </w:pPr>
    </w:p>
    <w:p>
      <w:pPr>
        <w:jc w:val="both"/>
        <w:ind w:left="1320" w:right="459" w:hanging="434"/>
        <w:spacing w:after="0" w:line="286" w:lineRule="auto"/>
        <w:tabs>
          <w:tab w:leader="none" w:pos="1316" w:val="left"/>
        </w:tabs>
        <w:numPr>
          <w:ilvl w:val="1"/>
          <w:numId w:val="72"/>
        </w:numPr>
        <w:rPr>
          <w:rFonts w:ascii="Arial" w:cs="Arial" w:eastAsia="Arial" w:hAnsi="Arial"/>
          <w:sz w:val="17"/>
          <w:szCs w:val="17"/>
          <w:color w:val="auto"/>
        </w:rPr>
      </w:pPr>
      <w:r>
        <w:rPr>
          <w:rFonts w:ascii="Arial" w:cs="Arial" w:eastAsia="Arial" w:hAnsi="Arial"/>
          <w:sz w:val="17"/>
          <w:szCs w:val="17"/>
          <w:color w:val="auto"/>
        </w:rPr>
        <w:t>the average weekly volume of trading in such securities reported pursuant to an effective transaction report plan or an effective national market system plan, as defined in Regulation NMS under the Exchange Act, during the four week period described in the preceding bullet.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unless the following conditions are met:</w:t>
      </w:r>
    </w:p>
    <w:p>
      <w:pPr>
        <w:spacing w:after="0" w:line="116" w:lineRule="exact"/>
        <w:rPr>
          <w:sz w:val="20"/>
          <w:szCs w:val="20"/>
          <w:color w:val="auto"/>
        </w:rPr>
      </w:pPr>
    </w:p>
    <w:p>
      <w:pPr>
        <w:ind w:left="1320" w:hanging="434"/>
        <w:spacing w:after="0"/>
        <w:tabs>
          <w:tab w:leader="none" w:pos="13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issuer of the securities that was formerly a shell company has ceased to be a shell company;</w:t>
      </w:r>
    </w:p>
    <w:p>
      <w:pPr>
        <w:spacing w:after="0" w:line="180" w:lineRule="exact"/>
        <w:rPr>
          <w:rFonts w:ascii="Arial" w:cs="Arial" w:eastAsia="Arial" w:hAnsi="Arial"/>
          <w:sz w:val="16"/>
          <w:szCs w:val="16"/>
          <w:color w:val="auto"/>
        </w:rPr>
      </w:pPr>
    </w:p>
    <w:p>
      <w:pPr>
        <w:ind w:left="1320" w:right="459" w:hanging="434"/>
        <w:spacing w:after="0" w:line="277" w:lineRule="auto"/>
        <w:tabs>
          <w:tab w:leader="none" w:pos="131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31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116"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Bylaws and Company Support Agreement</w:t>
      </w:r>
    </w:p>
    <w:p>
      <w:pPr>
        <w:spacing w:after="0" w:line="15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In July 2022, VTAQ, Presto and certain Presto stockholders (including Rajat Suri, Krishna Gupta, affiliates of Mr. Gupta, and I2BF Global Investments Ltd.) entered into an Amended and Restated Presto Stockholder Support Agreement to subject substantially all shares of Presto Common Stock held by the Presto stockholders to a lockup period that expires 18 months after the Closing of the Business Combination. In addition, the Bylaws apply the same lockup to certain Presto stockholders.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Sponsor Support Agreement</w:t>
      </w:r>
    </w:p>
    <w:p>
      <w:pPr>
        <w:spacing w:after="0" w:line="1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In July 2022, the Sponsors, Presto’s directors and officers and certain affiliates of the Sponsors (together, the “Sponsor Parties”) entered into an Amended and Restated Sponsor Support Agreement (the “Sponsor Support Agreement”) with the Company and Presto, pursuant to which the Sponsor Parties agreed to subject the shares they acquired prior to the VTAQ IPO (the “founder shares”) and any privately placed warrants they acquired prior to the VTAQ IPO to lock-up restrictions. During the period beginning on the Closing Date and ending on the date that is 18 months after the Closing Date of the Business Combination, the Sponsor Parties may not transfer any such shares or private placement warrants, in each case, except for certain limited permitted transfers.</w:t>
      </w:r>
    </w:p>
    <w:p>
      <w:pPr>
        <w:spacing w:after="0" w:line="97"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The Sponsors also agreed to subject a total of 444,500 of their founders shares to vesting and forfeiture provisions as set forth in the Sponsor Support Agreement (such shares, the “Sponsors’ Contingent Consideration”). Pursuant to the Sponsor Support Agreement, 25% of the Sponsors’ Contingent Consideration shall vest at such time as each of the following Stock Price Levels (as defined below) is achieved on or before September 21, 2027: $12.00, $15.00,$20.00 and $25.00. If the applicable Stock Price Level is not achieved on or prior to September 21, 2027, the applicable Sponsors’ Contingent Consideration shall not vest and shall be automatically forfeited and cancelled for no consideration. A “Stock Price Level” is defined as the volume weighted average price of the Presto Common Stock being equal to or greater than the applicable threshold for any forty trading days within any sixty day period.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Pursuant to the Subscription Agreements, the PIPE investors are contractually restricted from selling or transferring the PIPE Shares for a period of 18 months following the Closing (subject to certain exceptions contained therein).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Each Selling Securityholder of the securities and any of their pledgees, assignees and successors-in-interest may, from time to time, sell any or all of their securities covered hereby on the Nasdaq Stock Market or any other stock exchange, market or trading facility on which the securities are traded or in private transactions. These sales may be at fixed or negotiated prices. A Selling Securityholder may use any one or more of the following methods when selling securities:</w:t>
      </w:r>
    </w:p>
    <w:p>
      <w:pPr>
        <w:spacing w:after="0" w:line="120" w:lineRule="exact"/>
        <w:rPr>
          <w:sz w:val="20"/>
          <w:szCs w:val="20"/>
          <w:color w:val="auto"/>
        </w:rPr>
      </w:pPr>
    </w:p>
    <w:p>
      <w:pPr>
        <w:ind w:left="1320" w:hanging="434"/>
        <w:spacing w:after="0"/>
        <w:tabs>
          <w:tab w:leader="none" w:pos="13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ordinary brokerage transactions and transactions in which the broker-dealer solicits purchasers;</w:t>
      </w:r>
    </w:p>
    <w:p>
      <w:pPr>
        <w:spacing w:after="0" w:line="169" w:lineRule="exact"/>
        <w:rPr>
          <w:rFonts w:ascii="Arial" w:cs="Arial" w:eastAsia="Arial" w:hAnsi="Arial"/>
          <w:sz w:val="17"/>
          <w:szCs w:val="17"/>
          <w:color w:val="auto"/>
        </w:rPr>
      </w:pPr>
    </w:p>
    <w:p>
      <w:pPr>
        <w:ind w:left="1320" w:right="459" w:hanging="434"/>
        <w:spacing w:after="0" w:line="277" w:lineRule="auto"/>
        <w:tabs>
          <w:tab w:leader="none" w:pos="1316" w:val="left"/>
        </w:tabs>
        <w:numPr>
          <w:ilvl w:val="0"/>
          <w:numId w:val="74"/>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settlement of short sales;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Securityholders to sell a specified number of such securities at a stipulated price per security;</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Selling Securityholders may also sell securities under Rule 144 or any other exemption from registration under the Securities Act, if available, rather than under this prospectus.</w:t>
      </w:r>
    </w:p>
    <w:p>
      <w:pPr>
        <w:spacing w:after="0" w:line="89"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Broker-dealers engaged by the Selling Securityholders may arrange for other brokers-dealers to participate in sales. Broker-dealers may receive commissions or discounts from the Selling Securityholders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1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In connection with the sale of the securities or interests therein, the Selling Securityholders may enter into hedging transactions with broker-dealers or other financial institutions, which may in turn engage in short sales of the securities in the course of hedging the positions they assume. The Selling Securityholders may also sell securities short and deliver these securities to close out their short positions, or loan or pledge the securities to broker-dealers that in turn may sell these securities. The Selling Securityholders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13"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The Selling Securityholders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Securityholder has informed the Company that it does not have any written or oral agreement or understanding, directly or indirectly, with any person to distribute the securities.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0" w:name="page121"/>
    <w:bookmarkEnd w:id="12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Company is required to pay certain fees and expenses incurred by the Company incident to the registration of the securities. The Company has agreed to indemnify the Selling Securityholders against certain losses, claims, damages and liabilities, including liabilities under the Securities Act.</w:t>
      </w:r>
    </w:p>
    <w:p>
      <w:pPr>
        <w:spacing w:after="0" w:line="116"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agreed to keep this prospectus effective until the earlier of (i) the date on which the securities may be resold by the Selling Securityholders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9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Securityholders will be subject to applicable provisions of the Exchange Act and the rules and regulations thereunder, including Regulation M, which may limit the timing of purchases and sales of the common stock by the Selling Securityholders or any other person. We will make copies of this prospectus available to the Selling Securityholders and have informed them of the need to deliver a copy of this prospectus to each purchaser at or prior to the time of the sale (including by compliance with Rule 172 under the Securities Act).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White &amp; Case LLP, New York, New York has passed upon the validity of the common stock offered by this prospectus and certain other legal matters related to this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consolidated financial statements of E La Carte, Inc. (dba Presto) as of June 30, 2022 and 2021, and for the years then ended, included in this prospectus have been audited by Moss Adams LLP, an independent registered public accounting firm, as stated in their report (which report expresses an unqualified opinion and includes an explanatory paragraph relating to a going concern uncertainty). Such consolidated financial statements are so included in reliance upon the report of such firm given their authority as experts in accounting and auditing.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This prospectus is part of the registration statement, but does not contain all of the information included in the registration statement or the exhibits. Our SEC filings are available to the public on the internet at a website maintained by the SEC located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Those filings are also available to the public on, or accessible through, our website under the heading “Investors” at </w:t>
      </w:r>
      <w:r>
        <w:rPr>
          <w:rFonts w:ascii="Arial" w:cs="Arial" w:eastAsia="Arial" w:hAnsi="Arial"/>
          <w:sz w:val="17"/>
          <w:szCs w:val="17"/>
          <w:i w:val="1"/>
          <w:iCs w:val="1"/>
          <w:color w:val="auto"/>
        </w:rPr>
        <w:t>www.presto.com</w:t>
      </w:r>
      <w:r>
        <w:rPr>
          <w:rFonts w:ascii="Arial" w:cs="Arial" w:eastAsia="Arial" w:hAnsi="Arial"/>
          <w:sz w:val="17"/>
          <w:szCs w:val="17"/>
          <w:color w:val="auto"/>
        </w:rPr>
        <w:t>. The information on our web site, however, is not, and should not be deemed to be, a part of this prospectus.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2" w:name="page123"/>
    <w:bookmarkEnd w:id="12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148"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Unaudited Financial Statements of Presto Automation Inc. as of and for the three and nine months ended March 31, 2023 and 2022</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46"/>
        </w:trPr>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196"/>
        </w:trPr>
        <w:tc>
          <w:tcPr>
            <w:tcW w:w="7100" w:type="dxa"/>
            <w:vAlign w:val="bottom"/>
            <w:gridSpan w:val="11"/>
            <w:shd w:val="clear" w:color="auto" w:fill="CCEEFF"/>
          </w:tcPr>
          <w:p>
            <w:pPr>
              <w:spacing w:after="0" w:line="196" w:lineRule="exact"/>
              <w:rPr>
                <w:sz w:val="20"/>
                <w:szCs w:val="20"/>
                <w:color w:val="auto"/>
              </w:rPr>
            </w:pPr>
            <w:r>
              <w:rPr>
                <w:rFonts w:ascii="Arial" w:cs="Arial" w:eastAsia="Arial" w:hAnsi="Arial"/>
                <w:sz w:val="18"/>
                <w:szCs w:val="18"/>
                <w:color w:val="0000EE"/>
              </w:rPr>
              <w:t>Condensed Consolidated Balance Sheets as of March 31, 2023 and June 30, 2022</w:t>
            </w:r>
          </w:p>
        </w:tc>
        <w:tc>
          <w:tcPr>
            <w:tcW w:w="1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7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r>
      <w:tr>
        <w:trPr>
          <w:trHeight w:val="175"/>
        </w:trPr>
        <w:tc>
          <w:tcPr>
            <w:tcW w:w="6740" w:type="dxa"/>
            <w:vAlign w:val="bottom"/>
            <w:tcBorders>
              <w:bottom w:val="single" w:sz="8" w:color="0000EE"/>
            </w:tcBorders>
            <w:gridSpan w:val="10"/>
          </w:tcPr>
          <w:p>
            <w:pPr>
              <w:spacing w:after="0" w:line="176" w:lineRule="exact"/>
              <w:rPr>
                <w:sz w:val="20"/>
                <w:szCs w:val="20"/>
                <w:color w:val="auto"/>
              </w:rPr>
            </w:pPr>
            <w:r>
              <w:rPr>
                <w:rFonts w:ascii="Arial" w:cs="Arial" w:eastAsia="Arial" w:hAnsi="Arial"/>
                <w:sz w:val="18"/>
                <w:szCs w:val="18"/>
                <w:color w:val="0000EE"/>
                <w:w w:val="89"/>
              </w:rPr>
              <w:t>Condensed Consolidated Statements of Operations and Comprehensive Income (Loss) for the</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920" w:type="dxa"/>
            <w:vAlign w:val="bottom"/>
            <w:gridSpan w:val="10"/>
          </w:tcPr>
          <w:p>
            <w:pPr>
              <w:spacing w:after="0" w:line="196" w:lineRule="exact"/>
              <w:rPr>
                <w:sz w:val="20"/>
                <w:szCs w:val="20"/>
                <w:color w:val="auto"/>
              </w:rPr>
            </w:pPr>
            <w:r>
              <w:rPr>
                <w:rFonts w:ascii="Arial" w:cs="Arial" w:eastAsia="Arial" w:hAnsi="Arial"/>
                <w:sz w:val="18"/>
                <w:szCs w:val="18"/>
                <w:color w:val="0000EE"/>
              </w:rPr>
              <w:t>three and nine months ended March 31, 2023 and 2022</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88"/>
              </w:rPr>
              <w:t>F-3</w:t>
            </w:r>
          </w:p>
        </w:tc>
      </w:tr>
      <w:tr>
        <w:trPr>
          <w:trHeight w:val="61"/>
        </w:trPr>
        <w:tc>
          <w:tcPr>
            <w:tcW w:w="1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175"/>
        </w:trPr>
        <w:tc>
          <w:tcPr>
            <w:tcW w:w="632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Stockholders’ Deficit for the nine months ended</w:t>
            </w:r>
          </w:p>
        </w:tc>
        <w:tc>
          <w:tcPr>
            <w:tcW w:w="780" w:type="dxa"/>
            <w:vAlign w:val="bottom"/>
            <w:tcBorders>
              <w:bottom w:val="single" w:sz="8" w:color="CCEEFF"/>
            </w:tcBorders>
            <w:gridSpan w:val="4"/>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692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EE"/>
              </w:rPr>
              <w:t>March 31, 2023 and 2022</w:t>
            </w:r>
          </w:p>
        </w:tc>
        <w:tc>
          <w:tcPr>
            <w:tcW w:w="1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9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7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r>
      <w:tr>
        <w:trPr>
          <w:trHeight w:val="175"/>
        </w:trPr>
        <w:tc>
          <w:tcPr>
            <w:tcW w:w="7100" w:type="dxa"/>
            <w:vAlign w:val="bottom"/>
            <w:gridSpan w:val="11"/>
          </w:tcPr>
          <w:p>
            <w:pPr>
              <w:spacing w:after="0" w:line="176" w:lineRule="exact"/>
              <w:rPr>
                <w:sz w:val="20"/>
                <w:szCs w:val="20"/>
                <w:color w:val="auto"/>
              </w:rPr>
            </w:pPr>
            <w:r>
              <w:rPr>
                <w:rFonts w:ascii="Arial" w:cs="Arial" w:eastAsia="Arial" w:hAnsi="Arial"/>
                <w:sz w:val="18"/>
                <w:szCs w:val="18"/>
                <w:color w:val="0000EE"/>
              </w:rPr>
              <w:t>Condensed Consolidated Statements of Stockholders’ Deficit for the three months ended</w:t>
            </w:r>
          </w:p>
        </w:tc>
        <w:tc>
          <w:tcPr>
            <w:tcW w:w="100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18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March 31, 2023 and 2022</w:t>
            </w:r>
          </w:p>
        </w:tc>
        <w:tc>
          <w:tcPr>
            <w:tcW w:w="740" w:type="dxa"/>
            <w:vAlign w:val="bottom"/>
            <w:gridSpan w:val="3"/>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88"/>
              </w:rPr>
              <w:t>F-5</w:t>
            </w:r>
          </w:p>
        </w:tc>
      </w:tr>
      <w:tr>
        <w:trPr>
          <w:trHeight w:val="61"/>
        </w:trPr>
        <w:tc>
          <w:tcPr>
            <w:tcW w:w="1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176"/>
        </w:trPr>
        <w:tc>
          <w:tcPr>
            <w:tcW w:w="642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Cash Flows for the nine months ended March 31,</w:t>
            </w:r>
          </w:p>
        </w:tc>
        <w:tc>
          <w:tcPr>
            <w:tcW w:w="680" w:type="dxa"/>
            <w:vAlign w:val="bottom"/>
            <w:tcBorders>
              <w:bottom w:val="single" w:sz="8" w:color="CCEEFF"/>
            </w:tcBorders>
            <w:gridSpan w:val="2"/>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692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EE"/>
              </w:rPr>
              <w:t>2023 and 2022</w:t>
            </w:r>
          </w:p>
        </w:tc>
        <w:tc>
          <w:tcPr>
            <w:tcW w:w="1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F-6 – F-7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7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r>
      <w:tr>
        <w:trPr>
          <w:trHeight w:val="203"/>
        </w:trPr>
        <w:tc>
          <w:tcPr>
            <w:tcW w:w="7100" w:type="dxa"/>
            <w:vAlign w:val="bottom"/>
            <w:gridSpan w:val="11"/>
          </w:tcPr>
          <w:p>
            <w:pPr>
              <w:spacing w:after="0" w:line="202" w:lineRule="exact"/>
              <w:rPr>
                <w:sz w:val="20"/>
                <w:szCs w:val="20"/>
                <w:color w:val="auto"/>
              </w:rPr>
            </w:pPr>
            <w:r>
              <w:rPr>
                <w:rFonts w:ascii="Arial" w:cs="Arial" w:eastAsia="Arial" w:hAnsi="Arial"/>
                <w:sz w:val="18"/>
                <w:szCs w:val="18"/>
                <w:color w:val="0000EE"/>
              </w:rPr>
              <w:t>Notes to Condensed Consolidated Financial Statements</w:t>
            </w: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0"/>
              </w:rPr>
              <w:t>F-8 – F-41</w:t>
            </w:r>
          </w:p>
        </w:tc>
      </w:tr>
      <w:tr>
        <w:trPr>
          <w:trHeight w:val="20"/>
        </w:trPr>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Audited Financial Statements of E La Carte, Inc. (dba Presto) as of and for the fiscal years ended June 30, 2022 and 2021</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46"/>
        </w:trPr>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183"/>
        </w:trPr>
        <w:tc>
          <w:tcPr>
            <w:tcW w:w="7100" w:type="dxa"/>
            <w:vAlign w:val="bottom"/>
            <w:gridSpan w:val="10"/>
            <w:shd w:val="clear" w:color="auto" w:fill="CCEEFF"/>
          </w:tcPr>
          <w:p>
            <w:pPr>
              <w:spacing w:after="0" w:line="182" w:lineRule="exact"/>
              <w:rPr>
                <w:sz w:val="20"/>
                <w:szCs w:val="20"/>
                <w:color w:val="auto"/>
              </w:rPr>
            </w:pPr>
            <w:r>
              <w:rPr>
                <w:rFonts w:ascii="Arial" w:cs="Arial" w:eastAsia="Arial" w:hAnsi="Arial"/>
                <w:sz w:val="18"/>
                <w:szCs w:val="18"/>
                <w:color w:val="0000EE"/>
              </w:rPr>
              <w:t>Report of Independent Registered Public Accounting Firm</w:t>
            </w:r>
          </w:p>
        </w:tc>
        <w:tc>
          <w:tcPr>
            <w:tcW w:w="100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F-42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34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r>
      <w:tr>
        <w:trPr>
          <w:trHeight w:val="203"/>
        </w:trPr>
        <w:tc>
          <w:tcPr>
            <w:tcW w:w="7100" w:type="dxa"/>
            <w:vAlign w:val="bottom"/>
            <w:gridSpan w:val="10"/>
          </w:tcPr>
          <w:p>
            <w:pPr>
              <w:spacing w:after="0" w:line="202" w:lineRule="exact"/>
              <w:rPr>
                <w:sz w:val="20"/>
                <w:szCs w:val="20"/>
                <w:color w:val="auto"/>
              </w:rPr>
            </w:pPr>
            <w:r>
              <w:rPr>
                <w:rFonts w:ascii="Arial" w:cs="Arial" w:eastAsia="Arial" w:hAnsi="Arial"/>
                <w:sz w:val="18"/>
                <w:szCs w:val="18"/>
                <w:color w:val="0000EE"/>
              </w:rPr>
              <w:t>Consolidated Balance Sheets as of June 30, 2022 and 2021</w:t>
            </w: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1"/>
              </w:rPr>
              <w:t>F-43</w:t>
            </w:r>
          </w:p>
        </w:tc>
      </w:tr>
      <w:tr>
        <w:trPr>
          <w:trHeight w:val="61"/>
        </w:trPr>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175"/>
        </w:trPr>
        <w:tc>
          <w:tcPr>
            <w:tcW w:w="710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0000EE"/>
                <w:w w:val="97"/>
              </w:rPr>
              <w:t>Consolidated Statements of Operations and Comprehensive Loss for the fiscal years ended</w:t>
            </w:r>
          </w:p>
        </w:tc>
        <w:tc>
          <w:tcPr>
            <w:tcW w:w="100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340" w:type="dxa"/>
            <w:vAlign w:val="bottom"/>
            <w:tcBorders>
              <w:top w:val="single" w:sz="8" w:color="0000EE"/>
            </w:tcBorders>
            <w:gridSpan w:val="7"/>
            <w:shd w:val="clear" w:color="auto" w:fill="CCEEFF"/>
          </w:tcPr>
          <w:p>
            <w:pPr>
              <w:spacing w:after="0" w:line="196" w:lineRule="exact"/>
              <w:rPr>
                <w:sz w:val="20"/>
                <w:szCs w:val="20"/>
                <w:color w:val="auto"/>
              </w:rPr>
            </w:pPr>
            <w:r>
              <w:rPr>
                <w:rFonts w:ascii="Arial" w:cs="Arial" w:eastAsia="Arial" w:hAnsi="Arial"/>
                <w:sz w:val="18"/>
                <w:szCs w:val="18"/>
                <w:color w:val="0000EE"/>
              </w:rPr>
              <w:t>June 30, 2022 and 2021</w:t>
            </w:r>
          </w:p>
        </w:tc>
        <w:tc>
          <w:tcPr>
            <w:tcW w:w="580" w:type="dxa"/>
            <w:vAlign w:val="bottom"/>
            <w:tcBorders>
              <w:top w:val="single" w:sz="8" w:color="CCEEFF"/>
            </w:tcBorders>
            <w:gridSpan w:val="2"/>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F-44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34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r>
      <w:tr>
        <w:trPr>
          <w:trHeight w:val="175"/>
        </w:trPr>
        <w:tc>
          <w:tcPr>
            <w:tcW w:w="7100" w:type="dxa"/>
            <w:vAlign w:val="bottom"/>
            <w:gridSpan w:val="10"/>
          </w:tcPr>
          <w:p>
            <w:pPr>
              <w:spacing w:after="0" w:line="176" w:lineRule="exact"/>
              <w:rPr>
                <w:sz w:val="20"/>
                <w:szCs w:val="20"/>
                <w:color w:val="auto"/>
              </w:rPr>
            </w:pPr>
            <w:r>
              <w:rPr>
                <w:rFonts w:ascii="Arial" w:cs="Arial" w:eastAsia="Arial" w:hAnsi="Arial"/>
                <w:sz w:val="18"/>
                <w:szCs w:val="18"/>
                <w:color w:val="0000EE"/>
                <w:w w:val="94"/>
              </w:rPr>
              <w:t>Consolidated Statements of Stockholders’ Deficit for the fiscal years ended June 30, 2022 and</w:t>
            </w:r>
          </w:p>
        </w:tc>
        <w:tc>
          <w:tcPr>
            <w:tcW w:w="1000" w:type="dxa"/>
            <w:vAlign w:val="bottom"/>
          </w:tcPr>
          <w:p>
            <w:pPr>
              <w:spacing w:after="0"/>
              <w:rPr>
                <w:sz w:val="15"/>
                <w:szCs w:val="15"/>
                <w:color w:val="auto"/>
              </w:rPr>
            </w:pPr>
          </w:p>
        </w:tc>
      </w:tr>
      <w:tr>
        <w:trPr>
          <w:trHeight w:val="196"/>
        </w:trPr>
        <w:tc>
          <w:tcPr>
            <w:tcW w:w="1880" w:type="dxa"/>
            <w:vAlign w:val="bottom"/>
            <w:tcBorders>
              <w:top w:val="single" w:sz="8" w:color="0000EE"/>
            </w:tcBorders>
            <w:gridSpan w:val="3"/>
          </w:tcPr>
          <w:p>
            <w:pPr>
              <w:ind w:left="180"/>
              <w:spacing w:after="0" w:line="196" w:lineRule="exact"/>
              <w:rPr>
                <w:sz w:val="20"/>
                <w:szCs w:val="20"/>
                <w:color w:val="auto"/>
              </w:rPr>
            </w:pPr>
            <w:r>
              <w:rPr>
                <w:rFonts w:ascii="Arial" w:cs="Arial" w:eastAsia="Arial" w:hAnsi="Arial"/>
                <w:sz w:val="18"/>
                <w:szCs w:val="18"/>
                <w:color w:val="0000EE"/>
              </w:rPr>
              <w:t>2021</w:t>
            </w:r>
          </w:p>
        </w:tc>
        <w:tc>
          <w:tcPr>
            <w:tcW w:w="12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1"/>
              </w:rPr>
              <w:t>F-45</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03"/>
        </w:trPr>
        <w:tc>
          <w:tcPr>
            <w:tcW w:w="7100" w:type="dxa"/>
            <w:vAlign w:val="bottom"/>
            <w:gridSpan w:val="10"/>
            <w:shd w:val="clear" w:color="auto" w:fill="CCEEFF"/>
          </w:tcPr>
          <w:p>
            <w:pPr>
              <w:spacing w:after="0" w:line="202" w:lineRule="exact"/>
              <w:rPr>
                <w:sz w:val="20"/>
                <w:szCs w:val="20"/>
                <w:color w:val="auto"/>
              </w:rPr>
            </w:pPr>
            <w:r>
              <w:rPr>
                <w:rFonts w:ascii="Arial" w:cs="Arial" w:eastAsia="Arial" w:hAnsi="Arial"/>
                <w:sz w:val="18"/>
                <w:szCs w:val="18"/>
                <w:color w:val="0000EE"/>
                <w:w w:val="97"/>
              </w:rPr>
              <w:t>Consolidated Statements of Cash Flows for the fiscal years ended June 30, 2022 and 2021</w:t>
            </w:r>
          </w:p>
        </w:tc>
        <w:tc>
          <w:tcPr>
            <w:tcW w:w="1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F-46 – F-47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34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r>
      <w:tr>
        <w:trPr>
          <w:trHeight w:val="203"/>
        </w:trPr>
        <w:tc>
          <w:tcPr>
            <w:tcW w:w="7100" w:type="dxa"/>
            <w:vAlign w:val="bottom"/>
            <w:gridSpan w:val="10"/>
          </w:tcPr>
          <w:p>
            <w:pPr>
              <w:spacing w:after="0" w:line="202" w:lineRule="exact"/>
              <w:rPr>
                <w:sz w:val="20"/>
                <w:szCs w:val="20"/>
                <w:color w:val="auto"/>
              </w:rPr>
            </w:pPr>
            <w:r>
              <w:rPr>
                <w:rFonts w:ascii="Arial" w:cs="Arial" w:eastAsia="Arial" w:hAnsi="Arial"/>
                <w:sz w:val="18"/>
                <w:szCs w:val="18"/>
                <w:color w:val="0000EE"/>
              </w:rPr>
              <w:t>Notes to Consolidated Financial Statements</w:t>
            </w: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1"/>
              </w:rPr>
              <w:t>F-48 – F-89</w:t>
            </w:r>
          </w:p>
        </w:tc>
      </w:tr>
      <w:tr>
        <w:trPr>
          <w:trHeight w:val="466"/>
        </w:trPr>
        <w:tc>
          <w:tcPr>
            <w:tcW w:w="1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340" w:type="dxa"/>
            <w:vAlign w:val="bottom"/>
            <w:tcBorders>
              <w:top w:val="single" w:sz="8" w:color="0000EE"/>
              <w:bottom w:val="single" w:sz="8" w:color="auto"/>
            </w:tcBorders>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3960" w:type="dxa"/>
            <w:vAlign w:val="bottom"/>
            <w:tcBorders>
              <w:bottom w:val="single" w:sz="8" w:color="auto"/>
            </w:tcBorders>
            <w:gridSpan w:val="6"/>
          </w:tcPr>
          <w:p>
            <w:pPr>
              <w:ind w:left="780"/>
              <w:spacing w:after="0"/>
              <w:rPr>
                <w:sz w:val="20"/>
                <w:szCs w:val="20"/>
                <w:color w:val="auto"/>
              </w:rPr>
            </w:pPr>
            <w:r>
              <w:rPr>
                <w:rFonts w:ascii="Arial" w:cs="Arial" w:eastAsia="Arial" w:hAnsi="Arial"/>
                <w:sz w:val="18"/>
                <w:szCs w:val="18"/>
                <w:color w:val="auto"/>
              </w:rPr>
              <w:t>F-1</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23" w:name="page124"/>
    <w:bookmarkEnd w:id="12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As of</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As of</w:t>
            </w:r>
          </w:p>
        </w:tc>
      </w:tr>
      <w:tr>
        <w:trPr>
          <w:trHeight w:val="203"/>
        </w:trPr>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March 31,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9"/>
              </w:rPr>
              <w:t>2023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c>
          <w:tcPr>
            <w:tcW w:w="140" w:type="dxa"/>
            <w:vAlign w:val="bottom"/>
          </w:tcPr>
          <w:p>
            <w:pPr>
              <w:spacing w:after="0"/>
              <w:rPr>
                <w:sz w:val="18"/>
                <w:szCs w:val="18"/>
                <w:color w:val="auto"/>
              </w:rPr>
            </w:pPr>
          </w:p>
        </w:tc>
      </w:tr>
      <w:tr>
        <w:trPr>
          <w:trHeight w:val="46"/>
        </w:trPr>
        <w:tc>
          <w:tcPr>
            <w:tcW w:w="55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26,978</w:t>
            </w:r>
          </w:p>
        </w:tc>
        <w:tc>
          <w:tcPr>
            <w:tcW w:w="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02"/>
        </w:trPr>
        <w:tc>
          <w:tcPr>
            <w:tcW w:w="5520" w:type="dxa"/>
            <w:vAlign w:val="bottom"/>
          </w:tcPr>
          <w:p>
            <w:pPr>
              <w:ind w:left="180"/>
              <w:spacing w:after="0" w:line="201" w:lineRule="exact"/>
              <w:rPr>
                <w:sz w:val="20"/>
                <w:szCs w:val="20"/>
                <w:color w:val="auto"/>
              </w:rPr>
            </w:pPr>
            <w:r>
              <w:rPr>
                <w:rFonts w:ascii="Arial" w:cs="Arial" w:eastAsia="Arial" w:hAnsi="Arial"/>
                <w:sz w:val="18"/>
                <w:szCs w:val="18"/>
                <w:color w:val="auto"/>
                <w:w w:val="92"/>
              </w:rPr>
              <w:t>Accounts receivable, net of allowance for doubtful accounts of $135 and</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$353, respectively</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1,518</w:t>
            </w:r>
          </w:p>
        </w:tc>
        <w:tc>
          <w:tcPr>
            <w:tcW w:w="140" w:type="dxa"/>
            <w:vAlign w:val="bottom"/>
          </w:tcPr>
          <w:p>
            <w:pPr>
              <w:spacing w:after="0"/>
              <w:rPr>
                <w:sz w:val="20"/>
                <w:szCs w:val="20"/>
                <w:color w:val="auto"/>
              </w:rPr>
            </w:pPr>
          </w:p>
        </w:tc>
      </w:tr>
      <w:tr>
        <w:trPr>
          <w:trHeight w:val="40"/>
        </w:trPr>
        <w:tc>
          <w:tcPr>
            <w:tcW w:w="5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Deferred costs, current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3,772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8,443</w:t>
            </w:r>
          </w:p>
        </w:tc>
        <w:tc>
          <w:tcPr>
            <w:tcW w:w="14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75"/>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37"/>
        </w:trPr>
        <w:tc>
          <w:tcPr>
            <w:tcW w:w="552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35,203</w:t>
            </w:r>
          </w:p>
        </w:tc>
        <w:tc>
          <w:tcPr>
            <w:tcW w:w="1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14,554</w:t>
            </w:r>
          </w:p>
        </w:tc>
        <w:tc>
          <w:tcPr>
            <w:tcW w:w="140" w:type="dxa"/>
            <w:vAlign w:val="bottom"/>
            <w:tcBorders>
              <w:top w:val="single" w:sz="8" w:color="CCEEFF"/>
            </w:tcBorders>
          </w:tcPr>
          <w:p>
            <w:pPr>
              <w:spacing w:after="0"/>
              <w:rPr>
                <w:sz w:val="20"/>
                <w:szCs w:val="20"/>
                <w:color w:val="auto"/>
              </w:rPr>
            </w:pPr>
          </w:p>
        </w:tc>
      </w:tr>
      <w:tr>
        <w:trPr>
          <w:trHeight w:val="41"/>
        </w:trPr>
        <w:tc>
          <w:tcPr>
            <w:tcW w:w="5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costs, net of current portion</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Investment in non-affiliate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transaction costs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1,975</w:t>
            </w:r>
          </w:p>
        </w:tc>
        <w:tc>
          <w:tcPr>
            <w:tcW w:w="140" w:type="dxa"/>
            <w:vAlign w:val="bottom"/>
          </w:tcPr>
          <w:p>
            <w:pPr>
              <w:spacing w:after="0"/>
              <w:rPr>
                <w:sz w:val="21"/>
                <w:szCs w:val="21"/>
                <w:color w:val="auto"/>
              </w:rPr>
            </w:pPr>
          </w:p>
        </w:tc>
      </w:tr>
      <w:tr>
        <w:trPr>
          <w:trHeight w:val="41"/>
        </w:trPr>
        <w:tc>
          <w:tcPr>
            <w:tcW w:w="5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8,436</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1,156</w:t>
            </w:r>
          </w:p>
        </w:tc>
        <w:tc>
          <w:tcPr>
            <w:tcW w:w="14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0"/>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0"/>
        </w:trPr>
        <w:tc>
          <w:tcPr>
            <w:tcW w:w="55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43"/>
        </w:trPr>
        <w:tc>
          <w:tcPr>
            <w:tcW w:w="55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48,610</w:t>
            </w:r>
          </w:p>
        </w:tc>
        <w:tc>
          <w:tcPr>
            <w:tcW w:w="14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30,536</w:t>
            </w:r>
          </w:p>
        </w:tc>
        <w:tc>
          <w:tcPr>
            <w:tcW w:w="140" w:type="dxa"/>
            <w:vAlign w:val="bottom"/>
          </w:tcPr>
          <w:p>
            <w:pPr>
              <w:spacing w:after="0"/>
              <w:rPr>
                <w:sz w:val="21"/>
                <w:szCs w:val="2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271"/>
        </w:trPr>
        <w:tc>
          <w:tcPr>
            <w:tcW w:w="5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3,267</w:t>
            </w:r>
          </w:p>
        </w:tc>
        <w:tc>
          <w:tcPr>
            <w:tcW w:w="14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5,916</w:t>
            </w:r>
          </w:p>
        </w:tc>
        <w:tc>
          <w:tcPr>
            <w:tcW w:w="14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Financing obligations, current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3,720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8,840</w:t>
            </w:r>
          </w:p>
        </w:tc>
        <w:tc>
          <w:tcPr>
            <w:tcW w:w="14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Term loans, current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53,979</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25,443</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Convertible promissory notes and embedded warrants, current</w:t>
            </w:r>
          </w:p>
        </w:tc>
        <w:tc>
          <w:tcPr>
            <w:tcW w:w="18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89,663</w:t>
            </w:r>
          </w:p>
        </w:tc>
        <w:tc>
          <w:tcPr>
            <w:tcW w:w="14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 current</w:t>
            </w:r>
          </w:p>
        </w:tc>
        <w:tc>
          <w:tcPr>
            <w:tcW w:w="1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10,532</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24"/>
        </w:trPr>
        <w:tc>
          <w:tcPr>
            <w:tcW w:w="55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66,669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146,609</w:t>
            </w:r>
          </w:p>
        </w:tc>
        <w:tc>
          <w:tcPr>
            <w:tcW w:w="140" w:type="dxa"/>
            <w:vAlign w:val="bottom"/>
          </w:tcPr>
          <w:p>
            <w:pPr>
              <w:spacing w:after="0"/>
              <w:rPr>
                <w:sz w:val="19"/>
                <w:szCs w:val="19"/>
                <w:color w:val="auto"/>
              </w:rPr>
            </w:pPr>
          </w:p>
        </w:tc>
      </w:tr>
      <w:tr>
        <w:trPr>
          <w:trHeight w:val="40"/>
        </w:trPr>
        <w:tc>
          <w:tcPr>
            <w:tcW w:w="5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obligations, net of current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PPP loans</w:t>
            </w:r>
          </w:p>
        </w:tc>
        <w:tc>
          <w:tcPr>
            <w:tcW w:w="18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37"/>
        </w:trPr>
        <w:tc>
          <w:tcPr>
            <w:tcW w:w="552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70,842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152,995</w:t>
            </w:r>
          </w:p>
        </w:tc>
        <w:tc>
          <w:tcPr>
            <w:tcW w:w="140" w:type="dxa"/>
            <w:vAlign w:val="bottom"/>
          </w:tcPr>
          <w:p>
            <w:pPr>
              <w:spacing w:after="0"/>
              <w:rPr>
                <w:sz w:val="20"/>
                <w:szCs w:val="20"/>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Contingencies (Refer to Note 8)</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Stockholders’ deficit:</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5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Preferred stock, $0.0001 par value-1,500,000 shares authorized as of</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March 31, 2023 and June 30, 2022, respectively; no shares issued and</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1"/>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 of March 31, 2023 and June 30, 2022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5520" w:type="dxa"/>
            <w:vAlign w:val="bottom"/>
          </w:tcPr>
          <w:p>
            <w:pPr>
              <w:spacing w:after="0" w:line="201" w:lineRule="exact"/>
              <w:rPr>
                <w:sz w:val="20"/>
                <w:szCs w:val="20"/>
                <w:color w:val="auto"/>
              </w:rPr>
            </w:pPr>
            <w:r>
              <w:rPr>
                <w:rFonts w:ascii="Arial" w:cs="Arial" w:eastAsia="Arial" w:hAnsi="Arial"/>
                <w:sz w:val="18"/>
                <w:szCs w:val="18"/>
                <w:color w:val="auto"/>
                <w:w w:val="96"/>
              </w:rPr>
              <w:t>Common stock, $0.0001 par value-180,000,000 shares authorized as of</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w w:val="97"/>
              </w:rPr>
              <w:t>March 31, 2023 and June 30, 2022, and 51,921,941 and 27,974,439</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w w:val="92"/>
              </w:rPr>
              <w:t>shares issued and outstanding as of March 31, 2023 and June 30, 2022,</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552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r>
      <w:tr>
        <w:trPr>
          <w:trHeight w:val="41"/>
        </w:trPr>
        <w:tc>
          <w:tcPr>
            <w:tcW w:w="5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176,466</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78,321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(198,703)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(200,783)</w:t>
            </w:r>
          </w:p>
        </w:tc>
      </w:tr>
      <w:tr>
        <w:trPr>
          <w:trHeight w:val="27"/>
        </w:trPr>
        <w:tc>
          <w:tcPr>
            <w:tcW w:w="5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deficit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(122,459)</w:t>
            </w:r>
          </w:p>
        </w:tc>
      </w:tr>
      <w:tr>
        <w:trPr>
          <w:trHeight w:val="20"/>
        </w:trPr>
        <w:tc>
          <w:tcPr>
            <w:tcW w:w="55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44"/>
        </w:trPr>
        <w:tc>
          <w:tcPr>
            <w:tcW w:w="5520" w:type="dxa"/>
            <w:vAlign w:val="bottom"/>
          </w:tcPr>
          <w:p>
            <w:pPr>
              <w:spacing w:after="0"/>
              <w:rPr>
                <w:sz w:val="20"/>
                <w:szCs w:val="20"/>
                <w:color w:val="auto"/>
              </w:rPr>
            </w:pPr>
            <w:r>
              <w:rPr>
                <w:rFonts w:ascii="Arial" w:cs="Arial" w:eastAsia="Arial" w:hAnsi="Arial"/>
                <w:sz w:val="18"/>
                <w:szCs w:val="18"/>
                <w:color w:val="auto"/>
              </w:rPr>
              <w:t>Total liabilities and stockholders’ deficit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48,610</w:t>
            </w:r>
          </w:p>
        </w:tc>
        <w:tc>
          <w:tcPr>
            <w:tcW w:w="14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30,536</w:t>
            </w:r>
          </w:p>
        </w:tc>
        <w:tc>
          <w:tcPr>
            <w:tcW w:w="140" w:type="dxa"/>
            <w:vAlign w:val="bottom"/>
          </w:tcPr>
          <w:p>
            <w:pPr>
              <w:spacing w:after="0"/>
              <w:rPr>
                <w:sz w:val="21"/>
                <w:szCs w:val="21"/>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443" w:gutter="0" w:footer="0" w:header="0"/>
        </w:sectPr>
      </w:pPr>
    </w:p>
    <w:bookmarkStart w:id="124" w:name="page125"/>
    <w:bookmarkEnd w:id="12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6"/>
          </w:tcPr>
          <w:p>
            <w:pPr>
              <w:jc w:val="right"/>
              <w:ind w:right="40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6"/>
          </w:tcPr>
          <w:p>
            <w:pPr>
              <w:jc w:val="right"/>
              <w:ind w:right="36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6"/>
          </w:tcPr>
          <w:p>
            <w:pPr>
              <w:jc w:val="right"/>
              <w:ind w:right="681"/>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47"/>
        </w:trPr>
        <w:tc>
          <w:tcPr>
            <w:tcW w:w="35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7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5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7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5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Platform</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21"/>
                <w:szCs w:val="21"/>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5,083</w:t>
            </w:r>
          </w:p>
        </w:tc>
        <w:tc>
          <w:tcPr>
            <w:tcW w:w="120" w:type="dxa"/>
            <w:vAlign w:val="bottom"/>
          </w:tcPr>
          <w:p>
            <w:pPr>
              <w:spacing w:after="0"/>
              <w:rPr>
                <w:sz w:val="21"/>
                <w:szCs w:val="21"/>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11,617</w:t>
            </w:r>
          </w:p>
        </w:tc>
        <w:tc>
          <w:tcPr>
            <w:tcW w:w="120" w:type="dxa"/>
            <w:vAlign w:val="bottom"/>
          </w:tcPr>
          <w:p>
            <w:pPr>
              <w:spacing w:after="0"/>
              <w:rPr>
                <w:sz w:val="21"/>
                <w:szCs w:val="21"/>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14,754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9,699</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580" w:type="dxa"/>
            <w:vAlign w:val="bottom"/>
          </w:tcPr>
          <w:p>
            <w:pPr>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Platform</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4,057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11,872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80" w:type="dxa"/>
            <w:vAlign w:val="bottom"/>
          </w:tcPr>
          <w:p>
            <w:pPr>
              <w:ind w:left="180"/>
              <w:spacing w:after="0"/>
              <w:rPr>
                <w:sz w:val="20"/>
                <w:szCs w:val="20"/>
                <w:color w:val="auto"/>
              </w:rPr>
            </w:pPr>
            <w:r>
              <w:rPr>
                <w:rFonts w:ascii="Arial" w:cs="Arial" w:eastAsia="Arial" w:hAnsi="Arial"/>
                <w:sz w:val="18"/>
                <w:szCs w:val="18"/>
                <w:color w:val="auto"/>
              </w:rPr>
              <w:t>Depreciation and impairment</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19,827</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58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5,496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11,733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7,110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infrequent product repairs</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8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(42,307)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580" w:type="dxa"/>
            <w:vAlign w:val="bottom"/>
          </w:tcPr>
          <w:p>
            <w:pPr>
              <w:spacing w:after="0" w:line="201" w:lineRule="exact"/>
              <w:rPr>
                <w:sz w:val="20"/>
                <w:szCs w:val="20"/>
                <w:color w:val="auto"/>
              </w:rPr>
            </w:pPr>
            <w:r>
              <w:rPr>
                <w:rFonts w:ascii="Arial" w:cs="Arial" w:eastAsia="Arial" w:hAnsi="Arial"/>
                <w:sz w:val="18"/>
                <w:szCs w:val="18"/>
                <w:color w:val="auto"/>
                <w:w w:val="93"/>
              </w:rPr>
              <w:t>Change in fair value of warrants and convertible</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promissory notes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18,102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61,043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(11,668)</w:t>
            </w: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(2,991)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(9,397)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02"/>
        </w:trPr>
        <w:tc>
          <w:tcPr>
            <w:tcW w:w="3580" w:type="dxa"/>
            <w:vAlign w:val="bottom"/>
          </w:tcPr>
          <w:p>
            <w:pPr>
              <w:spacing w:after="0" w:line="201" w:lineRule="exact"/>
              <w:rPr>
                <w:sz w:val="20"/>
                <w:szCs w:val="20"/>
                <w:color w:val="auto"/>
              </w:rPr>
            </w:pPr>
            <w:r>
              <w:rPr>
                <w:rFonts w:ascii="Arial" w:cs="Arial" w:eastAsia="Arial" w:hAnsi="Arial"/>
                <w:sz w:val="18"/>
                <w:szCs w:val="18"/>
                <w:color w:val="auto"/>
                <w:w w:val="98"/>
              </w:rPr>
              <w:t>Loss on extinguishment of debt and financing</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obligations</w:t>
            </w:r>
          </w:p>
        </w:tc>
        <w:tc>
          <w:tcPr>
            <w:tcW w:w="120" w:type="dxa"/>
            <w:vAlign w:val="bottom"/>
          </w:tcPr>
          <w:p>
            <w:pPr>
              <w:spacing w:after="0"/>
              <w:rPr>
                <w:sz w:val="20"/>
                <w:szCs w:val="20"/>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(8,095)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financing and financial instrument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 net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44,395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3580" w:type="dxa"/>
            <w:vAlign w:val="bottom"/>
          </w:tcPr>
          <w:p>
            <w:pPr>
              <w:spacing w:after="0"/>
              <w:rPr>
                <w:sz w:val="20"/>
                <w:szCs w:val="20"/>
                <w:color w:val="auto"/>
              </w:rPr>
            </w:pPr>
            <w:r>
              <w:rPr>
                <w:rFonts w:ascii="Arial" w:cs="Arial" w:eastAsia="Arial" w:hAnsi="Arial"/>
                <w:sz w:val="18"/>
                <w:szCs w:val="18"/>
                <w:color w:val="auto"/>
                <w:w w:val="94"/>
              </w:rPr>
              <w:t>Income (loss) before provision for income taxes</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2"/>
        </w:trPr>
        <w:tc>
          <w:tcPr>
            <w:tcW w:w="3580" w:type="dxa"/>
            <w:vAlign w:val="bottom"/>
          </w:tcPr>
          <w:p>
            <w:pPr>
              <w:spacing w:after="0" w:line="182" w:lineRule="exact"/>
              <w:rPr>
                <w:sz w:val="20"/>
                <w:szCs w:val="20"/>
                <w:color w:val="auto"/>
              </w:rPr>
            </w:pPr>
            <w:r>
              <w:rPr>
                <w:rFonts w:ascii="Arial" w:cs="Arial" w:eastAsia="Arial" w:hAnsi="Arial"/>
                <w:sz w:val="18"/>
                <w:szCs w:val="18"/>
                <w:color w:val="auto"/>
                <w:w w:val="97"/>
              </w:rPr>
              <w:t>Net income (loss) and comprehensive income</w:t>
            </w: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3580" w:type="dxa"/>
            <w:vAlign w:val="bottom"/>
          </w:tcPr>
          <w:p>
            <w:pPr>
              <w:ind w:left="180"/>
              <w:spacing w:after="0"/>
              <w:rPr>
                <w:sz w:val="20"/>
                <w:szCs w:val="20"/>
                <w:color w:val="auto"/>
              </w:rPr>
            </w:pPr>
            <w:r>
              <w:rPr>
                <w:rFonts w:ascii="Arial" w:cs="Arial" w:eastAsia="Arial" w:hAnsi="Arial"/>
                <w:sz w:val="18"/>
                <w:szCs w:val="18"/>
                <w:color w:val="auto"/>
              </w:rPr>
              <w:t>(loss)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(15,680)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8,954</w:t>
            </w:r>
          </w:p>
        </w:tc>
        <w:tc>
          <w:tcPr>
            <w:tcW w:w="12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(34,062)</w:t>
            </w:r>
          </w:p>
        </w:tc>
        <w:tc>
          <w:tcPr>
            <w:tcW w:w="0" w:type="dxa"/>
            <w:vAlign w:val="bottom"/>
          </w:tcPr>
          <w:p>
            <w:pPr>
              <w:spacing w:after="0"/>
              <w:rPr>
                <w:sz w:val="1"/>
                <w:szCs w:val="1"/>
                <w:color w:val="auto"/>
              </w:rPr>
            </w:pPr>
          </w:p>
        </w:tc>
      </w:tr>
      <w:tr>
        <w:trPr>
          <w:trHeight w:val="162"/>
        </w:trPr>
        <w:tc>
          <w:tcPr>
            <w:tcW w:w="358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auto"/>
                <w:w w:val="94"/>
              </w:rPr>
              <w:t>Numerator adjustments for diluted earnings per</w:t>
            </w: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80" w:type="dxa"/>
            <w:vAlign w:val="bottom"/>
          </w:tcPr>
          <w:p>
            <w:pPr>
              <w:spacing w:after="0"/>
              <w:rPr>
                <w:sz w:val="20"/>
                <w:szCs w:val="20"/>
                <w:color w:val="auto"/>
              </w:rPr>
            </w:pPr>
            <w:r>
              <w:rPr>
                <w:rFonts w:ascii="Arial" w:cs="Arial" w:eastAsia="Arial" w:hAnsi="Arial"/>
                <w:sz w:val="18"/>
                <w:szCs w:val="18"/>
                <w:color w:val="auto"/>
                <w:w w:val="96"/>
              </w:rPr>
              <w:t>Less: Change in fair value of convertible notes</w:t>
            </w:r>
          </w:p>
        </w:tc>
        <w:tc>
          <w:tcPr>
            <w:tcW w:w="120" w:type="dxa"/>
            <w:vAlign w:val="bottom"/>
          </w:tcPr>
          <w:p>
            <w:pPr>
              <w:spacing w:after="0"/>
              <w:rPr>
                <w:sz w:val="22"/>
                <w:szCs w:val="22"/>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(16,307)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5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 (loss) attributable to common</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(15,680)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(7,353)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(34,062)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18"/>
                <w:szCs w:val="18"/>
                <w:color w:val="auto"/>
              </w:rPr>
              <w:t>Net income (loss) per share attributable to</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common stockholders, 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(0.30)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41"/>
        </w:trPr>
        <w:tc>
          <w:tcPr>
            <w:tcW w:w="3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per share attributable to</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stockholders, diluted</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2"/>
        </w:trPr>
        <w:tc>
          <w:tcPr>
            <w:tcW w:w="3580" w:type="dxa"/>
            <w:vAlign w:val="bottom"/>
          </w:tcPr>
          <w:p>
            <w:pPr>
              <w:spacing w:after="0" w:line="201" w:lineRule="exact"/>
              <w:rPr>
                <w:sz w:val="20"/>
                <w:szCs w:val="20"/>
                <w:color w:val="auto"/>
              </w:rPr>
            </w:pPr>
            <w:r>
              <w:rPr>
                <w:rFonts w:ascii="Arial" w:cs="Arial" w:eastAsia="Arial" w:hAnsi="Arial"/>
                <w:sz w:val="18"/>
                <w:szCs w:val="18"/>
                <w:color w:val="auto"/>
                <w:w w:val="91"/>
              </w:rPr>
              <w:t>Weighted-average shares used in computing net</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income (loss) per share attributable to</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common stockholders, basic</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51,453,368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27,316,602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44,173,570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27,213,403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Weighted-average shares used in computing net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per share attributable to</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 diluted</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51,453,368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31,838,707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54,539,795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27,213,403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5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064" w:gutter="0" w:footer="0" w:header="0"/>
        </w:sectPr>
      </w:pPr>
    </w:p>
    <w:bookmarkStart w:id="125" w:name="page126"/>
    <w:bookmarkEnd w:id="12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Convertible</w:t>
            </w:r>
          </w:p>
        </w:tc>
        <w:tc>
          <w:tcPr>
            <w:tcW w:w="100" w:type="dxa"/>
            <w:vAlign w:val="bottom"/>
          </w:tcPr>
          <w:p>
            <w:pPr>
              <w:spacing w:after="0"/>
              <w:rPr>
                <w:sz w:val="14"/>
                <w:szCs w:val="14"/>
                <w:color w:val="auto"/>
              </w:rPr>
            </w:pPr>
          </w:p>
        </w:tc>
        <w:tc>
          <w:tcPr>
            <w:tcW w:w="1340" w:type="dxa"/>
            <w:vAlign w:val="bottom"/>
            <w:gridSpan w:val="3"/>
            <w:vMerge w:val="restart"/>
          </w:tcPr>
          <w:p>
            <w:pPr>
              <w:jc w:val="right"/>
              <w:ind w:right="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4"/>
        </w:trPr>
        <w:tc>
          <w:tcPr>
            <w:tcW w:w="2060" w:type="dxa"/>
            <w:vAlign w:val="bottom"/>
          </w:tcPr>
          <w:p>
            <w:pPr>
              <w:spacing w:after="0"/>
              <w:rPr>
                <w:sz w:val="12"/>
                <w:szCs w:val="12"/>
                <w:color w:val="auto"/>
              </w:rPr>
            </w:pPr>
          </w:p>
        </w:tc>
        <w:tc>
          <w:tcPr>
            <w:tcW w:w="14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3"/>
              </w:rPr>
              <w:t>Preferred Stock</w:t>
            </w: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restart"/>
          </w:tcPr>
          <w:p>
            <w:pPr>
              <w:jc w:val="center"/>
              <w:ind w:right="200"/>
              <w:spacing w:after="0" w:line="139" w:lineRule="exact"/>
              <w:rPr>
                <w:sz w:val="20"/>
                <w:szCs w:val="20"/>
                <w:color w:val="auto"/>
              </w:rPr>
            </w:pPr>
            <w:r>
              <w:rPr>
                <w:rFonts w:ascii="Arial" w:cs="Arial" w:eastAsia="Arial" w:hAnsi="Arial"/>
                <w:sz w:val="14"/>
                <w:szCs w:val="14"/>
                <w:b w:val="1"/>
                <w:bCs w:val="1"/>
                <w:color w:val="auto"/>
                <w:w w:val="98"/>
              </w:rPr>
              <w:t>Paid-In</w:t>
            </w:r>
          </w:p>
        </w:tc>
        <w:tc>
          <w:tcPr>
            <w:tcW w:w="920" w:type="dxa"/>
            <w:vAlign w:val="bottom"/>
            <w:gridSpan w:val="3"/>
            <w:vMerge w:val="restart"/>
          </w:tcPr>
          <w:p>
            <w:pPr>
              <w:jc w:val="center"/>
              <w:spacing w:after="0" w:line="139"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vMerge w:val="restart"/>
          </w:tcPr>
          <w:p>
            <w:pPr>
              <w:spacing w:after="0"/>
              <w:rPr>
                <w:sz w:val="5"/>
                <w:szCs w:val="5"/>
                <w:color w:val="auto"/>
              </w:rPr>
            </w:pPr>
          </w:p>
        </w:tc>
        <w:tc>
          <w:tcPr>
            <w:tcW w:w="1000" w:type="dxa"/>
            <w:vAlign w:val="bottom"/>
            <w:gridSpan w:val="3"/>
            <w:vMerge w:val="restart"/>
          </w:tcPr>
          <w:p>
            <w:pPr>
              <w:jc w:val="center"/>
              <w:ind w:right="20"/>
              <w:spacing w:after="0" w:line="13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52"/>
        </w:trPr>
        <w:tc>
          <w:tcPr>
            <w:tcW w:w="2060" w:type="dxa"/>
            <w:vAlign w:val="bottom"/>
          </w:tcPr>
          <w:p>
            <w:pPr>
              <w:spacing w:after="0"/>
              <w:rPr>
                <w:sz w:val="4"/>
                <w:szCs w:val="4"/>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4"/>
                <w:szCs w:val="4"/>
                <w:color w:val="auto"/>
              </w:rPr>
            </w:pP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26"/>
        </w:trPr>
        <w:tc>
          <w:tcPr>
            <w:tcW w:w="20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w:t>
            </w:r>
          </w:p>
        </w:tc>
        <w:tc>
          <w:tcPr>
            <w:tcW w:w="6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2022</w:t>
            </w:r>
          </w:p>
        </w:tc>
        <w:tc>
          <w:tcPr>
            <w:tcW w:w="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74"/>
              </w:rPr>
              <w:t>—</w:t>
            </w:r>
          </w:p>
        </w:tc>
        <w:tc>
          <w:tcPr>
            <w:tcW w:w="18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w w:val="87"/>
              </w:rPr>
              <w:t>—</w:t>
            </w: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51,231,608</w:t>
            </w:r>
          </w:p>
        </w:tc>
        <w:tc>
          <w:tcPr>
            <w:tcW w:w="40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170,794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(183,023)</w:t>
            </w:r>
          </w:p>
        </w:tc>
        <w:tc>
          <w:tcPr>
            <w:tcW w:w="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(12,224)</w:t>
            </w:r>
          </w:p>
        </w:tc>
        <w:tc>
          <w:tcPr>
            <w:tcW w:w="0" w:type="dxa"/>
            <w:vAlign w:val="bottom"/>
          </w:tcPr>
          <w:p>
            <w:pPr>
              <w:spacing w:after="0"/>
              <w:rPr>
                <w:sz w:val="1"/>
                <w:szCs w:val="1"/>
                <w:color w:val="auto"/>
              </w:rPr>
            </w:pPr>
          </w:p>
        </w:tc>
      </w:tr>
      <w:tr>
        <w:trPr>
          <w:trHeight w:val="193"/>
        </w:trPr>
        <w:tc>
          <w:tcPr>
            <w:tcW w:w="2060" w:type="dxa"/>
            <w:vAlign w:val="bottom"/>
          </w:tcPr>
          <w:p>
            <w:pPr>
              <w:ind w:left="180"/>
              <w:spacing w:after="0"/>
              <w:rPr>
                <w:sz w:val="20"/>
                <w:szCs w:val="20"/>
                <w:color w:val="auto"/>
              </w:rPr>
            </w:pPr>
            <w:r>
              <w:rPr>
                <w:rFonts w:ascii="Arial" w:cs="Arial" w:eastAsia="Arial" w:hAnsi="Arial"/>
                <w:sz w:val="16"/>
                <w:szCs w:val="16"/>
                <w:color w:val="auto"/>
                <w:w w:val="97"/>
              </w:rPr>
              <w:t>Issuance of common stock</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60" w:type="dxa"/>
            <w:vAlign w:val="bottom"/>
          </w:tcPr>
          <w:p>
            <w:pPr>
              <w:ind w:left="360"/>
              <w:spacing w:after="0"/>
              <w:rPr>
                <w:sz w:val="20"/>
                <w:szCs w:val="20"/>
                <w:color w:val="auto"/>
              </w:rPr>
            </w:pPr>
            <w:r>
              <w:rPr>
                <w:rFonts w:ascii="Arial" w:cs="Arial" w:eastAsia="Arial" w:hAnsi="Arial"/>
                <w:sz w:val="16"/>
                <w:szCs w:val="16"/>
                <w:color w:val="auto"/>
              </w:rPr>
              <w:t>upon exercise of stock</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60" w:type="dxa"/>
            <w:vAlign w:val="bottom"/>
          </w:tcPr>
          <w:p>
            <w:pPr>
              <w:ind w:left="360"/>
              <w:spacing w:after="0"/>
              <w:rPr>
                <w:sz w:val="20"/>
                <w:szCs w:val="20"/>
                <w:color w:val="auto"/>
              </w:rPr>
            </w:pPr>
            <w:r>
              <w:rPr>
                <w:rFonts w:ascii="Arial" w:cs="Arial" w:eastAsia="Arial" w:hAnsi="Arial"/>
                <w:sz w:val="16"/>
                <w:szCs w:val="16"/>
                <w:color w:val="auto"/>
              </w:rPr>
              <w:t>options</w:t>
            </w:r>
          </w:p>
        </w:tc>
        <w:tc>
          <w:tcPr>
            <w:tcW w:w="660" w:type="dxa"/>
            <w:vAlign w:val="bottom"/>
          </w:tcPr>
          <w:p>
            <w:pPr>
              <w:ind w:left="50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440"/>
              <w:spacing w:after="0"/>
              <w:rPr>
                <w:sz w:val="20"/>
                <w:szCs w:val="20"/>
                <w:color w:val="auto"/>
              </w:rPr>
            </w:pPr>
            <w:r>
              <w:rPr>
                <w:rFonts w:ascii="Arial" w:cs="Arial" w:eastAsia="Arial" w:hAnsi="Arial"/>
                <w:sz w:val="16"/>
                <w:szCs w:val="16"/>
                <w:color w:val="auto"/>
                <w:w w:val="87"/>
              </w:rPr>
              <w:t>—</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370,692</w:t>
            </w:r>
          </w:p>
        </w:tc>
        <w:tc>
          <w:tcPr>
            <w:tcW w:w="4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220</w:t>
            </w: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46"/>
        </w:trPr>
        <w:tc>
          <w:tcPr>
            <w:tcW w:w="2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Fair value of issued</w:t>
            </w:r>
          </w:p>
        </w:tc>
        <w:tc>
          <w:tcPr>
            <w:tcW w:w="6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warrants on common</w:t>
            </w:r>
          </w:p>
        </w:tc>
        <w:tc>
          <w:tcPr>
            <w:tcW w:w="6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6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stock</w:t>
            </w:r>
          </w:p>
        </w:tc>
        <w:tc>
          <w:tcPr>
            <w:tcW w:w="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74"/>
              </w:rPr>
              <w:t>—</w:t>
            </w: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499</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37"/>
        </w:trPr>
        <w:tc>
          <w:tcPr>
            <w:tcW w:w="2060" w:type="dxa"/>
            <w:vAlign w:val="bottom"/>
          </w:tcPr>
          <w:p>
            <w:pPr>
              <w:ind w:left="180"/>
              <w:spacing w:after="0"/>
              <w:rPr>
                <w:sz w:val="20"/>
                <w:szCs w:val="20"/>
                <w:color w:val="auto"/>
              </w:rPr>
            </w:pPr>
            <w:r>
              <w:rPr>
                <w:rFonts w:ascii="Arial" w:cs="Arial" w:eastAsia="Arial" w:hAnsi="Arial"/>
                <w:sz w:val="16"/>
                <w:szCs w:val="16"/>
                <w:color w:val="auto"/>
                <w:w w:val="97"/>
              </w:rPr>
              <w:t>Issuance of common stock</w:t>
            </w:r>
          </w:p>
        </w:tc>
        <w:tc>
          <w:tcPr>
            <w:tcW w:w="660" w:type="dxa"/>
            <w:vAlign w:val="bottom"/>
          </w:tcPr>
          <w:p>
            <w:pPr>
              <w:ind w:left="50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ind w:left="440"/>
              <w:spacing w:after="0"/>
              <w:rPr>
                <w:sz w:val="20"/>
                <w:szCs w:val="20"/>
                <w:color w:val="auto"/>
              </w:rPr>
            </w:pPr>
            <w:r>
              <w:rPr>
                <w:rFonts w:ascii="Arial" w:cs="Arial" w:eastAsia="Arial" w:hAnsi="Arial"/>
                <w:sz w:val="16"/>
                <w:szCs w:val="16"/>
                <w:color w:val="auto"/>
                <w:w w:val="87"/>
              </w:rPr>
              <w:t>—</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10,000</w:t>
            </w:r>
          </w:p>
        </w:tc>
        <w:tc>
          <w:tcPr>
            <w:tcW w:w="4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46"/>
        </w:trPr>
        <w:tc>
          <w:tcPr>
            <w:tcW w:w="2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7"/>
              </w:rPr>
              <w:t>Issuance of common stock</w:t>
            </w:r>
          </w:p>
        </w:tc>
        <w:tc>
          <w:tcPr>
            <w:tcW w:w="6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upon vesting of</w:t>
            </w:r>
          </w:p>
        </w:tc>
        <w:tc>
          <w:tcPr>
            <w:tcW w:w="6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restricted stock units</w:t>
            </w:r>
          </w:p>
        </w:tc>
        <w:tc>
          <w:tcPr>
            <w:tcW w:w="6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6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(Note 11)</w:t>
            </w:r>
          </w:p>
        </w:tc>
        <w:tc>
          <w:tcPr>
            <w:tcW w:w="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74"/>
              </w:rPr>
              <w:t>—</w:t>
            </w: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w w:val="87"/>
              </w:rPr>
              <w:t>—</w:t>
            </w: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309,641</w:t>
            </w:r>
          </w:p>
        </w:tc>
        <w:tc>
          <w:tcPr>
            <w:tcW w:w="4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60" w:type="dxa"/>
            <w:vAlign w:val="bottom"/>
          </w:tcPr>
          <w:p>
            <w:pPr>
              <w:ind w:left="180"/>
              <w:spacing w:after="0"/>
              <w:rPr>
                <w:sz w:val="20"/>
                <w:szCs w:val="20"/>
                <w:color w:val="auto"/>
              </w:rPr>
            </w:pPr>
            <w:r>
              <w:rPr>
                <w:rFonts w:ascii="Arial" w:cs="Arial" w:eastAsia="Arial" w:hAnsi="Arial"/>
                <w:sz w:val="16"/>
                <w:szCs w:val="16"/>
                <w:color w:val="auto"/>
                <w:w w:val="92"/>
              </w:rPr>
              <w:t>Earnout shares stock-based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60" w:type="dxa"/>
            <w:vAlign w:val="bottom"/>
          </w:tcPr>
          <w:p>
            <w:pPr>
              <w:ind w:left="360"/>
              <w:spacing w:after="0"/>
              <w:rPr>
                <w:sz w:val="20"/>
                <w:szCs w:val="20"/>
                <w:color w:val="auto"/>
              </w:rPr>
            </w:pPr>
            <w:r>
              <w:rPr>
                <w:rFonts w:ascii="Arial" w:cs="Arial" w:eastAsia="Arial" w:hAnsi="Arial"/>
                <w:sz w:val="16"/>
                <w:szCs w:val="16"/>
                <w:color w:val="auto"/>
              </w:rPr>
              <w:t>compensation (Note 1)</w:t>
            </w:r>
          </w:p>
        </w:tc>
        <w:tc>
          <w:tcPr>
            <w:tcW w:w="660" w:type="dxa"/>
            <w:vAlign w:val="bottom"/>
          </w:tcPr>
          <w:p>
            <w:pPr>
              <w:ind w:left="50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44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1,604</w:t>
            </w: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1,604</w:t>
            </w:r>
          </w:p>
        </w:tc>
        <w:tc>
          <w:tcPr>
            <w:tcW w:w="0" w:type="dxa"/>
            <w:vAlign w:val="bottom"/>
          </w:tcPr>
          <w:p>
            <w:pPr>
              <w:spacing w:after="0"/>
              <w:rPr>
                <w:sz w:val="1"/>
                <w:szCs w:val="1"/>
                <w:color w:val="auto"/>
              </w:rPr>
            </w:pPr>
          </w:p>
        </w:tc>
      </w:tr>
      <w:tr>
        <w:trPr>
          <w:trHeight w:val="46"/>
        </w:trPr>
        <w:tc>
          <w:tcPr>
            <w:tcW w:w="2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5"/>
              </w:rPr>
              <w:t>Stock-based compensation</w:t>
            </w:r>
          </w:p>
        </w:tc>
        <w:tc>
          <w:tcPr>
            <w:tcW w:w="6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6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(Note 11)</w:t>
            </w:r>
          </w:p>
        </w:tc>
        <w:tc>
          <w:tcPr>
            <w:tcW w:w="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74"/>
              </w:rPr>
              <w:t>—</w:t>
            </w: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3,249</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3,249</w:t>
            </w:r>
          </w:p>
        </w:tc>
        <w:tc>
          <w:tcPr>
            <w:tcW w:w="0" w:type="dxa"/>
            <w:vAlign w:val="bottom"/>
          </w:tcPr>
          <w:p>
            <w:pPr>
              <w:spacing w:after="0"/>
              <w:rPr>
                <w:sz w:val="1"/>
                <w:szCs w:val="1"/>
                <w:color w:val="auto"/>
              </w:rPr>
            </w:pPr>
          </w:p>
        </w:tc>
      </w:tr>
      <w:tr>
        <w:trPr>
          <w:trHeight w:val="237"/>
        </w:trPr>
        <w:tc>
          <w:tcPr>
            <w:tcW w:w="2060" w:type="dxa"/>
            <w:vAlign w:val="bottom"/>
          </w:tcPr>
          <w:p>
            <w:pPr>
              <w:ind w:left="180"/>
              <w:spacing w:after="0"/>
              <w:rPr>
                <w:sz w:val="20"/>
                <w:szCs w:val="20"/>
                <w:color w:val="auto"/>
              </w:rPr>
            </w:pPr>
            <w:r>
              <w:rPr>
                <w:rFonts w:ascii="Arial" w:cs="Arial" w:eastAsia="Arial" w:hAnsi="Arial"/>
                <w:sz w:val="16"/>
                <w:szCs w:val="16"/>
                <w:color w:val="auto"/>
              </w:rPr>
              <w:t>Net loss</w:t>
            </w:r>
          </w:p>
        </w:tc>
        <w:tc>
          <w:tcPr>
            <w:tcW w:w="660" w:type="dxa"/>
            <w:vAlign w:val="bottom"/>
          </w:tcPr>
          <w:p>
            <w:pPr>
              <w:ind w:left="50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ind w:left="44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(15,680)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(15,680)</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March 31, 2023</w:t>
            </w: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74"/>
              </w:rPr>
              <w:t>—</w:t>
            </w:r>
          </w:p>
        </w:tc>
        <w:tc>
          <w:tcPr>
            <w:tcW w:w="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440"/>
              <w:spacing w:after="0"/>
              <w:rPr>
                <w:sz w:val="20"/>
                <w:szCs w:val="20"/>
                <w:color w:val="auto"/>
              </w:rPr>
            </w:pPr>
            <w:r>
              <w:rPr>
                <w:rFonts w:ascii="Arial" w:cs="Arial" w:eastAsia="Arial" w:hAnsi="Arial"/>
                <w:sz w:val="16"/>
                <w:szCs w:val="16"/>
                <w:color w:val="auto"/>
                <w:w w:val="87"/>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51,921,941</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176,466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(198,703)</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(22,232)</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right w:val="single" w:sz="8" w:color="auto"/>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2060" w:type="dxa"/>
            <w:vAlign w:val="bottom"/>
          </w:tcPr>
          <w:p>
            <w:pPr>
              <w:spacing w:after="0"/>
              <w:rPr>
                <w:sz w:val="24"/>
                <w:szCs w:val="24"/>
                <w:color w:val="auto"/>
              </w:rPr>
            </w:pPr>
          </w:p>
        </w:tc>
        <w:tc>
          <w:tcPr>
            <w:tcW w:w="1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Convertible</w:t>
            </w:r>
          </w:p>
        </w:tc>
        <w:tc>
          <w:tcPr>
            <w:tcW w:w="100" w:type="dxa"/>
            <w:vAlign w:val="bottom"/>
          </w:tcPr>
          <w:p>
            <w:pPr>
              <w:spacing w:after="0"/>
              <w:rPr>
                <w:sz w:val="24"/>
                <w:szCs w:val="24"/>
                <w:color w:val="auto"/>
              </w:rPr>
            </w:pPr>
          </w:p>
        </w:tc>
        <w:tc>
          <w:tcPr>
            <w:tcW w:w="1340" w:type="dxa"/>
            <w:vAlign w:val="bottom"/>
            <w:gridSpan w:val="3"/>
            <w:vMerge w:val="restart"/>
          </w:tcPr>
          <w:p>
            <w:pPr>
              <w:jc w:val="right"/>
              <w:ind w:right="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060" w:type="dxa"/>
            <w:vAlign w:val="bottom"/>
          </w:tcPr>
          <w:p>
            <w:pPr>
              <w:spacing w:after="0"/>
              <w:rPr>
                <w:sz w:val="12"/>
                <w:szCs w:val="12"/>
                <w:color w:val="auto"/>
              </w:rPr>
            </w:pPr>
          </w:p>
        </w:tc>
        <w:tc>
          <w:tcPr>
            <w:tcW w:w="14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Preferred Stock</w:t>
            </w: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restart"/>
          </w:tcPr>
          <w:p>
            <w:pPr>
              <w:jc w:val="center"/>
              <w:ind w:right="200"/>
              <w:spacing w:after="0" w:line="139" w:lineRule="exact"/>
              <w:rPr>
                <w:sz w:val="20"/>
                <w:szCs w:val="20"/>
                <w:color w:val="auto"/>
              </w:rPr>
            </w:pPr>
            <w:r>
              <w:rPr>
                <w:rFonts w:ascii="Arial" w:cs="Arial" w:eastAsia="Arial" w:hAnsi="Arial"/>
                <w:sz w:val="14"/>
                <w:szCs w:val="14"/>
                <w:b w:val="1"/>
                <w:bCs w:val="1"/>
                <w:color w:val="auto"/>
                <w:w w:val="98"/>
              </w:rPr>
              <w:t>Paid-In</w:t>
            </w:r>
          </w:p>
        </w:tc>
        <w:tc>
          <w:tcPr>
            <w:tcW w:w="920" w:type="dxa"/>
            <w:vAlign w:val="bottom"/>
            <w:gridSpan w:val="3"/>
            <w:vMerge w:val="restart"/>
          </w:tcPr>
          <w:p>
            <w:pPr>
              <w:jc w:val="center"/>
              <w:spacing w:after="0" w:line="139"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5"/>
                <w:szCs w:val="5"/>
                <w:color w:val="auto"/>
              </w:rPr>
            </w:pPr>
          </w:p>
        </w:tc>
        <w:tc>
          <w:tcPr>
            <w:tcW w:w="1000" w:type="dxa"/>
            <w:vAlign w:val="bottom"/>
            <w:gridSpan w:val="3"/>
            <w:vMerge w:val="restart"/>
          </w:tcPr>
          <w:p>
            <w:pPr>
              <w:jc w:val="center"/>
              <w:ind w:right="20"/>
              <w:spacing w:after="0" w:line="13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52"/>
        </w:trPr>
        <w:tc>
          <w:tcPr>
            <w:tcW w:w="2060" w:type="dxa"/>
            <w:vAlign w:val="bottom"/>
          </w:tcPr>
          <w:p>
            <w:pPr>
              <w:spacing w:after="0"/>
              <w:rPr>
                <w:sz w:val="4"/>
                <w:szCs w:val="4"/>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4"/>
                <w:szCs w:val="4"/>
                <w:color w:val="auto"/>
              </w:rPr>
            </w:pP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25"/>
        </w:trPr>
        <w:tc>
          <w:tcPr>
            <w:tcW w:w="20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w:t>
            </w:r>
          </w:p>
        </w:tc>
        <w:tc>
          <w:tcPr>
            <w:tcW w:w="6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2021</w:t>
            </w:r>
          </w:p>
        </w:tc>
        <w:tc>
          <w:tcPr>
            <w:tcW w:w="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74"/>
              </w:rPr>
              <w:t>—</w:t>
            </w:r>
          </w:p>
        </w:tc>
        <w:tc>
          <w:tcPr>
            <w:tcW w:w="18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w w:val="87"/>
              </w:rPr>
              <w:t>—</w:t>
            </w: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27,260,624</w:t>
            </w:r>
          </w:p>
        </w:tc>
        <w:tc>
          <w:tcPr>
            <w:tcW w:w="4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75,459</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(187,485)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(112,023)</w:t>
            </w:r>
          </w:p>
        </w:tc>
        <w:tc>
          <w:tcPr>
            <w:tcW w:w="0" w:type="dxa"/>
            <w:vAlign w:val="bottom"/>
          </w:tcPr>
          <w:p>
            <w:pPr>
              <w:spacing w:after="0"/>
              <w:rPr>
                <w:sz w:val="1"/>
                <w:szCs w:val="1"/>
                <w:color w:val="auto"/>
              </w:rPr>
            </w:pPr>
          </w:p>
        </w:tc>
      </w:tr>
      <w:tr>
        <w:trPr>
          <w:trHeight w:val="193"/>
        </w:trPr>
        <w:tc>
          <w:tcPr>
            <w:tcW w:w="2060" w:type="dxa"/>
            <w:vAlign w:val="bottom"/>
          </w:tcPr>
          <w:p>
            <w:pPr>
              <w:ind w:left="180"/>
              <w:spacing w:after="0"/>
              <w:rPr>
                <w:sz w:val="20"/>
                <w:szCs w:val="20"/>
                <w:color w:val="auto"/>
              </w:rPr>
            </w:pPr>
            <w:r>
              <w:rPr>
                <w:rFonts w:ascii="Arial" w:cs="Arial" w:eastAsia="Arial" w:hAnsi="Arial"/>
                <w:sz w:val="16"/>
                <w:szCs w:val="16"/>
                <w:color w:val="auto"/>
                <w:w w:val="97"/>
              </w:rPr>
              <w:t>Issuance of common stock</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60" w:type="dxa"/>
            <w:vAlign w:val="bottom"/>
          </w:tcPr>
          <w:p>
            <w:pPr>
              <w:ind w:left="360"/>
              <w:spacing w:after="0"/>
              <w:rPr>
                <w:sz w:val="20"/>
                <w:szCs w:val="20"/>
                <w:color w:val="auto"/>
              </w:rPr>
            </w:pPr>
            <w:r>
              <w:rPr>
                <w:rFonts w:ascii="Arial" w:cs="Arial" w:eastAsia="Arial" w:hAnsi="Arial"/>
                <w:sz w:val="16"/>
                <w:szCs w:val="16"/>
                <w:color w:val="auto"/>
              </w:rPr>
              <w:t>upon exercise of stock</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60" w:type="dxa"/>
            <w:vAlign w:val="bottom"/>
          </w:tcPr>
          <w:p>
            <w:pPr>
              <w:ind w:left="360"/>
              <w:spacing w:after="0"/>
              <w:rPr>
                <w:sz w:val="20"/>
                <w:szCs w:val="20"/>
                <w:color w:val="auto"/>
              </w:rPr>
            </w:pPr>
            <w:r>
              <w:rPr>
                <w:rFonts w:ascii="Arial" w:cs="Arial" w:eastAsia="Arial" w:hAnsi="Arial"/>
                <w:sz w:val="16"/>
                <w:szCs w:val="16"/>
                <w:color w:val="auto"/>
              </w:rPr>
              <w:t>options</w:t>
            </w:r>
          </w:p>
        </w:tc>
        <w:tc>
          <w:tcPr>
            <w:tcW w:w="660" w:type="dxa"/>
            <w:vAlign w:val="bottom"/>
          </w:tcPr>
          <w:p>
            <w:pPr>
              <w:ind w:left="50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440"/>
              <w:spacing w:after="0"/>
              <w:rPr>
                <w:sz w:val="20"/>
                <w:szCs w:val="20"/>
                <w:color w:val="auto"/>
              </w:rPr>
            </w:pPr>
            <w:r>
              <w:rPr>
                <w:rFonts w:ascii="Arial" w:cs="Arial" w:eastAsia="Arial" w:hAnsi="Arial"/>
                <w:sz w:val="16"/>
                <w:szCs w:val="16"/>
                <w:color w:val="auto"/>
                <w:w w:val="87"/>
              </w:rPr>
              <w:t>—</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93,529</w:t>
            </w:r>
          </w:p>
        </w:tc>
        <w:tc>
          <w:tcPr>
            <w:tcW w:w="4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46"/>
        </w:trPr>
        <w:tc>
          <w:tcPr>
            <w:tcW w:w="2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5"/>
              </w:rPr>
              <w:t>Stock-based compensation</w:t>
            </w:r>
          </w:p>
        </w:tc>
        <w:tc>
          <w:tcPr>
            <w:tcW w:w="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74"/>
              </w:rPr>
              <w:t>—</w:t>
            </w: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430</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193"/>
        </w:trPr>
        <w:tc>
          <w:tcPr>
            <w:tcW w:w="2060" w:type="dxa"/>
            <w:vAlign w:val="bottom"/>
          </w:tcPr>
          <w:p>
            <w:pPr>
              <w:ind w:left="180"/>
              <w:spacing w:after="0"/>
              <w:rPr>
                <w:sz w:val="20"/>
                <w:szCs w:val="20"/>
                <w:color w:val="auto"/>
              </w:rPr>
            </w:pPr>
            <w:r>
              <w:rPr>
                <w:rFonts w:ascii="Arial" w:cs="Arial" w:eastAsia="Arial" w:hAnsi="Arial"/>
                <w:sz w:val="16"/>
                <w:szCs w:val="16"/>
                <w:color w:val="auto"/>
                <w:w w:val="99"/>
              </w:rPr>
              <w:t>Fair value of newly issued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60" w:type="dxa"/>
            <w:vAlign w:val="bottom"/>
          </w:tcPr>
          <w:p>
            <w:pPr>
              <w:ind w:left="360"/>
              <w:spacing w:after="0"/>
              <w:rPr>
                <w:sz w:val="20"/>
                <w:szCs w:val="20"/>
                <w:color w:val="auto"/>
              </w:rPr>
            </w:pPr>
            <w:r>
              <w:rPr>
                <w:rFonts w:ascii="Arial" w:cs="Arial" w:eastAsia="Arial" w:hAnsi="Arial"/>
                <w:sz w:val="16"/>
                <w:szCs w:val="16"/>
                <w:color w:val="auto"/>
                <w:w w:val="98"/>
              </w:rPr>
              <w:t>common stock warrants</w:t>
            </w:r>
          </w:p>
        </w:tc>
        <w:tc>
          <w:tcPr>
            <w:tcW w:w="660" w:type="dxa"/>
            <w:vAlign w:val="bottom"/>
          </w:tcPr>
          <w:p>
            <w:pPr>
              <w:ind w:left="50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44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348</w:t>
            </w: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47"/>
        </w:trPr>
        <w:tc>
          <w:tcPr>
            <w:tcW w:w="2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74"/>
              </w:rPr>
              <w:t>—</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8,954</w:t>
            </w:r>
          </w:p>
        </w:tc>
        <w:tc>
          <w:tcPr>
            <w:tcW w:w="0" w:type="dxa"/>
            <w:vAlign w:val="bottom"/>
          </w:tcPr>
          <w:p>
            <w:pPr>
              <w:spacing w:after="0"/>
              <w:rPr>
                <w:sz w:val="1"/>
                <w:szCs w:val="1"/>
                <w:color w:val="auto"/>
              </w:rPr>
            </w:pPr>
          </w:p>
        </w:tc>
      </w:tr>
      <w:tr>
        <w:trPr>
          <w:trHeight w:val="20"/>
        </w:trPr>
        <w:tc>
          <w:tcPr>
            <w:tcW w:w="20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16"/>
                <w:szCs w:val="16"/>
                <w:color w:val="auto"/>
              </w:rPr>
              <w:t>Balance at March 31, 2022</w:t>
            </w:r>
          </w:p>
        </w:tc>
        <w:tc>
          <w:tcPr>
            <w:tcW w:w="660" w:type="dxa"/>
            <w:vAlign w:val="bottom"/>
          </w:tcPr>
          <w:p>
            <w:pPr>
              <w:ind w:left="50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ind w:left="44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27,354,153</w:t>
            </w:r>
          </w:p>
        </w:tc>
        <w:tc>
          <w:tcPr>
            <w:tcW w:w="100" w:type="dxa"/>
            <w:vAlign w:val="bottom"/>
          </w:tcPr>
          <w:p>
            <w:pPr>
              <w:spacing w:after="0"/>
              <w:rPr>
                <w:sz w:val="21"/>
                <w:szCs w:val="21"/>
                <w:color w:val="auto"/>
              </w:rPr>
            </w:pP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76,283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(178,531)</w:t>
            </w:r>
          </w:p>
        </w:tc>
        <w:tc>
          <w:tcPr>
            <w:tcW w:w="28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(102,245)</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6" w:name="page127"/>
    <w:bookmarkEnd w:id="12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200" w:type="dxa"/>
            <w:vAlign w:val="bottom"/>
            <w:gridSpan w:val="5"/>
          </w:tcPr>
          <w:p>
            <w:pPr>
              <w:jc w:val="center"/>
              <w:ind w:left="301"/>
              <w:spacing w:after="0"/>
              <w:rPr>
                <w:sz w:val="20"/>
                <w:szCs w:val="20"/>
                <w:color w:val="auto"/>
              </w:rPr>
            </w:pPr>
            <w:r>
              <w:rPr>
                <w:rFonts w:ascii="Arial" w:cs="Arial" w:eastAsia="Arial" w:hAnsi="Arial"/>
                <w:sz w:val="14"/>
                <w:szCs w:val="14"/>
                <w:b w:val="1"/>
                <w:bCs w:val="1"/>
                <w:color w:val="auto"/>
                <w:w w:val="96"/>
              </w:rPr>
              <w:t>Convertible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vMerge w:val="restart"/>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4"/>
        </w:trPr>
        <w:tc>
          <w:tcPr>
            <w:tcW w:w="2220" w:type="dxa"/>
            <w:vAlign w:val="bottom"/>
          </w:tcPr>
          <w:p>
            <w:pPr>
              <w:spacing w:after="0"/>
              <w:rPr>
                <w:sz w:val="12"/>
                <w:szCs w:val="12"/>
                <w:color w:val="auto"/>
              </w:rPr>
            </w:pPr>
          </w:p>
        </w:tc>
        <w:tc>
          <w:tcPr>
            <w:tcW w:w="1600" w:type="dxa"/>
            <w:vAlign w:val="bottom"/>
            <w:gridSpan w:val="7"/>
          </w:tcPr>
          <w:p>
            <w:pPr>
              <w:jc w:val="center"/>
              <w:ind w:right="20"/>
              <w:spacing w:after="0" w:line="145" w:lineRule="exact"/>
              <w:rPr>
                <w:sz w:val="20"/>
                <w:szCs w:val="20"/>
                <w:color w:val="auto"/>
              </w:rPr>
            </w:pPr>
            <w:r>
              <w:rPr>
                <w:rFonts w:ascii="Arial" w:cs="Arial" w:eastAsia="Arial" w:hAnsi="Arial"/>
                <w:sz w:val="14"/>
                <w:szCs w:val="14"/>
                <w:b w:val="1"/>
                <w:bCs w:val="1"/>
                <w:color w:val="auto"/>
                <w:w w:val="93"/>
              </w:rPr>
              <w:t>Preferred Stock</w:t>
            </w:r>
          </w:p>
        </w:tc>
        <w:tc>
          <w:tcPr>
            <w:tcW w:w="80" w:type="dxa"/>
            <w:vAlign w:val="bottom"/>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2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jc w:val="right"/>
              <w:ind w:right="40"/>
              <w:spacing w:after="0" w:line="139"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vMerge w:val="restart"/>
          </w:tcPr>
          <w:p>
            <w:pPr>
              <w:spacing w:after="0"/>
              <w:rPr>
                <w:sz w:val="5"/>
                <w:szCs w:val="5"/>
                <w:color w:val="auto"/>
              </w:rPr>
            </w:pPr>
          </w:p>
        </w:tc>
        <w:tc>
          <w:tcPr>
            <w:tcW w:w="880" w:type="dxa"/>
            <w:vAlign w:val="bottom"/>
            <w:gridSpan w:val="3"/>
            <w:vMerge w:val="restart"/>
          </w:tcPr>
          <w:p>
            <w:pPr>
              <w:jc w:val="center"/>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vMerge w:val="restart"/>
          </w:tcPr>
          <w:p>
            <w:pPr>
              <w:spacing w:after="0"/>
              <w:rPr>
                <w:sz w:val="5"/>
                <w:szCs w:val="5"/>
                <w:color w:val="auto"/>
              </w:rPr>
            </w:pPr>
          </w:p>
        </w:tc>
        <w:tc>
          <w:tcPr>
            <w:tcW w:w="920" w:type="dxa"/>
            <w:vAlign w:val="bottom"/>
            <w:gridSpan w:val="3"/>
            <w:vMerge w:val="restart"/>
          </w:tcPr>
          <w:p>
            <w:pPr>
              <w:jc w:val="center"/>
              <w:ind w:right="20"/>
              <w:spacing w:after="0" w:line="13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52"/>
        </w:trPr>
        <w:tc>
          <w:tcPr>
            <w:tcW w:w="2220" w:type="dxa"/>
            <w:vAlign w:val="bottom"/>
          </w:tcPr>
          <w:p>
            <w:pPr>
              <w:spacing w:after="0"/>
              <w:rPr>
                <w:sz w:val="4"/>
                <w:szCs w:val="4"/>
                <w:color w:val="auto"/>
              </w:rPr>
            </w:pPr>
          </w:p>
        </w:tc>
        <w:tc>
          <w:tcPr>
            <w:tcW w:w="9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4"/>
                <w:szCs w:val="4"/>
                <w:color w:val="auto"/>
              </w:rPr>
            </w:pPr>
          </w:p>
        </w:tc>
        <w:tc>
          <w:tcPr>
            <w:tcW w:w="62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4"/>
                <w:szCs w:val="4"/>
                <w:color w:val="auto"/>
              </w:rPr>
            </w:pPr>
          </w:p>
        </w:tc>
        <w:tc>
          <w:tcPr>
            <w:tcW w:w="78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4"/>
                <w:szCs w:val="4"/>
                <w:color w:val="auto"/>
              </w:rPr>
            </w:pPr>
          </w:p>
        </w:tc>
        <w:tc>
          <w:tcPr>
            <w:tcW w:w="60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22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4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26"/>
        </w:trPr>
        <w:tc>
          <w:tcPr>
            <w:tcW w:w="2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June 30, 2022</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28,343,420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6,196,257</w:t>
            </w:r>
          </w:p>
        </w:tc>
        <w:tc>
          <w:tcPr>
            <w:tcW w:w="2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78,290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(200,783)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(122,459)</w:t>
            </w:r>
          </w:p>
        </w:tc>
        <w:tc>
          <w:tcPr>
            <w:tcW w:w="0" w:type="dxa"/>
            <w:vAlign w:val="bottom"/>
          </w:tcPr>
          <w:p>
            <w:pPr>
              <w:spacing w:after="0"/>
              <w:rPr>
                <w:sz w:val="1"/>
                <w:szCs w:val="1"/>
                <w:color w:val="auto"/>
              </w:rPr>
            </w:pPr>
          </w:p>
        </w:tc>
      </w:tr>
      <w:tr>
        <w:trPr>
          <w:trHeight w:val="193"/>
        </w:trPr>
        <w:tc>
          <w:tcPr>
            <w:tcW w:w="2220" w:type="dxa"/>
            <w:vAlign w:val="bottom"/>
          </w:tcPr>
          <w:p>
            <w:pPr>
              <w:spacing w:after="0"/>
              <w:rPr>
                <w:sz w:val="20"/>
                <w:szCs w:val="20"/>
                <w:color w:val="auto"/>
              </w:rPr>
            </w:pPr>
            <w:r>
              <w:rPr>
                <w:rFonts w:ascii="Arial" w:cs="Arial" w:eastAsia="Arial" w:hAnsi="Arial"/>
                <w:sz w:val="16"/>
                <w:szCs w:val="16"/>
                <w:color w:val="auto"/>
              </w:rPr>
              <w:t>Retrospective application of</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20" w:type="dxa"/>
            <w:vAlign w:val="bottom"/>
          </w:tcPr>
          <w:p>
            <w:pPr>
              <w:ind w:left="180"/>
              <w:spacing w:after="0"/>
              <w:rPr>
                <w:sz w:val="20"/>
                <w:szCs w:val="20"/>
                <w:color w:val="auto"/>
              </w:rPr>
            </w:pPr>
            <w:r>
              <w:rPr>
                <w:rFonts w:ascii="Arial" w:cs="Arial" w:eastAsia="Arial" w:hAnsi="Arial"/>
                <w:sz w:val="16"/>
                <w:szCs w:val="16"/>
                <w:color w:val="auto"/>
              </w:rPr>
              <w:t>recapitalization (Note 1)</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(28,343,420)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(28)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21,778,182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9"/>
              </w:rPr>
              <w:t>Adjusted balance, beginning of</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22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period</w:t>
            </w:r>
          </w:p>
        </w:tc>
        <w:tc>
          <w:tcPr>
            <w:tcW w:w="9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27,974,439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78,321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(200,783)</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(122,459)</w:t>
            </w:r>
          </w:p>
        </w:tc>
        <w:tc>
          <w:tcPr>
            <w:tcW w:w="0" w:type="dxa"/>
            <w:vAlign w:val="bottom"/>
          </w:tcPr>
          <w:p>
            <w:pPr>
              <w:spacing w:after="0"/>
              <w:rPr>
                <w:sz w:val="1"/>
                <w:szCs w:val="1"/>
                <w:color w:val="auto"/>
              </w:rPr>
            </w:pPr>
          </w:p>
        </w:tc>
      </w:tr>
      <w:tr>
        <w:trPr>
          <w:trHeight w:val="193"/>
        </w:trPr>
        <w:tc>
          <w:tcPr>
            <w:tcW w:w="2220" w:type="dxa"/>
            <w:vAlign w:val="bottom"/>
          </w:tcPr>
          <w:p>
            <w:pPr>
              <w:ind w:left="180"/>
              <w:spacing w:after="0"/>
              <w:rPr>
                <w:sz w:val="20"/>
                <w:szCs w:val="20"/>
                <w:color w:val="auto"/>
              </w:rPr>
            </w:pPr>
            <w:r>
              <w:rPr>
                <w:rFonts w:ascii="Arial" w:cs="Arial" w:eastAsia="Arial" w:hAnsi="Arial"/>
                <w:sz w:val="16"/>
                <w:szCs w:val="16"/>
                <w:color w:val="auto"/>
              </w:rPr>
              <w:t>Issuance of common stock</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360"/>
              <w:spacing w:after="0"/>
              <w:rPr>
                <w:sz w:val="20"/>
                <w:szCs w:val="20"/>
                <w:color w:val="auto"/>
              </w:rPr>
            </w:pPr>
            <w:r>
              <w:rPr>
                <w:rFonts w:ascii="Arial" w:cs="Arial" w:eastAsia="Arial" w:hAnsi="Arial"/>
                <w:sz w:val="16"/>
                <w:szCs w:val="16"/>
                <w:color w:val="auto"/>
              </w:rPr>
              <w:t>upon exercise of stock</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20" w:type="dxa"/>
            <w:vAlign w:val="bottom"/>
          </w:tcPr>
          <w:p>
            <w:pPr>
              <w:ind w:left="360"/>
              <w:spacing w:after="0"/>
              <w:rPr>
                <w:sz w:val="20"/>
                <w:szCs w:val="20"/>
                <w:color w:val="auto"/>
              </w:rPr>
            </w:pPr>
            <w:r>
              <w:rPr>
                <w:rFonts w:ascii="Arial" w:cs="Arial" w:eastAsia="Arial" w:hAnsi="Arial"/>
                <w:sz w:val="16"/>
                <w:szCs w:val="16"/>
                <w:color w:val="auto"/>
              </w:rPr>
              <w:t>options</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517,515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46"/>
        </w:trPr>
        <w:tc>
          <w:tcPr>
            <w:tcW w:w="2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7"/>
              </w:rPr>
              <w:t>Fair value of issued warrants</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22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on common stock</w:t>
            </w:r>
          </w:p>
        </w:tc>
        <w:tc>
          <w:tcPr>
            <w:tcW w:w="9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1,352</w:t>
            </w:r>
          </w:p>
        </w:tc>
        <w:tc>
          <w:tcPr>
            <w:tcW w:w="0" w:type="dxa"/>
            <w:vAlign w:val="bottom"/>
          </w:tcPr>
          <w:p>
            <w:pPr>
              <w:spacing w:after="0"/>
              <w:rPr>
                <w:sz w:val="1"/>
                <w:szCs w:val="1"/>
                <w:color w:val="auto"/>
              </w:rPr>
            </w:pPr>
          </w:p>
        </w:tc>
      </w:tr>
      <w:tr>
        <w:trPr>
          <w:trHeight w:val="193"/>
        </w:trPr>
        <w:tc>
          <w:tcPr>
            <w:tcW w:w="2220" w:type="dxa"/>
            <w:vAlign w:val="bottom"/>
          </w:tcPr>
          <w:p>
            <w:pPr>
              <w:ind w:left="180"/>
              <w:spacing w:after="0"/>
              <w:rPr>
                <w:sz w:val="20"/>
                <w:szCs w:val="20"/>
                <w:color w:val="auto"/>
              </w:rPr>
            </w:pPr>
            <w:r>
              <w:rPr>
                <w:rFonts w:ascii="Arial" w:cs="Arial" w:eastAsia="Arial" w:hAnsi="Arial"/>
                <w:sz w:val="16"/>
                <w:szCs w:val="16"/>
                <w:color w:val="auto"/>
              </w:rPr>
              <w:t>Issuance of common stock</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360"/>
              <w:spacing w:after="0"/>
              <w:rPr>
                <w:sz w:val="20"/>
                <w:szCs w:val="20"/>
                <w:color w:val="auto"/>
              </w:rPr>
            </w:pPr>
            <w:r>
              <w:rPr>
                <w:rFonts w:ascii="Arial" w:cs="Arial" w:eastAsia="Arial" w:hAnsi="Arial"/>
                <w:sz w:val="16"/>
                <w:szCs w:val="16"/>
                <w:color w:val="auto"/>
              </w:rPr>
              <w:t>upon net exercise of</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20" w:type="dxa"/>
            <w:vAlign w:val="bottom"/>
          </w:tcPr>
          <w:p>
            <w:pPr>
              <w:ind w:left="360"/>
              <w:spacing w:after="0"/>
              <w:rPr>
                <w:sz w:val="20"/>
                <w:szCs w:val="20"/>
                <w:color w:val="auto"/>
              </w:rPr>
            </w:pPr>
            <w:r>
              <w:rPr>
                <w:rFonts w:ascii="Arial" w:cs="Arial" w:eastAsia="Arial" w:hAnsi="Arial"/>
                <w:sz w:val="16"/>
                <w:szCs w:val="16"/>
                <w:color w:val="auto"/>
              </w:rPr>
              <w:t>warrants</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136,681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2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common stock</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22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(Note 9)</w:t>
            </w:r>
          </w:p>
        </w:tc>
        <w:tc>
          <w:tcPr>
            <w:tcW w:w="9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143,333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193"/>
        </w:trPr>
        <w:tc>
          <w:tcPr>
            <w:tcW w:w="2220" w:type="dxa"/>
            <w:vAlign w:val="bottom"/>
          </w:tcPr>
          <w:p>
            <w:pPr>
              <w:ind w:left="180"/>
              <w:spacing w:after="0"/>
              <w:rPr>
                <w:sz w:val="20"/>
                <w:szCs w:val="20"/>
                <w:color w:val="auto"/>
              </w:rPr>
            </w:pPr>
            <w:r>
              <w:rPr>
                <w:rFonts w:ascii="Arial" w:cs="Arial" w:eastAsia="Arial" w:hAnsi="Arial"/>
                <w:sz w:val="16"/>
                <w:szCs w:val="16"/>
                <w:color w:val="auto"/>
              </w:rPr>
              <w:t>Issuance of common stock</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360"/>
              <w:spacing w:after="0"/>
              <w:rPr>
                <w:sz w:val="20"/>
                <w:szCs w:val="20"/>
                <w:color w:val="auto"/>
              </w:rPr>
            </w:pPr>
            <w:r>
              <w:rPr>
                <w:rFonts w:ascii="Arial" w:cs="Arial" w:eastAsia="Arial" w:hAnsi="Arial"/>
                <w:sz w:val="16"/>
                <w:szCs w:val="16"/>
                <w:color w:val="auto"/>
              </w:rPr>
              <w:t>upon vesting of restricted</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20" w:type="dxa"/>
            <w:vAlign w:val="bottom"/>
          </w:tcPr>
          <w:p>
            <w:pPr>
              <w:ind w:left="360"/>
              <w:spacing w:after="0"/>
              <w:rPr>
                <w:sz w:val="20"/>
                <w:szCs w:val="20"/>
                <w:color w:val="auto"/>
              </w:rPr>
            </w:pPr>
            <w:r>
              <w:rPr>
                <w:rFonts w:ascii="Arial" w:cs="Arial" w:eastAsia="Arial" w:hAnsi="Arial"/>
                <w:sz w:val="16"/>
                <w:szCs w:val="16"/>
                <w:color w:val="auto"/>
              </w:rPr>
              <w:t>stock units (Note 11)</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798,239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2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shares and</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2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transfer of warrants upon</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termination of convertible</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note agreement</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22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(Note 9)</w:t>
            </w:r>
          </w:p>
        </w:tc>
        <w:tc>
          <w:tcPr>
            <w:tcW w:w="9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323,968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2,412</w:t>
            </w:r>
          </w:p>
        </w:tc>
        <w:tc>
          <w:tcPr>
            <w:tcW w:w="0" w:type="dxa"/>
            <w:vAlign w:val="bottom"/>
          </w:tcPr>
          <w:p>
            <w:pPr>
              <w:spacing w:after="0"/>
              <w:rPr>
                <w:sz w:val="1"/>
                <w:szCs w:val="1"/>
                <w:color w:val="auto"/>
              </w:rPr>
            </w:pPr>
          </w:p>
        </w:tc>
      </w:tr>
      <w:tr>
        <w:trPr>
          <w:trHeight w:val="193"/>
        </w:trPr>
        <w:tc>
          <w:tcPr>
            <w:tcW w:w="2220" w:type="dxa"/>
            <w:vAlign w:val="bottom"/>
          </w:tcPr>
          <w:p>
            <w:pPr>
              <w:ind w:left="180"/>
              <w:spacing w:after="0"/>
              <w:rPr>
                <w:sz w:val="20"/>
                <w:szCs w:val="20"/>
                <w:color w:val="auto"/>
              </w:rPr>
            </w:pPr>
            <w:r>
              <w:rPr>
                <w:rFonts w:ascii="Arial" w:cs="Arial" w:eastAsia="Arial" w:hAnsi="Arial"/>
                <w:sz w:val="16"/>
                <w:szCs w:val="16"/>
                <w:color w:val="auto"/>
              </w:rPr>
              <w:t>Conversion of convertible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360"/>
              <w:spacing w:after="0"/>
              <w:rPr>
                <w:sz w:val="20"/>
                <w:szCs w:val="20"/>
                <w:color w:val="auto"/>
              </w:rPr>
            </w:pPr>
            <w:r>
              <w:rPr>
                <w:rFonts w:ascii="Arial" w:cs="Arial" w:eastAsia="Arial" w:hAnsi="Arial"/>
                <w:sz w:val="16"/>
                <w:szCs w:val="16"/>
                <w:color w:val="auto"/>
              </w:rPr>
              <w:t>notes into common stock</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20" w:type="dxa"/>
            <w:vAlign w:val="bottom"/>
          </w:tcPr>
          <w:p>
            <w:pPr>
              <w:ind w:left="360"/>
              <w:spacing w:after="0"/>
              <w:rPr>
                <w:sz w:val="20"/>
                <w:szCs w:val="20"/>
                <w:color w:val="auto"/>
              </w:rPr>
            </w:pPr>
            <w:r>
              <w:rPr>
                <w:rFonts w:ascii="Arial" w:cs="Arial" w:eastAsia="Arial" w:hAnsi="Arial"/>
                <w:sz w:val="16"/>
                <w:szCs w:val="16"/>
                <w:color w:val="auto"/>
              </w:rPr>
              <w:t>(Note 7)</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8,147,938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41,391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41,392</w:t>
            </w:r>
          </w:p>
        </w:tc>
        <w:tc>
          <w:tcPr>
            <w:tcW w:w="0" w:type="dxa"/>
            <w:vAlign w:val="bottom"/>
          </w:tcPr>
          <w:p>
            <w:pPr>
              <w:spacing w:after="0"/>
              <w:rPr>
                <w:sz w:val="1"/>
                <w:szCs w:val="1"/>
                <w:color w:val="auto"/>
              </w:rPr>
            </w:pPr>
          </w:p>
        </w:tc>
      </w:tr>
      <w:tr>
        <w:trPr>
          <w:trHeight w:val="47"/>
        </w:trPr>
        <w:tc>
          <w:tcPr>
            <w:tcW w:w="2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Warrants issued with Credit</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22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Agreement (Note 7)</w:t>
            </w:r>
          </w:p>
        </w:tc>
        <w:tc>
          <w:tcPr>
            <w:tcW w:w="9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2,076</w:t>
            </w:r>
          </w:p>
        </w:tc>
        <w:tc>
          <w:tcPr>
            <w:tcW w:w="0" w:type="dxa"/>
            <w:vAlign w:val="bottom"/>
          </w:tcPr>
          <w:p>
            <w:pPr>
              <w:spacing w:after="0"/>
              <w:rPr>
                <w:sz w:val="1"/>
                <w:szCs w:val="1"/>
                <w:color w:val="auto"/>
              </w:rPr>
            </w:pPr>
          </w:p>
        </w:tc>
      </w:tr>
      <w:tr>
        <w:trPr>
          <w:trHeight w:val="193"/>
        </w:trPr>
        <w:tc>
          <w:tcPr>
            <w:tcW w:w="2220" w:type="dxa"/>
            <w:vAlign w:val="bottom"/>
          </w:tcPr>
          <w:p>
            <w:pPr>
              <w:ind w:left="180"/>
              <w:spacing w:after="0"/>
              <w:rPr>
                <w:sz w:val="20"/>
                <w:szCs w:val="20"/>
                <w:color w:val="auto"/>
              </w:rPr>
            </w:pPr>
            <w:r>
              <w:rPr>
                <w:rFonts w:ascii="Arial" w:cs="Arial" w:eastAsia="Arial" w:hAnsi="Arial"/>
                <w:sz w:val="16"/>
                <w:szCs w:val="16"/>
                <w:color w:val="auto"/>
              </w:rPr>
              <w:t>Reclassification of liability</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360"/>
              <w:spacing w:after="0"/>
              <w:rPr>
                <w:sz w:val="20"/>
                <w:szCs w:val="20"/>
                <w:color w:val="auto"/>
              </w:rPr>
            </w:pPr>
            <w:r>
              <w:rPr>
                <w:rFonts w:ascii="Arial" w:cs="Arial" w:eastAsia="Arial" w:hAnsi="Arial"/>
                <w:sz w:val="16"/>
                <w:szCs w:val="16"/>
                <w:color w:val="auto"/>
              </w:rPr>
              <w:t>classified warrants to</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20" w:type="dxa"/>
            <w:vAlign w:val="bottom"/>
          </w:tcPr>
          <w:p>
            <w:pPr>
              <w:ind w:left="360"/>
              <w:spacing w:after="0"/>
              <w:rPr>
                <w:sz w:val="20"/>
                <w:szCs w:val="20"/>
                <w:color w:val="auto"/>
              </w:rPr>
            </w:pPr>
            <w:r>
              <w:rPr>
                <w:rFonts w:ascii="Arial" w:cs="Arial" w:eastAsia="Arial" w:hAnsi="Arial"/>
                <w:sz w:val="16"/>
                <w:szCs w:val="16"/>
                <w:color w:val="auto"/>
              </w:rPr>
              <w:t>equity (Note 10)</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46"/>
        </w:trPr>
        <w:tc>
          <w:tcPr>
            <w:tcW w:w="2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Contribution by shareholder</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 conjunction with Credit</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22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Agreement (Note 7)</w:t>
            </w:r>
          </w:p>
        </w:tc>
        <w:tc>
          <w:tcPr>
            <w:tcW w:w="9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2,779</w:t>
            </w:r>
          </w:p>
        </w:tc>
        <w:tc>
          <w:tcPr>
            <w:tcW w:w="0" w:type="dxa"/>
            <w:vAlign w:val="bottom"/>
          </w:tcPr>
          <w:p>
            <w:pPr>
              <w:spacing w:after="0"/>
              <w:rPr>
                <w:sz w:val="1"/>
                <w:szCs w:val="1"/>
                <w:color w:val="auto"/>
              </w:rPr>
            </w:pPr>
          </w:p>
        </w:tc>
      </w:tr>
      <w:tr>
        <w:trPr>
          <w:trHeight w:val="193"/>
        </w:trPr>
        <w:tc>
          <w:tcPr>
            <w:tcW w:w="2220" w:type="dxa"/>
            <w:vAlign w:val="bottom"/>
          </w:tcPr>
          <w:p>
            <w:pPr>
              <w:ind w:left="180"/>
              <w:spacing w:after="0"/>
              <w:rPr>
                <w:sz w:val="20"/>
                <w:szCs w:val="20"/>
                <w:color w:val="auto"/>
              </w:rPr>
            </w:pPr>
            <w:r>
              <w:rPr>
                <w:rFonts w:ascii="Arial" w:cs="Arial" w:eastAsia="Arial" w:hAnsi="Arial"/>
                <w:sz w:val="16"/>
                <w:szCs w:val="16"/>
                <w:color w:val="auto"/>
              </w:rPr>
              <w:t>Earnout shares stock-based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20" w:type="dxa"/>
            <w:vAlign w:val="bottom"/>
          </w:tcPr>
          <w:p>
            <w:pPr>
              <w:ind w:left="360"/>
              <w:spacing w:after="0"/>
              <w:rPr>
                <w:sz w:val="20"/>
                <w:szCs w:val="20"/>
                <w:color w:val="auto"/>
              </w:rPr>
            </w:pPr>
            <w:r>
              <w:rPr>
                <w:rFonts w:ascii="Arial" w:cs="Arial" w:eastAsia="Arial" w:hAnsi="Arial"/>
                <w:sz w:val="16"/>
                <w:szCs w:val="16"/>
                <w:color w:val="auto"/>
              </w:rPr>
              <w:t>compensation (Note 1)</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3,478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3,478</w:t>
            </w:r>
          </w:p>
        </w:tc>
        <w:tc>
          <w:tcPr>
            <w:tcW w:w="0" w:type="dxa"/>
            <w:vAlign w:val="bottom"/>
          </w:tcPr>
          <w:p>
            <w:pPr>
              <w:spacing w:after="0"/>
              <w:rPr>
                <w:sz w:val="1"/>
                <w:szCs w:val="1"/>
                <w:color w:val="auto"/>
              </w:rPr>
            </w:pPr>
          </w:p>
        </w:tc>
      </w:tr>
      <w:tr>
        <w:trPr>
          <w:trHeight w:val="47"/>
        </w:trPr>
        <w:tc>
          <w:tcPr>
            <w:tcW w:w="2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Merger and PIPE Financing</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22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(Note 1)</w:t>
            </w:r>
          </w:p>
        </w:tc>
        <w:tc>
          <w:tcPr>
            <w:tcW w:w="9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13,879,828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35,737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35,738</w:t>
            </w:r>
          </w:p>
        </w:tc>
        <w:tc>
          <w:tcPr>
            <w:tcW w:w="0" w:type="dxa"/>
            <w:vAlign w:val="bottom"/>
          </w:tcPr>
          <w:p>
            <w:pPr>
              <w:spacing w:after="0"/>
              <w:rPr>
                <w:sz w:val="1"/>
                <w:szCs w:val="1"/>
                <w:color w:val="auto"/>
              </w:rPr>
            </w:pPr>
          </w:p>
        </w:tc>
      </w:tr>
      <w:tr>
        <w:trPr>
          <w:trHeight w:val="193"/>
        </w:trPr>
        <w:tc>
          <w:tcPr>
            <w:tcW w:w="222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20" w:type="dxa"/>
            <w:vAlign w:val="bottom"/>
          </w:tcPr>
          <w:p>
            <w:pPr>
              <w:ind w:left="360"/>
              <w:spacing w:after="0"/>
              <w:rPr>
                <w:sz w:val="20"/>
                <w:szCs w:val="20"/>
                <w:color w:val="auto"/>
              </w:rPr>
            </w:pPr>
            <w:r>
              <w:rPr>
                <w:rFonts w:ascii="Arial" w:cs="Arial" w:eastAsia="Arial" w:hAnsi="Arial"/>
                <w:sz w:val="16"/>
                <w:szCs w:val="16"/>
                <w:color w:val="auto"/>
              </w:rPr>
              <w:t>(Note 11)</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6,710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6,710</w:t>
            </w:r>
          </w:p>
        </w:tc>
        <w:tc>
          <w:tcPr>
            <w:tcW w:w="0" w:type="dxa"/>
            <w:vAlign w:val="bottom"/>
          </w:tcPr>
          <w:p>
            <w:pPr>
              <w:spacing w:after="0"/>
              <w:rPr>
                <w:sz w:val="1"/>
                <w:szCs w:val="1"/>
                <w:color w:val="auto"/>
              </w:rPr>
            </w:pPr>
          </w:p>
        </w:tc>
      </w:tr>
      <w:tr>
        <w:trPr>
          <w:trHeight w:val="47"/>
        </w:trPr>
        <w:tc>
          <w:tcPr>
            <w:tcW w:w="2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2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9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2,080</w:t>
            </w:r>
          </w:p>
        </w:tc>
        <w:tc>
          <w:tcPr>
            <w:tcW w:w="0" w:type="dxa"/>
            <w:vAlign w:val="bottom"/>
          </w:tcPr>
          <w:p>
            <w:pPr>
              <w:spacing w:after="0"/>
              <w:rPr>
                <w:sz w:val="1"/>
                <w:szCs w:val="1"/>
                <w:color w:val="auto"/>
              </w:rPr>
            </w:pPr>
          </w:p>
        </w:tc>
      </w:tr>
      <w:tr>
        <w:trPr>
          <w:trHeight w:val="20"/>
        </w:trPr>
        <w:tc>
          <w:tcPr>
            <w:tcW w:w="222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20" w:type="dxa"/>
            <w:vAlign w:val="bottom"/>
          </w:tcPr>
          <w:p>
            <w:pPr>
              <w:spacing w:after="0"/>
              <w:rPr>
                <w:sz w:val="20"/>
                <w:szCs w:val="20"/>
                <w:color w:val="auto"/>
              </w:rPr>
            </w:pPr>
            <w:r>
              <w:rPr>
                <w:rFonts w:ascii="Arial" w:cs="Arial" w:eastAsia="Arial" w:hAnsi="Arial"/>
                <w:sz w:val="16"/>
                <w:szCs w:val="16"/>
                <w:color w:val="auto"/>
              </w:rPr>
              <w:t>Balance at March 31, 2023</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21"/>
                <w:szCs w:val="21"/>
                <w:color w:val="auto"/>
              </w:rPr>
            </w:pPr>
          </w:p>
        </w:tc>
        <w:tc>
          <w:tcPr>
            <w:tcW w:w="30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51,921,941</w:t>
            </w:r>
          </w:p>
        </w:tc>
        <w:tc>
          <w:tcPr>
            <w:tcW w:w="28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$ 176,466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(198,703)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(22,232)</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2220" w:type="dxa"/>
            <w:vAlign w:val="bottom"/>
          </w:tcPr>
          <w:p>
            <w:pPr>
              <w:spacing w:after="0"/>
              <w:rPr>
                <w:sz w:val="24"/>
                <w:szCs w:val="24"/>
                <w:color w:val="auto"/>
              </w:rPr>
            </w:pPr>
          </w:p>
        </w:tc>
        <w:tc>
          <w:tcPr>
            <w:tcW w:w="1200" w:type="dxa"/>
            <w:vAlign w:val="bottom"/>
            <w:gridSpan w:val="5"/>
          </w:tcPr>
          <w:p>
            <w:pPr>
              <w:jc w:val="center"/>
              <w:ind w:left="301"/>
              <w:spacing w:after="0"/>
              <w:rPr>
                <w:sz w:val="20"/>
                <w:szCs w:val="20"/>
                <w:color w:val="auto"/>
              </w:rPr>
            </w:pPr>
            <w:r>
              <w:rPr>
                <w:rFonts w:ascii="Arial" w:cs="Arial" w:eastAsia="Arial" w:hAnsi="Arial"/>
                <w:sz w:val="14"/>
                <w:szCs w:val="14"/>
                <w:b w:val="1"/>
                <w:bCs w:val="1"/>
                <w:color w:val="auto"/>
                <w:w w:val="96"/>
              </w:rPr>
              <w:t>Convertible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5"/>
            <w:vMerge w:val="restart"/>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24"/>
                <w:szCs w:val="24"/>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4"/>
        </w:trPr>
        <w:tc>
          <w:tcPr>
            <w:tcW w:w="2220" w:type="dxa"/>
            <w:vAlign w:val="bottom"/>
          </w:tcPr>
          <w:p>
            <w:pPr>
              <w:spacing w:after="0"/>
              <w:rPr>
                <w:sz w:val="12"/>
                <w:szCs w:val="12"/>
                <w:color w:val="auto"/>
              </w:rPr>
            </w:pPr>
          </w:p>
        </w:tc>
        <w:tc>
          <w:tcPr>
            <w:tcW w:w="1600" w:type="dxa"/>
            <w:vAlign w:val="bottom"/>
            <w:gridSpan w:val="7"/>
          </w:tcPr>
          <w:p>
            <w:pPr>
              <w:jc w:val="center"/>
              <w:ind w:right="20"/>
              <w:spacing w:after="0" w:line="145" w:lineRule="exact"/>
              <w:rPr>
                <w:sz w:val="20"/>
                <w:szCs w:val="20"/>
                <w:color w:val="auto"/>
              </w:rPr>
            </w:pPr>
            <w:r>
              <w:rPr>
                <w:rFonts w:ascii="Arial" w:cs="Arial" w:eastAsia="Arial" w:hAnsi="Arial"/>
                <w:sz w:val="14"/>
                <w:szCs w:val="14"/>
                <w:b w:val="1"/>
                <w:bCs w:val="1"/>
                <w:color w:val="auto"/>
                <w:w w:val="93"/>
              </w:rPr>
              <w:t>Preferred Stock</w:t>
            </w:r>
          </w:p>
        </w:tc>
        <w:tc>
          <w:tcPr>
            <w:tcW w:w="80" w:type="dxa"/>
            <w:vAlign w:val="bottom"/>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2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jc w:val="right"/>
              <w:ind w:right="40"/>
              <w:spacing w:after="0" w:line="139"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5"/>
                <w:szCs w:val="5"/>
                <w:color w:val="auto"/>
              </w:rPr>
            </w:pPr>
          </w:p>
        </w:tc>
        <w:tc>
          <w:tcPr>
            <w:tcW w:w="880" w:type="dxa"/>
            <w:vAlign w:val="bottom"/>
            <w:gridSpan w:val="3"/>
            <w:vMerge w:val="restart"/>
          </w:tcPr>
          <w:p>
            <w:pPr>
              <w:jc w:val="center"/>
              <w:spacing w:after="0" w:line="139"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5"/>
                <w:szCs w:val="5"/>
                <w:color w:val="auto"/>
              </w:rPr>
            </w:pPr>
          </w:p>
        </w:tc>
        <w:tc>
          <w:tcPr>
            <w:tcW w:w="920" w:type="dxa"/>
            <w:vAlign w:val="bottom"/>
            <w:gridSpan w:val="3"/>
            <w:vMerge w:val="restart"/>
          </w:tcPr>
          <w:p>
            <w:pPr>
              <w:jc w:val="center"/>
              <w:ind w:right="20"/>
              <w:spacing w:after="0" w:line="13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52"/>
        </w:trPr>
        <w:tc>
          <w:tcPr>
            <w:tcW w:w="2220" w:type="dxa"/>
            <w:vAlign w:val="bottom"/>
          </w:tcPr>
          <w:p>
            <w:pPr>
              <w:spacing w:after="0"/>
              <w:rPr>
                <w:sz w:val="4"/>
                <w:szCs w:val="4"/>
                <w:color w:val="auto"/>
              </w:rPr>
            </w:pPr>
          </w:p>
        </w:tc>
        <w:tc>
          <w:tcPr>
            <w:tcW w:w="9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4"/>
                <w:szCs w:val="4"/>
                <w:color w:val="auto"/>
              </w:rPr>
            </w:pPr>
          </w:p>
        </w:tc>
        <w:tc>
          <w:tcPr>
            <w:tcW w:w="62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4"/>
                <w:szCs w:val="4"/>
                <w:color w:val="auto"/>
              </w:rPr>
            </w:pPr>
          </w:p>
        </w:tc>
        <w:tc>
          <w:tcPr>
            <w:tcW w:w="78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4"/>
                <w:szCs w:val="4"/>
                <w:color w:val="auto"/>
              </w:rPr>
            </w:pPr>
          </w:p>
        </w:tc>
        <w:tc>
          <w:tcPr>
            <w:tcW w:w="60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22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4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25"/>
        </w:trPr>
        <w:tc>
          <w:tcPr>
            <w:tcW w:w="2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June 30, 2021</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28,343,420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5,132,354</w:t>
            </w:r>
          </w:p>
        </w:tc>
        <w:tc>
          <w:tcPr>
            <w:tcW w:w="2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74,417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(144,469)</w:t>
            </w:r>
          </w:p>
        </w:tc>
        <w:tc>
          <w:tcPr>
            <w:tcW w:w="2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(70,019)</w:t>
            </w:r>
          </w:p>
        </w:tc>
        <w:tc>
          <w:tcPr>
            <w:tcW w:w="0" w:type="dxa"/>
            <w:vAlign w:val="bottom"/>
          </w:tcPr>
          <w:p>
            <w:pPr>
              <w:spacing w:after="0"/>
              <w:rPr>
                <w:sz w:val="1"/>
                <w:szCs w:val="1"/>
                <w:color w:val="auto"/>
              </w:rPr>
            </w:pPr>
          </w:p>
        </w:tc>
      </w:tr>
      <w:tr>
        <w:trPr>
          <w:trHeight w:val="193"/>
        </w:trPr>
        <w:tc>
          <w:tcPr>
            <w:tcW w:w="2220" w:type="dxa"/>
            <w:vAlign w:val="bottom"/>
          </w:tcPr>
          <w:p>
            <w:pPr>
              <w:ind w:left="180"/>
              <w:spacing w:after="0"/>
              <w:rPr>
                <w:sz w:val="20"/>
                <w:szCs w:val="20"/>
                <w:color w:val="auto"/>
              </w:rPr>
            </w:pPr>
            <w:r>
              <w:rPr>
                <w:rFonts w:ascii="Arial" w:cs="Arial" w:eastAsia="Arial" w:hAnsi="Arial"/>
                <w:sz w:val="16"/>
                <w:szCs w:val="16"/>
                <w:color w:val="auto"/>
              </w:rPr>
              <w:t>Retrospective application of</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20" w:type="dxa"/>
            <w:vAlign w:val="bottom"/>
          </w:tcPr>
          <w:p>
            <w:pPr>
              <w:ind w:left="360"/>
              <w:spacing w:after="0"/>
              <w:rPr>
                <w:sz w:val="20"/>
                <w:szCs w:val="20"/>
                <w:color w:val="auto"/>
              </w:rPr>
            </w:pPr>
            <w:r>
              <w:rPr>
                <w:rFonts w:ascii="Arial" w:cs="Arial" w:eastAsia="Arial" w:hAnsi="Arial"/>
                <w:sz w:val="16"/>
                <w:szCs w:val="16"/>
                <w:color w:val="auto"/>
              </w:rPr>
              <w:t>recapitalization (Note 1)</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w w:val="88"/>
              </w:rPr>
              <w:t>(28,343,420)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(28)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21,980,406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9"/>
              </w:rPr>
              <w:t>Adjusted balance, beginning</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of</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22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period</w:t>
            </w:r>
          </w:p>
        </w:tc>
        <w:tc>
          <w:tcPr>
            <w:tcW w:w="9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27,112,760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74,447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(144,469)</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(70,019)</w:t>
            </w:r>
          </w:p>
        </w:tc>
        <w:tc>
          <w:tcPr>
            <w:tcW w:w="0" w:type="dxa"/>
            <w:vAlign w:val="bottom"/>
          </w:tcPr>
          <w:p>
            <w:pPr>
              <w:spacing w:after="0"/>
              <w:rPr>
                <w:sz w:val="1"/>
                <w:szCs w:val="1"/>
                <w:color w:val="auto"/>
              </w:rPr>
            </w:pPr>
          </w:p>
        </w:tc>
      </w:tr>
      <w:tr>
        <w:trPr>
          <w:trHeight w:val="193"/>
        </w:trPr>
        <w:tc>
          <w:tcPr>
            <w:tcW w:w="2220" w:type="dxa"/>
            <w:vAlign w:val="bottom"/>
          </w:tcPr>
          <w:p>
            <w:pPr>
              <w:ind w:left="180"/>
              <w:spacing w:after="0"/>
              <w:rPr>
                <w:sz w:val="20"/>
                <w:szCs w:val="20"/>
                <w:color w:val="auto"/>
              </w:rPr>
            </w:pPr>
            <w:r>
              <w:rPr>
                <w:rFonts w:ascii="Arial" w:cs="Arial" w:eastAsia="Arial" w:hAnsi="Arial"/>
                <w:sz w:val="16"/>
                <w:szCs w:val="16"/>
                <w:color w:val="auto"/>
              </w:rPr>
              <w:t>Issuance of common stock</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220" w:type="dxa"/>
            <w:vAlign w:val="bottom"/>
          </w:tcPr>
          <w:p>
            <w:pPr>
              <w:ind w:left="360"/>
              <w:spacing w:after="0"/>
              <w:rPr>
                <w:sz w:val="20"/>
                <w:szCs w:val="20"/>
                <w:color w:val="auto"/>
              </w:rPr>
            </w:pPr>
            <w:r>
              <w:rPr>
                <w:rFonts w:ascii="Arial" w:cs="Arial" w:eastAsia="Arial" w:hAnsi="Arial"/>
                <w:sz w:val="16"/>
                <w:szCs w:val="16"/>
                <w:color w:val="auto"/>
              </w:rPr>
              <w:t>upon exercise of stock</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20" w:type="dxa"/>
            <w:vAlign w:val="bottom"/>
          </w:tcPr>
          <w:p>
            <w:pPr>
              <w:ind w:left="360"/>
              <w:spacing w:after="0"/>
              <w:rPr>
                <w:sz w:val="20"/>
                <w:szCs w:val="20"/>
                <w:color w:val="auto"/>
              </w:rPr>
            </w:pPr>
            <w:r>
              <w:rPr>
                <w:rFonts w:ascii="Arial" w:cs="Arial" w:eastAsia="Arial" w:hAnsi="Arial"/>
                <w:sz w:val="16"/>
                <w:szCs w:val="16"/>
                <w:color w:val="auto"/>
              </w:rPr>
              <w:t>options</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241,393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46"/>
        </w:trPr>
        <w:tc>
          <w:tcPr>
            <w:tcW w:w="2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2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9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1,384</w:t>
            </w:r>
          </w:p>
        </w:tc>
        <w:tc>
          <w:tcPr>
            <w:tcW w:w="0" w:type="dxa"/>
            <w:vAlign w:val="bottom"/>
          </w:tcPr>
          <w:p>
            <w:pPr>
              <w:spacing w:after="0"/>
              <w:rPr>
                <w:sz w:val="1"/>
                <w:szCs w:val="1"/>
                <w:color w:val="auto"/>
              </w:rPr>
            </w:pPr>
          </w:p>
        </w:tc>
      </w:tr>
      <w:tr>
        <w:trPr>
          <w:trHeight w:val="193"/>
        </w:trPr>
        <w:tc>
          <w:tcPr>
            <w:tcW w:w="2220" w:type="dxa"/>
            <w:vAlign w:val="bottom"/>
          </w:tcPr>
          <w:p>
            <w:pPr>
              <w:ind w:left="180"/>
              <w:spacing w:after="0"/>
              <w:rPr>
                <w:sz w:val="20"/>
                <w:szCs w:val="20"/>
                <w:color w:val="auto"/>
              </w:rPr>
            </w:pPr>
            <w:r>
              <w:rPr>
                <w:rFonts w:ascii="Arial" w:cs="Arial" w:eastAsia="Arial" w:hAnsi="Arial"/>
                <w:sz w:val="16"/>
                <w:szCs w:val="16"/>
                <w:color w:val="auto"/>
              </w:rPr>
              <w:t>Fair value of newly issued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20" w:type="dxa"/>
            <w:vAlign w:val="bottom"/>
          </w:tcPr>
          <w:p>
            <w:pPr>
              <w:ind w:left="360"/>
              <w:spacing w:after="0"/>
              <w:rPr>
                <w:sz w:val="20"/>
                <w:szCs w:val="20"/>
                <w:color w:val="auto"/>
              </w:rPr>
            </w:pPr>
            <w:r>
              <w:rPr>
                <w:rFonts w:ascii="Arial" w:cs="Arial" w:eastAsia="Arial" w:hAnsi="Arial"/>
                <w:sz w:val="16"/>
                <w:szCs w:val="16"/>
                <w:color w:val="auto"/>
              </w:rPr>
              <w:t>common stock warrants</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46"/>
        </w:trPr>
        <w:tc>
          <w:tcPr>
            <w:tcW w:w="2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2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9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(34,062)</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(34,062)</w:t>
            </w:r>
          </w:p>
        </w:tc>
        <w:tc>
          <w:tcPr>
            <w:tcW w:w="0" w:type="dxa"/>
            <w:vAlign w:val="bottom"/>
          </w:tcPr>
          <w:p>
            <w:pPr>
              <w:spacing w:after="0"/>
              <w:rPr>
                <w:sz w:val="1"/>
                <w:szCs w:val="1"/>
                <w:color w:val="auto"/>
              </w:rPr>
            </w:pPr>
          </w:p>
        </w:tc>
      </w:tr>
      <w:tr>
        <w:trPr>
          <w:trHeight w:val="20"/>
        </w:trPr>
        <w:tc>
          <w:tcPr>
            <w:tcW w:w="2220" w:type="dxa"/>
            <w:vAlign w:val="bottom"/>
            <w:tcBorders>
              <w:right w:val="single" w:sz="8" w:color="auto"/>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20" w:type="dxa"/>
            <w:vAlign w:val="bottom"/>
          </w:tcPr>
          <w:p>
            <w:pPr>
              <w:spacing w:after="0"/>
              <w:rPr>
                <w:sz w:val="20"/>
                <w:szCs w:val="20"/>
                <w:color w:val="auto"/>
              </w:rPr>
            </w:pPr>
            <w:r>
              <w:rPr>
                <w:rFonts w:ascii="Arial" w:cs="Arial" w:eastAsia="Arial" w:hAnsi="Arial"/>
                <w:sz w:val="16"/>
                <w:szCs w:val="16"/>
                <w:color w:val="auto"/>
              </w:rPr>
              <w:t>Balance at March 31, 2022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21"/>
                <w:szCs w:val="21"/>
                <w:color w:val="auto"/>
              </w:rPr>
            </w:pPr>
          </w:p>
        </w:tc>
        <w:tc>
          <w:tcPr>
            <w:tcW w:w="30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27,354,153</w:t>
            </w:r>
          </w:p>
        </w:tc>
        <w:tc>
          <w:tcPr>
            <w:tcW w:w="28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76,283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(178,531)</w:t>
            </w:r>
          </w:p>
        </w:tc>
        <w:tc>
          <w:tcPr>
            <w:tcW w:w="24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(102,245)</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74" w:right="1440" w:bottom="352"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ectPr>
          <w:pgSz w:w="11900" w:h="16838" w:orient="portrait"/>
          <w:cols w:equalWidth="0" w:num="1">
            <w:col w:w="9019"/>
          </w:cols>
          <w:pgMar w:left="1440" w:top="125" w:right="1440"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28" w:name="page129"/>
    <w:bookmarkEnd w:id="12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6"/>
          </w:tcPr>
          <w:p>
            <w:pPr>
              <w:jc w:val="center"/>
              <w:ind w:right="181"/>
              <w:spacing w:after="0"/>
              <w:rPr>
                <w:sz w:val="20"/>
                <w:szCs w:val="20"/>
                <w:color w:val="auto"/>
              </w:rPr>
            </w:pPr>
            <w:r>
              <w:rPr>
                <w:rFonts w:ascii="Arial" w:cs="Arial" w:eastAsia="Arial" w:hAnsi="Arial"/>
                <w:sz w:val="16"/>
                <w:szCs w:val="16"/>
                <w:b w:val="1"/>
                <w:bCs w:val="1"/>
                <w:color w:val="auto"/>
                <w:w w:val="90"/>
              </w:rPr>
              <w:t>Nine months ended</w:t>
            </w: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4"/>
          </w:tcPr>
          <w:p>
            <w:pPr>
              <w:jc w:val="center"/>
              <w:ind w:left="491"/>
              <w:spacing w:after="0"/>
              <w:rPr>
                <w:sz w:val="20"/>
                <w:szCs w:val="20"/>
                <w:color w:val="auto"/>
              </w:rPr>
            </w:pPr>
            <w:r>
              <w:rPr>
                <w:rFonts w:ascii="Arial" w:cs="Arial" w:eastAsia="Arial" w:hAnsi="Arial"/>
                <w:sz w:val="16"/>
                <w:szCs w:val="16"/>
                <w:b w:val="1"/>
                <w:bCs w:val="1"/>
                <w:color w:val="auto"/>
                <w:w w:val="94"/>
              </w:rPr>
              <w:t>March 31,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17"/>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ind w:right="230"/>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2,080</w:t>
            </w:r>
          </w:p>
        </w:tc>
        <w:tc>
          <w:tcPr>
            <w:tcW w:w="140" w:type="dxa"/>
            <w:vAlign w:val="bottom"/>
          </w:tcPr>
          <w:p>
            <w:pPr>
              <w:spacing w:after="0"/>
              <w:rPr>
                <w:sz w:val="21"/>
                <w:szCs w:val="21"/>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rPr>
              <w:t>(34,062)</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Adjustments to reconcile net income (loss) to net cash used in operating</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Depreciation, amortization and impairment</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1,524</w:t>
            </w:r>
          </w:p>
        </w:tc>
        <w:tc>
          <w:tcPr>
            <w:tcW w:w="14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Earnout share stock-based compensation</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3,478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Contra-revenue associated with warrant agreement (Refer to Note 2)</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w w:val="95"/>
              </w:rPr>
              <w:t>Noncash expense attributable to fair value liabilities assumed in Merger</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liability classified warrants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(12,555)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Change in fair value of warrants and convertible promissory notes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(48,271)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10,602</w:t>
            </w:r>
          </w:p>
        </w:tc>
        <w:tc>
          <w:tcPr>
            <w:tcW w:w="14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and debt issuance costs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Loss on extinguishment of debt and financing obligations</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8,095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Paid-in-kind interest expense</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w w:val="98"/>
              </w:rPr>
              <w:t>Share and warrant cost on termination of convertible note agreement</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Forgiveness of PPP Loan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(2,599)</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Change in fair value of unvested founder shares liability</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(1,392)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lease expense</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Loss on disposal off property and equipment</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rPr>
              <w:t>(524)</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(905)</w:t>
            </w: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Deferred costs</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7,769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8,978</w:t>
            </w:r>
          </w:p>
        </w:tc>
        <w:tc>
          <w:tcPr>
            <w:tcW w:w="14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Other long-term assets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rPr>
              <w:t>(80)</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(4,297)</w:t>
            </w: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Vendor financing facility</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rPr>
              <w:t>(6,792)</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(2,137)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(2,551)</w:t>
            </w: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(8,954)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rPr>
              <w:t>(10,917)</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(200)</w:t>
            </w:r>
          </w:p>
        </w:tc>
      </w:tr>
      <w:tr>
        <w:trPr>
          <w:trHeight w:val="237"/>
        </w:trPr>
        <w:tc>
          <w:tcPr>
            <w:tcW w:w="5600" w:type="dxa"/>
            <w:vAlign w:val="bottom"/>
          </w:tcPr>
          <w:p>
            <w:pPr>
              <w:ind w:left="540"/>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(35,719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(38,415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rPr>
              <w:t>(214)</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relating to capitalized software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(3,584)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(1,249)</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Investment in non-affiliate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69"/>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(5,813)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(1,463)</w:t>
            </w:r>
          </w:p>
        </w:tc>
      </w:tr>
      <w:tr>
        <w:trPr>
          <w:trHeight w:val="399"/>
        </w:trPr>
        <w:tc>
          <w:tcPr>
            <w:tcW w:w="5600" w:type="dxa"/>
            <w:vAlign w:val="bottom"/>
            <w:tcBorders>
              <w:top w:val="single" w:sz="8" w:color="CCEEFF"/>
              <w:bottom w:val="single" w:sz="8" w:color="auto"/>
            </w:tcBorders>
          </w:tcPr>
          <w:p>
            <w:pPr>
              <w:ind w:left="3920"/>
              <w:spacing w:after="0"/>
              <w:rPr>
                <w:sz w:val="20"/>
                <w:szCs w:val="20"/>
                <w:color w:val="auto"/>
              </w:rPr>
            </w:pPr>
            <w:r>
              <w:rPr>
                <w:rFonts w:ascii="Arial" w:cs="Arial" w:eastAsia="Arial" w:hAnsi="Arial"/>
                <w:sz w:val="18"/>
                <w:szCs w:val="18"/>
                <w:color w:val="auto"/>
              </w:rPr>
              <w:t>F-6</w:t>
            </w:r>
          </w:p>
        </w:tc>
        <w:tc>
          <w:tcPr>
            <w:tcW w:w="26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29" w:name="page130"/>
    <w:bookmarkEnd w:id="12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ind w:right="230"/>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Proceeds from the exercise of common stock options</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term loans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60,250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Payment of debt issuance costs</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term loans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(32,980)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Payment of penalties and other costs on extinguishment of debt</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(6,144)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Proceeds from issuance of convertible promissory notes and embedded</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warrants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Proceeds from issuance of financing obligations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payments of financing obligations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Contributions from Merger and PIPE financing, net of transaction costs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and other payments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49,840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Payments of deferred transaction costs</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65,493</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23,961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36,909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26,978</w:t>
            </w:r>
          </w:p>
        </w:tc>
        <w:tc>
          <w:tcPr>
            <w:tcW w:w="140" w:type="dxa"/>
            <w:vAlign w:val="bottom"/>
          </w:tcPr>
          <w:p>
            <w:pPr>
              <w:spacing w:after="0"/>
              <w:rPr>
                <w:sz w:val="24"/>
                <w:szCs w:val="24"/>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10,398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60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8"/>
                <w:szCs w:val="18"/>
                <w:b w:val="1"/>
                <w:bCs w:val="1"/>
                <w:color w:val="auto"/>
              </w:rPr>
              <w:t>Supplemental Disclosure of Non-Cash Investing and Financing</w:t>
            </w:r>
          </w:p>
        </w:tc>
        <w:tc>
          <w:tcPr>
            <w:tcW w:w="2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w w:val="92"/>
              </w:rPr>
              <w:t>Capitalization of stock-based compensation expense to capitalized software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916</w:t>
            </w:r>
          </w:p>
        </w:tc>
        <w:tc>
          <w:tcPr>
            <w:tcW w:w="140" w:type="dxa"/>
            <w:vAlign w:val="bottom"/>
          </w:tcPr>
          <w:p>
            <w:pPr>
              <w:spacing w:after="0"/>
              <w:rPr>
                <w:sz w:val="21"/>
                <w:szCs w:val="21"/>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of warrants (Refer to Note 2)</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w w:val="94"/>
              </w:rPr>
              <w:t>Capital contribution from shareholder in conjunction with Credit Agreement</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2,779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of warrants in conjunction with Credit Agreement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Issuance of warrants in conjunction with Lago Term Loan</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 conversion to common stock</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41,392</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Reclassification of warrants from liabilities to equity</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Recognition of liability classified warrants upon Merger</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9,388</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Recognition of Unvested Founder Shares liability</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Forgiveness of PPP Loan</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w w:val="99"/>
              </w:rPr>
              <w:t>Transaction costs recorded in accounts payable and accrued liabilities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5,584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 of use asset in exchange for operating lease liability</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3"/>
              </w:rPr>
              <w:t>Cancellation of June 2021 Note and related accrued interest, with issuance</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of February 2022 Note</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20,663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0" w:name="page131"/>
    <w:bookmarkEnd w:id="13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Summary of Business and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Presto Automation Inc. and its subsidiaries (together, “Presto” or the “Company”) is headquartered in San Carlos, California. Prior to the Merger (as defined below), the Company operated as E la Carte, Inc. (“Legacy Presto”). E la Carte, Inc. was incorporated in the State of Delaware in October 2008. In 2018, E la Carte, Inc. together with its subsidiary adopted “Presto” as its trade name or doing business as (“</w:t>
      </w:r>
      <w:r>
        <w:rPr>
          <w:rFonts w:ascii="Arial" w:cs="Arial" w:eastAsia="Arial" w:hAnsi="Arial"/>
          <w:sz w:val="18"/>
          <w:szCs w:val="18"/>
          <w:b w:val="1"/>
          <w:bCs w:val="1"/>
          <w:color w:val="auto"/>
        </w:rPr>
        <w:t>dba</w:t>
      </w:r>
      <w:r>
        <w:rPr>
          <w:rFonts w:ascii="Arial" w:cs="Arial" w:eastAsia="Arial" w:hAnsi="Arial"/>
          <w:sz w:val="18"/>
          <w:szCs w:val="18"/>
          <w:color w:val="auto"/>
        </w:rPr>
        <w:t>”) name. In February 2019, the Company formed Presto Technology, Inc. as a wholly owned subsidiary located in Ontario, Canada.</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Merger with Ventoux CCM Acquisition Corp.</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On September 21, 2022, Ventoux CCM Acquisition Corp. (“Ventoux” or “VTAQ”) and its subsidiaries, then a special purpose acquisition corporation, acquired Legacy Presto via a series of mergers, whereby Legacy Presto became a limited liability company and a wholly owned subsidiary of Ventoux (the “Merger”). Upon completion of the Merger, Ventoux CCM Acquisition Corp. was renamed Presto Automation Inc. Prior to the Merger, Ventoux Acquisition Holdings LLC and Chardan International Investments, LLC were the co-sponsors of Ventoux (together the “Sponsors”) and with the close of the Merger remained significant shareholders in the Company.</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Trust Proceeds and PIPE Investment</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Following the closing of the Ventoux’s initial public offering on December 30, 2020, $151.5 million was placed in a trust account, (the “Trust”), for which various redemptions of amounts in the Trust were made up until the date of the Merger. On the closing date of the Merger, $9.5 million of unredeemed funds were released to Ventoux from the Trust.</w:t>
      </w:r>
    </w:p>
    <w:p>
      <w:pPr>
        <w:spacing w:after="0" w:line="106"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In connection with the execution of the Merger, Ventoux entered into separate subscription with a number of investors, pursuant to which the subscribers agreed to purchase, and Ventoux agreed to sell to the subscribers, an aggregate of 7,133,687 shares of common stock (the “PIPE Shares”), for an aggregate purchase price of $55.4 million, in a private placement pursuant to the subscription agreements (the “PIPE”). The PIPE investment closed simultaneously with the consummation of the Merger.</w:t>
      </w:r>
    </w:p>
    <w:p>
      <w:pPr>
        <w:spacing w:after="0" w:line="10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Upon consummation of the Merger, Presto received approximately $49.8 million from the Trust and PIPE, net of transaction costs and other payments as set forth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Net Cash</w:t>
            </w:r>
          </w:p>
        </w:tc>
        <w:tc>
          <w:tcPr>
            <w:tcW w:w="0" w:type="dxa"/>
            <w:vAlign w:val="bottom"/>
          </w:tcPr>
          <w:p>
            <w:pPr>
              <w:spacing w:after="0"/>
              <w:rPr>
                <w:sz w:val="1"/>
                <w:szCs w:val="1"/>
                <w:color w:val="auto"/>
              </w:rPr>
            </w:pPr>
          </w:p>
        </w:tc>
      </w:tr>
      <w:tr>
        <w:trPr>
          <w:trHeight w:val="47"/>
        </w:trPr>
        <w:tc>
          <w:tcPr>
            <w:tcW w:w="68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Cash-Ventoux Trust and working capital cash</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Cash-PIPE investment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55,400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Less: transaction costs and other payments</w:t>
            </w:r>
            <w:r>
              <w:rPr>
                <w:rFonts w:ascii="Arial" w:cs="Arial" w:eastAsia="Arial" w:hAnsi="Arial"/>
                <w:sz w:val="20"/>
                <w:szCs w:val="20"/>
                <w:color w:val="auto"/>
                <w:vertAlign w:val="superscript"/>
              </w:rPr>
              <w:t>(1)</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(15,144)</w:t>
            </w:r>
          </w:p>
        </w:tc>
        <w:tc>
          <w:tcPr>
            <w:tcW w:w="0" w:type="dxa"/>
            <w:vAlign w:val="bottom"/>
          </w:tcPr>
          <w:p>
            <w:pPr>
              <w:spacing w:after="0"/>
              <w:rPr>
                <w:sz w:val="1"/>
                <w:szCs w:val="1"/>
                <w:color w:val="auto"/>
              </w:rPr>
            </w:pPr>
          </w:p>
        </w:tc>
      </w:tr>
      <w:tr>
        <w:trPr>
          <w:trHeight w:val="20"/>
        </w:trPr>
        <w:tc>
          <w:tcPr>
            <w:tcW w:w="684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840" w:type="dxa"/>
            <w:vAlign w:val="bottom"/>
            <w:vMerge w:val="continue"/>
          </w:tcPr>
          <w:p>
            <w:pPr>
              <w:spacing w:after="0"/>
              <w:rPr>
                <w:sz w:val="21"/>
                <w:szCs w:val="21"/>
                <w:color w:val="auto"/>
              </w:rPr>
            </w:pPr>
          </w:p>
        </w:tc>
        <w:tc>
          <w:tcPr>
            <w:tcW w:w="20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49,840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Amount reflects (1) the repayment of $1.9 million of Ventoux related party loans utilizing proceeds from Trust,</w:t>
      </w:r>
    </w:p>
    <w:p>
      <w:pPr>
        <w:spacing w:after="0" w:line="33" w:lineRule="exact"/>
        <w:rPr>
          <w:rFonts w:ascii="Arial" w:cs="Arial" w:eastAsia="Arial" w:hAnsi="Arial"/>
          <w:sz w:val="15"/>
          <w:szCs w:val="15"/>
          <w:color w:val="auto"/>
        </w:rPr>
      </w:pPr>
    </w:p>
    <w:p>
      <w:pPr>
        <w:jc w:val="both"/>
        <w:ind w:left="880" w:right="459"/>
        <w:spacing w:after="0" w:line="268" w:lineRule="auto"/>
        <w:rPr>
          <w:rFonts w:ascii="Arial" w:cs="Arial" w:eastAsia="Arial" w:hAnsi="Arial"/>
          <w:sz w:val="15"/>
          <w:szCs w:val="15"/>
          <w:color w:val="auto"/>
        </w:rPr>
      </w:pPr>
      <w:r>
        <w:rPr>
          <w:rFonts w:ascii="Arial" w:cs="Arial" w:eastAsia="Arial" w:hAnsi="Arial"/>
          <w:sz w:val="16"/>
          <w:szCs w:val="16"/>
          <w:color w:val="auto"/>
        </w:rPr>
        <w:t>(2) the payment of $7.8 million in Ventoux transaction costs related to the Merger, (3) the payment of $4.9 million in Legacy Presto transaction costs related to the Merger and (4) the payment of certain other costs not directly related to the Merger in the amount of $0.5 million. Legacy Presto also incurred $2.1 million in transaction costs which were paid via the issuance of 260,000 Company shares. Further in conjunction with the Merger, Legacy Presto incurred $3.2 million in transaction costs which were either paid prior to or after the Merger. As of March 31, 2023, all of the transaction costs incurred by Legacy Presto have been fully paid. Accordingly, in total Legacy Presto incurred transaction costs amounting to $10.4 million.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Legacy Presto Convertible Promissory Notes and Equity and the Exchange</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Immediately prior to the closing of the Merger, all convertible promissory notes were converted into Legacy Presto common stock, all shares of outstanding redeemable convertible preferred stock of Legacy Presto were automatically converted into shares of Legacy Presto common stock, and all outstanding warrants for Legacy Presto shares were either exercised or exchanged into warrants of common stock of Presto. Upon the consummation of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1" w:name="page132"/>
    <w:bookmarkEnd w:id="13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 Summary of Business and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Merger, each share of Legacy Presto common stock issued and outstanding was canceled and converted into the right to receive 0.8099 shares (the “Exchange Ratio”) of common stock of Ventoux. Further the outstanding equity awards (including warrant, stock option and RSU holders) of Legacy Presto were canceled and converted using the Exchange Ratio with the holders receiving equivalent outstanding equity awards (including warrant, stock option and RSU holders) in the Company.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Earnout Arrangement with holders of Legacy Presto Common Stock and Outstanding Equity Awards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Concurrent with the closing of the Merger, holders of Legacy Presto common stock and outstanding equity awards (including warrant, stock option and RSU holders) had the right to receive up to an aggregate amount of 15,000,000 shares of Company common stock (or equivalent equity award) that would be issued as follows:</w:t>
      </w:r>
    </w:p>
    <w:p>
      <w:pPr>
        <w:spacing w:after="0" w:line="106" w:lineRule="exact"/>
        <w:rPr>
          <w:sz w:val="20"/>
          <w:szCs w:val="20"/>
          <w:color w:val="auto"/>
        </w:rPr>
      </w:pPr>
    </w:p>
    <w:p>
      <w:pPr>
        <w:jc w:val="both"/>
        <w:ind w:left="1320" w:right="459" w:hanging="434"/>
        <w:spacing w:after="0" w:line="272" w:lineRule="auto"/>
        <w:tabs>
          <w:tab w:leader="none" w:pos="1316" w:val="left"/>
        </w:tabs>
        <w:numPr>
          <w:ilvl w:val="0"/>
          <w:numId w:val="76"/>
        </w:numPr>
        <w:rPr>
          <w:rFonts w:ascii="Arial" w:cs="Arial" w:eastAsia="Arial" w:hAnsi="Arial"/>
          <w:sz w:val="17"/>
          <w:szCs w:val="17"/>
          <w:color w:val="auto"/>
        </w:rPr>
      </w:pPr>
      <w:r>
        <w:rPr>
          <w:rFonts w:ascii="Arial" w:cs="Arial" w:eastAsia="Arial" w:hAnsi="Arial"/>
          <w:sz w:val="17"/>
          <w:szCs w:val="17"/>
          <w:color w:val="auto"/>
        </w:rPr>
        <w:t>7,500,000 shares, if, during the period from and after the closing of the Merger until the third anniversary of the closing of the Merger, the Volume Weighted Average Price (“</w:t>
      </w:r>
      <w:r>
        <w:rPr>
          <w:rFonts w:ascii="Arial" w:cs="Arial" w:eastAsia="Arial" w:hAnsi="Arial"/>
          <w:sz w:val="17"/>
          <w:szCs w:val="17"/>
          <w:b w:val="1"/>
          <w:bCs w:val="1"/>
          <w:color w:val="auto"/>
        </w:rPr>
        <w:t>VWAP</w:t>
      </w:r>
      <w:r>
        <w:rPr>
          <w:rFonts w:ascii="Arial" w:cs="Arial" w:eastAsia="Arial" w:hAnsi="Arial"/>
          <w:sz w:val="17"/>
          <w:szCs w:val="17"/>
          <w:color w:val="auto"/>
        </w:rPr>
        <w:t>” as defined in the Agreement and Plan of Merger among Ventoux CCM Acquisition Corp., as Acquiror, Ventoux Merger Sub I Inc. as First Merger Sub., Ventoux Merger Sub II LLC as Second Merger Sub and E La Carte, Inc. as the Company, dated November 10, 2021 (the “Business Combination Agreement”) of Presto Common Stock is greater than or equal to $12.50 for any 20 trading days within a period of 30 consecutive trading days, and</w:t>
      </w:r>
    </w:p>
    <w:p>
      <w:pPr>
        <w:spacing w:after="0" w:line="109" w:lineRule="exact"/>
        <w:rPr>
          <w:rFonts w:ascii="Arial" w:cs="Arial" w:eastAsia="Arial" w:hAnsi="Arial"/>
          <w:sz w:val="17"/>
          <w:szCs w:val="17"/>
          <w:color w:val="auto"/>
        </w:rPr>
      </w:pPr>
    </w:p>
    <w:p>
      <w:pPr>
        <w:jc w:val="both"/>
        <w:ind w:left="1320" w:right="459" w:hanging="434"/>
        <w:spacing w:after="0" w:line="311" w:lineRule="auto"/>
        <w:tabs>
          <w:tab w:leader="none" w:pos="1316"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 additional 7,500,000 shares, if, during the period from and after the closing of the Merger until the fifth anniversary of the closing of the Merger, the VWAP of Presto Common Stock is greater than or equal to $15.00 for any 20 trading days within a period of 30 consecutive trading days</w:t>
      </w:r>
    </w:p>
    <w:p>
      <w:pPr>
        <w:spacing w:after="0" w:line="81"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The earnout shares are equity classified since they do not meet the liability classification criteria outlined in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and are under ASC 815-40 are both (i) indexed to the Company’s own shares and (ii) meet the criteria for equity classification. The fair value of the earnout shares is determined based on “Level 3” inputs, due to a lack of market data over inputs such as the volatility and the time incurred to meet the minimum VWAP as discussed above. The earnout shares are measured at fair value using the Monte Carlo valuation model. The valuation model utilized various key assumptions, such as volatility, discount rate and time incurred to meet the minimum VWAP. The grant date fair value of each earnout share was $3.17. Of the 15,000,000 earn-out shares, 4,771,116 earnout shares were given to common stock, option and RSU holders that are held by current employees and directors are accounted for under ASC 718. During the period from the date of the Merger through March 31, 2023, the Company recorded stock-based compensation expense associated with earnouts in the amount of $3.5 million to equity award holders who held awards associated with the Company’s equity incentive plan and to common stock holders held by current employees and directors, of which $2.3 million, $1.0 million, and $0.2 million are recorded within general and administrative, research and development and sales and marketing expenses, respectively, on the condensed consolidated statement of operations and comprehensive income (loss). During three months ended March 31, 2023, the Company recorded stock-based compensation expense associated with earnouts, to the same equity award holders as above, in the amount of $1.6 million of which $1.1 million, $0.4 million, and $68 thousand are recorded within general and administrative, research and development and sales and marketing expenses, respectively, on the condensed consolidated statement of operations and comprehensive income (loss).</w:t>
      </w:r>
    </w:p>
    <w:p>
      <w:pPr>
        <w:spacing w:after="0" w:line="8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As of March 31, 2023, unrecognized stock-based compensation expense is $11.3 million which is expected to be recognized over a weighted-average period of 1.5 years. Stock-based compensation for awards with a performance-based vesting condition that was previously deemed not probable to occur as of December 31, 2022, was modified in the three months ended March 31, 2023 to waive the condition and thus the performance condition was removed and resulted in an immaterial modification of expense and the awards are now vesting according to the original awards vesting schedule. As of March 31, 2023, 360,813 earnout shares held by current employees and directors were forfeited. The Earnout shares given to common stockholders not held by current employees and directors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2" w:name="page133"/>
    <w:bookmarkEnd w:id="13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 Summary of Business and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and warrant holders have been recorded with equal and offsetting effects on additional paid-in capital on its condensed consolidated balance sheet. As of March 31, 2023, all of the earnout shares remain unissued as the conditions to issuance have not been achieved.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Unvested Founder Share Arrangement with Founders</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At the Closing, 444,500 founders shares held by the Sponsors (the “unvested founders shares”) became subject to the following vesting and forfeiture provisions:</w:t>
      </w:r>
    </w:p>
    <w:p>
      <w:pPr>
        <w:spacing w:after="0" w:line="89" w:lineRule="exact"/>
        <w:rPr>
          <w:sz w:val="20"/>
          <w:szCs w:val="20"/>
          <w:color w:val="auto"/>
        </w:rPr>
      </w:pPr>
    </w:p>
    <w:p>
      <w:pPr>
        <w:ind w:left="1320" w:right="459" w:hanging="434"/>
        <w:spacing w:after="0" w:line="342" w:lineRule="auto"/>
        <w:tabs>
          <w:tab w:leader="none" w:pos="1288"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first 25% of such unvested founder shares owned by the Sponsors vest at such time as a $12.00 Stock Price Level is achieved on or before the date that is five years after the Closing Date,</w:t>
      </w:r>
    </w:p>
    <w:p>
      <w:pPr>
        <w:spacing w:after="0" w:line="56" w:lineRule="exact"/>
        <w:rPr>
          <w:rFonts w:ascii="Arial" w:cs="Arial" w:eastAsia="Arial" w:hAnsi="Arial"/>
          <w:sz w:val="16"/>
          <w:szCs w:val="16"/>
          <w:color w:val="auto"/>
        </w:rPr>
      </w:pPr>
    </w:p>
    <w:p>
      <w:pPr>
        <w:ind w:left="1320" w:right="459" w:hanging="434"/>
        <w:spacing w:after="0" w:line="342" w:lineRule="auto"/>
        <w:tabs>
          <w:tab w:leader="none" w:pos="1284"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next 25% of such unvested founder shares owned by the Sponsors vests at such time as a $15.00 Stock Price Level is achieved on or before the date that is five years after the Closing Date.,</w:t>
      </w:r>
    </w:p>
    <w:p>
      <w:pPr>
        <w:spacing w:after="0" w:line="56" w:lineRule="exact"/>
        <w:rPr>
          <w:rFonts w:ascii="Arial" w:cs="Arial" w:eastAsia="Arial" w:hAnsi="Arial"/>
          <w:sz w:val="16"/>
          <w:szCs w:val="16"/>
          <w:color w:val="auto"/>
        </w:rPr>
      </w:pPr>
    </w:p>
    <w:p>
      <w:pPr>
        <w:ind w:left="1320" w:right="459" w:hanging="434"/>
        <w:spacing w:after="0" w:line="342" w:lineRule="auto"/>
        <w:tabs>
          <w:tab w:leader="none" w:pos="1293"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next 25% of such unvested founder shares owned by the Sponsors vest at such time as a $20.00 Stock Price Level is achieved on or before the date that is five years after the Closing Date and</w:t>
      </w:r>
    </w:p>
    <w:p>
      <w:pPr>
        <w:spacing w:after="0" w:line="42" w:lineRule="exact"/>
        <w:rPr>
          <w:rFonts w:ascii="Arial" w:cs="Arial" w:eastAsia="Arial" w:hAnsi="Arial"/>
          <w:sz w:val="16"/>
          <w:szCs w:val="16"/>
          <w:color w:val="auto"/>
        </w:rPr>
      </w:pPr>
    </w:p>
    <w:p>
      <w:pPr>
        <w:jc w:val="both"/>
        <w:ind w:left="1320" w:right="459" w:hanging="434"/>
        <w:spacing w:after="0" w:line="342" w:lineRule="auto"/>
        <w:tabs>
          <w:tab w:leader="none" w:pos="1283"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remaining 25% of such unvested founder shares owned by the Sponsors shall vest at such time as a $25.00 Stock Price Level is achieved on or before the date that is five years after the Closing Date.</w:t>
      </w:r>
    </w:p>
    <w:p>
      <w:pPr>
        <w:spacing w:after="0" w:line="56"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A “Stock Price Level” is considered achieved when the VWAP of the common stock is greater than or equal to the applicable threshold for any 40 consecutive trading days within a 60 trading day period. If the applicable Stock Price Level is not achieved on or prior to the date that is five years after the Closing Date, the applicable unvested founder shares shall not vest and shall be automatically forfeited and cancelled for no consideration. In the event of a change of control, any unvested founder shares shall automatically vest. As of March 31, 2023, all of the unvested founder shares remain unvested as the vesting conditions have not been achieved.</w:t>
      </w:r>
    </w:p>
    <w:p>
      <w:pPr>
        <w:spacing w:after="0" w:line="127"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Company has concluded that the unvested founder shares are accounted for as equity-linked instruments under ASC 815-40 and are not indexed to the entity’s own stock and accordingly, such financial instruments are classified as liabilities. With the closing of the Merger, the Company recorded $1.6 million within other long-term liabilities. During the period from the closing of the Merger until March 31, 2023 and the three months ended March 31, 2023 the Company recorded a gain on remeasurement of $1.4 million and $0.2 million respectively, which are included in change in fair value of warrants and convertible promissory notes in the condensed consolidated statement of operations and comprehensive income (loss).</w:t>
      </w:r>
    </w:p>
    <w:p>
      <w:pPr>
        <w:spacing w:after="0" w:line="9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Upon the closing of the Merger, Ventoux’s certificate of incorporation was amended and restated to, among other things, change its name from Ventoux CCM Acquisition Corp. to Presto Automation Inc., increase the total number of authorized shares of all classes of capital stock to 181,500,000 shares, of which 180,000,000 shares are designated as common stock, $0.0001 par value per share; and 1,500,000 shares designated preferred stock, $0.0001 par value per share. Immediately following the closing of the Merger, there were 50,639,837 shares of the Company’s common stock issued and outstanding and warrants to purchase 18,415,453 shares of the Company’s common stock outstanding.</w:t>
      </w:r>
    </w:p>
    <w:p>
      <w:pPr>
        <w:spacing w:after="0" w:line="110"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The Merger is accounted for as a reverse recapitalization in accordance with generally accepted accounting principles in the United States of America (“</w:t>
      </w:r>
      <w:r>
        <w:rPr>
          <w:rFonts w:ascii="Arial" w:cs="Arial" w:eastAsia="Arial" w:hAnsi="Arial"/>
          <w:sz w:val="16"/>
          <w:szCs w:val="16"/>
          <w:b w:val="1"/>
          <w:bCs w:val="1"/>
          <w:color w:val="auto"/>
        </w:rPr>
        <w:t>U.S. GAAP</w:t>
      </w:r>
      <w:r>
        <w:rPr>
          <w:rFonts w:ascii="Arial" w:cs="Arial" w:eastAsia="Arial" w:hAnsi="Arial"/>
          <w:sz w:val="16"/>
          <w:szCs w:val="16"/>
          <w:color w:val="auto"/>
        </w:rPr>
        <w:t xml:space="preserve">”). Under the guidance in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Ventoux was treated as the “acquired” company for financial reporting purposes. This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determination was primarily based on Presto having a majority of the voting power of the post-combination company, Presto’s senior management comprising substantially all of the senior management of the post-combination company, the relative size of Presto compared to Ventoux, and Presto’s operations comprising the ongoing operations of the post-combination company. Accordingly, for accounting purposes, the Merger was treated as the equivalent of Legacy Presto issuing stock for the net assets of Ventoux, accompanied by a recapitalization. Accordingly, all historical financial information presented in the unaudited condensed consolidated financial statements represents the accounts of Presto and its wholly owned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3" w:name="page134"/>
    <w:bookmarkEnd w:id="13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 Summary of Business and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subsidiaries as if Legacy Presto is the predecessor to the Company. The shares and net loss per common share, prior to the Merger, have been retroactively restated as shares reflecting the Exchange Ratio established in the Merger (0.8099 shares of Company common stock for every one share of Legacy Presto common stock).</w:t>
      </w:r>
    </w:p>
    <w:p>
      <w:pPr>
        <w:spacing w:after="0" w:line="8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Total net liabilities of Ventoux assumed by the Company was $9.8 million, which is inclusive of a liability for the private warrants of $9.4 million but excludes the $55.4 million in PIPE proceeds raised by Ventoux immediately prior to the Merger. The remaining net liabilities assumed from Ventoux were immaterial to the Company.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Cyborg Ops</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As a consequence to the closing of the Merger, bonus and deferred consideration amounts owed to certain founding members of CyborgOps became due and payable resulting in an expense of $1.9 million, of which $1.8 million and $0.1 million has been recorded within research and development and sales and marketing, respectively, in the condensed consolidated statement of operations and comprehensive income (loss) for nine months ended March 31, 2023.</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the Company’s condensed consolidated financial statements may not be comparable to financial statements of issuers who are required to comply with the effective dates for new or revised accounting standards based on public company effective dates.</w:t>
      </w:r>
    </w:p>
    <w:p>
      <w:pPr>
        <w:spacing w:after="0" w:line="11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Company will remain an emerging growth company until the earliest of (i) the last day of the fiscal year in which the Company’s total annual gross revenue is at least $1.1 billion, (ii) the last day of the fiscal year following the fifth anniversary of the completion of Ventoux’s initial public offering, which occurred on December 30, 2020, (iii) the date on which the Company issued more than $1.0 billion in non-convertible debt securities during the prior three-year period, or (iv) the date on which the Company becomes a large accelerated filer.</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U.S. GAAP for interim financial reporting and the rules and regulations of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References to ASC and ASU included herein refer to the Accounting Standards Codification and Accounting Standards Update established by the Financial Accounting Standards Board (“</w:t>
      </w:r>
      <w:r>
        <w:rPr>
          <w:rFonts w:ascii="Arial" w:cs="Arial" w:eastAsia="Arial" w:hAnsi="Arial"/>
          <w:sz w:val="18"/>
          <w:szCs w:val="18"/>
          <w:b w:val="1"/>
          <w:bCs w:val="1"/>
          <w:color w:val="auto"/>
        </w:rPr>
        <w:t>FASB</w:t>
      </w:r>
      <w:r>
        <w:rPr>
          <w:rFonts w:ascii="Arial" w:cs="Arial" w:eastAsia="Arial" w:hAnsi="Arial"/>
          <w:sz w:val="18"/>
          <w:szCs w:val="18"/>
          <w:color w:val="auto"/>
        </w:rPr>
        <w:t>”) as the source of authoritative U.S. GAAP. All intercompany balances and transactions have been eliminated in consolidation.</w:t>
      </w:r>
    </w:p>
    <w:p>
      <w:pPr>
        <w:spacing w:after="0" w:line="125"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In management’s opinion, the unaudited interim condensed consolidated financial statements have been prepared on the same basis as the annual consolidated financial statements. They include all adjustments, consisting of only normal recurring adjustments, necessary for the fair statement of the Company’s financial position as of March 31, 2023, and its results of operations for the three and nine months ended March 31, 2023 and 2022 and cash flows for the nine months ended March 31, 2023 and 2022. The results for the three and nine months ended March 31, 2023 and 2022, are not necessarily indicative of the results expected for the year or any other periods. These interim financial statements should be read in conjunction with the Legacy Presto’s financial statements and related notes for the fiscal</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4" w:name="page135"/>
    <w:bookmarkEnd w:id="13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 Summary of Business and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year ended June 30, 2022 included as Exhibit 99.1 of the Current Report on Form 8-K as filed with the SEC on December 16, 2022, where we include additional information on our critical accounting estimates, policies, and the methods and assumptions used in our estimates. The unaudited condensed consolidated balance sheet as of June 30, 2022, has been derived from the Company’s audited financial statements.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preparation of these condensed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spacing w:after="0" w:line="106"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Uses of estimates include, but are not limited to, the collectability of accounts receivable, the useful lives of property and equipment and intangible assets, inventory valuation, the fair value of financial instruments, valuation of deferred tax assets and liabilities, valuation assumptions utilized in calculating the estimated value of stock-based compensation, valuation of warrants, earnout arrangements and unvested founder shares, valuation of goodwill and intangible assets acquired and impairment of long-lived assets. The Company has assessed the impact and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15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 Company is subject to a number of risks common to emerging, technology-based companies, including a limited operating history; dependence on key individuals; rapid technological changes; competition from substitute products and larger companies; the need for additional financing to fund future operations; and the successful development, marketing, and outsourced manufacturing of the Company’s products and services as well as the impact of the novel coronavirus disease (“</w:t>
      </w:r>
      <w:r>
        <w:rPr>
          <w:rFonts w:ascii="Arial" w:cs="Arial" w:eastAsia="Arial" w:hAnsi="Arial"/>
          <w:sz w:val="16"/>
          <w:szCs w:val="16"/>
          <w:b w:val="1"/>
          <w:bCs w:val="1"/>
          <w:color w:val="auto"/>
        </w:rPr>
        <w:t>COVID-19</w:t>
      </w:r>
      <w:r>
        <w:rPr>
          <w:rFonts w:ascii="Arial" w:cs="Arial" w:eastAsia="Arial" w:hAnsi="Arial"/>
          <w:sz w:val="16"/>
          <w:szCs w:val="16"/>
          <w:color w:val="auto"/>
        </w:rPr>
        <w:t>”) on the restaurant industry.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Company has been subject to risks and uncertainties because of the outbreak of COVID-19, and actions taken by the federal, state and local governments to control the spread of infections. The extent of any continuing impact of the COVID-19 pandemic on the Company’s business remains uncertain and difficult to predict, as government authorities may implement new restrictions in response to changes in the number of COVID-19 infections or new variants of the disease. Additionally, economies worldwide have been negatively impacted by the COVID-19 pandemic, which resulted in a global economic slowdown, supply chain issues and inflationary pressures.</w:t>
      </w:r>
    </w:p>
    <w:p>
      <w:pPr>
        <w:spacing w:after="0" w:line="11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Company took several actions to mitigate the effects of the COVID-19 pandemic on its operations and franchisees. In April 2020, the Company received a loan of approximately $2.6 million under the U.S. Small Business Administration (“SBA”) Paycheck Protection Program (“</w:t>
      </w:r>
      <w:r>
        <w:rPr>
          <w:rFonts w:ascii="Arial" w:cs="Arial" w:eastAsia="Arial" w:hAnsi="Arial"/>
          <w:sz w:val="18"/>
          <w:szCs w:val="18"/>
          <w:b w:val="1"/>
          <w:bCs w:val="1"/>
          <w:color w:val="auto"/>
        </w:rPr>
        <w:t>PPP</w:t>
      </w:r>
      <w:r>
        <w:rPr>
          <w:rFonts w:ascii="Arial" w:cs="Arial" w:eastAsia="Arial" w:hAnsi="Arial"/>
          <w:sz w:val="18"/>
          <w:szCs w:val="18"/>
          <w:color w:val="auto"/>
        </w:rPr>
        <w:t>”), to assist with the economic hardships caused by the pandemic. In March 2021, the Company received a second loan of approximately $2.0 million under the PPP. In August 2021, the Company was granted forgiveness of the first loan of approximately $2.6 million. In July 2022, the Company was granted forgiveness of the second loan of approximately $2.0 million. Refer to Note 7 for further details.</w:t>
      </w:r>
    </w:p>
    <w:p>
      <w:pPr>
        <w:spacing w:after="0" w:line="127"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In the three and nine months ended March 31, 2022, the volume of repair charges the Company experienced was higher than usual due to a liquid ingress issue resulting from COVID-19 related actions by its customers. The Company’s devices failed primarily due to the use of extremely strong commercial disinfectant solutions by customers to clean the hardware devices as a mandatory precaution protocol due to COVID-19. Due to use of commercial cleaning products, the solution leaked into the hardware causing significant damage to the devices and requiring replacement of such devices. To prevent disruption to customers’ businesses, the Company incurred losses on infrequent customer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5" w:name="page136"/>
    <w:bookmarkEnd w:id="13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 Summary of Business and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repairs of $0.1 million and $0.6 million for the three and nine months ended March 31, 2022, respectively, for this issue. The Company has an outstanding claim to recover the costs from its third-party subcontractor who manufactures the hardware, for which the Company received a favorable arbitrator ruling in June 2022. Refer to Note 8 for further details.</w:t>
      </w:r>
    </w:p>
    <w:p>
      <w:pPr>
        <w:spacing w:after="0" w:line="11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severity of any continued impact of the COVID-19 pandemic or similar health emergencies or pandemics in the future on the Company’s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customer re-engagement with its brands and, in general, what the short- and long-term impact on consumer discretionary spending may be on the Company and the restaurant industry as a whole, all of which are uncertain and cannot be predicted. The Company’s future results of operations and liquidity could be impacted adversely by future dine-in restrictions and the failure of any initiatives or programs that the Company may undertake to address financial and operational challenges faced by it and its franchisees. As such, the extent to which the Company’s financial condition , liquidity, or results of operations may be negatively impacted by COVID-19 or other health emergencies or pandemics, resulting supply chain disruptions, inflationary pressures and general macroeconomic conditions remains highly uncertain.</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44"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As of March 31, 2023 and June 30, 2022, the Company’s principal sources of liquidity were cash and cash equivalents of $27.0 million and $3.0 million, respectively, which were held for working capital purposes.</w:t>
      </w:r>
    </w:p>
    <w:p>
      <w:pPr>
        <w:spacing w:after="0" w:line="5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Since inception, the Company has financed its operations primarily through financing transactions such as the issuance of convertible promissory notes and loans, and sales of convertible preferred stock. The Company has incurred recurring operating losses since its inception, including operating losses of $42.3 million and $21.6 million for the nine months ended March 31, 2023 and 2022, respectively. As of March 31, 2023 and June 30, 2022, respectively, the Company had an accumulated deficit of $198.7 million and $200.8 million and the Company expects to generate operating and net losses for the near term. Cash from operations could also be affected by various risks and uncertainties, including, but not limited to, the effects of the COVID-19 pandemic, including timing of cash collections from customers. While the Company received net cash of $49.8 million from the completion of the Merger and raised net cash proceeds of $13.7 million from the issuance of new debt and payment of certain legacy debt obligations, additional capital infusion will be necessary in order to fund currently anticipated expenditures, and to meet the Company’s obligations as they come due. The Company’s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spacing w:after="0" w:line="10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Company intends to secure additional fundings from either public or private financing sources, and these plans for additional financings are intended to mitigate the conditions or events that raise substantial doubt about the Company’s ability to continue as a going concern, however as the plans are outside of management’s control, the Company cannot ensure they will be effectively implemented. In the event that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 As a result, substantial doubt exists about the Company’s ability to continue as a going concern within one year after the date that the financial statements are available to be issued. The Company’s condensed consolidated financial statements have been prepared on a going concern basis, which contemplates the realization of assets and satisfaction of liabilities in the normal course of business.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6" w:name="page137"/>
    <w:bookmarkEnd w:id="13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 Summary of Business and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Concentrations of Risks, Significant Customers and Investments</w:t>
      </w:r>
    </w:p>
    <w:p>
      <w:pPr>
        <w:spacing w:after="0" w:line="144"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 Company’s financial instruments are exposed to concentrations of credit risk and consist primarily of cash and cash equivalents and accounts receivable. The Company maintains its cash and cash equivalents with high-quality financial institutions with investment-grade ratings. In the event of a failure of any financial institutions where the Company maintains deposits, it may lose timely access to its funds and incur losses to the extent its deposits exceed amounts insured by the Federal Deposit Insurance Corporation, as described below.</w:t>
      </w:r>
    </w:p>
    <w:p>
      <w:pPr>
        <w:spacing w:after="0" w:line="94"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The following three largest restaurant logos (including, as applicable, the franchisees of such restaurants aggregated as a single customer for reporting purposes) accounted for more than 10% of revenues:</w:t>
      </w:r>
    </w:p>
    <w:p>
      <w:pPr>
        <w:spacing w:after="0" w:line="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980" w:type="dxa"/>
            <w:vAlign w:val="bottom"/>
            <w:gridSpan w:val="5"/>
          </w:tcPr>
          <w:p>
            <w:pPr>
              <w:jc w:val="center"/>
              <w:ind w:left="279"/>
              <w:spacing w:after="0"/>
              <w:rPr>
                <w:sz w:val="20"/>
                <w:szCs w:val="20"/>
                <w:color w:val="auto"/>
              </w:rPr>
            </w:pPr>
            <w:r>
              <w:rPr>
                <w:rFonts w:ascii="Arial" w:cs="Arial" w:eastAsia="Arial" w:hAnsi="Arial"/>
                <w:sz w:val="16"/>
                <w:szCs w:val="16"/>
                <w:b w:val="1"/>
                <w:bCs w:val="1"/>
                <w:color w:val="auto"/>
                <w:w w:val="90"/>
              </w:rPr>
              <w:t>Three months ended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6"/>
          </w:tcPr>
          <w:p>
            <w:pPr>
              <w:jc w:val="center"/>
              <w:ind w:right="20"/>
              <w:spacing w:after="0"/>
              <w:rPr>
                <w:sz w:val="20"/>
                <w:szCs w:val="20"/>
                <w:color w:val="auto"/>
              </w:rPr>
            </w:pPr>
            <w:r>
              <w:rPr>
                <w:rFonts w:ascii="Arial" w:cs="Arial" w:eastAsia="Arial" w:hAnsi="Arial"/>
                <w:sz w:val="16"/>
                <w:szCs w:val="16"/>
                <w:b w:val="1"/>
                <w:bCs w:val="1"/>
                <w:color w:val="auto"/>
                <w:w w:val="90"/>
              </w:rPr>
              <w:t>Nine months ended</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7"/>
              </w:rPr>
              <w:t>March 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4"/>
          </w:tcPr>
          <w:p>
            <w:pPr>
              <w:jc w:val="center"/>
              <w:ind w:left="715"/>
              <w:spacing w:after="0"/>
              <w:rPr>
                <w:sz w:val="20"/>
                <w:szCs w:val="20"/>
                <w:color w:val="auto"/>
              </w:rPr>
            </w:pPr>
            <w:r>
              <w:rPr>
                <w:rFonts w:ascii="Arial" w:cs="Arial" w:eastAsia="Arial" w:hAnsi="Arial"/>
                <w:sz w:val="16"/>
                <w:szCs w:val="16"/>
                <w:b w:val="1"/>
                <w:bCs w:val="1"/>
                <w:color w:val="auto"/>
                <w:w w:val="94"/>
              </w:rPr>
              <w:t>March 31,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2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9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122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35"/>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jc w:val="right"/>
              <w:ind w:right="212"/>
              <w:spacing w:after="0"/>
              <w:rPr>
                <w:sz w:val="20"/>
                <w:szCs w:val="20"/>
                <w:color w:val="auto"/>
              </w:rPr>
            </w:pPr>
            <w:r>
              <w:rPr>
                <w:rFonts w:ascii="Arial" w:cs="Arial" w:eastAsia="Arial" w:hAnsi="Arial"/>
                <w:sz w:val="16"/>
                <w:szCs w:val="16"/>
                <w:b w:val="1"/>
                <w:bCs w:val="1"/>
                <w:color w:val="auto"/>
                <w:w w:val="95"/>
              </w:rPr>
              <w:t>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2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62%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396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4"/>
              </w:rPr>
              <w:t>16%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26%</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0"/>
        </w:trPr>
        <w:tc>
          <w:tcPr>
            <w:tcW w:w="3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C</w:t>
            </w:r>
          </w:p>
        </w:tc>
        <w:tc>
          <w:tcPr>
            <w:tcW w:w="7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18%</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14%</w:t>
            </w: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4"/>
              </w:rPr>
              <w:t>96%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91%</w:t>
            </w:r>
          </w:p>
        </w:tc>
        <w:tc>
          <w:tcPr>
            <w:tcW w:w="100" w:type="dxa"/>
            <w:vAlign w:val="bottom"/>
            <w:vMerge w:val="continue"/>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restaurant logos accounted for more than 10% of accounts receivable:</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4"/>
              </w:rPr>
              <w:t>As of</w:t>
            </w:r>
          </w:p>
        </w:tc>
        <w:tc>
          <w:tcPr>
            <w:tcW w:w="12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As of</w:t>
            </w:r>
          </w:p>
        </w:tc>
      </w:tr>
      <w:tr>
        <w:trPr>
          <w:trHeight w:val="203"/>
        </w:trPr>
        <w:tc>
          <w:tcPr>
            <w:tcW w:w="560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120" w:type="dxa"/>
            <w:vAlign w:val="bottom"/>
          </w:tcPr>
          <w:p>
            <w:pPr>
              <w:spacing w:after="0"/>
              <w:rPr>
                <w:sz w:val="17"/>
                <w:szCs w:val="17"/>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5600" w:type="dxa"/>
            <w:vAlign w:val="bottom"/>
          </w:tcPr>
          <w:p>
            <w:pPr>
              <w:spacing w:after="0"/>
              <w:rPr>
                <w:sz w:val="18"/>
                <w:szCs w:val="18"/>
                <w:color w:val="auto"/>
              </w:rPr>
            </w:pPr>
          </w:p>
        </w:tc>
        <w:tc>
          <w:tcPr>
            <w:tcW w:w="960" w:type="dxa"/>
            <w:vAlign w:val="bottom"/>
          </w:tcPr>
          <w:p>
            <w:pPr>
              <w:jc w:val="center"/>
              <w:ind w:left="94"/>
              <w:spacing w:after="0"/>
              <w:rPr>
                <w:sz w:val="20"/>
                <w:szCs w:val="20"/>
                <w:color w:val="auto"/>
              </w:rPr>
            </w:pPr>
            <w:r>
              <w:rPr>
                <w:rFonts w:ascii="Arial" w:cs="Arial" w:eastAsia="Arial" w:hAnsi="Arial"/>
                <w:sz w:val="16"/>
                <w:szCs w:val="16"/>
                <w:b w:val="1"/>
                <w:bCs w:val="1"/>
                <w:color w:val="auto"/>
                <w:w w:val="95"/>
              </w:rPr>
              <w:t>2023</w:t>
            </w:r>
          </w:p>
        </w:tc>
        <w:tc>
          <w:tcPr>
            <w:tcW w:w="180" w:type="dxa"/>
            <w:vAlign w:val="bottom"/>
          </w:tcPr>
          <w:p>
            <w:pPr>
              <w:spacing w:after="0"/>
              <w:rPr>
                <w:sz w:val="18"/>
                <w:szCs w:val="18"/>
                <w:color w:val="auto"/>
              </w:rPr>
            </w:pPr>
          </w:p>
        </w:tc>
        <w:tc>
          <w:tcPr>
            <w:tcW w:w="1180" w:type="dxa"/>
            <w:vAlign w:val="bottom"/>
            <w:gridSpan w:val="2"/>
          </w:tcPr>
          <w:p>
            <w:pPr>
              <w:jc w:val="center"/>
              <w:ind w:left="212"/>
              <w:spacing w:after="0"/>
              <w:rPr>
                <w:sz w:val="20"/>
                <w:szCs w:val="20"/>
                <w:color w:val="auto"/>
              </w:rPr>
            </w:pPr>
            <w:r>
              <w:rPr>
                <w:rFonts w:ascii="Arial" w:cs="Arial" w:eastAsia="Arial" w:hAnsi="Arial"/>
                <w:sz w:val="16"/>
                <w:szCs w:val="16"/>
                <w:b w:val="1"/>
                <w:bCs w:val="1"/>
                <w:color w:val="auto"/>
                <w:w w:val="89"/>
              </w:rPr>
              <w:t>2022</w:t>
            </w:r>
          </w:p>
        </w:tc>
        <w:tc>
          <w:tcPr>
            <w:tcW w:w="18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1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Customer B</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41%</w:t>
            </w:r>
          </w:p>
        </w:tc>
      </w:tr>
      <w:tr>
        <w:trPr>
          <w:trHeight w:val="40"/>
        </w:trPr>
        <w:tc>
          <w:tcPr>
            <w:tcW w:w="5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50"/>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D</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1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0"/>
        </w:trPr>
        <w:tc>
          <w:tcPr>
            <w:tcW w:w="56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36"/>
        </w:trPr>
        <w:tc>
          <w:tcPr>
            <w:tcW w:w="56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83%</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Customer C represents less than 10% of accounts receivable and therefore was omitted from the above schedule.</w:t>
      </w:r>
    </w:p>
    <w:p>
      <w:pPr>
        <w:spacing w:after="0" w:line="174"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The Company also is exposed to vendor concentration risk as it supplies tablets from one vendor and currently source some hardware and software components used in the AI Platform from one vendor. The Company’s operating results could be adversely affected should any of the following occur: the vendor used to supply tablets increases their prices or either vendor incurs disruptions in its supply of goods or services.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Institutions</w:t>
      </w:r>
    </w:p>
    <w:p>
      <w:pPr>
        <w:spacing w:after="0" w:line="1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principally of cash and cash equivalents on deposit with financial institutions, the balances of which frequently exceed federally insured limits. On March 10, 2023, SVB was closed by the California Department of Financial Protection and Innovation, which appointed the FDIC as receiver. If any of the financial institutions with whom we do business were to be placed into receivership, we may be unable to access to the cash we have on deposit with such institutions. If we are unable to access our cash and cash equivalents as needed, our financial position and ability to operate our business could be adversely affected. The Company has $26.5 million in deposits in excess of the FDIC limits at March 31, 2023.</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w:t>
      </w:r>
      <w:r>
        <w:rPr>
          <w:rFonts w:ascii="Arial" w:cs="Arial" w:eastAsia="Arial" w:hAnsi="Arial"/>
          <w:sz w:val="18"/>
          <w:szCs w:val="18"/>
          <w:b w:val="1"/>
          <w:bCs w:val="1"/>
          <w:color w:val="auto"/>
        </w:rPr>
        <w:t>CODM</w:t>
      </w:r>
      <w:r>
        <w:rPr>
          <w:rFonts w:ascii="Arial" w:cs="Arial" w:eastAsia="Arial" w:hAnsi="Arial"/>
          <w:sz w:val="18"/>
          <w:szCs w:val="18"/>
          <w:color w:val="auto"/>
        </w:rPr>
        <w:t>”) in deciding how to allocate resources and in assessing performance. The Company’s Co-CODMs are the Chief Executive Officer and the Chief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7" w:name="page138"/>
    <w:bookmarkEnd w:id="13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 Summary of Business and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Financial Officer, who review financial information presented on a consolidated basis for purposes of allocating resources and evaluating financial performance. As such, the Company’s operations constitute a single operating segment and one reportable segment.</w:t>
      </w:r>
    </w:p>
    <w:p>
      <w:pPr>
        <w:spacing w:after="0" w:line="11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Company has operations in the United States and Canada. The Company earns primarily all of its revenue in the United States and all of its long-lived assets are held in the United States.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in non-affiliate</w:t>
      </w:r>
    </w:p>
    <w:p>
      <w:pPr>
        <w:spacing w:after="0" w:line="14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Investments in non-affiliates include equity security investments in third party entities without a readily determinable fair value in which the Company’s influence is deemed non-significant. Investments in non-affiliates are recorded using the measurement alternative for investments without readily determinable fair values, whereby the investment is measured at cost less any impairment recorded or observable price changes. Any impairments or observable price changes are reported in other income, net in the condensed consolidated statements of operations and comprehensive income (loss).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Company leases real estate facilities under a non-cancelable operating lease with remaining lease terms of six months to three years. The Company determines if an arrangement contains a lease at inception based on whether there is an identified property or equipment and whether the Company controls the use of the identified asset throughout the period of use.</w:t>
      </w:r>
    </w:p>
    <w:p>
      <w:pPr>
        <w:spacing w:after="0" w:line="11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 xml:space="preserve">The Company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on July 1, 2022, using the modified retrospective approach</w:t>
      </w:r>
    </w:p>
    <w:p>
      <w:pPr>
        <w:spacing w:after="0" w:line="89"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Upon adoption the Company recorded a right of use asset (“ROU”) and an operating lease liabilities. The operating lease ROU asset represents the Company’s right to use the underlying asset for the lease term and the lease liability represents the Company’s obligation to make lease payments arising from the lease.</w:t>
      </w:r>
    </w:p>
    <w:p>
      <w:pPr>
        <w:spacing w:after="0" w:line="81"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operating lease liability is measured and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 does not provide an implicit rate, the Company estimates its incremental borrowing rate based on the information available at lease commencement date for borrowings with a similar term.</w:t>
      </w:r>
    </w:p>
    <w:p>
      <w:pPr>
        <w:spacing w:after="0" w:line="127"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The Company’s operating lease ROU asset is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does not allocate consideration between lease and non-lease components. The Company’s lease agreement contains variable costs such as common area maintenance, operating expenses, or other costs. Variable lease payments are recognized in the period in which the obligation for those payments are incurred. In addition, the Company does not recognize ROU assets or lease liabilities for leases with a term of twelve months or less of all asset classes; lease expense from these leases are recognized on a straight-line basis over the lease term.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During the three and nine months ended March 31, 2023 and 2022, the Company derived its revenues from two revenue streams: (1) sales and leases of the Presto Touch and AI Platform products (“</w:t>
      </w:r>
      <w:r>
        <w:rPr>
          <w:rFonts w:ascii="Arial" w:cs="Arial" w:eastAsia="Arial" w:hAnsi="Arial"/>
          <w:sz w:val="18"/>
          <w:szCs w:val="18"/>
          <w:b w:val="1"/>
          <w:bCs w:val="1"/>
          <w:color w:val="auto"/>
        </w:rPr>
        <w:t>Platform</w:t>
      </w:r>
      <w:r>
        <w:rPr>
          <w:rFonts w:ascii="Arial" w:cs="Arial" w:eastAsia="Arial" w:hAnsi="Arial"/>
          <w:sz w:val="18"/>
          <w:szCs w:val="18"/>
          <w:color w:val="auto"/>
        </w:rPr>
        <w:t xml:space="preserve"> </w:t>
      </w:r>
      <w:r>
        <w:rPr>
          <w:rFonts w:ascii="Arial" w:cs="Arial" w:eastAsia="Arial" w:hAnsi="Arial"/>
          <w:sz w:val="18"/>
          <w:szCs w:val="18"/>
          <w:b w:val="1"/>
          <w:bCs w:val="1"/>
          <w:color w:val="auto"/>
        </w:rPr>
        <w:t>revenue</w:t>
      </w:r>
      <w:r>
        <w:rPr>
          <w:rFonts w:ascii="Arial" w:cs="Arial" w:eastAsia="Arial" w:hAnsi="Arial"/>
          <w:sz w:val="18"/>
          <w:szCs w:val="18"/>
          <w:color w:val="auto"/>
        </w:rPr>
        <w:t>”), which includes hardware, hardware accessories, software and customer support and maintenance,</w:t>
      </w:r>
      <w:r>
        <w:rPr>
          <w:rFonts w:ascii="Arial" w:cs="Arial" w:eastAsia="Arial" w:hAnsi="Arial"/>
          <w:sz w:val="18"/>
          <w:szCs w:val="18"/>
          <w:b w:val="1"/>
          <w:bCs w:val="1"/>
          <w:color w:val="auto"/>
        </w:rPr>
        <w:t xml:space="preserve"> </w:t>
      </w:r>
      <w:r>
        <w:rPr>
          <w:rFonts w:ascii="Arial" w:cs="Arial" w:eastAsia="Arial" w:hAnsi="Arial"/>
          <w:sz w:val="18"/>
          <w:szCs w:val="18"/>
          <w:color w:val="auto"/>
        </w:rPr>
        <w:t>and (2) Premium Content (gaming) and other revenue, which includes professional services (“</w:t>
      </w:r>
      <w:r>
        <w:rPr>
          <w:rFonts w:ascii="Arial" w:cs="Arial" w:eastAsia="Arial" w:hAnsi="Arial"/>
          <w:sz w:val="18"/>
          <w:szCs w:val="18"/>
          <w:b w:val="1"/>
          <w:bCs w:val="1"/>
          <w:color w:val="auto"/>
        </w:rPr>
        <w:t>Transaction</w:t>
      </w:r>
      <w:r>
        <w:rPr>
          <w:rFonts w:ascii="Arial" w:cs="Arial" w:eastAsia="Arial" w:hAnsi="Arial"/>
          <w:sz w:val="18"/>
          <w:szCs w:val="18"/>
          <w:color w:val="auto"/>
        </w:rPr>
        <w:t xml:space="preserve"> </w:t>
      </w:r>
      <w:r>
        <w:rPr>
          <w:rFonts w:ascii="Arial" w:cs="Arial" w:eastAsia="Arial" w:hAnsi="Arial"/>
          <w:sz w:val="18"/>
          <w:szCs w:val="18"/>
          <w:b w:val="1"/>
          <w:bCs w:val="1"/>
          <w:color w:val="auto"/>
        </w:rPr>
        <w:t>revenue</w:t>
      </w:r>
      <w:r>
        <w:rPr>
          <w:rFonts w:ascii="Arial" w:cs="Arial" w:eastAsia="Arial" w:hAnsi="Arial"/>
          <w:sz w:val="18"/>
          <w:szCs w:val="18"/>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8" w:name="page139"/>
    <w:bookmarkEnd w:id="13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 Summary of Business and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Platform Revenue</w:t>
      </w:r>
    </w:p>
    <w:p>
      <w:pPr>
        <w:spacing w:after="0" w:line="14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The platform revenue stream is generated from fees charged to customers for access to the Company’s Presto Touch, which is recognized ratably. Part of the total contract value is due upon execution of the contract, and the remainder is due when the customer goes live. The contracts with customers are generally for a term ranging from 12 to 48 months. Amounts invoiced in excess of revenue recognized are recorded as deferred revenue. Revenue generated from the AI Platform (previously Voice and Vision) was not material for the three and nine months ended March 31, 2023 and 2022. Such revenue generated from the AI Platform is inclusive of contra-revenue related to the fair value of the warrant treated as a reduction to the transaction price of an AI Platform customer of $0.5 million and $1.1 million for the three and nine months ended March 31, 2023, respectively. For further details of the terms of the warrant, refer to Note 10.</w:t>
      </w:r>
    </w:p>
    <w:p>
      <w:pPr>
        <w:spacing w:after="0" w:line="113"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The Company also maintains arrangements with certain customers whereby the Company leases the Presto Touch to its customer. Revenue associated with the lease is recognized on a straight-line basis as platform revenue over the lease term in the condensed consolidated statements of operations and comprehensive loss.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Transaction Revenue</w:t>
      </w:r>
    </w:p>
    <w:p>
      <w:pPr>
        <w:spacing w:after="0" w:line="15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Transaction revenue consists of a single performance obligation recognized at a point in time when the content is delivered and used. Transaction revenue is recognized on a gross basis as the Company is the principal in the relationship and the restaurant acts as a sales agent between the Company and the diner to upsell premium content purchases during the dining experience. The Company is the principal as the Company is the primary obligor responsible for fulfillment, controls the gaming license and its accessibility and has influence in establishing the price charged to the diner. The portion of gaming service collections withheld by the restaurant for sales commission are recorded to transaction cost of revenues.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58" w:lineRule="exact"/>
        <w:rPr>
          <w:sz w:val="20"/>
          <w:szCs w:val="20"/>
          <w:color w:val="auto"/>
        </w:rPr>
      </w:pPr>
    </w:p>
    <w:p>
      <w:pPr>
        <w:jc w:val="both"/>
        <w:ind w:left="1320" w:right="459" w:hanging="434"/>
        <w:spacing w:after="0" w:line="253" w:lineRule="auto"/>
        <w:tabs>
          <w:tab w:leader="none" w:pos="1293" w:val="left"/>
        </w:tabs>
        <w:numPr>
          <w:ilvl w:val="0"/>
          <w:numId w:val="79"/>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 — the Company enters into a master sales agreement (“</w:t>
      </w:r>
      <w:r>
        <w:rPr>
          <w:rFonts w:ascii="Arial" w:cs="Arial" w:eastAsia="Arial" w:hAnsi="Arial"/>
          <w:sz w:val="18"/>
          <w:szCs w:val="18"/>
          <w:b w:val="1"/>
          <w:bCs w:val="1"/>
          <w:color w:val="auto"/>
        </w:rPr>
        <w:t>MSA</w:t>
      </w:r>
      <w:r>
        <w:rPr>
          <w:rFonts w:ascii="Arial" w:cs="Arial" w:eastAsia="Arial" w:hAnsi="Arial"/>
          <w:sz w:val="18"/>
          <w:szCs w:val="18"/>
          <w:color w:val="auto"/>
        </w:rPr>
        <w:t>”) with the customer which is signed by both parties. The rights and obligations are outlined in the MSA and payment terms are clearly defined. The Company then enters into a license agreement, typically with each franchisee, which outlines the specified goods and services to be provided. The Company may also enter into separate gaming agreements with diners, whereby the customer agrees to pay for use of the premium content. Each MSA, in conjunction with a license agreement, and each gaming agreement, has commercial substance, whereby the Company is to provide products and services in exchange for payment, and collectability is probable.</w:t>
      </w:r>
    </w:p>
    <w:p>
      <w:pPr>
        <w:spacing w:after="0" w:line="128" w:lineRule="exact"/>
        <w:rPr>
          <w:rFonts w:ascii="Arial" w:cs="Arial" w:eastAsia="Arial" w:hAnsi="Arial"/>
          <w:sz w:val="18"/>
          <w:szCs w:val="18"/>
          <w:color w:val="auto"/>
        </w:rPr>
      </w:pPr>
    </w:p>
    <w:p>
      <w:pPr>
        <w:jc w:val="both"/>
        <w:ind w:left="1320" w:right="459" w:hanging="434"/>
        <w:spacing w:after="0" w:line="269" w:lineRule="auto"/>
        <w:tabs>
          <w:tab w:leader="none" w:pos="1293" w:val="left"/>
        </w:tabs>
        <w:numPr>
          <w:ilvl w:val="0"/>
          <w:numId w:val="79"/>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 — The Company’s contracts with customers include promises to transfer multiple goods and services. For all arrangements with multiple services, the Company evaluates whether the individual services qualify as distinct performance obligations. In the Company’s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01" w:lineRule="exact"/>
        <w:rPr>
          <w:sz w:val="20"/>
          <w:szCs w:val="20"/>
          <w:color w:val="auto"/>
        </w:rPr>
      </w:pPr>
    </w:p>
    <w:p>
      <w:pPr>
        <w:jc w:val="both"/>
        <w:ind w:left="1320" w:right="459"/>
        <w:spacing w:after="0" w:line="257" w:lineRule="auto"/>
        <w:rPr>
          <w:sz w:val="20"/>
          <w:szCs w:val="20"/>
          <w:color w:val="auto"/>
        </w:rPr>
      </w:pPr>
      <w:r>
        <w:rPr>
          <w:rFonts w:ascii="Arial" w:cs="Arial" w:eastAsia="Arial" w:hAnsi="Arial"/>
          <w:sz w:val="18"/>
          <w:szCs w:val="18"/>
          <w:color w:val="auto"/>
        </w:rPr>
        <w:t>The Company identified the following performance obligations: for the MSAs and license agreements, 1) sales or leases of hardware, software-as-a-service (“</w:t>
      </w:r>
      <w:r>
        <w:rPr>
          <w:rFonts w:ascii="Arial" w:cs="Arial" w:eastAsia="Arial" w:hAnsi="Arial"/>
          <w:sz w:val="18"/>
          <w:szCs w:val="18"/>
          <w:b w:val="1"/>
          <w:bCs w:val="1"/>
          <w:color w:val="auto"/>
        </w:rPr>
        <w:t>Saas</w:t>
      </w:r>
      <w:r>
        <w:rPr>
          <w:rFonts w:ascii="Arial" w:cs="Arial" w:eastAsia="Arial" w:hAnsi="Arial"/>
          <w:sz w:val="18"/>
          <w:szCs w:val="18"/>
          <w:color w:val="auto"/>
        </w:rPr>
        <w:t>”) and maintenance as one combined performance obligation (“</w:t>
      </w:r>
      <w:r>
        <w:rPr>
          <w:rFonts w:ascii="Arial" w:cs="Arial" w:eastAsia="Arial" w:hAnsi="Arial"/>
          <w:sz w:val="18"/>
          <w:szCs w:val="18"/>
          <w:b w:val="1"/>
          <w:bCs w:val="1"/>
          <w:color w:val="auto"/>
        </w:rPr>
        <w:t>Presto Touch</w:t>
      </w:r>
      <w:r>
        <w:rPr>
          <w:rFonts w:ascii="Arial" w:cs="Arial" w:eastAsia="Arial" w:hAnsi="Arial"/>
          <w:sz w:val="18"/>
          <w:szCs w:val="18"/>
          <w:color w:val="auto"/>
        </w:rPr>
        <w:t>”) and for gaming agreements, 2) premium content, or gaming. Professional services were insignificant during the three and nine months ended March 31, 2023 and 2022.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9" w:name="page140"/>
    <w:bookmarkEnd w:id="13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 Summary of Business and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1320" w:right="459"/>
        <w:spacing w:after="0" w:line="259" w:lineRule="auto"/>
        <w:rPr>
          <w:sz w:val="20"/>
          <w:szCs w:val="20"/>
          <w:color w:val="auto"/>
        </w:rPr>
      </w:pPr>
      <w:r>
        <w:rPr>
          <w:rFonts w:ascii="Arial" w:cs="Arial" w:eastAsia="Arial" w:hAnsi="Arial"/>
          <w:sz w:val="18"/>
          <w:szCs w:val="18"/>
          <w:color w:val="auto"/>
        </w:rPr>
        <w:t>The Presto Touch is considered a single performance obligation because each element of the Presto Touch is interdependent and cannot function independently. The software and hardware for the Presto Touch represent one combined output and the customer cannot benefit from the use of one element without the other.</w:t>
      </w:r>
    </w:p>
    <w:p>
      <w:pPr>
        <w:spacing w:after="0" w:line="119" w:lineRule="exact"/>
        <w:rPr>
          <w:sz w:val="20"/>
          <w:szCs w:val="20"/>
          <w:color w:val="auto"/>
        </w:rPr>
      </w:pPr>
    </w:p>
    <w:p>
      <w:pPr>
        <w:jc w:val="both"/>
        <w:ind w:left="1320" w:right="459"/>
        <w:spacing w:after="0" w:line="269" w:lineRule="auto"/>
        <w:rPr>
          <w:sz w:val="20"/>
          <w:szCs w:val="20"/>
          <w:color w:val="auto"/>
        </w:rPr>
      </w:pPr>
      <w:r>
        <w:rPr>
          <w:rFonts w:ascii="Arial" w:cs="Arial" w:eastAsia="Arial" w:hAnsi="Arial"/>
          <w:sz w:val="17"/>
          <w:szCs w:val="17"/>
          <w:color w:val="auto"/>
        </w:rPr>
        <w:t>When the Company enters into gaming agreements, the Company’s Presto Touch includes the capability of providing entertainment services, designed (either on its own or through other subcontractors) and provided by the Company via internet, that can be purchased by diners. The games are only accessible over the internet, and upon the diner making the decision to pay for the content, the diner receives the right to access the game on the Presto Touch. Gaming fees are usage based through the diner’s use of the device and stipulated in a separate contract with the diner. Any fees that are incurred are collected by the restaurant as part of the normal payment for the dining check from the diner and remitted back to the Company, net of commissions paid to the restaurant as the sales agent. Premium content revenue, or gaming revenue, is therefore one performance obligation.</w:t>
      </w:r>
    </w:p>
    <w:p>
      <w:pPr>
        <w:spacing w:after="0" w:line="104" w:lineRule="exact"/>
        <w:rPr>
          <w:sz w:val="20"/>
          <w:szCs w:val="20"/>
          <w:color w:val="auto"/>
        </w:rPr>
      </w:pPr>
    </w:p>
    <w:p>
      <w:pPr>
        <w:jc w:val="both"/>
        <w:ind w:left="1320" w:right="459" w:hanging="434"/>
        <w:spacing w:after="0" w:line="271" w:lineRule="auto"/>
        <w:tabs>
          <w:tab w:leader="none" w:pos="1293" w:val="left"/>
        </w:tabs>
        <w:numPr>
          <w:ilvl w:val="0"/>
          <w:numId w:val="80"/>
        </w:numPr>
        <w:rPr>
          <w:rFonts w:ascii="Arial" w:cs="Arial" w:eastAsia="Arial" w:hAnsi="Arial"/>
          <w:sz w:val="17"/>
          <w:szCs w:val="17"/>
          <w:color w:val="auto"/>
        </w:rPr>
      </w:pPr>
      <w:r>
        <w:rPr>
          <w:rFonts w:ascii="Arial" w:cs="Arial" w:eastAsia="Arial" w:hAnsi="Arial"/>
          <w:sz w:val="17"/>
          <w:szCs w:val="17"/>
          <w:color w:val="auto"/>
        </w:rPr>
        <w:t>Determination of the transaction price — the Company’s MSAs stipulate the terms and conditions, and separate license agreements dictate the transaction price, and typically outlines as a price per store location or price per number of Presto Touches used. The transaction price is generally a fixed fee, with a portion due upfront upon signing of the contract and the remainder due upon installation of the Presto Touch. The transaction price for transaction revenue is a fixed fee charged per game. The Company occasionally provides consideration payable to a customer, which is recorded as a capitalized asset upon payment and included as part of deferred costs and amortized as contra-revenue over the expected customer life.</w:t>
      </w:r>
    </w:p>
    <w:p>
      <w:pPr>
        <w:spacing w:after="0" w:line="110" w:lineRule="exact"/>
        <w:rPr>
          <w:rFonts w:ascii="Arial" w:cs="Arial" w:eastAsia="Arial" w:hAnsi="Arial"/>
          <w:sz w:val="17"/>
          <w:szCs w:val="17"/>
          <w:color w:val="auto"/>
        </w:rPr>
      </w:pPr>
    </w:p>
    <w:p>
      <w:pPr>
        <w:jc w:val="both"/>
        <w:ind w:left="1320" w:right="459" w:hanging="434"/>
        <w:spacing w:after="0" w:line="259" w:lineRule="auto"/>
        <w:tabs>
          <w:tab w:leader="none" w:pos="1293"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 As the Presto Touch is one combined performance obligation, no reallocation of the contract price is required. The Company’s premium content contract is comprised of one performance obligation and does not require reallocation of the contract price.</w:t>
      </w:r>
    </w:p>
    <w:p>
      <w:pPr>
        <w:spacing w:after="0" w:line="119" w:lineRule="exact"/>
        <w:rPr>
          <w:rFonts w:ascii="Arial" w:cs="Arial" w:eastAsia="Arial" w:hAnsi="Arial"/>
          <w:sz w:val="18"/>
          <w:szCs w:val="18"/>
          <w:color w:val="auto"/>
        </w:rPr>
      </w:pPr>
    </w:p>
    <w:p>
      <w:pPr>
        <w:jc w:val="both"/>
        <w:ind w:left="1320" w:right="459" w:hanging="434"/>
        <w:spacing w:after="0" w:line="273" w:lineRule="auto"/>
        <w:tabs>
          <w:tab w:leader="none" w:pos="1293"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 — As the customer simultaneously receives and consumes the benefits provided by the Company through continuous access to its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4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The Company computes net income (loss) per share, or earnings per share (“EPS”), following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Basic EPS is measured as the income or loss available to common stockholders divided by the weighted average common shares outstanding for the period. Diluted EPS presents the dilutive effect on a per-share basis from the potential conversion of convertible securities or the exercise of options and or warrants; the dilutive impacts of potentially convertible securities are calculated using the if-converted method; the potentially dilutive effect of options or warrants are computed using the treasury stock method. Securities that are potentially an anti-dilutive effect (i.e., those that increase income per share or decrease loss per share) are excluded from diluted EPS calculation.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In February 2016, the FASB issued Topic 842 which generally requires companies to recognize operating and financing lease liabilities and corresponding ROU assets on the balance sheet. The Company adopted the standard as of July 1, 2022, using the modified retrospective approach and has elected to use the optional transition method which allows the Company to apply the guidance of ASC Topic 840, </w:t>
      </w:r>
      <w:r>
        <w:rPr>
          <w:rFonts w:ascii="Arial" w:cs="Arial" w:eastAsia="Arial" w:hAnsi="Arial"/>
          <w:sz w:val="18"/>
          <w:szCs w:val="18"/>
          <w:i w:val="1"/>
          <w:iCs w:val="1"/>
          <w:color w:val="auto"/>
        </w:rPr>
        <w:t>Leases</w:t>
      </w:r>
      <w:r>
        <w:rPr>
          <w:rFonts w:ascii="Arial" w:cs="Arial" w:eastAsia="Arial" w:hAnsi="Arial"/>
          <w:sz w:val="18"/>
          <w:szCs w:val="18"/>
          <w:color w:val="auto"/>
        </w:rPr>
        <w:t>, including disclosure requirements, in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0" w:name="page141"/>
    <w:bookmarkEnd w:id="14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 Summary of Business and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comparative periods presented. The Company elected certain practical expedients, including the option not to apply lease recognition for short-term leases; an election to not separate lease from non-lease components; and a package of practical expedients such that, upon the initial adoption of Topic 842, the Company did not reassess whether expired or existing contracts contain leases, nor did the Company reassess the lease classification for expired or existing leases. The Company did not elect the practical expedient to use hindsight in determining the lease term and in assessing impairment of ROU assets.</w:t>
      </w:r>
    </w:p>
    <w:p>
      <w:pPr>
        <w:spacing w:after="0" w:line="11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adoption of the new standard resulted in recognition of an operating lease ROU asset and operating lease liability of $0.5 million and $0.5 million, respectively, as of July 1, 2022. There was no cumulative impact of transition to retained earnings as of the adoption date. The standard did not impact the accompanying condensed consolidated statements of operations and comprehensive income (loss) and the accompanying condensed consolidated statements of cash flows.</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which simplifies the accounting for income taxes by eliminating some exceptions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general approach in ASC 740, Income Taxes in order to reduce cost and complexity of its application. The standard is effective for the Company beginning in fiscal year 2023 and interim periods in the following years. Most amendments within this guidance are required to be applied on a prospective basis, while certain amendments must be applied on a retrospective or modified retrospective basis. We adopted this guidance on July 1, 2022 and it did not have a material impact at the time of adoption on our condensed consolidated financial statements.</w:t>
      </w:r>
    </w:p>
    <w:p>
      <w:pPr>
        <w:spacing w:after="0" w:line="12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 Assets and Contract Liabilities from Contracts with Customers, </w:t>
      </w:r>
      <w:r>
        <w:rPr>
          <w:rFonts w:ascii="Arial" w:cs="Arial" w:eastAsia="Arial" w:hAnsi="Arial"/>
          <w:sz w:val="17"/>
          <w:szCs w:val="17"/>
          <w:color w:val="auto"/>
        </w:rPr>
        <w:t>which requires an acquirer to</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and measure contract assets and contract liabilities acquired in a business combination in accordance with ASC 606. The standard is effective for the Company beginning in fiscal year 2023 and interim periods within that year. We adopted this guidance on July 1, 2022 and it did not have a material impact at the time of adoption on our condensed consolidated financial statements.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Topic 326: 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 of Credit Losses on Financial Instruments (Topic 326)</w:t>
      </w:r>
      <w:r>
        <w:rPr>
          <w:rFonts w:ascii="Arial" w:cs="Arial" w:eastAsia="Arial" w:hAnsi="Arial"/>
          <w:sz w:val="16"/>
          <w:szCs w:val="16"/>
          <w:color w:val="auto"/>
        </w:rPr>
        <w:t>, which requires an entity to utilize a new</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Entities will apply the standard’s provisions as a cumulative effect adjustment to retained earnings as of the beginning of the first reporting period in which the guidance is adopted. The FASB subsequently issued ASU 2018-19, ASU 2019-04, and ASU 2019-10, which clarified the implementation guidance and effective date of Topic 326. Topic 326 is effective for the Company beginning fiscal year 2024. The Company is currently evaluating the impact of the adoption of this standard on the Company’s condensed consolidated financial statements.</w:t>
      </w:r>
    </w:p>
    <w:p>
      <w:pPr>
        <w:spacing w:after="0" w:line="87"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 xml:space="preserve">In August 2020, the FASB issued ASU 2020 06, </w:t>
      </w:r>
      <w:r>
        <w:rPr>
          <w:rFonts w:ascii="Arial" w:cs="Arial" w:eastAsia="Arial" w:hAnsi="Arial"/>
          <w:sz w:val="16"/>
          <w:szCs w:val="16"/>
          <w:i w:val="1"/>
          <w:iCs w:val="1"/>
          <w:color w:val="auto"/>
        </w:rPr>
        <w:t>Debt — Debt with Conversion and Other Options</w:t>
      </w:r>
      <w:r>
        <w:rPr>
          <w:rFonts w:ascii="Arial" w:cs="Arial" w:eastAsia="Arial" w:hAnsi="Arial"/>
          <w:sz w:val="16"/>
          <w:szCs w:val="16"/>
          <w:color w:val="auto"/>
        </w:rPr>
        <w:t xml:space="preserve"> </w:t>
      </w:r>
      <w:r>
        <w:rPr>
          <w:rFonts w:ascii="Arial" w:cs="Arial" w:eastAsia="Arial" w:hAnsi="Arial"/>
          <w:sz w:val="16"/>
          <w:szCs w:val="16"/>
          <w:i w:val="1"/>
          <w:iCs w:val="1"/>
          <w:color w:val="auto"/>
        </w:rPr>
        <w:t>(Subtopic 470-20) and Derivatives and Hedging — Contracts in Entity’s Own Equity</w:t>
      </w:r>
      <w:r>
        <w:rPr>
          <w:rFonts w:ascii="Arial" w:cs="Arial" w:eastAsia="Arial" w:hAnsi="Arial"/>
          <w:sz w:val="16"/>
          <w:szCs w:val="16"/>
          <w:color w:val="auto"/>
        </w:rPr>
        <w:t>, which simplifies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convertible debt and convertible preferred stock by removing the 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condensed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1" w:name="page142"/>
    <w:bookmarkEnd w:id="14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 Summary of Business and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In March 2020 with an update in January 2021, the FASB issued ASU 2020 04</w:t>
      </w:r>
      <w:r>
        <w:rPr>
          <w:rFonts w:ascii="Arial" w:cs="Arial" w:eastAsia="Arial" w:hAnsi="Arial"/>
          <w:sz w:val="17"/>
          <w:szCs w:val="17"/>
          <w:i w:val="1"/>
          <w:iCs w:val="1"/>
          <w:color w:val="auto"/>
        </w:rPr>
        <w:t>, Reference Rate Reform</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848): Facilitation of the Effects of Reference Rate Reform on Financial Reporting</w:t>
      </w:r>
      <w:r>
        <w:rPr>
          <w:rFonts w:ascii="Arial" w:cs="Arial" w:eastAsia="Arial" w:hAnsi="Arial"/>
          <w:sz w:val="17"/>
          <w:szCs w:val="17"/>
          <w:color w:val="auto"/>
        </w:rPr>
        <w:t>, and ASU 2021 01,</w:t>
      </w:r>
      <w:r>
        <w:rPr>
          <w:rFonts w:ascii="Arial" w:cs="Arial" w:eastAsia="Arial" w:hAnsi="Arial"/>
          <w:sz w:val="17"/>
          <w:szCs w:val="17"/>
          <w:i w:val="1"/>
          <w:iCs w:val="1"/>
          <w:color w:val="auto"/>
        </w:rPr>
        <w:t xml:space="preserve"> Reference Rate Reform (Topic 848)</w:t>
      </w:r>
      <w:r>
        <w:rPr>
          <w:rFonts w:ascii="Arial" w:cs="Arial" w:eastAsia="Arial" w:hAnsi="Arial"/>
          <w:sz w:val="17"/>
          <w:szCs w:val="17"/>
          <w:color w:val="auto"/>
        </w:rPr>
        <w:t>, which provides optional expedients and exceptions for applying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U.S. GAAP to contracts, hedging relationships, and other transactions affected by the discontinuation of the London Interbank Offered Rate (“</w:t>
      </w:r>
      <w:r>
        <w:rPr>
          <w:rFonts w:ascii="Arial" w:cs="Arial" w:eastAsia="Arial" w:hAnsi="Arial"/>
          <w:sz w:val="17"/>
          <w:szCs w:val="17"/>
          <w:b w:val="1"/>
          <w:bCs w:val="1"/>
          <w:color w:val="auto"/>
        </w:rPr>
        <w:t>LIBOR</w:t>
      </w:r>
      <w:r>
        <w:rPr>
          <w:rFonts w:ascii="Arial" w:cs="Arial" w:eastAsia="Arial" w:hAnsi="Arial"/>
          <w:sz w:val="17"/>
          <w:szCs w:val="17"/>
          <w:color w:val="auto"/>
        </w:rPr>
        <w:t>”)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 but does not expect this standard to have a material effect. The Company does not intend to adopt the standard early.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5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in the condensed consolidated balance sheets was $0.7 million and $0.5 million as of March 31, 2023 and June 30, 2022, respectively.</w:t>
      </w:r>
    </w:p>
    <w:p>
      <w:pPr>
        <w:spacing w:after="0" w:line="9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twelve-month period.</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the activity in deferred revenue:</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Deferred</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6"/>
                <w:szCs w:val="16"/>
                <w:b w:val="1"/>
                <w:bCs w:val="1"/>
                <w:color w:val="auto"/>
              </w:rPr>
              <w:t>Revenue</w:t>
            </w:r>
          </w:p>
        </w:tc>
        <w:tc>
          <w:tcPr>
            <w:tcW w:w="0" w:type="dxa"/>
            <w:vAlign w:val="bottom"/>
          </w:tcPr>
          <w:p>
            <w:pPr>
              <w:spacing w:after="0"/>
              <w:rPr>
                <w:sz w:val="1"/>
                <w:szCs w:val="1"/>
                <w:color w:val="auto"/>
              </w:rPr>
            </w:pPr>
          </w:p>
        </w:tc>
      </w:tr>
      <w:tr>
        <w:trPr>
          <w:trHeight w:val="46"/>
        </w:trPr>
        <w:tc>
          <w:tcPr>
            <w:tcW w:w="68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2021</w:t>
            </w: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(13,271)</w:t>
            </w:r>
          </w:p>
        </w:tc>
        <w:tc>
          <w:tcPr>
            <w:tcW w:w="0" w:type="dxa"/>
            <w:vAlign w:val="bottom"/>
          </w:tcPr>
          <w:p>
            <w:pPr>
              <w:spacing w:after="0"/>
              <w:rPr>
                <w:sz w:val="1"/>
                <w:szCs w:val="1"/>
                <w:color w:val="auto"/>
              </w:rPr>
            </w:pPr>
          </w:p>
        </w:tc>
      </w:tr>
      <w:tr>
        <w:trPr>
          <w:trHeight w:val="20"/>
        </w:trPr>
        <w:tc>
          <w:tcPr>
            <w:tcW w:w="68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860" w:type="dxa"/>
            <w:vAlign w:val="bottom"/>
          </w:tcPr>
          <w:p>
            <w:pPr>
              <w:spacing w:after="0"/>
              <w:rPr>
                <w:sz w:val="20"/>
                <w:szCs w:val="20"/>
                <w:color w:val="auto"/>
              </w:rPr>
            </w:pPr>
            <w:r>
              <w:rPr>
                <w:rFonts w:ascii="Arial" w:cs="Arial" w:eastAsia="Arial" w:hAnsi="Arial"/>
                <w:sz w:val="18"/>
                <w:szCs w:val="18"/>
                <w:color w:val="auto"/>
              </w:rPr>
              <w:t>Balance as of March 31, 2022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14,707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Deferred</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6"/>
                <w:szCs w:val="16"/>
                <w:b w:val="1"/>
                <w:bCs w:val="1"/>
                <w:color w:val="auto"/>
              </w:rPr>
              <w:t>Revenue</w:t>
            </w:r>
          </w:p>
        </w:tc>
        <w:tc>
          <w:tcPr>
            <w:tcW w:w="0" w:type="dxa"/>
            <w:vAlign w:val="bottom"/>
          </w:tcPr>
          <w:p>
            <w:pPr>
              <w:spacing w:after="0"/>
              <w:rPr>
                <w:sz w:val="1"/>
                <w:szCs w:val="1"/>
                <w:color w:val="auto"/>
              </w:rPr>
            </w:pPr>
          </w:p>
        </w:tc>
      </w:tr>
      <w:tr>
        <w:trPr>
          <w:trHeight w:val="46"/>
        </w:trPr>
        <w:tc>
          <w:tcPr>
            <w:tcW w:w="6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8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2022</w:t>
            </w:r>
          </w:p>
        </w:tc>
        <w:tc>
          <w:tcPr>
            <w:tcW w:w="180" w:type="dxa"/>
            <w:vAlign w:val="bottom"/>
            <w:tcBorders>
              <w:top w:val="single" w:sz="8" w:color="auto"/>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10,769</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(11,014)</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Balance as of March 31, 2023</w:t>
            </w: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860" w:type="dxa"/>
            <w:vAlign w:val="bottom"/>
            <w:vMerge w:val="continue"/>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As of March 31, 2023, approximately $2.8 million of revenue is expected to be recognized from remaining performance obligations for customer contracts. The Company expects to recognize revenue on approximately $2.5 million of these remaining performance obligations over the next 12 months with the balance recognized thereafter.</w:t>
      </w:r>
    </w:p>
    <w:p>
      <w:pPr>
        <w:spacing w:after="0" w:line="119"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On July 29, 2019, the Company entered into an arrangement with Customer A whereby it agreed to provide a $5.0 million marketing development payment once the roll out phase was completed, which occurred on June 4, 2020, with the payment coming due on July 4, 2020. This payment is treated as an offset to revenue recognized under the contract over 4 years and interest accrues on the unpaid balance at a rate of 12% per annum. The payment due on July 4, 2020 was not paid by the Company. As of March 31, 2023 and June 30, 2022, the Company had incurred $0 and $0.2 million of accrued interest expense,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2" w:name="page143"/>
    <w:bookmarkEnd w:id="14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Revenue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On September 29, 2021, the Company entered into a settlement agreement with Customer A regarding the payment of a $5.0 million marketing development payment and related accrued interest to be made to the customer and $2.0 million in handheld services to be provided to the customer under a previous contract. Through the settlement agreement, the Company agreed to provide certain alternative installation and replacement services with a value of $2.0 million and cover expenses on behalf of the customer related to a liquid ingress issue resulting from COVID-19 of $3.3 million. The liquid ingress issue was a result of the Company’s devices failure primarily due to the use of extremely strong commercial disinfectant solutions by the Company’s customers to clean the hardware devices as a mandatory precaution protocol due to COVID-19. In return, the customer agreed to reduce the payment to be made from $5.0 million to $3.2 million, waive the related accrued interest of $0.8 million and no longer request a refund on a $2.0 million payment it had previously made for handheld services. Of the amounts, $2.9 million was accounted for as contra-loss on infrequent product repairs, $2.4 million as a reduction to accounts payable for the principal and accrued interest owed, $0.3 million as a reduction to deferred revenue, and $0.2 million as prepaid interest as of and for the fiscal year ended June 30, 2021. Subsequently, $0.2 million interest expense was recognized against the prepaid interest balance, $3.2 million was recognized as a reduction to accounts payable for the payment of the outstanding marketing development amount in October 2021. Revenue relating to the installation and replacement services provided as a part of the contract modification was $0.1 million and $0.5 million for the three and nine months ended March 31, 2023, respectively, and $0.1 million and $0.5 million was recognized as revenue relating to the installation and replacement services provided as part of the contract modification for the three and nine months ended March 31, 2022. The Company will continue to offset revenue recognized based on the original $5.0 million marketing development fund.</w:t>
      </w:r>
    </w:p>
    <w:p>
      <w:pPr>
        <w:spacing w:after="0" w:line="330"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On October 29, 2021, the Company entered into an arrangement with a customer whereby it issued a warrant to purchase 404,961 shares of common stock. Refer to Note 10 for further details. The fair value of the warrant is treated as a reduction to the transaction price of the customer contract and will be recorded as contra-revenue. Contra-revenue recognized related to the warrant was $0.5 million and $1.1 million for the three and nine months ended March 31, 2023, respectively. There was no contra-revenue recognized during the three and nine months ended March 31, 2022.</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AI Platform</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Company remits a share of the gross billings from its arrangement with Customer D to its hardware and software vendor. The Company determined it is the agent in the relationship as it does not control the AI Platform hardware, software, and certain services, and is not primarily responsible for fulfilling the promise to Customer D.</w:t>
      </w:r>
    </w:p>
    <w:p>
      <w:pPr>
        <w:spacing w:after="0" w:line="11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revenue share paid to the Company’s hardware and software vendor under the Company’s AI Platform revenue share agreement ranged from 64% - 68% of the gross billings to the customer for the three and nine months ended March 31, 2023.</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Transaction Revenue</w:t>
      </w:r>
    </w:p>
    <w:p>
      <w:pPr>
        <w:spacing w:after="0" w:line="15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The commissions paid to restaurants under the Company’s gaming revenue share agreements ranged between 84% – 90% and 83% – 90% of premium content revenue by customer logo for the three and nine months ended March 31, 2023, respectively, while the commissions paid to restaurants under the Company’s gaming revenue share agreements ranged between 82% – 90% and 81% – 90% of premium content revenue by customer logo for the three and nine months ended March 31, 2022, respectively.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4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No single country other than the United States represented 10% or more of the Company’s revenue during three and nine months ended March 31, 2023 and 2022.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3" w:name="page144"/>
    <w:bookmarkEnd w:id="14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Revenue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For the three and nine months ended March 31, 2023, $0.6 million and $1.5 million of revenue was from leasing arrangements or with predominant leasing components, respectively, while for the three and nine months ended March 31, 2022, $0.5 million and $1.8 million of revenue was from leasing arrangements, respectively.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Fair Value Measurements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provides a summary of all financial instruments measured at fair value:</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4"/>
          </w:tcPr>
          <w:p>
            <w:pPr>
              <w:jc w:val="center"/>
              <w:ind w:right="12"/>
              <w:spacing w:after="0"/>
              <w:rPr>
                <w:sz w:val="20"/>
                <w:szCs w:val="20"/>
                <w:color w:val="auto"/>
              </w:rPr>
            </w:pPr>
            <w:r>
              <w:rPr>
                <w:rFonts w:ascii="Arial" w:cs="Arial" w:eastAsia="Arial" w:hAnsi="Arial"/>
                <w:sz w:val="16"/>
                <w:szCs w:val="16"/>
                <w:b w:val="1"/>
                <w:bCs w:val="1"/>
                <w:color w:val="auto"/>
                <w:w w:val="92"/>
              </w:rPr>
              <w:t>As of March 31, 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12"/>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ind w:left="100"/>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12"/>
              <w:spacing w:after="0"/>
              <w:rPr>
                <w:sz w:val="20"/>
                <w:szCs w:val="20"/>
                <w:color w:val="auto"/>
              </w:rPr>
            </w:pPr>
            <w:r>
              <w:rPr>
                <w:rFonts w:ascii="Arial" w:cs="Arial" w:eastAsia="Arial" w:hAnsi="Arial"/>
                <w:sz w:val="16"/>
                <w:szCs w:val="16"/>
                <w:b w:val="1"/>
                <w:bCs w:val="1"/>
                <w:color w:val="auto"/>
              </w:rPr>
              <w:t>Level 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6"/>
        </w:trPr>
        <w:tc>
          <w:tcPr>
            <w:tcW w:w="32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40" w:type="dxa"/>
            <w:vAlign w:val="bottom"/>
          </w:tcPr>
          <w:p>
            <w:pPr>
              <w:ind w:left="360"/>
              <w:spacing w:after="0"/>
              <w:rPr>
                <w:sz w:val="20"/>
                <w:szCs w:val="20"/>
                <w:color w:val="auto"/>
              </w:rPr>
            </w:pPr>
            <w:r>
              <w:rPr>
                <w:rFonts w:ascii="Arial" w:cs="Arial" w:eastAsia="Arial" w:hAnsi="Arial"/>
                <w:sz w:val="18"/>
                <w:szCs w:val="18"/>
                <w:color w:val="auto"/>
              </w:rPr>
              <w:t>Total financial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2,042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Financial liabilities: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Unvested founder shares liability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57"/>
        </w:trPr>
        <w:tc>
          <w:tcPr>
            <w:tcW w:w="324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financial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4"/>
          </w:tcPr>
          <w:p>
            <w:pPr>
              <w:jc w:val="center"/>
              <w:ind w:right="12"/>
              <w:spacing w:after="0"/>
              <w:rPr>
                <w:sz w:val="20"/>
                <w:szCs w:val="20"/>
                <w:color w:val="auto"/>
              </w:rPr>
            </w:pPr>
            <w:r>
              <w:rPr>
                <w:rFonts w:ascii="Arial" w:cs="Arial" w:eastAsia="Arial" w:hAnsi="Arial"/>
                <w:sz w:val="16"/>
                <w:szCs w:val="16"/>
                <w:b w:val="1"/>
                <w:bCs w:val="1"/>
                <w:color w:val="auto"/>
                <w:w w:val="90"/>
              </w:rPr>
              <w:t>As of June 30, 2022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3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12"/>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12"/>
              <w:spacing w:after="0"/>
              <w:rPr>
                <w:sz w:val="20"/>
                <w:szCs w:val="20"/>
                <w:color w:val="auto"/>
              </w:rPr>
            </w:pPr>
            <w:r>
              <w:rPr>
                <w:rFonts w:ascii="Arial" w:cs="Arial" w:eastAsia="Arial" w:hAnsi="Arial"/>
                <w:sz w:val="16"/>
                <w:szCs w:val="16"/>
                <w:b w:val="1"/>
                <w:bCs w:val="1"/>
                <w:color w:val="auto"/>
              </w:rPr>
              <w:t>Level 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7"/>
        </w:trPr>
        <w:tc>
          <w:tcPr>
            <w:tcW w:w="3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240" w:type="dxa"/>
            <w:vAlign w:val="bottom"/>
          </w:tcPr>
          <w:p>
            <w:pPr>
              <w:ind w:left="180"/>
              <w:spacing w:after="0" w:line="201" w:lineRule="exact"/>
              <w:rPr>
                <w:sz w:val="20"/>
                <w:szCs w:val="20"/>
                <w:color w:val="auto"/>
              </w:rPr>
            </w:pPr>
            <w:r>
              <w:rPr>
                <w:rFonts w:ascii="Arial" w:cs="Arial" w:eastAsia="Arial" w:hAnsi="Arial"/>
                <w:sz w:val="18"/>
                <w:szCs w:val="18"/>
                <w:color w:val="auto"/>
              </w:rPr>
              <w:t>Convertible promissory notes and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360"/>
              <w:spacing w:after="0"/>
              <w:rPr>
                <w:sz w:val="20"/>
                <w:szCs w:val="20"/>
                <w:color w:val="auto"/>
              </w:rPr>
            </w:pPr>
            <w:r>
              <w:rPr>
                <w:rFonts w:ascii="Arial" w:cs="Arial" w:eastAsia="Arial" w:hAnsi="Arial"/>
                <w:sz w:val="18"/>
                <w:szCs w:val="18"/>
                <w:color w:val="auto"/>
              </w:rPr>
              <w:t>embedded warrants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89,663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r>
        <w:trPr>
          <w:trHeight w:val="40"/>
        </w:trPr>
        <w:tc>
          <w:tcPr>
            <w:tcW w:w="3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360"/>
              <w:spacing w:after="0"/>
              <w:rPr>
                <w:sz w:val="20"/>
                <w:szCs w:val="20"/>
                <w:color w:val="auto"/>
              </w:rPr>
            </w:pPr>
            <w:r>
              <w:rPr>
                <w:rFonts w:ascii="Arial" w:cs="Arial" w:eastAsia="Arial" w:hAnsi="Arial"/>
                <w:sz w:val="18"/>
                <w:szCs w:val="18"/>
                <w:color w:val="auto"/>
              </w:rPr>
              <w:t>Total financial liabilities</w:t>
            </w: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4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93,812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93,812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Assumptions Related to Unvested Founder Share Liability</w:t>
      </w:r>
    </w:p>
    <w:p>
      <w:pPr>
        <w:spacing w:after="0" w:line="14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 fair value of the unvested founder shares liability was determined by the Company using a Monte Carlo valuation model, which requires significant estimates including the expected volatility of our common stock based on the historical volatility of comparable publicly traded companies and the risk-free rate.</w:t>
      </w:r>
    </w:p>
    <w:p>
      <w:pPr>
        <w:spacing w:after="0" w:line="9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Company estimated the fair value of the unvested founder share liability using the following weighted average assumptions: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As of</w:t>
            </w: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As of</w:t>
            </w:r>
          </w:p>
        </w:tc>
      </w:tr>
      <w:tr>
        <w:trPr>
          <w:trHeight w:val="203"/>
        </w:trPr>
        <w:tc>
          <w:tcPr>
            <w:tcW w:w="56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7"/>
              </w:rPr>
              <w:t>Merger</w:t>
            </w:r>
          </w:p>
        </w:tc>
      </w:tr>
      <w:tr>
        <w:trPr>
          <w:trHeight w:val="210"/>
        </w:trPr>
        <w:tc>
          <w:tcPr>
            <w:tcW w:w="56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2023</w:t>
            </w: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r>
      <w:tr>
        <w:trPr>
          <w:trHeight w:val="47"/>
        </w:trPr>
        <w:tc>
          <w:tcPr>
            <w:tcW w:w="562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57"/>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4.5</w:t>
            </w:r>
          </w:p>
        </w:tc>
        <w:tc>
          <w:tcPr>
            <w:tcW w:w="1320" w:type="dxa"/>
            <w:vAlign w:val="bottom"/>
            <w:gridSpan w:val="2"/>
          </w:tcPr>
          <w:p>
            <w:pPr>
              <w:jc w:val="right"/>
              <w:ind w:right="79"/>
              <w:spacing w:after="0"/>
              <w:rPr>
                <w:sz w:val="20"/>
                <w:szCs w:val="20"/>
                <w:color w:val="auto"/>
              </w:rPr>
            </w:pPr>
            <w:r>
              <w:rPr>
                <w:rFonts w:ascii="Arial" w:cs="Arial" w:eastAsia="Arial" w:hAnsi="Arial"/>
                <w:sz w:val="18"/>
                <w:szCs w:val="18"/>
                <w:color w:val="auto"/>
              </w:rPr>
              <w:t>5.0</w:t>
            </w:r>
          </w:p>
        </w:tc>
      </w:tr>
      <w:tr>
        <w:trPr>
          <w:trHeight w:val="41"/>
        </w:trPr>
        <w:tc>
          <w:tcPr>
            <w:tcW w:w="5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4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40"/>
        </w:trPr>
        <w:tc>
          <w:tcPr>
            <w:tcW w:w="56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i w:val="1"/>
          <w:iCs w:val="1"/>
          <w:color w:val="auto"/>
        </w:rPr>
        <w:t>Valuation Assumptions and Other Information Related to Convertible Promissory Notes and Embedded Warrants</w:t>
      </w:r>
    </w:p>
    <w:p>
      <w:pPr>
        <w:spacing w:after="0" w:line="103"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fair value of the convertible promissory notes and embedded warrants is determined based on “Level 3” inputs, due to a lack of market data over inputs such as the probability weighting of the various scenarios that can impact the settlement.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financing of private preferred stock, conversion upon a next financing in a public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024" w:gutter="0" w:footer="0" w:header="0"/>
        </w:sectPr>
      </w:pPr>
    </w:p>
    <w:bookmarkStart w:id="144" w:name="page145"/>
    <w:bookmarkEnd w:id="14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 Fair Value Measurements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liquidity event, conversion upon a change in control, conversion upon maturity and default. A public liquidity event is defined as the issuance and sale of shares in an initial public offering or a deSPAC. As part of the convertible promissory notes and embedded warrants valuation at each reporting date, the Company determined that credit risk associated with the convertible notes was immaterial.</w:t>
      </w:r>
    </w:p>
    <w:p>
      <w:pPr>
        <w:spacing w:after="0" w:line="11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Company elected the fair value option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condensed consolidated statement of operations and comprehensive income (loss).</w:t>
      </w:r>
    </w:p>
    <w:p>
      <w:pPr>
        <w:spacing w:after="0" w:line="107"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Company estimated the fair value of the convertible promissory notes, embedded warrants and accrued interest using the following weighted average assumptions: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ind w:left="1020"/>
              <w:spacing w:after="0"/>
              <w:rPr>
                <w:sz w:val="20"/>
                <w:szCs w:val="20"/>
                <w:color w:val="auto"/>
              </w:rPr>
            </w:pPr>
            <w:r>
              <w:rPr>
                <w:rFonts w:ascii="Arial" w:cs="Arial" w:eastAsia="Arial" w:hAnsi="Arial"/>
                <w:sz w:val="16"/>
                <w:szCs w:val="16"/>
                <w:b w:val="1"/>
                <w:bCs w:val="1"/>
                <w:color w:val="auto"/>
                <w:w w:val="90"/>
              </w:rPr>
              <w:t>As of June 30, 2022</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
        </w:trPr>
        <w:tc>
          <w:tcPr>
            <w:tcW w:w="228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182"/>
        </w:trPr>
        <w:tc>
          <w:tcPr>
            <w:tcW w:w="2280" w:type="dxa"/>
            <w:vAlign w:val="bottom"/>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2"/>
              </w:rPr>
              <w:t>Next</w:t>
            </w:r>
          </w:p>
        </w:tc>
        <w:tc>
          <w:tcPr>
            <w:tcW w:w="100" w:type="dxa"/>
            <w:vAlign w:val="bottom"/>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2"/>
              </w:rPr>
              <w:t>Next</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3"/>
        </w:trPr>
        <w:tc>
          <w:tcPr>
            <w:tcW w:w="22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Financing –</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Financing –</w:t>
            </w:r>
          </w:p>
        </w:tc>
        <w:tc>
          <w:tcPr>
            <w:tcW w:w="10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Change in</w:t>
            </w:r>
          </w:p>
        </w:tc>
        <w:tc>
          <w:tcPr>
            <w:tcW w:w="1100" w:type="dxa"/>
            <w:vAlign w:val="bottom"/>
          </w:tcPr>
          <w:p>
            <w:pPr>
              <w:jc w:val="right"/>
              <w:ind w:right="154"/>
              <w:spacing w:after="0"/>
              <w:rPr>
                <w:sz w:val="20"/>
                <w:szCs w:val="20"/>
                <w:color w:val="auto"/>
              </w:rPr>
            </w:pPr>
            <w:r>
              <w:rPr>
                <w:rFonts w:ascii="Arial" w:cs="Arial" w:eastAsia="Arial" w:hAnsi="Arial"/>
                <w:sz w:val="16"/>
                <w:szCs w:val="16"/>
                <w:b w:val="1"/>
                <w:bCs w:val="1"/>
                <w:color w:val="auto"/>
              </w:rPr>
              <w:t>Maturity</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22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3"/>
              </w:rPr>
              <w:t>Private</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Public</w:t>
            </w: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Control</w:t>
            </w:r>
          </w:p>
        </w:tc>
        <w:tc>
          <w:tcPr>
            <w:tcW w:w="1100" w:type="dxa"/>
            <w:vAlign w:val="bottom"/>
          </w:tcPr>
          <w:p>
            <w:pPr>
              <w:jc w:val="right"/>
              <w:ind w:right="294"/>
              <w:spacing w:after="0"/>
              <w:rPr>
                <w:sz w:val="20"/>
                <w:szCs w:val="20"/>
                <w:color w:val="auto"/>
              </w:rPr>
            </w:pPr>
            <w:r>
              <w:rPr>
                <w:rFonts w:ascii="Arial" w:cs="Arial" w:eastAsia="Arial" w:hAnsi="Arial"/>
                <w:sz w:val="16"/>
                <w:szCs w:val="16"/>
                <w:b w:val="1"/>
                <w:bCs w:val="1"/>
                <w:color w:val="auto"/>
              </w:rPr>
              <w:t>Date</w:t>
            </w:r>
          </w:p>
        </w:tc>
        <w:tc>
          <w:tcPr>
            <w:tcW w:w="100" w:type="dxa"/>
            <w:vAlign w:val="bottom"/>
          </w:tcPr>
          <w:p>
            <w:pPr>
              <w:spacing w:after="0"/>
              <w:rPr>
                <w:sz w:val="18"/>
                <w:szCs w:val="18"/>
                <w:color w:val="auto"/>
              </w:rPr>
            </w:pPr>
          </w:p>
        </w:tc>
        <w:tc>
          <w:tcPr>
            <w:tcW w:w="1020" w:type="dxa"/>
            <w:vAlign w:val="bottom"/>
          </w:tcPr>
          <w:p>
            <w:pPr>
              <w:ind w:left="240"/>
              <w:spacing w:after="0"/>
              <w:rPr>
                <w:sz w:val="20"/>
                <w:szCs w:val="20"/>
                <w:color w:val="auto"/>
              </w:rPr>
            </w:pPr>
            <w:r>
              <w:rPr>
                <w:rFonts w:ascii="Arial" w:cs="Arial" w:eastAsia="Arial" w:hAnsi="Arial"/>
                <w:sz w:val="16"/>
                <w:szCs w:val="16"/>
                <w:b w:val="1"/>
                <w:bCs w:val="1"/>
                <w:color w:val="auto"/>
              </w:rPr>
              <w:t>Default</w:t>
            </w:r>
          </w:p>
        </w:tc>
      </w:tr>
      <w:tr>
        <w:trPr>
          <w:trHeight w:val="46"/>
        </w:trPr>
        <w:tc>
          <w:tcPr>
            <w:tcW w:w="22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Probability of conversion</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w w:val="88"/>
              </w:rPr>
              <w:t>—</w:t>
            </w:r>
          </w:p>
        </w:tc>
      </w:tr>
      <w:tr>
        <w:trPr>
          <w:trHeight w:val="243"/>
        </w:trPr>
        <w:tc>
          <w:tcPr>
            <w:tcW w:w="22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20" w:type="dxa"/>
            <w:vAlign w:val="bottom"/>
          </w:tcPr>
          <w:p>
            <w:pPr>
              <w:jc w:val="right"/>
              <w:ind w:right="115"/>
              <w:spacing w:after="0"/>
              <w:rPr>
                <w:sz w:val="20"/>
                <w:szCs w:val="20"/>
                <w:color w:val="auto"/>
              </w:rPr>
            </w:pPr>
            <w:r>
              <w:rPr>
                <w:rFonts w:ascii="Arial" w:cs="Arial" w:eastAsia="Arial" w:hAnsi="Arial"/>
                <w:sz w:val="18"/>
                <w:szCs w:val="18"/>
                <w:color w:val="auto"/>
              </w:rPr>
              <w:t>0.3</w:t>
            </w:r>
          </w:p>
        </w:tc>
        <w:tc>
          <w:tcPr>
            <w:tcW w:w="1220" w:type="dxa"/>
            <w:vAlign w:val="bottom"/>
            <w:gridSpan w:val="2"/>
          </w:tcPr>
          <w:p>
            <w:pPr>
              <w:jc w:val="right"/>
              <w:ind w:right="117"/>
              <w:spacing w:after="0"/>
              <w:rPr>
                <w:sz w:val="20"/>
                <w:szCs w:val="20"/>
                <w:color w:val="auto"/>
              </w:rPr>
            </w:pPr>
            <w:r>
              <w:rPr>
                <w:rFonts w:ascii="Arial" w:cs="Arial" w:eastAsia="Arial" w:hAnsi="Arial"/>
                <w:sz w:val="18"/>
                <w:szCs w:val="18"/>
                <w:color w:val="auto"/>
              </w:rPr>
              <w:t>0.2</w:t>
            </w:r>
          </w:p>
        </w:tc>
        <w:tc>
          <w:tcPr>
            <w:tcW w:w="1160" w:type="dxa"/>
            <w:vAlign w:val="bottom"/>
            <w:gridSpan w:val="2"/>
          </w:tcPr>
          <w:p>
            <w:pPr>
              <w:jc w:val="right"/>
              <w:ind w:right="76"/>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r>
      <w:tr>
        <w:trPr>
          <w:trHeight w:val="41"/>
        </w:trPr>
        <w:tc>
          <w:tcPr>
            <w:tcW w:w="2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3"/>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8"/>
              </w:rPr>
              <w:t>—</w:t>
            </w:r>
          </w:p>
        </w:tc>
      </w:tr>
      <w:tr>
        <w:trPr>
          <w:trHeight w:val="40"/>
        </w:trPr>
        <w:tc>
          <w:tcPr>
            <w:tcW w:w="22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The following table sets forth a summary of the difference between the carrying amount and the fair value of Level 3 convertible promissory notes and embedded warrants for which the fair value option was elected:</w:t>
      </w:r>
    </w:p>
    <w:p>
      <w:pPr>
        <w:spacing w:after="0" w:line="9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5"/>
          </w:tcPr>
          <w:p>
            <w:pPr>
              <w:jc w:val="right"/>
              <w:ind w:right="30"/>
              <w:spacing w:after="0"/>
              <w:rPr>
                <w:sz w:val="20"/>
                <w:szCs w:val="20"/>
                <w:color w:val="auto"/>
              </w:rPr>
            </w:pPr>
            <w:r>
              <w:rPr>
                <w:rFonts w:ascii="Arial" w:cs="Arial" w:eastAsia="Arial" w:hAnsi="Arial"/>
                <w:sz w:val="16"/>
                <w:szCs w:val="16"/>
                <w:b w:val="1"/>
                <w:bCs w:val="1"/>
                <w:color w:val="auto"/>
                <w:w w:val="91"/>
              </w:rPr>
              <w:t>As of June 30, 2022</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40"/>
              <w:spacing w:after="0" w:line="182" w:lineRule="exact"/>
              <w:rPr>
                <w:sz w:val="20"/>
                <w:szCs w:val="20"/>
                <w:color w:val="auto"/>
              </w:rPr>
            </w:pPr>
            <w:r>
              <w:rPr>
                <w:rFonts w:ascii="Arial" w:cs="Arial" w:eastAsia="Arial" w:hAnsi="Arial"/>
                <w:sz w:val="16"/>
                <w:szCs w:val="16"/>
                <w:b w:val="1"/>
                <w:bCs w:val="1"/>
                <w:color w:val="auto"/>
                <w:w w:val="92"/>
              </w:rPr>
              <w:t>Amount</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Charged to</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Earnings</w:t>
            </w:r>
          </w:p>
        </w:tc>
        <w:tc>
          <w:tcPr>
            <w:tcW w:w="180" w:type="dxa"/>
            <w:vAlign w:val="bottom"/>
          </w:tcPr>
          <w:p>
            <w:pPr>
              <w:spacing w:after="0"/>
              <w:rPr>
                <w:sz w:val="18"/>
                <w:szCs w:val="18"/>
                <w:color w:val="auto"/>
              </w:rPr>
            </w:pPr>
          </w:p>
        </w:tc>
        <w:tc>
          <w:tcPr>
            <w:tcW w:w="1060" w:type="dxa"/>
            <w:vAlign w:val="bottom"/>
          </w:tcPr>
          <w:p>
            <w:pPr>
              <w:jc w:val="right"/>
              <w:ind w:right="173"/>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46"/>
        </w:trPr>
        <w:tc>
          <w:tcPr>
            <w:tcW w:w="44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promissory notes and embedded warrants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51,816</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37,847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51,816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37,847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Company had no outstanding convertible promissory notes and embedded warrants as of March 31,</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2023.</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Assumptions Related to Warrants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fair value of the warrant liabilities are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As of</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53"/>
              <w:spacing w:after="0"/>
              <w:rPr>
                <w:sz w:val="20"/>
                <w:szCs w:val="20"/>
                <w:color w:val="auto"/>
              </w:rPr>
            </w:pPr>
            <w:r>
              <w:rPr>
                <w:rFonts w:ascii="Arial" w:cs="Arial" w:eastAsia="Arial" w:hAnsi="Arial"/>
                <w:sz w:val="16"/>
                <w:szCs w:val="16"/>
                <w:b w:val="1"/>
                <w:bCs w:val="1"/>
                <w:color w:val="auto"/>
                <w:w w:val="89"/>
              </w:rPr>
              <w:t>As of</w:t>
            </w:r>
          </w:p>
        </w:tc>
      </w:tr>
      <w:tr>
        <w:trPr>
          <w:trHeight w:val="203"/>
        </w:trPr>
        <w:tc>
          <w:tcPr>
            <w:tcW w:w="28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73"/>
              <w:spacing w:after="0"/>
              <w:rPr>
                <w:sz w:val="20"/>
                <w:szCs w:val="20"/>
                <w:color w:val="auto"/>
              </w:rPr>
            </w:pPr>
            <w:r>
              <w:rPr>
                <w:rFonts w:ascii="Arial" w:cs="Arial" w:eastAsia="Arial" w:hAnsi="Arial"/>
                <w:sz w:val="16"/>
                <w:szCs w:val="16"/>
                <w:b w:val="1"/>
                <w:bCs w:val="1"/>
                <w:color w:val="auto"/>
                <w:w w:val="97"/>
              </w:rPr>
              <w:t>March 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28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153"/>
              <w:spacing w:after="0"/>
              <w:rPr>
                <w:sz w:val="20"/>
                <w:szCs w:val="20"/>
                <w:color w:val="auto"/>
              </w:rPr>
            </w:pPr>
            <w:r>
              <w:rPr>
                <w:rFonts w:ascii="Arial" w:cs="Arial" w:eastAsia="Arial" w:hAnsi="Arial"/>
                <w:sz w:val="16"/>
                <w:szCs w:val="16"/>
                <w:b w:val="1"/>
                <w:bCs w:val="1"/>
                <w:color w:val="auto"/>
                <w:w w:val="89"/>
              </w:rPr>
              <w:t>2022</w:t>
            </w:r>
          </w:p>
        </w:tc>
      </w:tr>
      <w:tr>
        <w:trPr>
          <w:trHeight w:val="46"/>
        </w:trPr>
        <w:tc>
          <w:tcPr>
            <w:tcW w:w="28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57"/>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5.93</w:t>
            </w:r>
          </w:p>
        </w:tc>
      </w:tr>
      <w:tr>
        <w:trPr>
          <w:trHeight w:val="40"/>
        </w:trPr>
        <w:tc>
          <w:tcPr>
            <w:tcW w:w="28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7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65.72%</w:t>
            </w: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41"/>
        </w:trPr>
        <w:tc>
          <w:tcPr>
            <w:tcW w:w="28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6.15</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7.48</w:t>
            </w:r>
          </w:p>
        </w:tc>
      </w:tr>
      <w:tr>
        <w:trPr>
          <w:trHeight w:val="391"/>
        </w:trPr>
        <w:tc>
          <w:tcPr>
            <w:tcW w:w="28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jc w:val="right"/>
              <w:ind w:right="1520"/>
              <w:spacing w:after="0"/>
              <w:rPr>
                <w:sz w:val="20"/>
                <w:szCs w:val="20"/>
                <w:color w:val="auto"/>
              </w:rPr>
            </w:pPr>
            <w:r>
              <w:rPr>
                <w:rFonts w:ascii="Arial" w:cs="Arial" w:eastAsia="Arial" w:hAnsi="Arial"/>
                <w:sz w:val="18"/>
                <w:szCs w:val="18"/>
                <w:color w:val="auto"/>
              </w:rPr>
              <w:t>F-22</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45" w:name="page146"/>
    <w:bookmarkEnd w:id="14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 Fair Value Measurements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Level 3 Rollforward</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sets forth a summary of changes in the fair value of the Company’s Level 3 liabilities:</w:t>
      </w:r>
    </w:p>
    <w:p>
      <w:pPr>
        <w:spacing w:after="0" w:line="22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Convertible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Promissory</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Unvested</w:t>
            </w: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Notes and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Founder</w:t>
            </w: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Embedded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Warrant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Shares</w:t>
            </w:r>
          </w:p>
        </w:tc>
      </w:tr>
      <w:tr>
        <w:trPr>
          <w:trHeight w:val="210"/>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Warrants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Liability</w:t>
            </w:r>
          </w:p>
        </w:tc>
      </w:tr>
      <w:tr>
        <w:trPr>
          <w:trHeight w:val="46"/>
        </w:trPr>
        <w:tc>
          <w:tcPr>
            <w:tcW w:w="4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62,581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Issuance of convertible promissory notes</w:t>
            </w:r>
          </w:p>
        </w:tc>
        <w:tc>
          <w:tcPr>
            <w:tcW w:w="1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1"/>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rPr>
              <w:t>Change in fair value of warrants and convertible</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4"/>
        </w:trPr>
        <w:tc>
          <w:tcPr>
            <w:tcW w:w="4360" w:type="dxa"/>
            <w:vAlign w:val="bottom"/>
          </w:tcPr>
          <w:p>
            <w:pPr>
              <w:ind w:left="180"/>
              <w:spacing w:after="0"/>
              <w:rPr>
                <w:sz w:val="20"/>
                <w:szCs w:val="20"/>
                <w:color w:val="auto"/>
              </w:rPr>
            </w:pPr>
            <w:r>
              <w:rPr>
                <w:rFonts w:ascii="Arial" w:cs="Arial" w:eastAsia="Arial" w:hAnsi="Arial"/>
                <w:sz w:val="18"/>
                <w:szCs w:val="18"/>
                <w:color w:val="auto"/>
              </w:rPr>
              <w:t>promissory notes</w:t>
            </w:r>
          </w:p>
        </w:tc>
        <w:tc>
          <w:tcPr>
            <w:tcW w:w="1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10,602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4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r>
        <w:trPr>
          <w:trHeight w:val="351"/>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Convertible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Promissory</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Unvested</w:t>
            </w: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Notes and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Founder</w:t>
            </w: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Embedded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Warrant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Shares</w:t>
            </w:r>
          </w:p>
        </w:tc>
      </w:tr>
      <w:tr>
        <w:trPr>
          <w:trHeight w:val="210"/>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Warrants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Liability</w:t>
            </w:r>
          </w:p>
        </w:tc>
      </w:tr>
      <w:tr>
        <w:trPr>
          <w:trHeight w:val="47"/>
        </w:trPr>
        <w:tc>
          <w:tcPr>
            <w:tcW w:w="4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44"/>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89,663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Reclassification of liability classified warrants to equity</w:t>
            </w: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rPr>
              <w:t>Recognition of warrants and unvested founder shares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liabilities assumed upon Merger</w:t>
            </w: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9,388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1,588</w:t>
            </w:r>
          </w:p>
        </w:tc>
        <w:tc>
          <w:tcPr>
            <w:tcW w:w="14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(1,392)</w:t>
            </w: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rPr>
              <w:t>Conversion of warrant liabilities and convertible</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4"/>
        </w:trPr>
        <w:tc>
          <w:tcPr>
            <w:tcW w:w="4360" w:type="dxa"/>
            <w:vAlign w:val="bottom"/>
          </w:tcPr>
          <w:p>
            <w:pPr>
              <w:ind w:left="180"/>
              <w:spacing w:after="0"/>
              <w:rPr>
                <w:sz w:val="20"/>
                <w:szCs w:val="20"/>
                <w:color w:val="auto"/>
              </w:rPr>
            </w:pPr>
            <w:r>
              <w:rPr>
                <w:rFonts w:ascii="Arial" w:cs="Arial" w:eastAsia="Arial" w:hAnsi="Arial"/>
                <w:sz w:val="18"/>
                <w:szCs w:val="18"/>
                <w:color w:val="auto"/>
              </w:rPr>
              <w:t>promissory notes</w:t>
            </w:r>
          </w:p>
        </w:tc>
        <w:tc>
          <w:tcPr>
            <w:tcW w:w="12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(41,392)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For the Company’s investments without readily determinable fair values, the investment is adjusted if any impairments or observable price changes are identified, which is considered fair value.</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Company measures certain non-financial assets and liabilities, including property and equipment, intangible assets, and inventory, at fair value on a non-recurring basis. Fair value measurements of non-financial assets and non-financial liabilities are used primarily in the impairment analyses of property and equipment, intangible assets and inventory.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Consolidated Balance Sheet Components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Inventories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Inventories consisted of the following:</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As of</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35"/>
              <w:spacing w:after="0"/>
              <w:rPr>
                <w:sz w:val="20"/>
                <w:szCs w:val="20"/>
                <w:color w:val="auto"/>
              </w:rPr>
            </w:pPr>
            <w:r>
              <w:rPr>
                <w:rFonts w:ascii="Arial" w:cs="Arial" w:eastAsia="Arial" w:hAnsi="Arial"/>
                <w:sz w:val="16"/>
                <w:szCs w:val="16"/>
                <w:b w:val="1"/>
                <w:bCs w:val="1"/>
                <w:color w:val="auto"/>
                <w:w w:val="84"/>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5"/>
              <w:spacing w:after="0"/>
              <w:rPr>
                <w:sz w:val="20"/>
                <w:szCs w:val="20"/>
                <w:color w:val="auto"/>
              </w:rPr>
            </w:pPr>
            <w:r>
              <w:rPr>
                <w:rFonts w:ascii="Arial" w:cs="Arial" w:eastAsia="Arial" w:hAnsi="Arial"/>
                <w:sz w:val="16"/>
                <w:szCs w:val="16"/>
                <w:b w:val="1"/>
                <w:bCs w:val="1"/>
                <w:color w:val="auto"/>
                <w:w w:val="94"/>
              </w:rPr>
              <w:t>March 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35"/>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35"/>
              <w:spacing w:after="0"/>
              <w:rPr>
                <w:sz w:val="20"/>
                <w:szCs w:val="20"/>
                <w:color w:val="auto"/>
              </w:rPr>
            </w:pPr>
            <w:r>
              <w:rPr>
                <w:rFonts w:ascii="Arial" w:cs="Arial" w:eastAsia="Arial" w:hAnsi="Arial"/>
                <w:sz w:val="16"/>
                <w:szCs w:val="16"/>
                <w:b w:val="1"/>
                <w:bCs w:val="1"/>
                <w:color w:val="auto"/>
                <w:w w:val="95"/>
              </w:rPr>
              <w:t>2022</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inventories</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6" w:name="page147"/>
    <w:bookmarkEnd w:id="14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 Consolidated Balance Sheet Components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Investments in Non-Affiliates</w:t>
      </w:r>
    </w:p>
    <w:p>
      <w:pPr>
        <w:spacing w:after="0" w:line="14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In December 2022, the Company entered into a simple agreement for future equity (SAFE) with a non-affiliated entity, with the Company making a $2.0 million investment in the entity. The non-affiliated entity is a closely held early stage technology company, focused on the research and development of voice-related AI products, which to date has been financed through equity and other SAFE investments. The Company’s investment was made to provide further financing to the non-affiliated entity’s research and development efforts. The investment does not provide for the voluntary right to redeem or automatic redemption on a stated date, nor does the Company have the right to voluntarily convert. Rather under a defined next financing, liquidity event, or dissolution conditions of the non-affiliated entity, the investment will either be converted into a future series of preferred stock of the issuer or may be redeemed for cash.</w:t>
      </w:r>
    </w:p>
    <w:p>
      <w:pPr>
        <w:spacing w:after="0" w:line="11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The Company has determined that the Company’s investment in the non-affiliate is an equity security, whereby such investment does not give the Company a controlling financial interest or significant influence over the investee. Further, the Company has determined that the Company’s investment in the non-affiliated entity represents an interest in a variable interest entity (“VIE”), for which the Company has determined it is not the primary beneficiary of such non-affiliated entity. Based on the Company’s knowledge and interaction with the non-affiliated entity, in the Company’s judgment, the activities that most significantly impact the non-affiliated entity’s economic performance are those related to the governance and management decisions regarding operations risk. The Company has determined that it does not have the power to direct such activities, because it has no participation on the board of directors of the VIE or through other ways to influence such activities. Accordingly, the Company has accounted for the investment as a financial instrument without a readily determinable fair value. Such investment is recorded using the measurement alternative for investments without readily determinable fair values, whereby the investment is measured at cost less any impairment recorded or adjustments for observable price changes. During the period ended March 31, 2023, no impairments or observable price changes were identified or recorded. The Company considers the cost of the investment to be the maximum exposure to loss as a result of its involvement with the non-affiliated entity.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Property and equipment, net consisted of the following:</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As of</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March 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2023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5"/>
              </w:rPr>
              <w:t>2022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Tablets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Computer equipment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w:t>
            </w: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1,215</w:t>
            </w:r>
          </w:p>
        </w:tc>
        <w:tc>
          <w:tcPr>
            <w:tcW w:w="140" w:type="dxa"/>
            <w:vAlign w:val="bottom"/>
          </w:tcPr>
          <w:p>
            <w:pPr>
              <w:spacing w:after="0"/>
              <w:rPr>
                <w:sz w:val="21"/>
                <w:szCs w:val="21"/>
                <w:color w:val="auto"/>
              </w:rPr>
            </w:pP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1,975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Depreciation expense was $0.4 million and $1.0 million for the three and nine months ended March 31, 2023, respectively, and $0.2 million and $1.2 million for the three and nine months ended March 31, 2022, respectively.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7" w:name="page148"/>
    <w:bookmarkEnd w:id="14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 Consolidated Balance Sheet Components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Intangible assets, net consisted of the following:</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As of</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March 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2023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5"/>
              </w:rPr>
              <w:t>2022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Domain name</w:t>
            </w: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tcPr>
          <w:p>
            <w:pPr>
              <w:ind w:left="180"/>
              <w:spacing w:after="0"/>
              <w:rPr>
                <w:sz w:val="20"/>
                <w:szCs w:val="20"/>
                <w:color w:val="auto"/>
              </w:rPr>
            </w:pPr>
            <w:r>
              <w:rPr>
                <w:rFonts w:ascii="Arial" w:cs="Arial" w:eastAsia="Arial" w:hAnsi="Arial"/>
                <w:sz w:val="18"/>
                <w:szCs w:val="18"/>
                <w:color w:val="auto"/>
              </w:rPr>
              <w:t>Intangible assets, gross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8,436</w:t>
            </w:r>
          </w:p>
        </w:tc>
        <w:tc>
          <w:tcPr>
            <w:tcW w:w="140" w:type="dxa"/>
            <w:vAlign w:val="bottom"/>
          </w:tcPr>
          <w:p>
            <w:pPr>
              <w:spacing w:after="0"/>
              <w:rPr>
                <w:sz w:val="21"/>
                <w:szCs w:val="21"/>
                <w:color w:val="auto"/>
              </w:rPr>
            </w:pP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4,226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760" w:type="dxa"/>
            <w:vAlign w:val="bottom"/>
            <w:gridSpan w:val="2"/>
          </w:tcPr>
          <w:p>
            <w:pPr>
              <w:jc w:val="right"/>
              <w:spacing w:after="0"/>
              <w:rPr>
                <w:sz w:val="20"/>
                <w:szCs w:val="20"/>
                <w:color w:val="auto"/>
              </w:rPr>
            </w:pPr>
            <w:r>
              <w:rPr>
                <w:rFonts w:ascii="Arial" w:cs="Arial" w:eastAsia="Arial" w:hAnsi="Arial"/>
                <w:sz w:val="18"/>
                <w:szCs w:val="18"/>
                <w:color w:val="auto"/>
                <w:w w:val="97"/>
              </w:rPr>
              <w:t>Intangible assets have weighted-average amortization periods as follows:</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Years</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Domain Name</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Amortization expense of intangible assets was $0.1 million and $0.3 million for the three and nine months ended March 31, 2023, respectively, and was less than $20 thousand and $70 thousand for the three and nine months ended March 31, 2022, respectively. Within capitalized software as of March 31, 2023 and June 30, 2022, $7.3 million and $2.8 million are in-process capitalized software costs, respectively, and accordingly, the amortization of such costs are excluded from the table below. During the nine months ended March 31, 2022, the Company recognized a loss on impairment of $0.1 million related to its capitalized software in cost of revenue in the Company’s condensed consolidated statement of operations and comprehensive loss.</w:t>
      </w:r>
    </w:p>
    <w:p>
      <w:pPr>
        <w:spacing w:after="0" w:line="8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future amortization expense for intangible assets was estimated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47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2620" w:type="dxa"/>
            <w:vAlign w:val="bottom"/>
          </w:tcPr>
          <w:p>
            <w:pPr>
              <w:spacing w:after="0"/>
              <w:rPr>
                <w:sz w:val="20"/>
                <w:szCs w:val="20"/>
                <w:color w:val="auto"/>
              </w:rPr>
            </w:pPr>
            <w:r>
              <w:rPr>
                <w:rFonts w:ascii="Arial" w:cs="Arial" w:eastAsia="Arial" w:hAnsi="Arial"/>
                <w:sz w:val="18"/>
                <w:szCs w:val="18"/>
                <w:color w:val="auto"/>
              </w:rPr>
              <w:t>2024</w:t>
            </w:r>
          </w:p>
        </w:tc>
        <w:tc>
          <w:tcPr>
            <w:tcW w:w="4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40"/>
        </w:trPr>
        <w:tc>
          <w:tcPr>
            <w:tcW w:w="2620" w:type="dxa"/>
            <w:vAlign w:val="bottom"/>
          </w:tcPr>
          <w:p>
            <w:pPr>
              <w:spacing w:after="0"/>
              <w:rPr>
                <w:sz w:val="3"/>
                <w:szCs w:val="3"/>
                <w:color w:val="auto"/>
              </w:rPr>
            </w:pPr>
          </w:p>
        </w:tc>
        <w:tc>
          <w:tcPr>
            <w:tcW w:w="4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4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43"/>
        </w:trPr>
        <w:tc>
          <w:tcPr>
            <w:tcW w:w="2620" w:type="dxa"/>
            <w:vAlign w:val="bottom"/>
          </w:tcPr>
          <w:p>
            <w:pPr>
              <w:spacing w:after="0"/>
              <w:rPr>
                <w:sz w:val="20"/>
                <w:szCs w:val="20"/>
                <w:color w:val="auto"/>
              </w:rPr>
            </w:pPr>
            <w:r>
              <w:rPr>
                <w:rFonts w:ascii="Arial" w:cs="Arial" w:eastAsia="Arial" w:hAnsi="Arial"/>
                <w:sz w:val="18"/>
                <w:szCs w:val="18"/>
                <w:color w:val="auto"/>
              </w:rPr>
              <w:t>2026</w:t>
            </w:r>
          </w:p>
        </w:tc>
        <w:tc>
          <w:tcPr>
            <w:tcW w:w="4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40"/>
        </w:trPr>
        <w:tc>
          <w:tcPr>
            <w:tcW w:w="2620" w:type="dxa"/>
            <w:vAlign w:val="bottom"/>
          </w:tcPr>
          <w:p>
            <w:pPr>
              <w:spacing w:after="0"/>
              <w:rPr>
                <w:sz w:val="3"/>
                <w:szCs w:val="3"/>
                <w:color w:val="auto"/>
              </w:rPr>
            </w:pPr>
          </w:p>
        </w:tc>
        <w:tc>
          <w:tcPr>
            <w:tcW w:w="4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2027</w:t>
            </w:r>
          </w:p>
        </w:tc>
        <w:tc>
          <w:tcPr>
            <w:tcW w:w="4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2620" w:type="dxa"/>
            <w:vAlign w:val="bottom"/>
          </w:tcPr>
          <w:p>
            <w:pPr>
              <w:spacing w:after="0"/>
              <w:rPr>
                <w:sz w:val="20"/>
                <w:szCs w:val="20"/>
                <w:color w:val="auto"/>
              </w:rPr>
            </w:pPr>
            <w:r>
              <w:rPr>
                <w:rFonts w:ascii="Arial" w:cs="Arial" w:eastAsia="Arial" w:hAnsi="Arial"/>
                <w:sz w:val="18"/>
                <w:szCs w:val="18"/>
                <w:color w:val="auto"/>
              </w:rPr>
              <w:t>Thereafter</w:t>
            </w:r>
          </w:p>
        </w:tc>
        <w:tc>
          <w:tcPr>
            <w:tcW w:w="4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26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4"/>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r>
      <w:tr>
        <w:trPr>
          <w:trHeight w:val="378"/>
        </w:trPr>
        <w:tc>
          <w:tcPr>
            <w:tcW w:w="2620" w:type="dxa"/>
            <w:vAlign w:val="bottom"/>
            <w:tcBorders>
              <w:top w:val="single" w:sz="8" w:color="CCEEFF"/>
              <w:bottom w:val="single" w:sz="8" w:color="auto"/>
            </w:tcBorders>
          </w:tcPr>
          <w:p>
            <w:pPr>
              <w:spacing w:after="0"/>
              <w:rPr>
                <w:sz w:val="24"/>
                <w:szCs w:val="24"/>
                <w:color w:val="auto"/>
              </w:rPr>
            </w:pPr>
          </w:p>
        </w:tc>
        <w:tc>
          <w:tcPr>
            <w:tcW w:w="4240" w:type="dxa"/>
            <w:vAlign w:val="bottom"/>
            <w:tcBorders>
              <w:top w:val="single" w:sz="8" w:color="CCEEFF"/>
              <w:bottom w:val="single" w:sz="8" w:color="auto"/>
            </w:tcBorders>
          </w:tcPr>
          <w:p>
            <w:pPr>
              <w:ind w:left="1260"/>
              <w:spacing w:after="0"/>
              <w:rPr>
                <w:sz w:val="20"/>
                <w:szCs w:val="20"/>
                <w:color w:val="auto"/>
              </w:rPr>
            </w:pPr>
            <w:r>
              <w:rPr>
                <w:rFonts w:ascii="Arial" w:cs="Arial" w:eastAsia="Arial" w:hAnsi="Arial"/>
                <w:sz w:val="18"/>
                <w:szCs w:val="18"/>
                <w:color w:val="auto"/>
              </w:rPr>
              <w:t>F-25</w:t>
            </w:r>
          </w:p>
        </w:tc>
        <w:tc>
          <w:tcPr>
            <w:tcW w:w="4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48" w:name="page149"/>
    <w:bookmarkEnd w:id="14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 Consolidated Balance Sheet Components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Accrued liabilities consisted of the following:</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As of</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33"/>
              <w:spacing w:after="0"/>
              <w:rPr>
                <w:sz w:val="20"/>
                <w:szCs w:val="20"/>
                <w:color w:val="auto"/>
              </w:rPr>
            </w:pPr>
            <w:r>
              <w:rPr>
                <w:rFonts w:ascii="Arial" w:cs="Arial" w:eastAsia="Arial" w:hAnsi="Arial"/>
                <w:sz w:val="16"/>
                <w:szCs w:val="16"/>
                <w:b w:val="1"/>
                <w:bCs w:val="1"/>
                <w:color w:val="auto"/>
                <w:w w:val="84"/>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94"/>
              </w:rPr>
              <w:t>March 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33"/>
              <w:spacing w:after="0"/>
              <w:rPr>
                <w:sz w:val="20"/>
                <w:szCs w:val="20"/>
                <w:color w:val="auto"/>
              </w:rPr>
            </w:pPr>
            <w:r>
              <w:rPr>
                <w:rFonts w:ascii="Arial" w:cs="Arial" w:eastAsia="Arial" w:hAnsi="Arial"/>
                <w:sz w:val="16"/>
                <w:szCs w:val="16"/>
                <w:b w:val="1"/>
                <w:bCs w:val="1"/>
                <w:color w:val="auto"/>
                <w:w w:val="95"/>
              </w:rPr>
              <w:t>2022</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vacation</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Operating lease liability, current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repair cost (Refer to Note 8)</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sales tax</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Accrued other</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Other Long-term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00" w:type="dxa"/>
            <w:vAlign w:val="bottom"/>
          </w:tcPr>
          <w:p>
            <w:pPr>
              <w:ind w:left="420"/>
              <w:spacing w:after="0"/>
              <w:rPr>
                <w:sz w:val="20"/>
                <w:szCs w:val="20"/>
                <w:color w:val="auto"/>
              </w:rPr>
            </w:pPr>
            <w:r>
              <w:rPr>
                <w:rFonts w:ascii="Arial" w:cs="Arial" w:eastAsia="Arial" w:hAnsi="Arial"/>
                <w:sz w:val="18"/>
                <w:szCs w:val="18"/>
                <w:color w:val="auto"/>
              </w:rPr>
              <w:t>Other long-term liabilities consisted of the following: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As of</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133"/>
              <w:spacing w:after="0"/>
              <w:rPr>
                <w:sz w:val="20"/>
                <w:szCs w:val="20"/>
                <w:color w:val="auto"/>
              </w:rPr>
            </w:pPr>
            <w:r>
              <w:rPr>
                <w:rFonts w:ascii="Arial" w:cs="Arial" w:eastAsia="Arial" w:hAnsi="Arial"/>
                <w:sz w:val="16"/>
                <w:szCs w:val="16"/>
                <w:b w:val="1"/>
                <w:bCs w:val="1"/>
                <w:color w:val="auto"/>
                <w:w w:val="84"/>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94"/>
              </w:rPr>
              <w:t>March 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33"/>
              <w:spacing w:after="0"/>
              <w:rPr>
                <w:sz w:val="20"/>
                <w:szCs w:val="20"/>
                <w:color w:val="auto"/>
              </w:rPr>
            </w:pPr>
            <w:r>
              <w:rPr>
                <w:rFonts w:ascii="Arial" w:cs="Arial" w:eastAsia="Arial" w:hAnsi="Arial"/>
                <w:sz w:val="16"/>
                <w:szCs w:val="16"/>
                <w:b w:val="1"/>
                <w:bCs w:val="1"/>
                <w:color w:val="auto"/>
                <w:w w:val="95"/>
              </w:rPr>
              <w:t>2022</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founder shares liability</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long-term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Leases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As of March 31, 2023, the Company recorded a right of use asset of $0.6 million within other long-term assets on the condensed consolidated balance sheet. As of March 31, 2023, the Company also recorded operating lease liabilities of $0.6 million, of which $0.3 million and $0.2 million were included in accrued liabilities and other long-term liabilities, respectively, on the condensed consolidated balance sheet. The Company adopted ASC 842 on July 1, 2022, and accordingly, no amounts were recorded for right of use assets or operating lease liabilities as of June 30, 2022. Refer to Note 1 for further details.</w:t>
      </w:r>
    </w:p>
    <w:p>
      <w:pPr>
        <w:spacing w:after="0" w:line="110"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For the three and nine months ended March 31, 2023, the Company recorded operating lease costs of $0.1 million and $0.3 million, respectively. The operating lease costs for the three and nine months ended March 31, 2023 included variable operating lease costs of less than $0.1 million and $0.1 million, respectively.</w:t>
      </w:r>
    </w:p>
    <w:p>
      <w:pPr>
        <w:spacing w:after="0" w:line="8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Supplemental information related to the Company’s operating lease was as follows for the nine months ended March 31, 2023:</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cash flows used for operating lease</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332</w:t>
            </w:r>
          </w:p>
        </w:tc>
      </w:tr>
      <w:tr>
        <w:trPr>
          <w:trHeight w:val="280"/>
        </w:trPr>
        <w:tc>
          <w:tcPr>
            <w:tcW w:w="5580" w:type="dxa"/>
            <w:vAlign w:val="bottom"/>
          </w:tcPr>
          <w:p>
            <w:pPr>
              <w:spacing w:after="0"/>
              <w:rPr>
                <w:sz w:val="20"/>
                <w:szCs w:val="20"/>
                <w:color w:val="auto"/>
              </w:rPr>
            </w:pPr>
            <w:r>
              <w:rPr>
                <w:rFonts w:ascii="Arial" w:cs="Arial" w:eastAsia="Arial" w:hAnsi="Arial"/>
                <w:sz w:val="18"/>
                <w:szCs w:val="18"/>
                <w:color w:val="auto"/>
              </w:rPr>
              <w:t>Operating lease liability arising from obtaining ROU asset</w:t>
            </w:r>
            <w:r>
              <w:rPr>
                <w:rFonts w:ascii="Arial" w:cs="Arial" w:eastAsia="Arial" w:hAnsi="Arial"/>
                <w:sz w:val="20"/>
                <w:szCs w:val="20"/>
                <w:color w:val="auto"/>
                <w:vertAlign w:val="superscript"/>
              </w:rPr>
              <w:t>(1)</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570</w:t>
            </w:r>
          </w:p>
        </w:tc>
      </w:tr>
      <w:tr>
        <w:trPr>
          <w:trHeight w:val="26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1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 years</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880" w:right="459" w:hanging="426"/>
        <w:spacing w:after="0" w:line="278" w:lineRule="auto"/>
        <w:tabs>
          <w:tab w:leader="none" w:pos="8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Amount includes $0.5 million related to the adoption of ASC 842 for existing operating leases on July 1, 2022, and $0.3 million related to the Company entering into a new non-cancelable operating lease agreement during the nine months ended March 31, 2023.</w:t>
      </w:r>
    </w:p>
    <w:p>
      <w:pPr>
        <w:sectPr>
          <w:pgSz w:w="11900" w:h="16838" w:orient="portrait"/>
          <w:cols w:equalWidth="0" w:num="1">
            <w:col w:w="9019"/>
          </w:cols>
          <w:pgMar w:left="1440" w:top="274"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9" w:name="page150"/>
    <w:bookmarkEnd w:id="14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640" w:hanging="186"/>
        <w:spacing w:after="0"/>
        <w:tabs>
          <w:tab w:leader="none" w:pos="6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Future minimum lease payments under the Company’s non-cancelable operating leases with an initial lease term in excess of one year subsequent to March 31, 2023 are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4"/>
              </w:rPr>
              <w:t>As of</w:t>
            </w:r>
          </w:p>
        </w:tc>
      </w:tr>
      <w:tr>
        <w:trPr>
          <w:trHeight w:val="203"/>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March 31,</w:t>
            </w:r>
          </w:p>
        </w:tc>
      </w:tr>
      <w:tr>
        <w:trPr>
          <w:trHeight w:val="210"/>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5"/>
              </w:rPr>
              <w:t>2023</w:t>
            </w:r>
          </w:p>
        </w:tc>
        <w:tc>
          <w:tcPr>
            <w:tcW w:w="140" w:type="dxa"/>
            <w:vAlign w:val="bottom"/>
          </w:tcPr>
          <w:p>
            <w:pPr>
              <w:spacing w:after="0"/>
              <w:rPr>
                <w:sz w:val="18"/>
                <w:szCs w:val="18"/>
                <w:color w:val="auto"/>
              </w:rPr>
            </w:pPr>
          </w:p>
        </w:tc>
      </w:tr>
      <w:tr>
        <w:trPr>
          <w:trHeight w:val="47"/>
        </w:trPr>
        <w:tc>
          <w:tcPr>
            <w:tcW w:w="68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68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75"/>
        </w:trPr>
        <w:tc>
          <w:tcPr>
            <w:tcW w:w="68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37"/>
        </w:trPr>
        <w:tc>
          <w:tcPr>
            <w:tcW w:w="68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Gross lease payments</w:t>
            </w: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40" w:type="dxa"/>
            <w:vAlign w:val="bottom"/>
            <w:tcBorders>
              <w:top w:val="single" w:sz="8" w:color="CCEEFF"/>
            </w:tcBorders>
          </w:tcPr>
          <w:p>
            <w:pPr>
              <w:spacing w:after="0"/>
              <w:rPr>
                <w:sz w:val="20"/>
                <w:szCs w:val="20"/>
                <w:color w:val="auto"/>
              </w:rPr>
            </w:pPr>
          </w:p>
        </w:tc>
      </w:tr>
      <w:tr>
        <w:trPr>
          <w:trHeight w:val="40"/>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0"/>
        </w:trPr>
        <w:tc>
          <w:tcPr>
            <w:tcW w:w="68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r>
      <w:tr>
        <w:trPr>
          <w:trHeight w:val="20"/>
        </w:trPr>
        <w:tc>
          <w:tcPr>
            <w:tcW w:w="68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44"/>
        </w:trPr>
        <w:tc>
          <w:tcPr>
            <w:tcW w:w="6860" w:type="dxa"/>
            <w:vAlign w:val="bottom"/>
          </w:tcPr>
          <w:p>
            <w:pPr>
              <w:spacing w:after="0"/>
              <w:rPr>
                <w:sz w:val="20"/>
                <w:szCs w:val="20"/>
                <w:color w:val="auto"/>
              </w:rPr>
            </w:pPr>
            <w:r>
              <w:rPr>
                <w:rFonts w:ascii="Arial" w:cs="Arial" w:eastAsia="Arial" w:hAnsi="Arial"/>
                <w:sz w:val="18"/>
                <w:szCs w:val="18"/>
                <w:color w:val="auto"/>
              </w:rPr>
              <w:t>Present value of net future minimum lease payments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4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 xml:space="preserve">Under the previous lease accounting standard ASC 840, </w:t>
      </w:r>
      <w:r>
        <w:rPr>
          <w:rFonts w:ascii="Arial" w:cs="Arial" w:eastAsia="Arial" w:hAnsi="Arial"/>
          <w:sz w:val="17"/>
          <w:szCs w:val="17"/>
          <w:i w:val="1"/>
          <w:iCs w:val="1"/>
          <w:color w:val="auto"/>
        </w:rPr>
        <w:t>Leases</w:t>
      </w:r>
      <w:r>
        <w:rPr>
          <w:rFonts w:ascii="Arial" w:cs="Arial" w:eastAsia="Arial" w:hAnsi="Arial"/>
          <w:sz w:val="17"/>
          <w:szCs w:val="17"/>
          <w:color w:val="auto"/>
        </w:rPr>
        <w:t>, the aggregate future minimum lease payments under the Company’s non-cancelable operating lease, as of June 30, 2022, was as follows:</w:t>
      </w:r>
    </w:p>
    <w:p>
      <w:pPr>
        <w:spacing w:after="0" w:line="10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34"/>
              <w:spacing w:after="0"/>
              <w:rPr>
                <w:sz w:val="20"/>
                <w:szCs w:val="20"/>
                <w:color w:val="auto"/>
              </w:rPr>
            </w:pPr>
            <w:r>
              <w:rPr>
                <w:rFonts w:ascii="Arial" w:cs="Arial" w:eastAsia="Arial" w:hAnsi="Arial"/>
                <w:sz w:val="16"/>
                <w:szCs w:val="16"/>
                <w:b w:val="1"/>
                <w:bCs w:val="1"/>
                <w:color w:val="auto"/>
                <w:w w:val="84"/>
              </w:rPr>
              <w:t>As of</w:t>
            </w:r>
          </w:p>
        </w:tc>
        <w:tc>
          <w:tcPr>
            <w:tcW w:w="0" w:type="dxa"/>
            <w:vAlign w:val="bottom"/>
          </w:tcPr>
          <w:p>
            <w:pPr>
              <w:spacing w:after="0"/>
              <w:rPr>
                <w:sz w:val="1"/>
                <w:szCs w:val="1"/>
                <w:color w:val="auto"/>
              </w:rPr>
            </w:pPr>
          </w:p>
        </w:tc>
      </w:tr>
      <w:tr>
        <w:trPr>
          <w:trHeight w:val="203"/>
        </w:trPr>
        <w:tc>
          <w:tcPr>
            <w:tcW w:w="6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34"/>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34"/>
              <w:spacing w:after="0"/>
              <w:rPr>
                <w:sz w:val="20"/>
                <w:szCs w:val="20"/>
                <w:color w:val="auto"/>
              </w:rPr>
            </w:pPr>
            <w:r>
              <w:rPr>
                <w:rFonts w:ascii="Arial" w:cs="Arial" w:eastAsia="Arial" w:hAnsi="Arial"/>
                <w:sz w:val="16"/>
                <w:szCs w:val="16"/>
                <w:b w:val="1"/>
                <w:bCs w:val="1"/>
                <w:color w:val="auto"/>
                <w:w w:val="95"/>
              </w:rPr>
              <w:t>2022</w:t>
            </w:r>
          </w:p>
        </w:tc>
        <w:tc>
          <w:tcPr>
            <w:tcW w:w="0" w:type="dxa"/>
            <w:vAlign w:val="bottom"/>
          </w:tcPr>
          <w:p>
            <w:pPr>
              <w:spacing w:after="0"/>
              <w:rPr>
                <w:sz w:val="1"/>
                <w:szCs w:val="1"/>
                <w:color w:val="auto"/>
              </w:rPr>
            </w:pPr>
          </w:p>
        </w:tc>
      </w:tr>
      <w:tr>
        <w:trPr>
          <w:trHeight w:val="46"/>
        </w:trPr>
        <w:tc>
          <w:tcPr>
            <w:tcW w:w="68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40"/>
        </w:trPr>
        <w:tc>
          <w:tcPr>
            <w:tcW w:w="68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840" w:type="dxa"/>
            <w:vAlign w:val="bottom"/>
            <w:vMerge w:val="continue"/>
          </w:tcPr>
          <w:p>
            <w:pPr>
              <w:spacing w:after="0"/>
              <w:rPr>
                <w:sz w:val="21"/>
                <w:szCs w:val="21"/>
                <w:color w:val="auto"/>
              </w:rPr>
            </w:pPr>
          </w:p>
        </w:tc>
        <w:tc>
          <w:tcPr>
            <w:tcW w:w="2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Rent expense for the three and nine months ended March 31, 2022 was $0.1 million and $0.3 million, respectively.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 Financing Obligations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Company’s financing obligations, net of discounts, consist of the following:</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As of</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As of</w:t>
            </w:r>
          </w:p>
        </w:tc>
      </w:t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March 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2023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5"/>
              </w:rPr>
              <w:t>2022</w:t>
            </w:r>
          </w:p>
        </w:tc>
        <w:tc>
          <w:tcPr>
            <w:tcW w:w="140" w:type="dxa"/>
            <w:vAlign w:val="bottom"/>
          </w:tcPr>
          <w:p>
            <w:pPr>
              <w:spacing w:after="0"/>
              <w:rPr>
                <w:sz w:val="18"/>
                <w:szCs w:val="18"/>
                <w:color w:val="auto"/>
              </w:rPr>
            </w:pPr>
          </w:p>
        </w:tc>
      </w:tr>
      <w:tr>
        <w:trPr>
          <w:trHeight w:val="47"/>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Receivable financing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Equipment financing facility</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2,929</w:t>
            </w:r>
          </w:p>
        </w:tc>
        <w:tc>
          <w:tcPr>
            <w:tcW w:w="14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financing obligations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Less: financing obligations, current</w:t>
            </w:r>
          </w:p>
        </w:tc>
        <w:tc>
          <w:tcPr>
            <w:tcW w:w="1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(3,720)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(8,840)</w:t>
            </w:r>
          </w:p>
        </w:tc>
      </w:tr>
      <w:tr>
        <w:trPr>
          <w:trHeight w:val="27"/>
        </w:trPr>
        <w:tc>
          <w:tcPr>
            <w:tcW w:w="5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financing obligations, noncurrent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Receivable Financing Facility</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On April 27, 2021, the Company entered into an investment arrangement in which the Company provides future receivables available to an outside investor to invest in, in exchange for an upfront payment. Through this arrangement, the Company obtains financing in the form of a large upfront payment, which the Company accounts for as a borrowing by recording the proceeds received as a financing obligation, which will be repaid through payments collected from accounts receivable debtors relating to future receivables. The financing obligation is non-recourse; however, the Company is responsible for collections as the Company must first collect payments from the debtors and remit them to the investor. The Company recognizes interest on the financed amount using the effective interest method. The effective interest rate is the interest rate that equates the present value of the cash amounts to be received by the investor with the present value of the cash amounts paid by the investor to the Company. The receivable financing facility has a term of 5 years and the arrangement allows the Company and the financier to mutually agree to roll forward the Company’s borrowings as they come due.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0" w:name="page151"/>
    <w:bookmarkEnd w:id="15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6. Financing Obligations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On August 15, 2021, November 16, 2021, February 22, 2022, May 31, 2022, and August 18, 2022, in accordance with the terms of the receivable financing facility, the Company rolled forward the receivable financing facility, enabling the Company to continue its quarterly borrowings for a minimum of a rolling twelve-months. Subject to the approval of the financier, the Company may continue rolling forward the receivable financing facility.</w:t>
      </w:r>
    </w:p>
    <w:p>
      <w:pPr>
        <w:spacing w:after="0" w:line="12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On April 15, 2023, the Company entered into an amended and restated investment arrangement to amend the payment due dates and periodic payment amounts to be made under the investment agreement. The amended arrangement calls for payments of principal and interest of $0.7 million, $3.5 million and $0.9 million in fiscal years 2023, 2024 and 2025, respectively.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Equipment Financing Facility</w:t>
      </w:r>
    </w:p>
    <w:p>
      <w:pPr>
        <w:spacing w:after="0" w:line="13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Beginning in 2019, the Company entered into arrangements with third party financiers to secure payments of certain tablet purchases. Such arrangements generally have terms ranging from three — five years and interest rates ranging from 8% – 14%. The Company then leases the tablets monetized by the financiers to one of its customers through operating leases that have 4-year terms.</w:t>
      </w:r>
    </w:p>
    <w:p>
      <w:pPr>
        <w:spacing w:after="0" w:line="92"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In fiscal year 2022 and during the nine months ended March 31, 2023, due to the Company’s liquidity position and other commitments, the Company postponed certain payments on certain arrangements with third party financiers, which resulted in the Company defaulting on said arrangements. The Company remedied the matter via repayment agreements with its third-party financiers, as discussed below.</w:t>
      </w:r>
    </w:p>
    <w:p>
      <w:pPr>
        <w:spacing w:after="0" w:line="90"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On November 4, 2022, the Company executed an amendment with one of its third-party financiers to defer the non-payments, which increased the monthly payments due for the remaining term of the arrangement.</w:t>
      </w:r>
    </w:p>
    <w:p>
      <w:pPr>
        <w:spacing w:after="0" w:line="2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On November 21, 2022, the Company entered into an agreement to early terminate one of its third-party financiers’ arrangement. The Company repaid such arrangement by making a cash disbursement of $0.4 million, which extinguished all obligations and resulted in $0.3 million being recorded as a loss on extinguishment of debt and financial obligations on the condensed consolidated statement of operations and comprehensive income (loss).</w:t>
      </w:r>
    </w:p>
    <w:p>
      <w:pPr>
        <w:spacing w:after="0" w:line="93"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As a result of the amendment executed on November 4, 2022 and early termination executed on November 21, 2022, the default on payments due as described above has been waived and the Company is in compliance as of March 31, 2023. We have classified all of our obligations under these arrangements as short-term within financing obligations, current as of March 31, 2023 and June 30, 2022.</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 Debt Arrangements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Company’s outstanding debt, net of debt discounts, consists of the following:</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As of</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As of</w:t>
            </w:r>
          </w:p>
        </w:tc>
      </w:t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March 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2023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5"/>
              </w:rPr>
              <w:t>2022</w:t>
            </w:r>
          </w:p>
        </w:tc>
        <w:tc>
          <w:tcPr>
            <w:tcW w:w="140" w:type="dxa"/>
            <w:vAlign w:val="bottom"/>
          </w:tcPr>
          <w:p>
            <w:pPr>
              <w:spacing w:after="0"/>
              <w:rPr>
                <w:sz w:val="18"/>
                <w:szCs w:val="18"/>
                <w:color w:val="auto"/>
              </w:rPr>
            </w:pPr>
          </w:p>
        </w:tc>
      </w:tr>
      <w:tr>
        <w:trPr>
          <w:trHeight w:val="47"/>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Term loans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53,979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25,443</w:t>
            </w:r>
          </w:p>
        </w:tc>
        <w:tc>
          <w:tcPr>
            <w:tcW w:w="14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75"/>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PPP Loan</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37"/>
        </w:trPr>
        <w:tc>
          <w:tcPr>
            <w:tcW w:w="56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debt</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53,979</w:t>
            </w:r>
          </w:p>
        </w:tc>
        <w:tc>
          <w:tcPr>
            <w:tcW w:w="1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117,106</w:t>
            </w:r>
          </w:p>
        </w:tc>
        <w:tc>
          <w:tcPr>
            <w:tcW w:w="140" w:type="dxa"/>
            <w:vAlign w:val="bottom"/>
            <w:tcBorders>
              <w:top w:val="single" w:sz="8" w:color="CCEEFF"/>
            </w:tcBorders>
          </w:tcPr>
          <w:p>
            <w:pPr>
              <w:spacing w:after="0"/>
              <w:rPr>
                <w:sz w:val="20"/>
                <w:szCs w:val="20"/>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0"/>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debt, current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(115,106)</w:t>
            </w:r>
          </w:p>
        </w:tc>
      </w:tr>
      <w:tr>
        <w:trPr>
          <w:trHeight w:val="20"/>
        </w:trPr>
        <w:tc>
          <w:tcPr>
            <w:tcW w:w="56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44"/>
        </w:trPr>
        <w:tc>
          <w:tcPr>
            <w:tcW w:w="5600" w:type="dxa"/>
            <w:vAlign w:val="bottom"/>
          </w:tcPr>
          <w:p>
            <w:pPr>
              <w:ind w:left="180"/>
              <w:spacing w:after="0"/>
              <w:rPr>
                <w:sz w:val="20"/>
                <w:szCs w:val="20"/>
                <w:color w:val="auto"/>
              </w:rPr>
            </w:pPr>
            <w:r>
              <w:rPr>
                <w:rFonts w:ascii="Arial" w:cs="Arial" w:eastAsia="Arial" w:hAnsi="Arial"/>
                <w:sz w:val="18"/>
                <w:szCs w:val="18"/>
                <w:color w:val="auto"/>
              </w:rPr>
              <w:t>Total debt,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21"/>
                <w:szCs w:val="2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On September 21, 2022, in connection with the consummation of the Merger, the Company entered into a Credit Agreement (the “Credit Agreement”) with the subsidiary guarantors party thereto, Metropolitan Partners Group Administration, LLC, as administrative, payment and collateral agent (the “Agent”), the lenders (“Lenders”) and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1" w:name="page152"/>
    <w:bookmarkEnd w:id="15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 Debt Arrangements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other parties party thereto, pursuant to which the Lenders extended term loans having an aggregate original principal amount of $55.0 million (the “Term Loans”). In March 2023, the Company entered into a First Amendment to Credit Agreement (the “First Amendment”) in which the parties amended certain covenants and payment provisions of the existing Credit Agreement. In connection with the First Amendment, the Company entered into the Amended and Restated Fee Letter (the “Fee Letter”) with Metropolitan, pursuant to which Presto paid an amendment fee equal to $0.2 million and granted warrants to purchase 400,000 shares of Presto common stock with an exercise price of $0.01 per share, to Metropolitan Levered Partners Fund VII, LP, Metropolitan Partners Fund VII, LP, Metropolitan Offshore Partners Fund VII, LP and CEOF Holdings LP (the “Metropolitan Entities”). The Company recorded additional debt discount of $0.8 million which represents the fees paid plus the fair value of the warrants and recorded the warrants as liabilities.</w:t>
      </w:r>
    </w:p>
    <w:p>
      <w:pPr>
        <w:spacing w:after="0" w:line="11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Term Loans were borrowed in full on September 21, 2022. 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 nine months after the closing date, the Company may elect for 100% of the interest payment to be capitalized as PIK Interest on a monthly basis. With respect to interest accruing after the nine month anniversary of the closing date, but before the 18 month anniversary of the closing date, the Company may elect for 50% of the interest payment to be capitalized as PIK Interest on a monthly basis. The Term Loans mature on March 21, 2025.</w:t>
      </w:r>
    </w:p>
    <w:p>
      <w:pPr>
        <w:spacing w:after="0" w:line="10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Term Loans may be prepaid by the Company; however, any voluntary or mandatory prepayment made prior to the 18 month anniversary of the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 month anniversary of the closing date. The Term Loans may not be reborrowed once repaid. The Company is required to pay the Agent certain upfront fees and administrative fees in connection with the Term Loans. The Company’s obligations under the Credit Agreement are secured by substantially all of the Company’s assets.</w:t>
      </w:r>
    </w:p>
    <w:p>
      <w:pPr>
        <w:spacing w:after="0" w:line="111"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The Company must comply with certain financial covenants as set forth in the Credit Agreement, including a minimum cash covenant and maximum net leverage ratio of 1.20 to 1.00. The minimum cash covenant requires us to maintain cash in a separate account in an amount equal to the prior six months of operating expenses plus $1.1 million. The Company was unable to comply with these financial covenants and, as noted below, have obtained a waiver.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The Company is also restricted from paying dividends or making other distributions or payments on its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On March 31, 2023, the Company obtained a waiver, pursuant to the First Amendment noted above, of the minimum cash covenant for February 28, 2023 and March 31, 2023, the net leverage ratio for the period from February 28, 2023 through May 31, 2023 and any default occurring from the separation of the Company’s chief executive officer from the Board of Directors in March 2023. The Company is seeking a further waiver in conjunction with its efforts to raise additional financing. The Company is in compliance with all other applicable covenants. However, since the Company cannot be certain it will be in compliance with all covenants in the next twelve months if additional financing is not secured, the Company has classified the balance of the Credit Agreement as current on the condensed consolidated balance sheet as of March 31, 2023.</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2" w:name="page153"/>
    <w:bookmarkEnd w:id="15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 Debt Arrangements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In conjunction with the Credit Agreement, the Company issued 1,500,000 warrants to purchase common stock to the Lenders. Such warrants were determined to be equity classified and the Company recorded the value associated with such warrants of $2.1 million within additional paid in capital, with an offsetting debt discount being recorded. Refer to Note 10 for further details on the aforementioned warrants.</w:t>
      </w:r>
    </w:p>
    <w:p>
      <w:pPr>
        <w:spacing w:after="0" w:line="10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As a condition to entering into the Credit Agreement, the Sponsors agreed to transfer 600,000 Presto Automation Inc. shares to the Lender to the Credit Agreement. The share transfer by the Sponsor to the Lenders to the Credit Agreement was such that the substance of the transaction was that the Sponsors made a capital contribution to the Company, and the Company then made a share-based payment to the Lenders as an incentive for the Lenders to enter into the Credit Agreement. Accordingly, the Company recorded the transaction as debt issuance costs discount of $2.8 million in condensed consolidated balance sheet with an offsetting increase to additional paid-in capital for the contribution.</w:t>
      </w:r>
    </w:p>
    <w:p>
      <w:pPr>
        <w:spacing w:after="0" w:line="9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Company incurred other debt issuance costs associated with professional services and fees paid to the lender of $1.0 million in conjunction with the signing of the Credit Agreement which were recorded as a debt discount.</w:t>
      </w:r>
    </w:p>
    <w:p>
      <w:pPr>
        <w:spacing w:after="0" w:line="116"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During the three and nine months ended March 31, 2023, the Company recorded PIK interest expense amounts of $2.2 million and $4.6 million, respectively, which has been reflected as an increase to the outstanding debt balance. Further, during the three and nine months ended March 31, 2023 the Company recorded interest expense associated with the amortization of debt discounts of $0.6 million and $1.2 million, respectively. Accordingly, as at March 31, 2023, the term loans, noncurrent balance of $54.0 million reflects $55.0 million of principal and $4.6 million of PIK interest accrual, reduced by $5.5 million of unamortized debt issuance costs. The Company had no outstanding amounts related to the Credit Agreement as of June 30, 2022.</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As of June 30, 2022, the Company had $89.7 million of convertible notes outstanding to various investors, all of which were accounted for under the fair value option. In conjunction with the Merger all convertible promissory notes converted into shares of common stock. Further on the date of the Merger, certain convertible notes which were together with warrants also had the related warrants converted into shares of common stock. As a consequence of the note and warrant conversion, 8,147,938 shares of common stock were issued. Immediately prior to conversion, the convertible promissory notes were remeasured to the then fair value of $41.4 million, resulting in a gain on remeasurement of $48.3 million which was recorded within change in fair value of warrants and convertible promissory notes on the condensed consolidated statement of operations and comprehensive income (loss) for the nine months ended March 31, 2023. As a consequence of the conversion, $41.4 million was reclassified into additional paid-in capital. Accordingly, there were no remeasurement effects related to the convertible promissory notes, as such notes were longer outstanding during three month period ended March 31, 2023.</w:t>
      </w:r>
    </w:p>
    <w:p>
      <w:pPr>
        <w:spacing w:after="0" w:line="9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During the nine months ended March 31, 2022 the Company issued the July 2021 notes for $0.5 million of convertible promissory notes and issued the February 2022 notes for $25.7 million and repaid the June 2021 notes for $20.0 million with the February 2022 notes. During the three and nine months ended March 31, 2022, the Company recorded a gain on remeasurement of $19.2 million and loss of $10.6 million, respectively, on all outstanding convertible promissory notes, which were recorded within change in fair value of warrants and convertible promissory notes on the condensed consolidated statement of operations and comprehensive income (loss).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 Loans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Horizon Term Loan</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On March 4, 2021, the Company entered into a loan agreement (the “Horizon Loan”) with Horizon Technology Finance Corporation, which provided the Company with $15.0 million, bears interest at prime rate plus 6.5% per annum, and has a term of 54 months from each loan funding date. The Horizon Loan payment terms require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3" w:name="page154"/>
    <w:bookmarkEnd w:id="15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 Debt Arrangements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w:t>
      </w:r>
    </w:p>
    <w:p>
      <w:pPr>
        <w:spacing w:after="0" w:line="12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connection with the entry into the Credit Agreement (described above), on September 21, 2022 the Company repaid the Horizon Loan making a cash disbursement of $17.0 million, of which $15.0 million was repayment of principal and $0.6 million was payment of interest expense and accrued interest. Further on the date of the Merger, $1.7 million was recorded as a loss on extinguishment of debt and financial obligations on the condensed consolidated statement of operations and comprehensive income (loss) for the nine months ended March 31, 2023.</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Lago Term Loans</w:t>
      </w:r>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On March 11, 2022, the Company entered into a loan agreement (the “Lago Loan”) with Lago Innovation Fund I &amp; II, LLC, which provided the Company with $12.6 million, bears interest at the greater of 12% plus the greater of 1% or 30 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 fee, dependent on the time of prepayment. The Lago Loan contains financial covenants that require the maintenance of unrestricted cash plus accounts receivable balance and achievement of quarterly bookings targets. The Company issued 205,602 warrants to purchase common stock with the Lago Loan. Refer to Note 10 for further details.</w:t>
      </w:r>
    </w:p>
    <w:p>
      <w:pPr>
        <w:spacing w:after="0" w:line="11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On August 4, 2022, the Company amended the Lago Loan which provided the Company with $5.3 million. Further, as part of the amendment to the Lago Loan, the Company issued an additional 169,310 warrants to purchase common stock with the additional tranche. The Company determined that the amendment with the lender should be accounted for as an extinguishment and recorded as a loss on extinguishment of debt and financial obligations of $6.0 million on its condensed consolidated statement of operations and comprehensive income (loss) for the nine months ended March 31, 2023.</w:t>
      </w:r>
    </w:p>
    <w:p>
      <w:pPr>
        <w:spacing w:after="0" w:line="11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connection with the entry into the Credit Agreement (described above) on September 21, 2022, the Company repaid all outstanding loans by making a cash disbursement of $22.4 million, of which $17.9 million was repayment of principal and $0.1 million was payment of payable in kind interest. Further $4.4 million of cash was paid related to prepayment and other penalties.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Paycheck Protection Program Loans</w:t>
      </w:r>
    </w:p>
    <w:p>
      <w:pPr>
        <w:spacing w:after="0" w:line="144"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color w:val="auto"/>
        </w:rPr>
        <w:t>In April 2020, we obtained a Paycheck Protection Program (“PPP”) loan for $2.6 million through the U.S. Small Business Administration. In March 2021, a second PPP loan was obtained in the amount of $2.0 million, for a total of $4.6 million received in PPP loans. The loans were to be fully forgiven if the funds received were used for payroll costs, interest on mortgages, rent, and utilities, with at least 60% being used for payroll. The Company utilized the funds for these purposes and applied for loan forgiveness of the PPP funds. The Company’s accounting policy provides that if the loans are forgiven, the forgiven loan balance will be recognized as income in the period of forgiveness. During the nine months ended March 31, 2022, the Company received forgiveness of the first PPP loan of $2.6 million and recognized income on forgiveness within other income, net. During the nine months ended March 31, 2023, the Company received forgiveness of the second</w:t>
      </w:r>
    </w:p>
    <w:p>
      <w:pPr>
        <w:spacing w:after="0" w:line="6" w:lineRule="exact"/>
        <w:rPr>
          <w:sz w:val="20"/>
          <w:szCs w:val="20"/>
          <w:color w:val="auto"/>
        </w:rPr>
      </w:pPr>
    </w:p>
    <w:p>
      <w:pPr>
        <w:ind w:left="4340" w:right="2139" w:hanging="3886"/>
        <w:spacing w:after="0" w:line="522" w:lineRule="auto"/>
        <w:tabs>
          <w:tab w:leader="none" w:pos="799" w:val="left"/>
        </w:tabs>
        <w:numPr>
          <w:ilvl w:val="0"/>
          <w:numId w:val="83"/>
        </w:numPr>
        <w:rPr>
          <w:rFonts w:ascii="Arial" w:cs="Arial" w:eastAsia="Arial" w:hAnsi="Arial"/>
          <w:sz w:val="17"/>
          <w:szCs w:val="17"/>
          <w:color w:val="auto"/>
        </w:rPr>
      </w:pPr>
      <w:r>
        <w:rPr>
          <w:rFonts w:ascii="Arial" w:cs="Arial" w:eastAsia="Arial" w:hAnsi="Arial"/>
          <w:sz w:val="17"/>
          <w:szCs w:val="17"/>
          <w:color w:val="auto"/>
        </w:rPr>
        <w:t>loan of $2.0 million and recognized income on forgiveness within other income, net. 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-144780</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4" w:name="page155"/>
    <w:bookmarkEnd w:id="15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 Debt Arrangements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Future principal payments on debt for the Company’s fiscal years were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94"/>
              <w:spacing w:after="0"/>
              <w:rPr>
                <w:sz w:val="20"/>
                <w:szCs w:val="20"/>
                <w:color w:val="auto"/>
              </w:rPr>
            </w:pPr>
            <w:r>
              <w:rPr>
                <w:rFonts w:ascii="Arial" w:cs="Arial" w:eastAsia="Arial" w:hAnsi="Arial"/>
                <w:sz w:val="16"/>
                <w:szCs w:val="16"/>
                <w:b w:val="1"/>
                <w:bCs w:val="1"/>
                <w:color w:val="auto"/>
                <w:w w:val="84"/>
              </w:rPr>
              <w:t>As of</w:t>
            </w: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94"/>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94"/>
              <w:spacing w:after="0"/>
              <w:rPr>
                <w:sz w:val="20"/>
                <w:szCs w:val="20"/>
                <w:color w:val="auto"/>
              </w:rPr>
            </w:pPr>
            <w:r>
              <w:rPr>
                <w:rFonts w:ascii="Arial" w:cs="Arial" w:eastAsia="Arial" w:hAnsi="Arial"/>
                <w:sz w:val="16"/>
                <w:szCs w:val="16"/>
                <w:b w:val="1"/>
                <w:bCs w:val="1"/>
                <w:color w:val="auto"/>
                <w:w w:val="95"/>
              </w:rPr>
              <w:t>2023</w:t>
            </w:r>
          </w:p>
        </w:tc>
        <w:tc>
          <w:tcPr>
            <w:tcW w:w="0" w:type="dxa"/>
            <w:vAlign w:val="bottom"/>
          </w:tcPr>
          <w:p>
            <w:pPr>
              <w:spacing w:after="0"/>
              <w:rPr>
                <w:sz w:val="1"/>
                <w:szCs w:val="1"/>
                <w:color w:val="auto"/>
              </w:rPr>
            </w:pPr>
          </w:p>
        </w:tc>
      </w:tr>
      <w:tr>
        <w:trPr>
          <w:trHeight w:val="46"/>
        </w:trPr>
        <w:tc>
          <w:tcPr>
            <w:tcW w:w="49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 (remaining)</w:t>
            </w:r>
          </w:p>
        </w:tc>
        <w:tc>
          <w:tcPr>
            <w:tcW w:w="2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2024</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49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Total future payments on debt obligations</w:t>
            </w:r>
          </w:p>
        </w:tc>
        <w:tc>
          <w:tcPr>
            <w:tcW w:w="2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8. Commitments and Contingencies</w:t>
            </w:r>
          </w:p>
        </w:tc>
        <w:tc>
          <w:tcPr>
            <w:tcW w:w="1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92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Warranties, Indemnification, and Contingencies</w:t>
      </w:r>
    </w:p>
    <w:p>
      <w:pPr>
        <w:spacing w:after="0" w:line="15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The Company enters into service level agreements with customers which warrant defined levels of uptime and support response times and permit those customers to receive credits for prepaid amounts in the event that those performance and response levels are not met. In the three and nine months ended March 31, 2023, the Company has incurred costs to refurbish customer tablets of $0.3 million and $1.2 million, respectively, while in the three and nine months ended March 31, 2022, the Company incurred costs to refurbish customer tablets of $0.8 million and $2.8 million, respectively, recorded in cost of platform revenue in the Company’s condensed consolidated statement of operations and comprehensive income (loss). In connection with the service level agreements, the Company has recorded $0.3 million and $0.7 million in accrued liabilities in the condensed consolidated balance sheets for expected repair costs for customer tablets currently in the Company’s return merchandise authorization process as of March 31, 2023 and June 30, 2022, respectively.</w:t>
      </w:r>
    </w:p>
    <w:p>
      <w:pPr>
        <w:spacing w:after="0" w:line="101"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platform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spacing w:after="0" w:line="8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Loss on Infrequent Product Repairs</w:t>
      </w:r>
    </w:p>
    <w:p>
      <w:pPr>
        <w:spacing w:after="0" w:line="158"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During the nine months ended March 31, 2022, the Company continued to experience higher than normal hardware returns for repair or replacement using a Return Merchandise Authorization (“</w:t>
      </w:r>
      <w:r>
        <w:rPr>
          <w:rFonts w:ascii="Arial" w:cs="Arial" w:eastAsia="Arial" w:hAnsi="Arial"/>
          <w:sz w:val="16"/>
          <w:szCs w:val="16"/>
          <w:b w:val="1"/>
          <w:bCs w:val="1"/>
          <w:color w:val="auto"/>
        </w:rPr>
        <w:t>RMA</w:t>
      </w:r>
      <w:r>
        <w:rPr>
          <w:rFonts w:ascii="Arial" w:cs="Arial" w:eastAsia="Arial" w:hAnsi="Arial"/>
          <w:sz w:val="16"/>
          <w:szCs w:val="16"/>
          <w:color w:val="auto"/>
        </w:rPr>
        <w:t>”). While the Company has incurred RMA charges in the past, the volume of repair charges was extremely unusual and very high due to a liquid ingress issue resulting from COVID-19 related actions by the Company’s customers. The Company’s devices failed primarily due to the use of extremely strong commercial disinfectant solutions by the Company’s customers to clean the hardware devices as a mandatory precaution protocol due to COVID-19. Due to use of commercial cleaning products, the solution leaked into the hardware causing significant damage to the devices and requiring replacement of such devices.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5" w:name="page156"/>
    <w:bookmarkEnd w:id="15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 Commitments and Contingencies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 standard warranty the Company provides covers regular wear and tear and does not cover any damage caused by mishandling of the product. However, given the nature of issues, the Company, in order to prevent disruption to the Company’s customers’ businesses, incurred approximately $0.1 million and $0.6 million of repair and replacement expenses related to this issue during the three and nine months ended March 31, 2022, respectively. The Company provided repair and replacement of its hardware devices to all of its customers as a one-time only offer due to COVID-19. The Company has also made a claim to recover the costs from its third-party subcontractor who manufactures the hardware. The Company incurred no repair and replacement expenses related to this issue in the three and nine months ended March 31, 2023.</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the Company does not have any such matters that, if resolved unfavorably, would have a material impact on its financial condition, results of operations or cash flows.</w:t>
      </w:r>
    </w:p>
    <w:p>
      <w:pPr>
        <w:spacing w:after="0" w:line="87"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In February 2022, the Company was added as a co-defendant in a patent infringement lawsuit that was brought against Hi Auto, Inc. (“Hi Auto”) by Valyant AI, Inc. (“Valyant”) in December 2021, alleging infringement of Valyant’s patent relating to a speech-based/natural language order process system. The claims against the Company relate to the Company’s alleged inclusion of Hi Auto’s technology in the AI voice ordering system the Company uses for one of its customers. The lawsuit seeks to enjoin the co-defendants from continued alleged infringement and seeks unspecified statutory and other damages. A motion to dismiss is currently pending in the matter, as is a petition by Hi Auto challenging the validity of Valyant’s patent. Valyant itself is seeking a reissue of its patent to correct a priority date issue, which may result in amendments to the claims and further validity challenges based on additional prior art made relevant by a later priority date for some or all claims that may be examined or issued. The court has stayed the infringement action pending an initial decision on Hi Auto’s petition challenging the validity of the patent. The Company intends to vigorously defend all claims asserted against it. Because of the early stages of the proceedings, the Company currently is unable to predict the outcome of the lawsuit or to estimate the range of loss, if any, that could result were there to be an unfavorable outcome, but also believes that it has rights to indemnification from Hi Auto in such event.</w:t>
      </w:r>
    </w:p>
    <w:p>
      <w:pPr>
        <w:spacing w:after="0" w:line="10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In June 2022, the Company received a favorable arbitrator ruling related to a matter with its third-party subcontractor and was awarded approximately $11.3 million in damages related to the Company’s loss on infrequent product repairs and to cover its legal expenses. This arbitration ruling was affirmed by the appellate court in the country of the arbitration ruling on March 6, 2023. On May 2, 2023, the vendor appealed the ruling to the highest court there. The award has not met the criteria to be considered realizable as of March 31, 2023. As a result, the Company has not recognized any gain related to this settlement in its condensed consolidated statement of operations and comprehensive income (loss).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 Stockholders’ Deficit</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Effective with the closing of the Merger the Company restated its articles of incorporation. Under the amended and restated articles of incorporation the Company is authorized to issue 180,000,000 shares of common stock and 1,500,000 shares of preferred stock. The holders of common stock shall have the right to one vote for each share of common stock held. The holders of non-voting common stock do not have the right to vote on any matter.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6" w:name="page157"/>
    <w:bookmarkEnd w:id="15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9. Stockholders’ Deficit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On September 15, 2022, the Company (then Legacy Presto), received an equity investment of $1.0 million from an investor in exchange for 133,333 shares in the Company. Further, such investor held a significant portion of outstanding convertible notes on the date the investment was made. The Company recorded the proceeds received as an increase to additional paid-in capital. On September 21, 2022, in connection with the closing of the Merger, Ventoux and Legacy Presto and a proposed convertible note lender (“Silver Rock”) agreed to terminate the proposed amended and restated convertible note subscription agreement, dated July 25, 2022, which was to be funded at the closing of the Merger. Pursuant to the termination agreement, Silver Rock agreed to the termination in exchange for 400,000 shares of common stock of Legacy Presto which were converted into 322,868 shares of Company common stock pursuant to the terms of the Merger Agreement. The share transfer was determined to be termination fee valued at $1.6 million recorded within other financing and financial instrument (costs) income, net on the condensed consolidated statement of operations and comprehensive income (loss), with an offsetting increase to additional paid-in capital. The Company also agreed to pay certain expenses of Silver Rock in the amount of $0.5 million which is recorded within other financing and financial instrument (costs) income, net on the condensed consolidated statement of operations and comprehensive income (loss). In addition to the consideration transferred directly by the Company, 500,000 warrants to purchase common stock, held by the Sponsors, were transferred to Silver Rock. The substance of the warrant transfer by the Sponsor to Silver Rock under the termination agreement was such that the Sponsors made a capital contribution to the Company, and the Company then made a share-based payment to Silver Rock in exchange for termination of the convertible note agreement. Accordingly, the Company recorded the transaction as another financing cost of $0.8 million within other financing and financial instrument (costs) income, net on the condensed consolidated statement of operations and comprehensive income (loss) with an offsetting increase to additional paid-in capital for the contribution.</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has the following shares of common stock reserved for future issuance:</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4"/>
              </w:rPr>
              <w:t>As of</w:t>
            </w:r>
          </w:p>
        </w:tc>
      </w:tr>
      <w:tr>
        <w:trPr>
          <w:trHeight w:val="203"/>
        </w:trPr>
        <w:tc>
          <w:tcPr>
            <w:tcW w:w="68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March 31,</w:t>
            </w:r>
          </w:p>
        </w:tc>
      </w:tr>
      <w:tr>
        <w:trPr>
          <w:trHeight w:val="210"/>
        </w:trPr>
        <w:tc>
          <w:tcPr>
            <w:tcW w:w="68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5"/>
              </w:rPr>
              <w:t>2023</w:t>
            </w:r>
          </w:p>
        </w:tc>
      </w:tr>
      <w:tr>
        <w:trPr>
          <w:trHeight w:val="46"/>
        </w:trPr>
        <w:tc>
          <w:tcPr>
            <w:tcW w:w="686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18,815,453</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Common stock options and RSUs</w:t>
            </w:r>
          </w:p>
        </w:tc>
        <w:tc>
          <w:tcPr>
            <w:tcW w:w="1240" w:type="dxa"/>
            <w:vAlign w:val="bottom"/>
          </w:tcPr>
          <w:p>
            <w:pPr>
              <w:jc w:val="right"/>
              <w:spacing w:after="0"/>
              <w:rPr>
                <w:sz w:val="20"/>
                <w:szCs w:val="20"/>
                <w:color w:val="auto"/>
              </w:rPr>
            </w:pPr>
            <w:r>
              <w:rPr>
                <w:rFonts w:ascii="Arial" w:cs="Arial" w:eastAsia="Arial" w:hAnsi="Arial"/>
                <w:sz w:val="18"/>
                <w:szCs w:val="18"/>
                <w:color w:val="auto"/>
              </w:rPr>
              <w:t>14,390,934</w:t>
            </w:r>
          </w:p>
        </w:tc>
      </w:tr>
      <w:tr>
        <w:trPr>
          <w:trHeight w:val="40"/>
        </w:trPr>
        <w:tc>
          <w:tcPr>
            <w:tcW w:w="68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awards available for future grants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4,617,400</w:t>
            </w: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Earnout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14,639,187</w:t>
            </w:r>
          </w:p>
        </w:tc>
      </w:tr>
      <w:tr>
        <w:trPr>
          <w:trHeight w:val="27"/>
        </w:trPr>
        <w:tc>
          <w:tcPr>
            <w:tcW w:w="68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52,462,974</w:t>
            </w:r>
          </w:p>
        </w:tc>
      </w:tr>
      <w:tr>
        <w:trPr>
          <w:trHeight w:val="20"/>
        </w:trPr>
        <w:tc>
          <w:tcPr>
            <w:tcW w:w="6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 Warrants</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Since inception, the Company has issued warrants in conjunction with various debt financings. The Company accounts for its warrants in accordance with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 Liability-classified warrants are remeasured at each reporting date until settlement, with changes in the fair value recognized in change in fair value of warrants and convertible promissory notes in the condensed consolidated statement of operations and comprehensive income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spacing w:after="0" w:line="10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During the period from June 30, 2022, through the date of the Merger, the Company had various warrant transactions:</w:t>
      </w:r>
    </w:p>
    <w:p>
      <w:pPr>
        <w:spacing w:after="0" w:line="103" w:lineRule="exact"/>
        <w:rPr>
          <w:sz w:val="20"/>
          <w:szCs w:val="20"/>
          <w:color w:val="auto"/>
        </w:rPr>
      </w:pPr>
    </w:p>
    <w:p>
      <w:pPr>
        <w:ind w:left="1320" w:right="459" w:hanging="434"/>
        <w:spacing w:after="0" w:line="342" w:lineRule="auto"/>
        <w:tabs>
          <w:tab w:leader="none" w:pos="1316"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issuance of 169,309 warrants to purchase common stock in conjunction with an amendment to the warrant agreement with Lago Loan, such amendment occurring in August of 2022.</w:t>
      </w:r>
    </w:p>
    <w:p>
      <w:pPr>
        <w:spacing w:after="0" w:line="56" w:lineRule="exact"/>
        <w:rPr>
          <w:rFonts w:ascii="Arial" w:cs="Arial" w:eastAsia="Arial" w:hAnsi="Arial"/>
          <w:sz w:val="16"/>
          <w:szCs w:val="16"/>
          <w:color w:val="auto"/>
        </w:rPr>
      </w:pPr>
    </w:p>
    <w:p>
      <w:pPr>
        <w:ind w:left="1320" w:right="459" w:hanging="434"/>
        <w:spacing w:after="0" w:line="277" w:lineRule="auto"/>
        <w:tabs>
          <w:tab w:leader="none" w:pos="1316"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September 2022, the holder of 141,970 warrants net exercised such warrants with the Company issuing 136,681 common shares to the holder.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7" w:name="page158"/>
    <w:bookmarkEnd w:id="15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720" w:hanging="266"/>
        <w:spacing w:after="0"/>
        <w:tabs>
          <w:tab w:leader="none" w:pos="72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(cont.)</w:t>
      </w:r>
    </w:p>
    <w:p>
      <w:pPr>
        <w:spacing w:after="0" w:line="188" w:lineRule="exact"/>
        <w:rPr>
          <w:rFonts w:ascii="Arial" w:cs="Arial" w:eastAsia="Arial" w:hAnsi="Arial"/>
          <w:sz w:val="18"/>
          <w:szCs w:val="18"/>
          <w:b w:val="1"/>
          <w:bCs w:val="1"/>
          <w:color w:val="auto"/>
        </w:rPr>
      </w:pPr>
    </w:p>
    <w:p>
      <w:pPr>
        <w:ind w:left="1320" w:hanging="434"/>
        <w:spacing w:after="0"/>
        <w:tabs>
          <w:tab w:leader="none" w:pos="1320"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The issuance at the Merger date of 1,500,000 warrants to the Lenders to the Credit Agreement.</w:t>
      </w:r>
    </w:p>
    <w:p>
      <w:pPr>
        <w:spacing w:after="0" w:line="169" w:lineRule="exact"/>
        <w:rPr>
          <w:rFonts w:ascii="Arial" w:cs="Arial" w:eastAsia="Arial" w:hAnsi="Arial"/>
          <w:sz w:val="17"/>
          <w:szCs w:val="17"/>
          <w:color w:val="auto"/>
        </w:rPr>
      </w:pPr>
    </w:p>
    <w:p>
      <w:pPr>
        <w:ind w:left="1320" w:hanging="434"/>
        <w:spacing w:after="0"/>
        <w:tabs>
          <w:tab w:leader="none" w:pos="13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With the Merger, the Company assumed 8,625,000 public warrants and 6,125,000 private warrants.</w:t>
      </w:r>
    </w:p>
    <w:p>
      <w:pPr>
        <w:spacing w:after="0" w:line="167" w:lineRule="exact"/>
        <w:rPr>
          <w:rFonts w:ascii="Arial" w:cs="Arial" w:eastAsia="Arial" w:hAnsi="Arial"/>
          <w:sz w:val="16"/>
          <w:szCs w:val="16"/>
          <w:color w:val="auto"/>
        </w:rPr>
      </w:pPr>
    </w:p>
    <w:p>
      <w:pPr>
        <w:jc w:val="both"/>
        <w:ind w:left="1320" w:right="459" w:hanging="434"/>
        <w:spacing w:after="0" w:line="263" w:lineRule="auto"/>
        <w:tabs>
          <w:tab w:leader="none" w:pos="1316" w:val="left"/>
        </w:tabs>
        <w:numPr>
          <w:ilvl w:val="1"/>
          <w:numId w:val="85"/>
        </w:numPr>
        <w:rPr>
          <w:rFonts w:ascii="Arial" w:cs="Arial" w:eastAsia="Arial" w:hAnsi="Arial"/>
          <w:sz w:val="18"/>
          <w:szCs w:val="18"/>
          <w:color w:val="auto"/>
        </w:rPr>
      </w:pPr>
      <w:r>
        <w:rPr>
          <w:rFonts w:ascii="Arial" w:cs="Arial" w:eastAsia="Arial" w:hAnsi="Arial"/>
          <w:sz w:val="18"/>
          <w:szCs w:val="18"/>
          <w:color w:val="auto"/>
        </w:rPr>
        <w:t>With the consummation of the Merger and the repayment of the Horizon loan, 294,725 of previously liability classified warrants were reclassified on the Merger date into equity in the amount of $0.8 million.</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tables represent the warrants on common stock outstanding:</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5"/>
          </w:tcPr>
          <w:p>
            <w:pPr>
              <w:jc w:val="center"/>
              <w:ind w:left="511"/>
              <w:spacing w:after="0"/>
              <w:rPr>
                <w:sz w:val="20"/>
                <w:szCs w:val="20"/>
                <w:color w:val="auto"/>
              </w:rPr>
            </w:pPr>
            <w:r>
              <w:rPr>
                <w:rFonts w:ascii="Arial" w:cs="Arial" w:eastAsia="Arial" w:hAnsi="Arial"/>
                <w:sz w:val="16"/>
                <w:szCs w:val="16"/>
                <w:b w:val="1"/>
                <w:bCs w:val="1"/>
                <w:color w:val="auto"/>
                <w:w w:val="92"/>
              </w:rPr>
              <w:t>As of March 31, 2023</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6"/>
        </w:trPr>
        <w:tc>
          <w:tcPr>
            <w:tcW w:w="208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182"/>
        </w:trPr>
        <w:tc>
          <w:tcPr>
            <w:tcW w:w="2080" w:type="dxa"/>
            <w:vAlign w:val="bottom"/>
          </w:tcPr>
          <w:p>
            <w:pPr>
              <w:spacing w:after="0"/>
              <w:rPr>
                <w:sz w:val="15"/>
                <w:szCs w:val="15"/>
                <w:color w:val="auto"/>
              </w:rPr>
            </w:pPr>
          </w:p>
        </w:tc>
        <w:tc>
          <w:tcPr>
            <w:tcW w:w="12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7"/>
              </w:rPr>
              <w:t>Expiration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160"/>
              <w:spacing w:after="0" w:line="182" w:lineRule="exact"/>
              <w:rPr>
                <w:sz w:val="20"/>
                <w:szCs w:val="20"/>
                <w:color w:val="auto"/>
              </w:rPr>
            </w:pPr>
            <w:r>
              <w:rPr>
                <w:rFonts w:ascii="Arial" w:cs="Arial" w:eastAsia="Arial" w:hAnsi="Arial"/>
                <w:sz w:val="16"/>
                <w:szCs w:val="16"/>
                <w:b w:val="1"/>
                <w:bCs w:val="1"/>
                <w:color w:val="auto"/>
                <w:w w:val="88"/>
              </w:rPr>
              <w:t>Exercise</w:t>
            </w:r>
          </w:p>
        </w:tc>
        <w:tc>
          <w:tcPr>
            <w:tcW w:w="8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2"/>
              </w:rPr>
              <w:t>Number of</w:t>
            </w:r>
          </w:p>
        </w:tc>
        <w:tc>
          <w:tcPr>
            <w:tcW w:w="460" w:type="dxa"/>
            <w:vAlign w:val="bottom"/>
          </w:tcPr>
          <w:p>
            <w:pPr>
              <w:spacing w:after="0"/>
              <w:rPr>
                <w:sz w:val="15"/>
                <w:szCs w:val="15"/>
                <w:color w:val="auto"/>
              </w:rPr>
            </w:pPr>
          </w:p>
        </w:tc>
        <w:tc>
          <w:tcPr>
            <w:tcW w:w="8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7"/>
              </w:rPr>
              <w:t>Term</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0"/>
        </w:trPr>
        <w:tc>
          <w:tcPr>
            <w:tcW w:w="20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date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Price</w:t>
            </w: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4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1"/>
              </w:rPr>
              <w:t>(years)</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0"/>
              </w:rPr>
              <w:t>Classification</w:t>
            </w:r>
          </w:p>
        </w:tc>
      </w:tr>
      <w:tr>
        <w:trPr>
          <w:trHeight w:val="46"/>
        </w:trPr>
        <w:tc>
          <w:tcPr>
            <w:tcW w:w="20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3"/>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[C]</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12,811</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Common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5"/>
              </w:rPr>
              <w:t>[C]</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7.80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41,636</w:t>
            </w:r>
          </w:p>
        </w:tc>
        <w:tc>
          <w:tcPr>
            <w:tcW w:w="4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40"/>
        </w:trPr>
        <w:tc>
          <w:tcPr>
            <w:tcW w:w="20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4"/>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[C]</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16,654</w:t>
            </w: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Common</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March 2026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9.25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84,461</w:t>
            </w:r>
          </w:p>
        </w:tc>
        <w:tc>
          <w:tcPr>
            <w:tcW w:w="4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6.5</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41"/>
        </w:trPr>
        <w:tc>
          <w:tcPr>
            <w:tcW w:w="20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June 2028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404,961</w:t>
            </w: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[E]</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6.7</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Common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rPr>
              <w:t>[F]</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0.37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178,395</w:t>
            </w:r>
          </w:p>
        </w:tc>
        <w:tc>
          <w:tcPr>
            <w:tcW w:w="4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40"/>
        </w:trPr>
        <w:tc>
          <w:tcPr>
            <w:tcW w:w="20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4"/>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2026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57,952</w:t>
            </w: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Common</w:t>
            </w: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July 2027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9.25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86,532</w:t>
            </w:r>
          </w:p>
        </w:tc>
        <w:tc>
          <w:tcPr>
            <w:tcW w:w="4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40"/>
        </w:trPr>
        <w:tc>
          <w:tcPr>
            <w:tcW w:w="20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4"/>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July 2027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402,679</w:t>
            </w: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Common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5"/>
              </w:rPr>
              <w:t>[A]</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182,158</w:t>
            </w:r>
          </w:p>
        </w:tc>
        <w:tc>
          <w:tcPr>
            <w:tcW w:w="4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5"/>
              </w:rPr>
              <w:t>[A]</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40"/>
        </w:trPr>
        <w:tc>
          <w:tcPr>
            <w:tcW w:w="20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2031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27,577</w:t>
            </w: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Common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6.53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294,725</w:t>
            </w:r>
          </w:p>
        </w:tc>
        <w:tc>
          <w:tcPr>
            <w:tcW w:w="460" w:type="dxa"/>
            <w:vAlign w:val="bottom"/>
          </w:tcPr>
          <w:p>
            <w:pPr>
              <w:ind w:left="120"/>
              <w:spacing w:after="0"/>
              <w:rPr>
                <w:sz w:val="20"/>
                <w:szCs w:val="20"/>
                <w:color w:val="auto"/>
              </w:rPr>
            </w:pPr>
            <w:r>
              <w:rPr>
                <w:rFonts w:ascii="Arial" w:cs="Arial" w:eastAsia="Arial" w:hAnsi="Arial"/>
                <w:sz w:val="18"/>
                <w:szCs w:val="18"/>
                <w:b w:val="1"/>
                <w:bCs w:val="1"/>
                <w:color w:val="auto"/>
              </w:rPr>
              <w:t>[B]</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40"/>
        </w:trPr>
        <w:tc>
          <w:tcPr>
            <w:tcW w:w="20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2032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374,912</w:t>
            </w: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Common</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September 2027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11.50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1,500,000</w:t>
            </w:r>
          </w:p>
        </w:tc>
        <w:tc>
          <w:tcPr>
            <w:tcW w:w="4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40"/>
        </w:trPr>
        <w:tc>
          <w:tcPr>
            <w:tcW w:w="20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4"/>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September 2027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8,625,000</w:t>
            </w: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Common</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September 2027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11.50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6,125,000</w:t>
            </w:r>
          </w:p>
        </w:tc>
        <w:tc>
          <w:tcPr>
            <w:tcW w:w="4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40"/>
        </w:trPr>
        <w:tc>
          <w:tcPr>
            <w:tcW w:w="20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84"/>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2028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4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18,815,453</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0"/>
        </w:trPr>
        <w:tc>
          <w:tcPr>
            <w:tcW w:w="2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00"/>
        </w:trPr>
        <w:tc>
          <w:tcPr>
            <w:tcW w:w="2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3"/>
          </w:tcPr>
          <w:p>
            <w:pPr>
              <w:jc w:val="center"/>
              <w:ind w:right="150"/>
              <w:spacing w:after="0"/>
              <w:rPr>
                <w:sz w:val="20"/>
                <w:szCs w:val="20"/>
                <w:color w:val="auto"/>
              </w:rPr>
            </w:pPr>
            <w:r>
              <w:rPr>
                <w:rFonts w:ascii="Arial" w:cs="Arial" w:eastAsia="Arial" w:hAnsi="Arial"/>
                <w:sz w:val="16"/>
                <w:szCs w:val="16"/>
                <w:b w:val="1"/>
                <w:bCs w:val="1"/>
                <w:color w:val="auto"/>
                <w:w w:val="90"/>
              </w:rPr>
              <w:t xml:space="preserve">As of </w:t>
            </w:r>
            <w:r>
              <w:rPr>
                <w:rFonts w:ascii="Arial" w:cs="Arial" w:eastAsia="Arial" w:hAnsi="Arial"/>
                <w:sz w:val="14"/>
                <w:szCs w:val="14"/>
                <w:b w:val="1"/>
                <w:bCs w:val="1"/>
                <w:color w:val="auto"/>
                <w:w w:val="90"/>
              </w:rPr>
              <w:t>June 30</w:t>
            </w:r>
            <w:r>
              <w:rPr>
                <w:rFonts w:ascii="Arial" w:cs="Arial" w:eastAsia="Arial" w:hAnsi="Arial"/>
                <w:sz w:val="16"/>
                <w:szCs w:val="16"/>
                <w:b w:val="1"/>
                <w:bCs w:val="1"/>
                <w:color w:val="auto"/>
                <w:w w:val="90"/>
              </w:rPr>
              <w:t>, 2022</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6"/>
        </w:trPr>
        <w:tc>
          <w:tcPr>
            <w:tcW w:w="208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182"/>
        </w:trPr>
        <w:tc>
          <w:tcPr>
            <w:tcW w:w="2080" w:type="dxa"/>
            <w:vAlign w:val="bottom"/>
          </w:tcPr>
          <w:p>
            <w:pPr>
              <w:spacing w:after="0"/>
              <w:rPr>
                <w:sz w:val="15"/>
                <w:szCs w:val="15"/>
                <w:color w:val="auto"/>
              </w:rPr>
            </w:pPr>
          </w:p>
        </w:tc>
        <w:tc>
          <w:tcPr>
            <w:tcW w:w="12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7"/>
              </w:rPr>
              <w:t>Expiration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160"/>
              <w:spacing w:after="0" w:line="182" w:lineRule="exact"/>
              <w:rPr>
                <w:sz w:val="20"/>
                <w:szCs w:val="20"/>
                <w:color w:val="auto"/>
              </w:rPr>
            </w:pPr>
            <w:r>
              <w:rPr>
                <w:rFonts w:ascii="Arial" w:cs="Arial" w:eastAsia="Arial" w:hAnsi="Arial"/>
                <w:sz w:val="16"/>
                <w:szCs w:val="16"/>
                <w:b w:val="1"/>
                <w:bCs w:val="1"/>
                <w:color w:val="auto"/>
                <w:w w:val="88"/>
              </w:rPr>
              <w:t>Exercise</w:t>
            </w:r>
          </w:p>
        </w:tc>
        <w:tc>
          <w:tcPr>
            <w:tcW w:w="8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2"/>
              </w:rPr>
              <w:t>Number of</w:t>
            </w:r>
          </w:p>
        </w:tc>
        <w:tc>
          <w:tcPr>
            <w:tcW w:w="460" w:type="dxa"/>
            <w:vAlign w:val="bottom"/>
          </w:tcPr>
          <w:p>
            <w:pPr>
              <w:spacing w:after="0"/>
              <w:rPr>
                <w:sz w:val="15"/>
                <w:szCs w:val="15"/>
                <w:color w:val="auto"/>
              </w:rPr>
            </w:pPr>
          </w:p>
        </w:tc>
        <w:tc>
          <w:tcPr>
            <w:tcW w:w="8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7"/>
              </w:rPr>
              <w:t>Term</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0"/>
        </w:trPr>
        <w:tc>
          <w:tcPr>
            <w:tcW w:w="20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date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Price</w:t>
            </w: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4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1"/>
              </w:rPr>
              <w:t>(years)</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0"/>
              </w:rPr>
              <w:t>Classification</w:t>
            </w:r>
          </w:p>
        </w:tc>
      </w:tr>
      <w:tr>
        <w:trPr>
          <w:trHeight w:val="47"/>
        </w:trPr>
        <w:tc>
          <w:tcPr>
            <w:tcW w:w="20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110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43"/>
        </w:trPr>
        <w:tc>
          <w:tcPr>
            <w:tcW w:w="2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12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[C]</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12,811</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Common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5"/>
              </w:rPr>
              <w:t>[C]</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7.80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41,636</w:t>
            </w:r>
          </w:p>
        </w:tc>
        <w:tc>
          <w:tcPr>
            <w:tcW w:w="4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40"/>
        </w:trPr>
        <w:tc>
          <w:tcPr>
            <w:tcW w:w="20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82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[C]</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16,654</w:t>
            </w: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Common</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March 2026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9.25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84,461</w:t>
            </w:r>
          </w:p>
        </w:tc>
        <w:tc>
          <w:tcPr>
            <w:tcW w:w="4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40"/>
        </w:trPr>
        <w:tc>
          <w:tcPr>
            <w:tcW w:w="20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82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4"/>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2027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141,970</w:t>
            </w: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Common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2,575,190</w:t>
            </w:r>
          </w:p>
        </w:tc>
        <w:tc>
          <w:tcPr>
            <w:tcW w:w="4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40"/>
        </w:trPr>
        <w:tc>
          <w:tcPr>
            <w:tcW w:w="20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82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4"/>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June 2028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404,961</w:t>
            </w: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[E]</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6.7</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Common</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March 2026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0.37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178,395</w:t>
            </w:r>
          </w:p>
        </w:tc>
        <w:tc>
          <w:tcPr>
            <w:tcW w:w="4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41"/>
        </w:trPr>
        <w:tc>
          <w:tcPr>
            <w:tcW w:w="20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82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4"/>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2026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57,952</w:t>
            </w: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Common</w:t>
            </w: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July 2027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9.25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86,532</w:t>
            </w:r>
          </w:p>
        </w:tc>
        <w:tc>
          <w:tcPr>
            <w:tcW w:w="4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40"/>
        </w:trPr>
        <w:tc>
          <w:tcPr>
            <w:tcW w:w="20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82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4"/>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July 2027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402,679</w:t>
            </w: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Common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5"/>
              </w:rPr>
              <w:t>[A]</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182,158</w:t>
            </w:r>
          </w:p>
        </w:tc>
        <w:tc>
          <w:tcPr>
            <w:tcW w:w="4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5"/>
              </w:rPr>
              <w:t>[A]</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41"/>
        </w:trPr>
        <w:tc>
          <w:tcPr>
            <w:tcW w:w="20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82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2031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27,577</w:t>
            </w: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Common</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March 2031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6.53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294,725</w:t>
            </w:r>
          </w:p>
        </w:tc>
        <w:tc>
          <w:tcPr>
            <w:tcW w:w="460" w:type="dxa"/>
            <w:vAlign w:val="bottom"/>
          </w:tcPr>
          <w:p>
            <w:pPr>
              <w:ind w:left="120"/>
              <w:spacing w:after="0"/>
              <w:rPr>
                <w:sz w:val="20"/>
                <w:szCs w:val="20"/>
                <w:color w:val="auto"/>
              </w:rPr>
            </w:pPr>
            <w:r>
              <w:rPr>
                <w:rFonts w:ascii="Arial" w:cs="Arial" w:eastAsia="Arial" w:hAnsi="Arial"/>
                <w:sz w:val="18"/>
                <w:szCs w:val="18"/>
                <w:b w:val="1"/>
                <w:bCs w:val="1"/>
                <w:color w:val="auto"/>
              </w:rPr>
              <w:t>[B]</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41"/>
        </w:trPr>
        <w:tc>
          <w:tcPr>
            <w:tcW w:w="20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82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83"/>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2032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w:t>
            </w:r>
          </w:p>
        </w:tc>
        <w:tc>
          <w:tcPr>
            <w:tcW w:w="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205,602</w:t>
            </w:r>
          </w:p>
        </w:tc>
        <w:tc>
          <w:tcPr>
            <w:tcW w:w="4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44"/>
        </w:trPr>
        <w:tc>
          <w:tcPr>
            <w:tcW w:w="208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4,713,303</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0"/>
        </w:trPr>
        <w:tc>
          <w:tcPr>
            <w:tcW w:w="2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900" w:right="459" w:hanging="446"/>
        <w:spacing w:after="0" w:line="293" w:lineRule="auto"/>
        <w:tabs>
          <w:tab w:leader="none" w:pos="739" w:val="left"/>
        </w:tabs>
        <w:numPr>
          <w:ilvl w:val="0"/>
          <w:numId w:val="86"/>
        </w:numPr>
        <w:rPr>
          <w:rFonts w:ascii="Arial" w:cs="Arial" w:eastAsia="Arial" w:hAnsi="Arial"/>
          <w:sz w:val="16"/>
          <w:szCs w:val="16"/>
          <w:color w:val="auto"/>
        </w:rPr>
      </w:pPr>
      <w:r>
        <w:rPr>
          <w:rFonts w:ascii="Arial" w:cs="Arial" w:eastAsia="Arial" w:hAnsi="Arial"/>
          <w:sz w:val="16"/>
          <w:szCs w:val="16"/>
          <w:color w:val="auto"/>
        </w:rPr>
        <w:t>—Warrants will expire at the earliest of a consummation of an acquisition or one year after the effective date of a registration statement for an initial public offering.</w:t>
      </w:r>
    </w:p>
    <w:p>
      <w:pPr>
        <w:sectPr>
          <w:pgSz w:w="11900" w:h="16838" w:orient="portrait"/>
          <w:cols w:equalWidth="0" w:num="1">
            <w:col w:w="9019"/>
          </w:cols>
          <w:pgMar w:left="1440" w:top="274" w:right="1440" w:bottom="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type w:val="continuous"/>
        </w:sectPr>
      </w:pPr>
    </w:p>
    <w:bookmarkStart w:id="158" w:name="page159"/>
    <w:bookmarkEnd w:id="15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 Warrants </w:t>
      </w:r>
      <w:r>
        <w:rPr>
          <w:rFonts w:ascii="Arial" w:cs="Arial" w:eastAsia="Arial" w:hAnsi="Arial"/>
          <w:sz w:val="18"/>
          <w:szCs w:val="18"/>
          <w:color w:val="auto"/>
        </w:rPr>
        <w:t>(cont.)</w:t>
      </w:r>
    </w:p>
    <w:p>
      <w:pPr>
        <w:spacing w:after="0" w:line="193" w:lineRule="exact"/>
        <w:rPr>
          <w:sz w:val="20"/>
          <w:szCs w:val="20"/>
          <w:color w:val="auto"/>
        </w:rPr>
      </w:pPr>
    </w:p>
    <w:p>
      <w:pPr>
        <w:ind w:left="900" w:right="459" w:hanging="446"/>
        <w:spacing w:after="0" w:line="282" w:lineRule="auto"/>
        <w:tabs>
          <w:tab w:leader="none" w:pos="730" w:val="left"/>
        </w:tabs>
        <w:numPr>
          <w:ilvl w:val="0"/>
          <w:numId w:val="87"/>
        </w:numPr>
        <w:rPr>
          <w:rFonts w:ascii="Arial" w:cs="Arial" w:eastAsia="Arial" w:hAnsi="Arial"/>
          <w:sz w:val="15"/>
          <w:szCs w:val="15"/>
          <w:color w:val="auto"/>
        </w:rPr>
      </w:pPr>
      <w:r>
        <w:rPr>
          <w:rFonts w:ascii="Arial" w:cs="Arial" w:eastAsia="Arial" w:hAnsi="Arial"/>
          <w:sz w:val="15"/>
          <w:szCs w:val="15"/>
          <w:color w:val="auto"/>
        </w:rPr>
        <w:t>—Warrant has the option of being converted into a variable number of shares based on the class of shares that the warrant is exercised at the discretion of the warrant holder. The Company notes the most likely conversion is to Common Stock and have calculated the number of shares as the quotient of the aggregate warrant coverage dollar amount value of $1.9 million over the exercise price of $6.53 per share as of March 31, 2023 and June 30, 2022. Warrant will also expire at the earliest of 10 years from the issuance date of March 5, 2021 or a consummation of an acquisition in which the sole consideration is cash or marketable securities.</w:t>
      </w:r>
    </w:p>
    <w:p>
      <w:pPr>
        <w:spacing w:after="0" w:line="2" w:lineRule="exact"/>
        <w:rPr>
          <w:rFonts w:ascii="Arial" w:cs="Arial" w:eastAsia="Arial" w:hAnsi="Arial"/>
          <w:sz w:val="15"/>
          <w:szCs w:val="15"/>
          <w:color w:val="auto"/>
        </w:rPr>
      </w:pPr>
    </w:p>
    <w:p>
      <w:pPr>
        <w:ind w:left="900" w:right="459" w:hanging="446"/>
        <w:spacing w:after="0" w:line="264" w:lineRule="auto"/>
        <w:tabs>
          <w:tab w:leader="none" w:pos="723" w:val="left"/>
        </w:tabs>
        <w:numPr>
          <w:ilvl w:val="0"/>
          <w:numId w:val="87"/>
        </w:numPr>
        <w:rPr>
          <w:rFonts w:ascii="Arial" w:cs="Arial" w:eastAsia="Arial" w:hAnsi="Arial"/>
          <w:sz w:val="16"/>
          <w:szCs w:val="16"/>
          <w:color w:val="auto"/>
        </w:rPr>
      </w:pPr>
      <w:r>
        <w:rPr>
          <w:rFonts w:ascii="Arial" w:cs="Arial" w:eastAsia="Arial" w:hAnsi="Arial"/>
          <w:sz w:val="16"/>
          <w:szCs w:val="16"/>
          <w:color w:val="auto"/>
        </w:rPr>
        <w:t>—Warrants expire 5 years from the effective date of a registration statement for an initial public offering should one occur.</w:t>
      </w:r>
    </w:p>
    <w:p>
      <w:pPr>
        <w:ind w:left="900" w:right="459" w:hanging="446"/>
        <w:spacing w:after="0" w:line="264" w:lineRule="auto"/>
        <w:tabs>
          <w:tab w:leader="none" w:pos="725" w:val="left"/>
        </w:tabs>
        <w:numPr>
          <w:ilvl w:val="0"/>
          <w:numId w:val="87"/>
        </w:numPr>
        <w:rPr>
          <w:rFonts w:ascii="Arial" w:cs="Arial" w:eastAsia="Arial" w:hAnsi="Arial"/>
          <w:sz w:val="16"/>
          <w:szCs w:val="16"/>
          <w:color w:val="auto"/>
        </w:rPr>
      </w:pPr>
      <w:r>
        <w:rPr>
          <w:rFonts w:ascii="Arial" w:cs="Arial" w:eastAsia="Arial" w:hAnsi="Arial"/>
          <w:sz w:val="16"/>
          <w:szCs w:val="16"/>
          <w:color w:val="auto"/>
        </w:rPr>
        <w:t>—Warrants are exercisable after the conversion of the related convertible notes and will expire, if not exercised, at the earliest of a public liquidity event, the effective date of a registration statement for an initial public offering and 5 years from the issuance date. Warrants are exercisable for a variable number of shares dependent on the fully diluted capitalization and are estimated at each reporting date. The warrants were converted into Common Stock on September 21, 2022 in conjunction with the Merger.</w:t>
      </w:r>
    </w:p>
    <w:p>
      <w:pPr>
        <w:ind w:left="900" w:right="459" w:hanging="446"/>
        <w:spacing w:after="0" w:line="281" w:lineRule="auto"/>
        <w:tabs>
          <w:tab w:leader="none" w:pos="718" w:val="left"/>
        </w:tabs>
        <w:numPr>
          <w:ilvl w:val="0"/>
          <w:numId w:val="87"/>
        </w:numPr>
        <w:rPr>
          <w:rFonts w:ascii="Arial" w:cs="Arial" w:eastAsia="Arial" w:hAnsi="Arial"/>
          <w:sz w:val="15"/>
          <w:szCs w:val="15"/>
          <w:color w:val="auto"/>
        </w:rPr>
      </w:pPr>
      <w:r>
        <w:rPr>
          <w:rFonts w:ascii="Arial" w:cs="Arial" w:eastAsia="Arial" w:hAnsi="Arial"/>
          <w:sz w:val="15"/>
          <w:szCs w:val="15"/>
          <w:color w:val="auto"/>
        </w:rPr>
        <w:t>— Warrants were issued in October 2021 and are exercisable contingent on rollouts of the Company’s products and services to the warrant holder. Number of shares represents the maximum number of shares to be issued to the warrant holder of 404,961, of which 144,377 and 321,943 remained contingent as of March 31, 2023 and June 30, 2022, respectively. Expense related to the cost of these warrants being recognized as a reduction to revenue in the Company’s condensed consolidated statements of operations and comprehensive income (loss).</w:t>
      </w:r>
    </w:p>
    <w:p>
      <w:pPr>
        <w:spacing w:after="0" w:line="2" w:lineRule="exact"/>
        <w:rPr>
          <w:rFonts w:ascii="Arial" w:cs="Arial" w:eastAsia="Arial" w:hAnsi="Arial"/>
          <w:sz w:val="15"/>
          <w:szCs w:val="15"/>
          <w:color w:val="auto"/>
        </w:rPr>
      </w:pPr>
    </w:p>
    <w:p>
      <w:pPr>
        <w:ind w:left="900" w:right="459" w:hanging="446"/>
        <w:spacing w:after="0" w:line="288" w:lineRule="auto"/>
        <w:tabs>
          <w:tab w:leader="none" w:pos="708" w:val="left"/>
        </w:tabs>
        <w:numPr>
          <w:ilvl w:val="0"/>
          <w:numId w:val="87"/>
        </w:numPr>
        <w:rPr>
          <w:rFonts w:ascii="Arial" w:cs="Arial" w:eastAsia="Arial" w:hAnsi="Arial"/>
          <w:sz w:val="16"/>
          <w:szCs w:val="16"/>
          <w:color w:val="auto"/>
        </w:rPr>
      </w:pPr>
      <w:r>
        <w:rPr>
          <w:rFonts w:ascii="Arial" w:cs="Arial" w:eastAsia="Arial" w:hAnsi="Arial"/>
          <w:sz w:val="16"/>
          <w:szCs w:val="16"/>
          <w:color w:val="auto"/>
        </w:rPr>
        <w:t>— Warrants will expire at the earliest of 10 years from the issuance date of March 11, 2016, a consummation of an acquisition or one year after the effective date of a registration statement for an initial public offering.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15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Prior to the Merger, the Company utilized the 2018 equity incentive plan (“</w:t>
      </w:r>
      <w:r>
        <w:rPr>
          <w:rFonts w:ascii="Arial" w:cs="Arial" w:eastAsia="Arial" w:hAnsi="Arial"/>
          <w:sz w:val="17"/>
          <w:szCs w:val="17"/>
          <w:b w:val="1"/>
          <w:bCs w:val="1"/>
          <w:color w:val="auto"/>
        </w:rPr>
        <w:t>2018 Plan</w:t>
      </w:r>
      <w:r>
        <w:rPr>
          <w:rFonts w:ascii="Arial" w:cs="Arial" w:eastAsia="Arial" w:hAnsi="Arial"/>
          <w:sz w:val="17"/>
          <w:szCs w:val="17"/>
          <w:color w:val="auto"/>
        </w:rPr>
        <w:t>”) which replaced the 2008 Stock Incentive Plan (“</w:t>
      </w:r>
      <w:r>
        <w:rPr>
          <w:rFonts w:ascii="Arial" w:cs="Arial" w:eastAsia="Arial" w:hAnsi="Arial"/>
          <w:sz w:val="17"/>
          <w:szCs w:val="17"/>
          <w:b w:val="1"/>
          <w:bCs w:val="1"/>
          <w:color w:val="auto"/>
        </w:rPr>
        <w:t>2008 Plan</w:t>
      </w:r>
      <w:r>
        <w:rPr>
          <w:rFonts w:ascii="Arial" w:cs="Arial" w:eastAsia="Arial" w:hAnsi="Arial"/>
          <w:sz w:val="17"/>
          <w:szCs w:val="17"/>
          <w:color w:val="auto"/>
        </w:rPr>
        <w:t>”). Effective with the Merger, the Board of Directors adopted the 2022 Incentive Award Plan (the “2022 Plan”). As of March 31, 2023, the number of shares of common stock reserved for future issuance under the 2022 Plan was 4,617,400. The Board of Directors may grant incentive and non-statutory stock options and restricted stock units (“RSUs”) to employees, outside directors, investors and consultants at an exercise price of not less than 100% of the fair market value, as determined by the Board of Directors, at the date of grant. Awards generally vest ratably over periods determined by the Board of Directors, generally four or five years, and expire no later than ten years from the date of grant. For options subject to the one-year cliff, the expense is recognized as 25% of the total option value, which is recognized on a straight-line basis over the first year and remaining option expense continues to be recognized straight-line as vesting occurs monthly thereafter.</w:t>
      </w:r>
    </w:p>
    <w:p>
      <w:pPr>
        <w:spacing w:after="0" w:line="105"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In February 2023, the Company granted an aggregate of 2,721,486 RSUs to its employees, consultants and directors with service-based vesting conditions with a weighted average grant date fair value of $3.26 per RSU, based on the closing stock price on the date of grant. The awards vest ratably over five years and one year for directors. As of March 31, 2023, $7.6 million of stock-based compensation related to these RSUs remains unrecognized, which is expected to time-vest over a remaining weighted-average period of 4.5 years. The Company recorded $0.7 million in additional stock based compensation expense due to modifications of individual awards for certain executives upon termination from the Company for accelerated vesting and extension of award exercise periods in the three and nine months ended March 31, 2023.</w:t>
      </w:r>
    </w:p>
    <w:p>
      <w:pPr>
        <w:spacing w:after="0" w:line="9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In July 2022, the Company granted an aggregate of 836,657 RSUs to its employees and consultants that contain a service-based vesting condition and a performance-based vesting condition, with a grant date fair value of $8.26 per RSU. Such RSUs are in addition to the 350,426 of RSUs that were outstanding at June 30, 2022, which contain the same vesting conditions. The service-based vesting condition is generally satisfied by rendering continuous service for 5 years, with 20% vesting each year. The performance-based vesting condition is satisfied in connection with an initial public offering or a change in control. However, the consummation of the deSPAC did not result in satisfaction of the performance condition and as such the Board of Directors approved a modification of the awards to waive the performance condition in consideration of consummating the deSPAC. The Company recorded compensation expense of $0.9 million during the three and nine months ended March 31, 2023 related to these RSUs as achievement of the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9" w:name="page160"/>
    <w:bookmarkEnd w:id="15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 Stock-Based Compensation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performance-based vesting condition was waived and a cumulative catch up adjustment was recorded. As of March 31, 2023, $2.4 million of stock-based compensation related to these RSUs remains unrecognized, which is expected to time-vest over a remaining weighted-average period of 4.24 years.</w:t>
      </w:r>
    </w:p>
    <w:p>
      <w:pPr>
        <w:spacing w:after="0" w:line="9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 September 2022, the Company granted 1,200,000 of RSUs to a director and the current interim CEO of the Company with a grant date fair value of $4.56 per RSU. The RSUs vest in the following tranches, subject to the continuous service through each applicable vesting date: 33.33% of the RSUs vested on September 30, 2022, 56.67% of the RSUs has, and shall continue to, vest in equal monthly installments on the last day of each month during the subsequent 23-month period, and the remaining 10% shall vest upon the third anniversary of the vesting commencement date. The Company recorded compensation expense during the three and nine months ended March 31, 2023 related to the RSUs of $394 and $2.6 million, respectively. As of March 31, 2023, $2.8 million of stock-based compensation related to the RSU remains unrecognized, which is expected to be recognized over a remaining weighted-average period of 1.6 years. The RSUs time-based vesting would accelerate upon an acquisition of the Company. A deSPAC does not meet the definition of an acquisition as defined in the 2018 Plan.</w:t>
      </w:r>
    </w:p>
    <w:p>
      <w:pPr>
        <w:spacing w:after="0" w:line="101"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During fiscal year 2021, the Company granted 600,752 performance-based options that contained a service-based vesting condition and a performance-based vesting condition. The service-based vesting condition is satisfied by rendering continuous service for four years after the performance-based vesting condition occurs. The performance-based vesting condition is satisfied in connection with a financing event or a public liquidity event for a first group of 300,376 options and in connection with a public liquidity event for a second group of 300,376 options. A financing event occurred as of June 30, 2021 that satisfied the performance-based vesting condition for the first group of 300,376 options. Effective with the closing of the Merger, the public liquidity event performance condition was achieved for the second group of 300,376 options. The Company recognized expense associated with these options in the amount of $0.3 million and $0.4 million, for the three and nine months ended March 31, 2023, respectively. The expense is inclusive of a one-time charge to extend the exercise period that occurred in the three months ended March 31, 2023. Compensation costs attributable to such awards were insignificant during the three and nine months ended March 31, 2022.</w:t>
      </w:r>
    </w:p>
    <w:p>
      <w:pPr>
        <w:spacing w:after="0" w:line="10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In the event of voluntary or involuntary termination of employment with the Company for any reason, with or without cause, all unvested options are forfeited and all vested options must be exercised within a 90-day period under the 2018 Plan and within a 30-day period under the 2008 Plan or they are forfeited.</w:t>
      </w:r>
    </w:p>
    <w:p>
      <w:pPr>
        <w:spacing w:after="0" w:line="98"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following summary of the equity incentive plan activity is shown collectively for the 2022 Plan, the 2018 Plan and the 2008 Plan:</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33"/>
              <w:spacing w:after="0"/>
              <w:rPr>
                <w:sz w:val="20"/>
                <w:szCs w:val="20"/>
                <w:color w:val="auto"/>
              </w:rPr>
            </w:pPr>
            <w:r>
              <w:rPr>
                <w:rFonts w:ascii="Arial" w:cs="Arial" w:eastAsia="Arial" w:hAnsi="Arial"/>
                <w:sz w:val="16"/>
                <w:szCs w:val="16"/>
                <w:b w:val="1"/>
                <w:bCs w:val="1"/>
                <w:color w:val="auto"/>
                <w:w w:val="90"/>
              </w:rPr>
              <w:t>Weighted-</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33"/>
              <w:spacing w:after="0"/>
              <w:rPr>
                <w:sz w:val="20"/>
                <w:szCs w:val="20"/>
                <w:color w:val="auto"/>
              </w:rPr>
            </w:pPr>
            <w:r>
              <w:rPr>
                <w:rFonts w:ascii="Arial" w:cs="Arial" w:eastAsia="Arial" w:hAnsi="Arial"/>
                <w:sz w:val="16"/>
                <w:szCs w:val="16"/>
                <w:b w:val="1"/>
                <w:bCs w:val="1"/>
                <w:color w:val="auto"/>
                <w:w w:val="91"/>
              </w:rPr>
              <w:t>Average</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3480" w:type="dxa"/>
            <w:vAlign w:val="bottom"/>
          </w:tcPr>
          <w:p>
            <w:pPr>
              <w:spacing w:after="0"/>
              <w:rPr>
                <w:sz w:val="17"/>
                <w:szCs w:val="17"/>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Options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Exercise</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8"/>
              </w:rPr>
              <w:t>Life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5"/>
              <w:spacing w:after="0"/>
              <w:rPr>
                <w:sz w:val="20"/>
                <w:szCs w:val="20"/>
                <w:color w:val="auto"/>
              </w:rPr>
            </w:pPr>
            <w:r>
              <w:rPr>
                <w:rFonts w:ascii="Arial" w:cs="Arial" w:eastAsia="Arial" w:hAnsi="Arial"/>
                <w:sz w:val="16"/>
                <w:szCs w:val="16"/>
                <w:b w:val="1"/>
                <w:bCs w:val="1"/>
                <w:color w:val="auto"/>
                <w:w w:val="93"/>
              </w:rPr>
              <w:t>Intrinsic</w:t>
            </w:r>
          </w:p>
        </w:tc>
      </w:tr>
      <w:tr>
        <w:trPr>
          <w:trHeight w:val="210"/>
        </w:trPr>
        <w:tc>
          <w:tcPr>
            <w:tcW w:w="348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Price</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1"/>
              </w:rPr>
              <w:t>(years)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Value</w:t>
            </w:r>
          </w:p>
        </w:tc>
      </w:tr>
      <w:tr>
        <w:trPr>
          <w:trHeight w:val="47"/>
        </w:trPr>
        <w:tc>
          <w:tcPr>
            <w:tcW w:w="34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57"/>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2022</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13,845,291</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3480" w:type="dxa"/>
            <w:vAlign w:val="bottom"/>
          </w:tcPr>
          <w:p>
            <w:pPr>
              <w:spacing w:after="0"/>
              <w:rPr>
                <w:sz w:val="20"/>
                <w:szCs w:val="20"/>
                <w:color w:val="auto"/>
              </w:rPr>
            </w:pPr>
            <w:r>
              <w:rPr>
                <w:rFonts w:ascii="Arial" w:cs="Arial" w:eastAsia="Arial" w:hAnsi="Arial"/>
                <w:sz w:val="18"/>
                <w:szCs w:val="18"/>
                <w:color w:val="auto"/>
                <w:w w:val="99"/>
              </w:rPr>
              <w:t>Retrospective application of recapitalization</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(2,631,676)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4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Balance – beginning of period</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11,213,615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34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(511,670)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0"/>
        </w:trPr>
        <w:tc>
          <w:tcPr>
            <w:tcW w:w="3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5"/>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 and expired</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(253,625)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44"/>
        </w:trPr>
        <w:tc>
          <w:tcPr>
            <w:tcW w:w="3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-March 31, 2023</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10,448,320</w:t>
            </w: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0.73</w:t>
            </w:r>
          </w:p>
        </w:tc>
        <w:tc>
          <w:tcPr>
            <w:tcW w:w="11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4.57</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237"/>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Vested and expected to vest at March 31, 2023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10,448,320</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8,842</w:t>
            </w:r>
          </w:p>
        </w:tc>
      </w:tr>
      <w:tr>
        <w:trPr>
          <w:trHeight w:val="243"/>
        </w:trPr>
        <w:tc>
          <w:tcPr>
            <w:tcW w:w="3480" w:type="dxa"/>
            <w:vAlign w:val="bottom"/>
          </w:tcPr>
          <w:p>
            <w:pPr>
              <w:spacing w:after="0"/>
              <w:rPr>
                <w:sz w:val="20"/>
                <w:szCs w:val="20"/>
                <w:color w:val="auto"/>
              </w:rPr>
            </w:pPr>
            <w:r>
              <w:rPr>
                <w:rFonts w:ascii="Arial" w:cs="Arial" w:eastAsia="Arial" w:hAnsi="Arial"/>
                <w:sz w:val="18"/>
                <w:szCs w:val="18"/>
                <w:color w:val="auto"/>
              </w:rPr>
              <w:t>Exercisable at March 31, 2023</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9,512,184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9,591</w:t>
            </w:r>
          </w:p>
        </w:tc>
      </w:tr>
      <w:tr>
        <w:trPr>
          <w:trHeight w:val="432"/>
        </w:trPr>
        <w:tc>
          <w:tcPr>
            <w:tcW w:w="3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F-37</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60" w:name="page161"/>
    <w:bookmarkEnd w:id="16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 Stock-Based Compensation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is a summary of the equity incentive plan RSU activity for the 2022 Plan and the 2018</w:t>
      </w:r>
    </w:p>
    <w:p>
      <w:pPr>
        <w:spacing w:after="0" w:line="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Plan:</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0"/>
              </w:rPr>
              <w:t>Weighted-</w:t>
            </w:r>
          </w:p>
        </w:tc>
      </w:tr>
      <w:tr>
        <w:trPr>
          <w:trHeight w:val="203"/>
        </w:trPr>
        <w:tc>
          <w:tcPr>
            <w:tcW w:w="560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Average</w:t>
            </w:r>
          </w:p>
        </w:tc>
      </w:tr>
      <w:tr>
        <w:trPr>
          <w:trHeight w:val="203"/>
        </w:trPr>
        <w:tc>
          <w:tcPr>
            <w:tcW w:w="560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Awards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56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6"/>
              </w:rPr>
              <w:t>Fair Value</w:t>
            </w:r>
          </w:p>
        </w:tc>
      </w:tr>
      <w:tr>
        <w:trPr>
          <w:trHeight w:val="46"/>
        </w:trPr>
        <w:tc>
          <w:tcPr>
            <w:tcW w:w="56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 June 30, 2022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432,666</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6.46</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Retrospective application of recapitalization</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(82,240)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56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unvested balance – beginning of period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350,426</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7.98</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4,758,115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(798,239)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(372,215)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7"/>
        </w:trPr>
        <w:tc>
          <w:tcPr>
            <w:tcW w:w="56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 March 31, 2023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3,938,087</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58" w:lineRule="exact"/>
        <w:rPr>
          <w:sz w:val="20"/>
          <w:szCs w:val="20"/>
          <w:color w:val="auto"/>
        </w:rPr>
      </w:pPr>
    </w:p>
    <w:p>
      <w:pPr>
        <w:ind w:left="880" w:right="459"/>
        <w:spacing w:after="0" w:line="277" w:lineRule="auto"/>
        <w:rPr>
          <w:sz w:val="20"/>
          <w:szCs w:val="20"/>
          <w:color w:val="auto"/>
        </w:rPr>
      </w:pPr>
      <w:r>
        <w:rPr>
          <w:rFonts w:ascii="Arial" w:cs="Arial" w:eastAsia="Arial" w:hAnsi="Arial"/>
          <w:sz w:val="18"/>
          <w:szCs w:val="18"/>
          <w:color w:val="auto"/>
        </w:rPr>
        <w:t>Stock-based compensation expense, excluding stock-based compensation in capitalized software, related to employees and non-employees, by function is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4"/>
          </w:tcPr>
          <w:p>
            <w:pPr>
              <w:jc w:val="right"/>
              <w:ind w:right="47"/>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4"/>
          </w:tcPr>
          <w:p>
            <w:pPr>
              <w:jc w:val="right"/>
              <w:ind w:right="47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4"/>
          </w:tcPr>
          <w:p>
            <w:pPr>
              <w:jc w:val="right"/>
              <w:ind w:right="407"/>
              <w:spacing w:after="0"/>
              <w:rPr>
                <w:sz w:val="20"/>
                <w:szCs w:val="20"/>
                <w:color w:val="auto"/>
              </w:rPr>
            </w:pPr>
            <w:r>
              <w:rPr>
                <w:rFonts w:ascii="Arial" w:cs="Arial" w:eastAsia="Arial" w:hAnsi="Arial"/>
                <w:sz w:val="16"/>
                <w:szCs w:val="16"/>
                <w:b w:val="1"/>
                <w:bCs w:val="1"/>
                <w:color w:val="auto"/>
              </w:rPr>
              <w:t>March 31,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20" w:type="dxa"/>
            <w:vAlign w:val="bottom"/>
          </w:tcPr>
          <w:p>
            <w:pPr>
              <w:spacing w:after="0"/>
              <w:rPr>
                <w:sz w:val="18"/>
                <w:szCs w:val="18"/>
                <w:color w:val="auto"/>
              </w:rPr>
            </w:pPr>
          </w:p>
        </w:tc>
      </w:tr>
      <w:tr>
        <w:trPr>
          <w:trHeight w:val="47"/>
        </w:trPr>
        <w:tc>
          <w:tcPr>
            <w:tcW w:w="32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30"/>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52"/>
              <w:spacing w:after="0"/>
              <w:rPr>
                <w:sz w:val="20"/>
                <w:szCs w:val="20"/>
                <w:color w:val="auto"/>
              </w:rPr>
            </w:pPr>
            <w:r>
              <w:rPr>
                <w:rFonts w:ascii="Arial" w:cs="Arial" w:eastAsia="Arial" w:hAnsi="Arial"/>
                <w:sz w:val="16"/>
                <w:szCs w:val="16"/>
                <w:b w:val="1"/>
                <w:bCs w:val="1"/>
                <w:color w:val="auto"/>
              </w:rPr>
              <w:t>2022</w:t>
            </w:r>
          </w:p>
        </w:tc>
      </w:tr>
      <w:tr>
        <w:trPr>
          <w:trHeight w:val="46"/>
        </w:trPr>
        <w:tc>
          <w:tcPr>
            <w:tcW w:w="32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4"/>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40"/>
        </w:trPr>
        <w:tc>
          <w:tcPr>
            <w:tcW w:w="3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1,933</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221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0"/>
        </w:trPr>
        <w:tc>
          <w:tcPr>
            <w:tcW w:w="3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43"/>
        </w:trPr>
        <w:tc>
          <w:tcPr>
            <w:tcW w:w="32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2,792</w:t>
            </w:r>
          </w:p>
        </w:tc>
        <w:tc>
          <w:tcPr>
            <w:tcW w:w="20" w:type="dxa"/>
            <w:vAlign w:val="bottom"/>
          </w:tcPr>
          <w:p>
            <w:pPr>
              <w:spacing w:after="0"/>
              <w:rPr>
                <w:sz w:val="21"/>
                <w:szCs w:val="21"/>
                <w:color w:val="auto"/>
              </w:rPr>
            </w:pPr>
          </w:p>
        </w:tc>
        <w:tc>
          <w:tcPr>
            <w:tcW w:w="86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430</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5,794</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1,378</w:t>
            </w:r>
          </w:p>
        </w:tc>
      </w:tr>
      <w:tr>
        <w:trPr>
          <w:trHeight w:val="20"/>
        </w:trPr>
        <w:tc>
          <w:tcPr>
            <w:tcW w:w="3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Stock-based compensation allocated to cost of goods sold was not material for the three and nine months ended March 31, 2023 and 2022. As of March 31, 2023, the unrecognized stock-based compensation expense related to outstanding unvested stock options was $2.0 million which is expected to be recognized over a weighted-average period of 3.17 years.</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During the three and nine months ended March 31, 2023 the Company recorded $1.6 million and $3.5 million, respectively, of stock-based compensation expense associated with earnout shares granted to holders of common stock held by current employees and directors and holders of options and RSUs. No amounts were recorded during the three and nine months ended March 31, 2022 associated with earnout shares. Refer to Note 1 for further discussion of compensation recorded related to earnout shares granted to holders of common stock, options and RSUs.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Effective with the closing of the Merger, the Company adopted and employee stock purchase plan (“ESPP”). There was no activity under the plan during the three and nine months ended March 31, 2023, as the Company has not yet conducted any offerings pursuant to the ESPP.</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ESPP allows eligible employees to purchase shares of the Company’s common stock at a discount through payroll deductions of up to 15% of their eligible compensation, subject to any plan limitations, during designated 6 month offering periods. At the end of each offering period, employees are able to purchase shares at the lesser of (i) 85% of the fair market value of the Company’s common stock on the first day of the offering period and (ii) 85% of the fair market value of the Company’s common stock on the last day of the offering period, based on the closing sales price of the Company’s common stock as quoted on the NASDAQ on such date.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1" w:name="page162"/>
    <w:bookmarkEnd w:id="16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 Stock-Based Compensation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Stock-based Compensation</w:t>
      </w:r>
    </w:p>
    <w:p>
      <w:pPr>
        <w:spacing w:after="0" w:line="144"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In connection with the acquisition of CyborgOps (refer to Note 1), the Company issued 475,638 shares of common stock to former employees of CyborgOps who have continued employment with the Company, and are accounted for as stock-based compensation because the shares are subject to forfeiture based on post-acquisition time-based service vesting. The shares vest in monthly increments over four years commencing on June 11, 2022. The fair value was determined to be $8.75 per share based on the acquisition date fair value. During the three and nine months ended March 31, 2023, the Company recognized $0.3 million and $0.8 million of stock-based compensation expense related to these equity awards, respectively. As of March 31, 2023, unrecognized stock-based compensation expense associated with these equity awards was $3.3 million, which is expected to be recognized over a weighted-average period of 3.12 years.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 Income Taxes</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 Company is subject to U.S. federal, state, and local corporate income taxes. The Company’s income tax expense was not material for the three and nine months ended March 31, 2023 and 2022. The Company does not expect any material changes in tax position for the remainder of the fiscal year.</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 Net Income (Loss) Per Share</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stockholders for the periods presented: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gridSpan w:val="6"/>
          </w:tcPr>
          <w:p>
            <w:pPr>
              <w:jc w:val="right"/>
              <w:ind w:right="4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6"/>
          </w:tcPr>
          <w:p>
            <w:pPr>
              <w:jc w:val="right"/>
              <w:ind w:right="56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6"/>
          </w:tcPr>
          <w:p>
            <w:pPr>
              <w:jc w:val="right"/>
              <w:ind w:right="820"/>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6"/>
          </w:tcPr>
          <w:p>
            <w:pPr>
              <w:jc w:val="right"/>
              <w:ind w:right="880"/>
              <w:spacing w:after="0"/>
              <w:rPr>
                <w:sz w:val="20"/>
                <w:szCs w:val="20"/>
                <w:color w:val="auto"/>
              </w:rPr>
            </w:pPr>
            <w:r>
              <w:rPr>
                <w:rFonts w:ascii="Arial" w:cs="Arial" w:eastAsia="Arial" w:hAnsi="Arial"/>
                <w:sz w:val="16"/>
                <w:szCs w:val="16"/>
                <w:b w:val="1"/>
                <w:bCs w:val="1"/>
                <w:color w:val="auto"/>
              </w:rPr>
              <w:t>March 31,</w:t>
            </w:r>
          </w:p>
        </w:tc>
      </w:tr>
      <w:tr>
        <w:trPr>
          <w:trHeight w:val="47"/>
        </w:trPr>
        <w:tc>
          <w:tcPr>
            <w:tcW w:w="3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17"/>
        </w:trPr>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r>
      <w:tr>
        <w:trPr>
          <w:trHeight w:val="47"/>
        </w:trPr>
        <w:tc>
          <w:tcPr>
            <w:tcW w:w="3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w w:val="93"/>
              </w:rPr>
              <w:t>Net income (loss) attributable to common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stockholders, basic and diluted</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(15,680)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8,954</w:t>
            </w:r>
          </w:p>
        </w:tc>
        <w:tc>
          <w:tcPr>
            <w:tcW w:w="1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2,080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(34,062)</w:t>
            </w:r>
          </w:p>
        </w:tc>
      </w:tr>
      <w:tr>
        <w:trPr>
          <w:trHeight w:val="40"/>
        </w:trPr>
        <w:tc>
          <w:tcPr>
            <w:tcW w:w="3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Less: Change in fair value of convertible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1"/>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promissory notes</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182"/>
        </w:trPr>
        <w:tc>
          <w:tcPr>
            <w:tcW w:w="3100" w:type="dxa"/>
            <w:vAlign w:val="bottom"/>
          </w:tcPr>
          <w:p>
            <w:pPr>
              <w:spacing w:after="0" w:line="182" w:lineRule="exact"/>
              <w:rPr>
                <w:sz w:val="20"/>
                <w:szCs w:val="20"/>
                <w:color w:val="auto"/>
              </w:rPr>
            </w:pPr>
            <w:r>
              <w:rPr>
                <w:rFonts w:ascii="Arial" w:cs="Arial" w:eastAsia="Arial" w:hAnsi="Arial"/>
                <w:sz w:val="18"/>
                <w:szCs w:val="18"/>
                <w:color w:val="auto"/>
                <w:w w:val="93"/>
              </w:rPr>
              <w:t>Net income (loss) attributable to common</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stockholders, diluted</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(15,680)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(7,353)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2,080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(34,062)</w:t>
            </w:r>
          </w:p>
        </w:tc>
      </w:tr>
      <w:tr>
        <w:trPr>
          <w:trHeight w:val="40"/>
        </w:trPr>
        <w:tc>
          <w:tcPr>
            <w:tcW w:w="3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Weighted-average shares used in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w w:val="94"/>
              </w:rPr>
              <w:t>computing net income (loss) per share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w w:val="98"/>
              </w:rPr>
              <w:t>attributable to common stockholders,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4"/>
        </w:trPr>
        <w:tc>
          <w:tcPr>
            <w:tcW w:w="3100" w:type="dxa"/>
            <w:vAlign w:val="bottom"/>
          </w:tcPr>
          <w:p>
            <w:pPr>
              <w:ind w:left="18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51,453,368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27,316,602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44,173,570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27,213,403</w:t>
            </w:r>
          </w:p>
        </w:tc>
        <w:tc>
          <w:tcPr>
            <w:tcW w:w="140" w:type="dxa"/>
            <w:vAlign w:val="bottom"/>
          </w:tcPr>
          <w:p>
            <w:pPr>
              <w:spacing w:after="0"/>
              <w:rPr>
                <w:sz w:val="21"/>
                <w:szCs w:val="2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182"/>
        </w:trPr>
        <w:tc>
          <w:tcPr>
            <w:tcW w:w="31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Add: Weighted average dilutive effect of</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51"/>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options, RSUs and warrants</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10,366,225</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w w:val="96"/>
              </w:rPr>
              <w:t>Add: Weighted average dilutive effect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4"/>
        </w:trPr>
        <w:tc>
          <w:tcPr>
            <w:tcW w:w="3100" w:type="dxa"/>
            <w:vAlign w:val="bottom"/>
          </w:tcPr>
          <w:p>
            <w:pPr>
              <w:ind w:left="180"/>
              <w:spacing w:after="0"/>
              <w:rPr>
                <w:sz w:val="20"/>
                <w:szCs w:val="20"/>
                <w:color w:val="auto"/>
              </w:rPr>
            </w:pPr>
            <w:r>
              <w:rPr>
                <w:rFonts w:ascii="Arial" w:cs="Arial" w:eastAsia="Arial" w:hAnsi="Arial"/>
                <w:sz w:val="18"/>
                <w:szCs w:val="18"/>
                <w:color w:val="auto"/>
              </w:rPr>
              <w:t>convertible promissory notes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4,522,105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182"/>
        </w:trPr>
        <w:tc>
          <w:tcPr>
            <w:tcW w:w="31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Weighted average shares outstanding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71"/>
        </w:trPr>
        <w:tc>
          <w:tcPr>
            <w:tcW w:w="3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51,453,368</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31,838,707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54,539,795</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27,213,403</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182"/>
        </w:trPr>
        <w:tc>
          <w:tcPr>
            <w:tcW w:w="3100" w:type="dxa"/>
            <w:vAlign w:val="bottom"/>
          </w:tcPr>
          <w:p>
            <w:pPr>
              <w:spacing w:after="0" w:line="182" w:lineRule="exact"/>
              <w:rPr>
                <w:sz w:val="20"/>
                <w:szCs w:val="20"/>
                <w:color w:val="auto"/>
              </w:rPr>
            </w:pPr>
            <w:r>
              <w:rPr>
                <w:rFonts w:ascii="Arial" w:cs="Arial" w:eastAsia="Arial" w:hAnsi="Arial"/>
                <w:sz w:val="18"/>
                <w:szCs w:val="18"/>
                <w:color w:val="auto"/>
                <w:w w:val="91"/>
              </w:rPr>
              <w:t>Net income (loss) per share attributable to</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common stockholders, basic</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(0.30)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r>
      <w:tr>
        <w:trPr>
          <w:trHeight w:val="40"/>
        </w:trPr>
        <w:tc>
          <w:tcPr>
            <w:tcW w:w="3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Net income (loss) per share attributable to</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1"/>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stockholders, diluted</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(0.23)</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r>
      <w:tr>
        <w:trPr>
          <w:trHeight w:val="405"/>
        </w:trPr>
        <w:tc>
          <w:tcPr>
            <w:tcW w:w="3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F-39</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62" w:name="page163"/>
    <w:bookmarkEnd w:id="16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 Net Income (Loss) Per Share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potential weighted average shares of common stock that were excluded from the computation of diluted net loss per share attributable to common stockholders for the periods presented because including them would have been antidilutive are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246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0"/>
              </w:rPr>
              <w:t>Three months ended</w:t>
            </w:r>
          </w:p>
        </w:tc>
        <w:tc>
          <w:tcPr>
            <w:tcW w:w="2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Nine Months Ended</w:t>
            </w:r>
          </w:p>
        </w:tc>
      </w:tr>
      <w:tr>
        <w:trPr>
          <w:trHeight w:val="210"/>
        </w:trPr>
        <w:tc>
          <w:tcPr>
            <w:tcW w:w="3180" w:type="dxa"/>
            <w:vAlign w:val="bottom"/>
          </w:tcPr>
          <w:p>
            <w:pPr>
              <w:spacing w:after="0"/>
              <w:rPr>
                <w:sz w:val="18"/>
                <w:szCs w:val="18"/>
                <w:color w:val="auto"/>
              </w:rPr>
            </w:pPr>
          </w:p>
        </w:tc>
        <w:tc>
          <w:tcPr>
            <w:tcW w:w="1540" w:type="dxa"/>
            <w:vAlign w:val="bottom"/>
            <w:gridSpan w:val="3"/>
          </w:tcPr>
          <w:p>
            <w:pPr>
              <w:jc w:val="center"/>
              <w:ind w:left="713"/>
              <w:spacing w:after="0"/>
              <w:rPr>
                <w:sz w:val="20"/>
                <w:szCs w:val="20"/>
                <w:color w:val="auto"/>
              </w:rPr>
            </w:pPr>
            <w:r>
              <w:rPr>
                <w:rFonts w:ascii="Arial" w:cs="Arial" w:eastAsia="Arial" w:hAnsi="Arial"/>
                <w:sz w:val="16"/>
                <w:szCs w:val="16"/>
                <w:b w:val="1"/>
                <w:bCs w:val="1"/>
                <w:color w:val="auto"/>
                <w:w w:val="94"/>
              </w:rPr>
              <w:t>March 31,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left="753"/>
              <w:spacing w:after="0"/>
              <w:rPr>
                <w:sz w:val="20"/>
                <w:szCs w:val="20"/>
                <w:color w:val="auto"/>
              </w:rPr>
            </w:pPr>
            <w:r>
              <w:rPr>
                <w:rFonts w:ascii="Arial" w:cs="Arial" w:eastAsia="Arial" w:hAnsi="Arial"/>
                <w:sz w:val="16"/>
                <w:szCs w:val="16"/>
                <w:b w:val="1"/>
                <w:bCs w:val="1"/>
                <w:color w:val="auto"/>
                <w:w w:val="94"/>
              </w:rPr>
              <w:t>March 31,</w:t>
            </w:r>
          </w:p>
        </w:tc>
        <w:tc>
          <w:tcPr>
            <w:tcW w:w="840" w:type="dxa"/>
            <w:vAlign w:val="bottom"/>
          </w:tcPr>
          <w:p>
            <w:pPr>
              <w:spacing w:after="0"/>
              <w:rPr>
                <w:sz w:val="18"/>
                <w:szCs w:val="18"/>
                <w:color w:val="auto"/>
              </w:rPr>
            </w:pPr>
          </w:p>
        </w:tc>
      </w:tr>
      <w:tr>
        <w:trPr>
          <w:trHeight w:val="47"/>
        </w:trPr>
        <w:tc>
          <w:tcPr>
            <w:tcW w:w="318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1"/>
        </w:trPr>
        <w:tc>
          <w:tcPr>
            <w:tcW w:w="3180" w:type="dxa"/>
            <w:vAlign w:val="bottom"/>
          </w:tcPr>
          <w:p>
            <w:pPr>
              <w:spacing w:after="0"/>
              <w:rPr>
                <w:sz w:val="20"/>
                <w:szCs w:val="20"/>
                <w:color w:val="auto"/>
              </w:rPr>
            </w:pPr>
          </w:p>
        </w:tc>
        <w:tc>
          <w:tcPr>
            <w:tcW w:w="1120" w:type="dxa"/>
            <w:vAlign w:val="bottom"/>
          </w:tcPr>
          <w:p>
            <w:pPr>
              <w:jc w:val="right"/>
              <w:ind w:right="31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1120" w:type="dxa"/>
            <w:vAlign w:val="bottom"/>
          </w:tcPr>
          <w:p>
            <w:pPr>
              <w:jc w:val="right"/>
              <w:ind w:right="31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72"/>
              <w:spacing w:after="0"/>
              <w:rPr>
                <w:sz w:val="20"/>
                <w:szCs w:val="20"/>
                <w:color w:val="auto"/>
              </w:rPr>
            </w:pPr>
            <w:r>
              <w:rPr>
                <w:rFonts w:ascii="Arial" w:cs="Arial" w:eastAsia="Arial" w:hAnsi="Arial"/>
                <w:sz w:val="16"/>
                <w:szCs w:val="16"/>
                <w:b w:val="1"/>
                <w:bCs w:val="1"/>
                <w:color w:val="auto"/>
              </w:rPr>
              <w:t>2022</w:t>
            </w:r>
          </w:p>
        </w:tc>
      </w:tr>
      <w:tr>
        <w:trPr>
          <w:trHeight w:val="46"/>
        </w:trPr>
        <w:tc>
          <w:tcPr>
            <w:tcW w:w="31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3"/>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and RSUs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13,856,065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11,848,316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356,342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11,903,763</w:t>
            </w:r>
          </w:p>
        </w:tc>
      </w:t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Convertible notes</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4,535,520</w:t>
            </w:r>
          </w:p>
        </w:tc>
      </w:tr>
      <w:tr>
        <w:trPr>
          <w:trHeight w:val="40"/>
        </w:trPr>
        <w:tc>
          <w:tcPr>
            <w:tcW w:w="3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4"/>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18,154,571</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4,582,204</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12,509,788</w:t>
            </w: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4,372,633</w:t>
            </w:r>
          </w:p>
        </w:tc>
      </w:tr>
      <w:tr>
        <w:trPr>
          <w:trHeight w:val="257"/>
        </w:trPr>
        <w:tc>
          <w:tcPr>
            <w:tcW w:w="3180" w:type="dxa"/>
            <w:vAlign w:val="bottom"/>
          </w:tcPr>
          <w:p>
            <w:pPr>
              <w:spacing w:after="0"/>
              <w:rPr>
                <w:sz w:val="20"/>
                <w:szCs w:val="20"/>
                <w:color w:val="auto"/>
              </w:rPr>
            </w:pPr>
            <w:r>
              <w:rPr>
                <w:rFonts w:ascii="Arial" w:cs="Arial" w:eastAsia="Arial" w:hAnsi="Arial"/>
                <w:sz w:val="18"/>
                <w:szCs w:val="18"/>
                <w:color w:val="auto"/>
              </w:rPr>
              <w:t>Non-voting common stock warrants</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2"/>
        </w:trPr>
        <w:tc>
          <w:tcPr>
            <w:tcW w:w="3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potential shares of common stock</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excluded from the computation of</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51"/>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income (loss) per share</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32,010,636</w:t>
            </w:r>
          </w:p>
        </w:tc>
        <w:tc>
          <w:tcPr>
            <w:tcW w:w="3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16,430,520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12,866,130</w:t>
            </w: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20,811,916</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Warrants to purchase a weighted average of 12,509,788 shares of common stock were outstanding during the nine months ended March 31, 2023 but were not included in the computation of diluted EPS because the warrants’ exercise prices were greater than the average market price of the common shares.</w:t>
      </w:r>
    </w:p>
    <w:p>
      <w:pPr>
        <w:spacing w:after="0" w:line="9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 Company excluded a weighted average of 300,376 options for the three and nine months ended March 31, 2022. These equity awards were excluded from the calculation of diluted EPS as they are subject to performance conditions for which the necessary conditions were not been satisfied.</w:t>
      </w:r>
    </w:p>
    <w:p>
      <w:pPr>
        <w:spacing w:after="0" w:line="8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Company excluded a weighted average of 14,819,594 and 10,494,505 earnout shares from the calculation of diluted EPS for the three and nine months ended March 31, 2023 as they are subject to market conditions for which the necessary conditions have not been satisfied.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 Related Party Transactions</w:t>
      </w:r>
    </w:p>
    <w:p>
      <w:pPr>
        <w:spacing w:after="0" w:line="16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As of June 30, 2022, the Company had $9.6 million of convertible promissory notes and embedded warrants with entities in which a member of the Company’s board of directors is an officer of the entity and has a financial interest in the entity (“affiliated entities”), classified as a current liability on the condensed consolidated balance sheet at that time. The convertible promissory notes and embedded warrants due to a related party were converted into shares of common stock in the Company during the nine months ended March 31, 2023. As of March 31, 2023, the Company has no convertible promissory notes and embedded warrants balance due to a related party. Refer to Note 7 for further details.</w:t>
      </w:r>
    </w:p>
    <w:p>
      <w:pPr>
        <w:spacing w:after="0" w:line="110"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During the nine months ended March 31, 2023, the Company received an equity investment of $1.0 million from an investor in exchange for 133,133 shares in the Company. Refer to Note 9 for further details.</w:t>
      </w:r>
    </w:p>
    <w:p>
      <w:pPr>
        <w:spacing w:after="0" w:line="10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Additionally, during the nine months ended March 31, 2023, the Company granted 1,200,000 of RSUs to a director and the current interim CEO of the Company with a grant date fair value of $4.56 per RSU. Refer to Note 11 for further details.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 Subsequent Events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Receivable Financing Facility</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As noted in Note 6, on April 15, 2023, the Company entered into an amended and restated investment arrangement to amend the payment due dates and periodic payment amounts to be made under the investment agreement. The agreement calls for payments of principal and interest of $0.7 million, $3.5 million and $0.9 million in fiscal years 2023, 2024 and 2025,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3" w:name="page164"/>
    <w:bookmarkEnd w:id="16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 Subsequent Events </w:t>
      </w:r>
      <w:r>
        <w:rPr>
          <w:rFonts w:ascii="Arial" w:cs="Arial" w:eastAsia="Arial" w:hAnsi="Arial"/>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Extended Term of Consulting Agreement</w:t>
      </w:r>
    </w:p>
    <w:p>
      <w:pPr>
        <w:spacing w:after="0" w:line="15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On May 3, 2023, the Company entered into an Amendment to the Consulting Agreement with Ashish Gupta (the “Amendment”). The Amendment extends the term of the Consulting Agreement dated March 4, 2023 that provides for Mr. Gupta to continue his advisory to the Company, from May 1, 2023 until July 31, 2023 (the “Extended Term”). In consideration, he will be compensated at a rate of $50,000 per month during the Extended Term. The Amendment also provides for a grant to Mr. Gupta of 250,000 restricted stock units, one half of which will vest in monthly increments during the Extended Term and the remaining half of which will vest upon the achievement of certain targets agreed to by the Company and Mr. Gupta.</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4" w:name="page165"/>
    <w:bookmarkEnd w:id="16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La Carte, Inc. (dba Presto)</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have audited the accompanying consolidated balance sheets of E La Carte, Inc. (dba Presto) (the “Company”) as of June 30, 2022 and 2021, the related consolidated statements of operations and comprehensive loss, stockholders’ deficit, and cash flows for the years then ended, and the related notes (collectively referred to as the “consolidated financial statements”). In our opinion, the consolidated financial statements present fairly, in all material respects, the consolidated financial position of the Company as of June 30, 2022 and 2021, and the consolidated results of its operations and its cash flows for the years then ended, in conformity with accounting principles generally accepted in the United States of America.</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 Uncertainty</w:t>
      </w:r>
    </w:p>
    <w:p>
      <w:pPr>
        <w:spacing w:after="0" w:line="15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4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Moss Adams LLP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ind w:left="460" w:right="839"/>
        <w:spacing w:after="0" w:line="429" w:lineRule="auto"/>
        <w:rPr>
          <w:sz w:val="20"/>
          <w:szCs w:val="20"/>
          <w:color w:val="auto"/>
        </w:rPr>
      </w:pPr>
      <w:r>
        <w:rPr>
          <w:rFonts w:ascii="Arial" w:cs="Arial" w:eastAsia="Arial" w:hAnsi="Arial"/>
          <w:sz w:val="18"/>
          <w:szCs w:val="18"/>
          <w:color w:val="auto"/>
        </w:rPr>
        <w:t>September 27, 2022 (December 16, 2022, as to the effects of the reverse capitalization described in Note 1) We have served as the Company’s auditor since 2021.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5" w:name="page166"/>
    <w:bookmarkEnd w:id="16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681"/>
              <w:spacing w:after="0"/>
              <w:rPr>
                <w:sz w:val="20"/>
                <w:szCs w:val="20"/>
                <w:color w:val="auto"/>
              </w:rPr>
            </w:pPr>
            <w:r>
              <w:rPr>
                <w:rFonts w:ascii="Arial" w:cs="Arial" w:eastAsia="Arial" w:hAnsi="Arial"/>
                <w:sz w:val="16"/>
                <w:szCs w:val="16"/>
                <w:b w:val="1"/>
                <w:bCs w:val="1"/>
                <w:color w:val="auto"/>
              </w:rPr>
              <w:t>As of June 30,</w:t>
            </w:r>
          </w:p>
        </w:tc>
      </w:tr>
      <w:tr>
        <w:trPr>
          <w:trHeight w:val="46"/>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17"/>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36,909</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$353 and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$902 as of June 30, 2022 and 2021, respectively</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1,183</w:t>
            </w:r>
          </w:p>
        </w:tc>
        <w:tc>
          <w:tcPr>
            <w:tcW w:w="140" w:type="dxa"/>
            <w:vAlign w:val="bottom"/>
          </w:tcPr>
          <w:p>
            <w:pPr>
              <w:spacing w:after="0"/>
              <w:rPr>
                <w:sz w:val="20"/>
                <w:szCs w:val="20"/>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Deferred costs, current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8,443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11,264</w:t>
            </w:r>
          </w:p>
        </w:tc>
        <w:tc>
          <w:tcPr>
            <w:tcW w:w="140" w:type="dxa"/>
            <w:vAlign w:val="bottom"/>
          </w:tcPr>
          <w:p>
            <w:pPr>
              <w:spacing w:after="0"/>
              <w:rPr>
                <w:sz w:val="21"/>
                <w:szCs w:val="2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14,554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54,187</w:t>
            </w:r>
          </w:p>
        </w:tc>
        <w:tc>
          <w:tcPr>
            <w:tcW w:w="140" w:type="dxa"/>
            <w:vAlign w:val="bottom"/>
          </w:tcPr>
          <w:p>
            <w:pPr>
              <w:spacing w:after="0"/>
              <w:rPr>
                <w:sz w:val="19"/>
                <w:szCs w:val="19"/>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costs, net of current portion</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Deferred transaction costs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5,765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4,226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1,334</w:t>
            </w:r>
          </w:p>
        </w:tc>
        <w:tc>
          <w:tcPr>
            <w:tcW w:w="140" w:type="dxa"/>
            <w:vAlign w:val="bottom"/>
          </w:tcPr>
          <w:p>
            <w:pPr>
              <w:spacing w:after="0"/>
              <w:rPr>
                <w:sz w:val="21"/>
                <w:szCs w:val="2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22"/>
                <w:szCs w:val="22"/>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30,536</w:t>
            </w:r>
          </w:p>
        </w:tc>
        <w:tc>
          <w:tcPr>
            <w:tcW w:w="1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70,259</w:t>
            </w:r>
          </w:p>
        </w:tc>
        <w:tc>
          <w:tcPr>
            <w:tcW w:w="140" w:type="dxa"/>
            <w:vAlign w:val="bottom"/>
            <w:shd w:val="clear" w:color="auto" w:fill="CCEEFF"/>
          </w:tcPr>
          <w:p>
            <w:pPr>
              <w:spacing w:after="0"/>
              <w:rPr>
                <w:sz w:val="21"/>
                <w:szCs w:val="2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6,215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7,256</w:t>
            </w:r>
          </w:p>
        </w:tc>
        <w:tc>
          <w:tcPr>
            <w:tcW w:w="14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obligations, current</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15,763</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Term loans, current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25,443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promissory notes and embedded warrants, current</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9,854</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PPP loan, current</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2,599</w:t>
            </w:r>
          </w:p>
        </w:tc>
        <w:tc>
          <w:tcPr>
            <w:tcW w:w="14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75"/>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10,532</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13,980</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37"/>
        </w:trPr>
        <w:tc>
          <w:tcPr>
            <w:tcW w:w="5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146,609</w:t>
            </w:r>
          </w:p>
        </w:tc>
        <w:tc>
          <w:tcPr>
            <w:tcW w:w="1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55,489</w:t>
            </w:r>
          </w:p>
        </w:tc>
        <w:tc>
          <w:tcPr>
            <w:tcW w:w="140" w:type="dxa"/>
            <w:vAlign w:val="bottom"/>
            <w:tcBorders>
              <w:top w:val="single" w:sz="8" w:color="CCEEFF"/>
            </w:tcBorders>
          </w:tcPr>
          <w:p>
            <w:pPr>
              <w:spacing w:after="0"/>
              <w:rPr>
                <w:sz w:val="20"/>
                <w:szCs w:val="20"/>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loans, net of current portion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Financing obligations, net of current portion</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2,772</w:t>
            </w:r>
          </w:p>
        </w:tc>
        <w:tc>
          <w:tcPr>
            <w:tcW w:w="14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promissory notes and embedded warrants, net of current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portion</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52,727</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PPP loan, net of current portion</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11,643</w:t>
            </w:r>
          </w:p>
        </w:tc>
        <w:tc>
          <w:tcPr>
            <w:tcW w:w="14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75"/>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44"/>
        </w:trPr>
        <w:tc>
          <w:tcPr>
            <w:tcW w:w="5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152,995</w:t>
            </w: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140,278</w:t>
            </w:r>
          </w:p>
        </w:tc>
        <w:tc>
          <w:tcPr>
            <w:tcW w:w="140" w:type="dxa"/>
            <w:vAlign w:val="bottom"/>
            <w:tcBorders>
              <w:top w:val="single" w:sz="8" w:color="CCEEFF"/>
            </w:tcBorders>
          </w:tcPr>
          <w:p>
            <w:pPr>
              <w:spacing w:after="0"/>
              <w:rPr>
                <w:sz w:val="21"/>
                <w:szCs w:val="2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270"/>
        </w:trPr>
        <w:tc>
          <w:tcPr>
            <w:tcW w:w="5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Commitments and Contingencies (Refer to Note 8)</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8"/>
              </w:rPr>
              <w:t>Preferred stock, $0.0001 par value – 1,500,000 shares authorized as of</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w w:val="93"/>
              </w:rPr>
              <w:t>June 30, 2022 and June 30, 2021 after recapitalization; no shares issued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and outstanding as of June 30, 2022 and June 30, 2021 after</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recapitalization</w:t>
            </w:r>
          </w:p>
        </w:tc>
        <w:tc>
          <w:tcPr>
            <w:tcW w:w="22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$0.0001 par value – 180,000,000 shares authorized as of</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2022 and June 30, 2021, respectively; 27,974,439 and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27,112,760 shares issued and outstanding as of June 30, 2022 and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June 30, 2021,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78,321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74,447</w:t>
            </w:r>
          </w:p>
        </w:tc>
        <w:tc>
          <w:tcPr>
            <w:tcW w:w="140" w:type="dxa"/>
            <w:vAlign w:val="bottom"/>
          </w:tcPr>
          <w:p>
            <w:pPr>
              <w:spacing w:after="0"/>
              <w:rPr>
                <w:sz w:val="21"/>
                <w:szCs w:val="2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(200,783)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(144,469)</w:t>
            </w: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(122,459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(70,019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deficit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30,536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70,259</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9019"/>
          </w:cols>
          <w:pgMar w:left="1440" w:top="274" w:right="1440" w:bottom="0" w:gutter="0" w:footer="0" w:header="0"/>
        </w:sect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ectPr>
          <w:pgSz w:w="11900" w:h="16838" w:orient="portrait"/>
          <w:cols w:equalWidth="0" w:num="1">
            <w:col w:w="9019"/>
          </w:cols>
          <w:pgMar w:left="1440" w:top="274" w:right="1440" w:bottom="0" w:gutter="0" w:footer="0" w:header="0"/>
          <w:type w:val="continuous"/>
        </w:sectPr>
      </w:pPr>
    </w:p>
    <w:bookmarkStart w:id="166" w:name="page167"/>
    <w:bookmarkEnd w:id="166"/>
    <w:p>
      <w:pPr>
        <w:jc w:val="center"/>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7" w:name="page168"/>
    <w:bookmarkEnd w:id="16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6"/>
          </w:tcPr>
          <w:p>
            <w:pPr>
              <w:jc w:val="right"/>
              <w:ind w:right="500"/>
              <w:spacing w:after="0"/>
              <w:rPr>
                <w:sz w:val="20"/>
                <w:szCs w:val="20"/>
                <w:color w:val="auto"/>
              </w:rPr>
            </w:pPr>
            <w:r>
              <w:rPr>
                <w:rFonts w:ascii="Arial" w:cs="Arial" w:eastAsia="Arial" w:hAnsi="Arial"/>
                <w:sz w:val="16"/>
                <w:szCs w:val="16"/>
                <w:b w:val="1"/>
                <w:bCs w:val="1"/>
                <w:color w:val="auto"/>
              </w:rPr>
              <w:t>Years Ended June 30,</w:t>
            </w:r>
          </w:p>
        </w:tc>
      </w:tr>
      <w:tr>
        <w:trPr>
          <w:trHeight w:val="47"/>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Platform</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20,053</w:t>
            </w:r>
          </w:p>
        </w:tc>
        <w:tc>
          <w:tcPr>
            <w:tcW w:w="140" w:type="dxa"/>
            <w:vAlign w:val="bottom"/>
          </w:tcPr>
          <w:p>
            <w:pPr>
              <w:spacing w:after="0"/>
              <w:rPr>
                <w:sz w:val="21"/>
                <w:szCs w:val="21"/>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19,074</w:t>
            </w:r>
          </w:p>
        </w:tc>
        <w:tc>
          <w:tcPr>
            <w:tcW w:w="140" w:type="dxa"/>
            <w:vAlign w:val="bottom"/>
          </w:tcPr>
          <w:p>
            <w:pPr>
              <w:spacing w:after="0"/>
              <w:rPr>
                <w:sz w:val="21"/>
                <w:szCs w:val="2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75"/>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Transaction</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10,838</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37"/>
        </w:trPr>
        <w:tc>
          <w:tcPr>
            <w:tcW w:w="5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30,351</w:t>
            </w:r>
          </w:p>
        </w:tc>
        <w:tc>
          <w:tcPr>
            <w:tcW w:w="1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29,912</w:t>
            </w:r>
          </w:p>
        </w:tc>
        <w:tc>
          <w:tcPr>
            <w:tcW w:w="140" w:type="dxa"/>
            <w:vAlign w:val="bottom"/>
            <w:tcBorders>
              <w:top w:val="single" w:sz="8" w:color="CCEEFF"/>
            </w:tcBorders>
          </w:tcPr>
          <w:p>
            <w:pPr>
              <w:spacing w:after="0"/>
              <w:rPr>
                <w:sz w:val="20"/>
                <w:szCs w:val="20"/>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Platform</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18,687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14,813</w:t>
            </w:r>
          </w:p>
        </w:tc>
        <w:tc>
          <w:tcPr>
            <w:tcW w:w="14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Transaction</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8,998</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Depreciation and impairment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5,554</w:t>
            </w:r>
          </w:p>
        </w:tc>
        <w:tc>
          <w:tcPr>
            <w:tcW w:w="14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68"/>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29,718</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28,864</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37"/>
        </w:trPr>
        <w:tc>
          <w:tcPr>
            <w:tcW w:w="560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40" w:type="dxa"/>
            <w:vAlign w:val="bottom"/>
            <w:tcBorders>
              <w:top w:val="single" w:sz="8" w:color="CCEEFF"/>
            </w:tcBorders>
          </w:tcPr>
          <w:p>
            <w:pPr>
              <w:spacing w:after="0"/>
              <w:rPr>
                <w:sz w:val="20"/>
                <w:szCs w:val="20"/>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16,778</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6,640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2,895</w:t>
            </w:r>
          </w:p>
        </w:tc>
        <w:tc>
          <w:tcPr>
            <w:tcW w:w="14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Loss on infrequent product repairs</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3,342</w:t>
            </w:r>
          </w:p>
        </w:tc>
        <w:tc>
          <w:tcPr>
            <w:tcW w:w="14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33,847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25,566</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0"/>
        </w:trPr>
        <w:tc>
          <w:tcPr>
            <w:tcW w:w="5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(33,214)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(24,518)</w:t>
            </w: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(19,996)</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(5,434)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(4,664)</w:t>
            </w: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0"/>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(601)</w:t>
            </w:r>
          </w:p>
        </w:tc>
      </w:tr>
      <w:tr>
        <w:trPr>
          <w:trHeight w:val="20"/>
        </w:trPr>
        <w:tc>
          <w:tcPr>
            <w:tcW w:w="5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37"/>
        </w:trPr>
        <w:tc>
          <w:tcPr>
            <w:tcW w:w="5600" w:type="dxa"/>
            <w:vAlign w:val="bottom"/>
          </w:tcPr>
          <w:p>
            <w:pPr>
              <w:ind w:left="360"/>
              <w:spacing w:after="0"/>
              <w:rPr>
                <w:sz w:val="20"/>
                <w:szCs w:val="20"/>
                <w:color w:val="auto"/>
              </w:rPr>
            </w:pPr>
            <w:r>
              <w:rPr>
                <w:rFonts w:ascii="Arial" w:cs="Arial" w:eastAsia="Arial" w:hAnsi="Arial"/>
                <w:sz w:val="18"/>
                <w:szCs w:val="18"/>
                <w:color w:val="auto"/>
              </w:rPr>
              <w:t>Total other expense, net</w:t>
            </w: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(23,330)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(25,261)</w:t>
            </w:r>
          </w:p>
        </w:tc>
      </w:tr>
      <w:tr>
        <w:trPr>
          <w:trHeight w:val="27"/>
        </w:trPr>
        <w:tc>
          <w:tcPr>
            <w:tcW w:w="5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(benefit) provision for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(56,544)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(49,779)</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4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8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(56,314)</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(49,802)</w:t>
            </w:r>
          </w:p>
        </w:tc>
      </w:tr>
      <w:tr>
        <w:trPr>
          <w:trHeight w:val="224"/>
        </w:trPr>
        <w:tc>
          <w:tcPr>
            <w:tcW w:w="56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5"/>
              </w:rPr>
              <w:t>Net loss per share attributable to common stockholders, basic and diluted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top w:val="single" w:sz="8" w:color="CCEEFF"/>
            </w:tcBorders>
          </w:tcPr>
          <w:p>
            <w:pPr>
              <w:spacing w:after="0"/>
              <w:rPr>
                <w:sz w:val="19"/>
                <w:szCs w:val="19"/>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75"/>
        </w:trPr>
        <w:tc>
          <w:tcPr>
            <w:tcW w:w="560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w w:val="93"/>
              </w:rPr>
              <w:t>Weighted-average shares used in computing net loss per share attributable</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77"/>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 common stockholders, basic and diluted</w:t>
            </w:r>
          </w:p>
        </w:tc>
        <w:tc>
          <w:tcPr>
            <w:tcW w:w="1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27,268,887</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27,065,512</w:t>
            </w:r>
          </w:p>
        </w:tc>
        <w:tc>
          <w:tcPr>
            <w:tcW w:w="140" w:type="dxa"/>
            <w:vAlign w:val="bottom"/>
            <w:tcBorders>
              <w:bottom w:val="single" w:sz="8" w:color="CCEEFF"/>
            </w:tcBorders>
            <w:shd w:val="clear" w:color="auto" w:fill="CCEEFF"/>
          </w:tcPr>
          <w:p>
            <w:pPr>
              <w:spacing w:after="0"/>
              <w:rPr>
                <w:sz w:val="24"/>
                <w:szCs w:val="24"/>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8" w:name="page169"/>
    <w:bookmarkEnd w:id="16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00" w:type="dxa"/>
            <w:vAlign w:val="bottom"/>
          </w:tcPr>
          <w:p>
            <w:pPr>
              <w:spacing w:after="0"/>
              <w:rPr>
                <w:sz w:val="17"/>
                <w:szCs w:val="17"/>
                <w:color w:val="auto"/>
              </w:rPr>
            </w:pPr>
          </w:p>
        </w:tc>
        <w:tc>
          <w:tcPr>
            <w:tcW w:w="1240" w:type="dxa"/>
            <w:vAlign w:val="bottom"/>
            <w:gridSpan w:val="5"/>
          </w:tcPr>
          <w:p>
            <w:pPr>
              <w:jc w:val="center"/>
              <w:ind w:left="292"/>
              <w:spacing w:after="0"/>
              <w:rPr>
                <w:sz w:val="20"/>
                <w:szCs w:val="20"/>
                <w:color w:val="auto"/>
              </w:rPr>
            </w:pPr>
            <w:r>
              <w:rPr>
                <w:rFonts w:ascii="Arial" w:cs="Arial" w:eastAsia="Arial" w:hAnsi="Arial"/>
                <w:sz w:val="16"/>
                <w:szCs w:val="16"/>
                <w:b w:val="1"/>
                <w:bCs w:val="1"/>
                <w:color w:val="auto"/>
                <w:w w:val="93"/>
              </w:rPr>
              <w:t>Convertible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vMerge w:val="restart"/>
          </w:tcPr>
          <w:p>
            <w:pPr>
              <w:spacing w:after="0"/>
              <w:rPr>
                <w:sz w:val="20"/>
                <w:szCs w:val="20"/>
                <w:color w:val="auto"/>
              </w:rPr>
            </w:pPr>
            <w:r>
              <w:rPr>
                <w:rFonts w:ascii="Arial" w:cs="Arial" w:eastAsia="Arial" w:hAnsi="Arial"/>
                <w:sz w:val="16"/>
                <w:szCs w:val="16"/>
                <w:b w:val="1"/>
                <w:bCs w:val="1"/>
                <w:color w:val="auto"/>
                <w:w w:val="99"/>
              </w:rPr>
              <w:t>Additional</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81"/>
        </w:trPr>
        <w:tc>
          <w:tcPr>
            <w:tcW w:w="2000" w:type="dxa"/>
            <w:vAlign w:val="bottom"/>
          </w:tcPr>
          <w:p>
            <w:pPr>
              <w:spacing w:after="0"/>
              <w:rPr>
                <w:sz w:val="7"/>
                <w:szCs w:val="7"/>
                <w:color w:val="auto"/>
              </w:rPr>
            </w:pPr>
          </w:p>
        </w:tc>
        <w:tc>
          <w:tcPr>
            <w:tcW w:w="1640" w:type="dxa"/>
            <w:vAlign w:val="bottom"/>
            <w:gridSpan w:val="8"/>
            <w:vMerge w:val="restart"/>
          </w:tcPr>
          <w:p>
            <w:pPr>
              <w:jc w:val="center"/>
              <w:ind w:right="20"/>
              <w:spacing w:after="0"/>
              <w:rPr>
                <w:sz w:val="20"/>
                <w:szCs w:val="20"/>
                <w:color w:val="auto"/>
              </w:rPr>
            </w:pPr>
            <w:r>
              <w:rPr>
                <w:rFonts w:ascii="Arial" w:cs="Arial" w:eastAsia="Arial" w:hAnsi="Arial"/>
                <w:sz w:val="16"/>
                <w:szCs w:val="16"/>
                <w:b w:val="1"/>
                <w:bCs w:val="1"/>
                <w:color w:val="auto"/>
                <w:w w:val="92"/>
              </w:rPr>
              <w:t>Preferred Stock</w:t>
            </w:r>
          </w:p>
        </w:tc>
        <w:tc>
          <w:tcPr>
            <w:tcW w:w="80" w:type="dxa"/>
            <w:vAlign w:val="bottom"/>
          </w:tcPr>
          <w:p>
            <w:pPr>
              <w:spacing w:after="0"/>
              <w:rPr>
                <w:sz w:val="7"/>
                <w:szCs w:val="7"/>
                <w:color w:val="auto"/>
              </w:rPr>
            </w:pPr>
          </w:p>
        </w:tc>
        <w:tc>
          <w:tcPr>
            <w:tcW w:w="1480" w:type="dxa"/>
            <w:vAlign w:val="bottom"/>
            <w:gridSpan w:val="6"/>
            <w:vMerge w:val="restart"/>
          </w:tcPr>
          <w:p>
            <w:pPr>
              <w:ind w:left="200"/>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00" w:type="dxa"/>
            <w:vAlign w:val="bottom"/>
          </w:tcPr>
          <w:p>
            <w:pPr>
              <w:spacing w:after="0"/>
              <w:rPr>
                <w:sz w:val="11"/>
                <w:szCs w:val="11"/>
                <w:color w:val="auto"/>
              </w:rPr>
            </w:pPr>
          </w:p>
        </w:tc>
        <w:tc>
          <w:tcPr>
            <w:tcW w:w="1640" w:type="dxa"/>
            <w:vAlign w:val="bottom"/>
            <w:gridSpan w:val="8"/>
            <w:vMerge w:val="continue"/>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ind w:left="20"/>
              <w:spacing w:after="0" w:line="176" w:lineRule="exact"/>
              <w:rPr>
                <w:sz w:val="20"/>
                <w:szCs w:val="20"/>
                <w:color w:val="auto"/>
              </w:rPr>
            </w:pPr>
            <w:r>
              <w:rPr>
                <w:rFonts w:ascii="Arial" w:cs="Arial" w:eastAsia="Arial" w:hAnsi="Arial"/>
                <w:sz w:val="16"/>
                <w:szCs w:val="16"/>
                <w:b w:val="1"/>
                <w:bCs w:val="1"/>
                <w:color w:val="auto"/>
              </w:rPr>
              <w:t>Paid-In</w:t>
            </w:r>
          </w:p>
        </w:tc>
        <w:tc>
          <w:tcPr>
            <w:tcW w:w="940" w:type="dxa"/>
            <w:vAlign w:val="bottom"/>
            <w:gridSpan w:val="4"/>
            <w:vMerge w:val="restart"/>
          </w:tcPr>
          <w:p>
            <w:pPr>
              <w:jc w:val="center"/>
              <w:spacing w:after="0" w:line="176" w:lineRule="exact"/>
              <w:rPr>
                <w:sz w:val="20"/>
                <w:szCs w:val="20"/>
                <w:color w:val="auto"/>
              </w:rPr>
            </w:pPr>
            <w:r>
              <w:rPr>
                <w:rFonts w:ascii="Arial" w:cs="Arial" w:eastAsia="Arial" w:hAnsi="Arial"/>
                <w:sz w:val="16"/>
                <w:szCs w:val="16"/>
                <w:b w:val="1"/>
                <w:bCs w:val="1"/>
                <w:color w:val="auto"/>
                <w:w w:val="89"/>
              </w:rPr>
              <w:t>Accumulated</w:t>
            </w:r>
          </w:p>
        </w:tc>
        <w:tc>
          <w:tcPr>
            <w:tcW w:w="80" w:type="dxa"/>
            <w:vAlign w:val="bottom"/>
          </w:tcPr>
          <w:p>
            <w:pPr>
              <w:spacing w:after="0"/>
              <w:rPr>
                <w:sz w:val="11"/>
                <w:szCs w:val="11"/>
                <w:color w:val="auto"/>
              </w:rPr>
            </w:pPr>
          </w:p>
        </w:tc>
        <w:tc>
          <w:tcPr>
            <w:tcW w:w="980" w:type="dxa"/>
            <w:vAlign w:val="bottom"/>
            <w:gridSpan w:val="3"/>
            <w:vMerge w:val="restart"/>
          </w:tcPr>
          <w:p>
            <w:pPr>
              <w:jc w:val="center"/>
              <w:spacing w:after="0" w:line="176"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000" w:type="dxa"/>
            <w:vAlign w:val="bottom"/>
          </w:tcPr>
          <w:p>
            <w:pPr>
              <w:spacing w:after="0"/>
              <w:rPr>
                <w:sz w:val="18"/>
                <w:szCs w:val="18"/>
                <w:color w:val="auto"/>
              </w:rPr>
            </w:pPr>
          </w:p>
        </w:tc>
        <w:tc>
          <w:tcPr>
            <w:tcW w:w="960" w:type="dxa"/>
            <w:vAlign w:val="bottom"/>
            <w:gridSpan w:val="3"/>
          </w:tcPr>
          <w:p>
            <w:pPr>
              <w:ind w:left="24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8"/>
                <w:szCs w:val="18"/>
                <w:color w:val="auto"/>
              </w:rPr>
            </w:pPr>
          </w:p>
        </w:tc>
        <w:tc>
          <w:tcPr>
            <w:tcW w:w="600" w:type="dxa"/>
            <w:vAlign w:val="bottom"/>
            <w:gridSpan w:val="4"/>
          </w:tcPr>
          <w:p>
            <w:pPr>
              <w:ind w:left="20"/>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600" w:type="dxa"/>
            <w:vAlign w:val="bottom"/>
            <w:gridSpan w:val="4"/>
          </w:tcPr>
          <w:p>
            <w:pPr>
              <w:ind w:left="20"/>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Deficit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47"/>
        </w:trPr>
        <w:tc>
          <w:tcPr>
            <w:tcW w:w="20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Balance at June 30, 2020,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28,343,420</w:t>
            </w: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left w:val="single" w:sz="8" w:color="CCEEFF"/>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5,034,446</w:t>
            </w:r>
          </w:p>
        </w:tc>
        <w:tc>
          <w:tcPr>
            <w:tcW w:w="280" w:type="dxa"/>
            <w:vAlign w:val="bottom"/>
            <w:tcBorders>
              <w:left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73,654</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(94,667)</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(20,980)</w:t>
            </w:r>
          </w:p>
        </w:tc>
        <w:tc>
          <w:tcPr>
            <w:tcW w:w="0" w:type="dxa"/>
            <w:vAlign w:val="bottom"/>
          </w:tcPr>
          <w:p>
            <w:pPr>
              <w:spacing w:after="0"/>
              <w:rPr>
                <w:sz w:val="1"/>
                <w:szCs w:val="1"/>
                <w:color w:val="auto"/>
              </w:rPr>
            </w:pPr>
          </w:p>
        </w:tc>
      </w:tr>
      <w:tr>
        <w:trPr>
          <w:trHeight w:val="202"/>
        </w:trPr>
        <w:tc>
          <w:tcPr>
            <w:tcW w:w="2000" w:type="dxa"/>
            <w:vAlign w:val="bottom"/>
          </w:tcPr>
          <w:p>
            <w:pPr>
              <w:ind w:left="180"/>
              <w:spacing w:after="0" w:line="201" w:lineRule="exact"/>
              <w:rPr>
                <w:sz w:val="20"/>
                <w:szCs w:val="20"/>
                <w:color w:val="auto"/>
              </w:rPr>
            </w:pPr>
            <w:r>
              <w:rPr>
                <w:rFonts w:ascii="Arial" w:cs="Arial" w:eastAsia="Arial" w:hAnsi="Arial"/>
                <w:sz w:val="18"/>
                <w:szCs w:val="18"/>
                <w:color w:val="auto"/>
              </w:rPr>
              <w:t>Retrospective</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360"/>
              <w:spacing w:after="0"/>
              <w:rPr>
                <w:sz w:val="20"/>
                <w:szCs w:val="20"/>
                <w:color w:val="auto"/>
              </w:rPr>
            </w:pPr>
            <w:r>
              <w:rPr>
                <w:rFonts w:ascii="Arial" w:cs="Arial" w:eastAsia="Arial" w:hAnsi="Arial"/>
                <w:sz w:val="18"/>
                <w:szCs w:val="18"/>
                <w:color w:val="auto"/>
              </w:rPr>
              <w:t>application of</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360"/>
              <w:spacing w:after="0"/>
              <w:rPr>
                <w:sz w:val="20"/>
                <w:szCs w:val="20"/>
                <w:color w:val="auto"/>
              </w:rPr>
            </w:pPr>
            <w:r>
              <w:rPr>
                <w:rFonts w:ascii="Arial" w:cs="Arial" w:eastAsia="Arial" w:hAnsi="Arial"/>
                <w:sz w:val="18"/>
                <w:szCs w:val="18"/>
                <w:color w:val="auto"/>
              </w:rPr>
              <w:t>recapitalization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360"/>
              <w:spacing w:after="0"/>
              <w:rPr>
                <w:sz w:val="20"/>
                <w:szCs w:val="20"/>
                <w:color w:val="auto"/>
              </w:rPr>
            </w:pPr>
            <w:r>
              <w:rPr>
                <w:rFonts w:ascii="Arial" w:cs="Arial" w:eastAsia="Arial" w:hAnsi="Arial"/>
                <w:sz w:val="18"/>
                <w:szCs w:val="18"/>
                <w:color w:val="auto"/>
              </w:rPr>
              <w:t>(Note 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(28,343,420)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(28)</w:t>
            </w:r>
          </w:p>
        </w:tc>
        <w:tc>
          <w:tcPr>
            <w:tcW w:w="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5"/>
              </w:rPr>
              <w:t>21,999,016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00" w:type="dxa"/>
            <w:vAlign w:val="bottom"/>
            <w:tcBorders>
              <w:right w:val="single" w:sz="8" w:color="CCEEFF"/>
            </w:tcBorders>
            <w:shd w:val="clear" w:color="auto" w:fill="CCEEFF"/>
          </w:tcPr>
          <w:p>
            <w:pPr>
              <w:ind w:left="180"/>
              <w:spacing w:after="0" w:line="195" w:lineRule="exact"/>
              <w:rPr>
                <w:sz w:val="20"/>
                <w:szCs w:val="20"/>
                <w:color w:val="auto"/>
              </w:rPr>
            </w:pPr>
            <w:r>
              <w:rPr>
                <w:rFonts w:ascii="Arial" w:cs="Arial" w:eastAsia="Arial" w:hAnsi="Arial"/>
                <w:sz w:val="18"/>
                <w:szCs w:val="18"/>
                <w:color w:val="auto"/>
              </w:rPr>
              <w:t>Adjusted balance,</w:t>
            </w:r>
          </w:p>
        </w:tc>
        <w:tc>
          <w:tcPr>
            <w:tcW w:w="8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left w:val="single" w:sz="8" w:color="CCEEFF"/>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tcBorders>
              <w:left w:val="single" w:sz="8" w:color="CCEEFF"/>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beginning of period</w:t>
            </w: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27,033,462</w:t>
            </w:r>
          </w:p>
        </w:tc>
        <w:tc>
          <w:tcPr>
            <w:tcW w:w="100" w:type="dxa"/>
            <w:vAlign w:val="bottom"/>
            <w:tcBorders>
              <w:left w:val="single" w:sz="8" w:color="CCEEFF"/>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73,684</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(94,667)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(20,980)</w:t>
            </w:r>
          </w:p>
        </w:tc>
        <w:tc>
          <w:tcPr>
            <w:tcW w:w="0" w:type="dxa"/>
            <w:vAlign w:val="bottom"/>
          </w:tcPr>
          <w:p>
            <w:pPr>
              <w:spacing w:after="0"/>
              <w:rPr>
                <w:sz w:val="1"/>
                <w:szCs w:val="1"/>
                <w:color w:val="auto"/>
              </w:rPr>
            </w:pPr>
          </w:p>
        </w:tc>
      </w:tr>
      <w:tr>
        <w:trPr>
          <w:trHeight w:val="202"/>
        </w:trPr>
        <w:tc>
          <w:tcPr>
            <w:tcW w:w="2000" w:type="dxa"/>
            <w:vAlign w:val="bottom"/>
          </w:tcPr>
          <w:p>
            <w:pPr>
              <w:ind w:left="180"/>
              <w:spacing w:after="0" w:line="201" w:lineRule="exact"/>
              <w:rPr>
                <w:sz w:val="20"/>
                <w:szCs w:val="20"/>
                <w:color w:val="auto"/>
              </w:rPr>
            </w:pPr>
            <w:r>
              <w:rPr>
                <w:rFonts w:ascii="Arial" w:cs="Arial" w:eastAsia="Arial" w:hAnsi="Arial"/>
                <w:sz w:val="18"/>
                <w:szCs w:val="18"/>
                <w:color w:val="auto"/>
              </w:rPr>
              <w:t>Issuance of common</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360"/>
              <w:spacing w:after="0"/>
              <w:rPr>
                <w:sz w:val="20"/>
                <w:szCs w:val="20"/>
                <w:color w:val="auto"/>
              </w:rPr>
            </w:pPr>
            <w:r>
              <w:rPr>
                <w:rFonts w:ascii="Arial" w:cs="Arial" w:eastAsia="Arial" w:hAnsi="Arial"/>
                <w:sz w:val="18"/>
                <w:szCs w:val="18"/>
                <w:color w:val="auto"/>
              </w:rPr>
              <w:t>stock upon exercise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360"/>
              <w:spacing w:after="0"/>
              <w:rPr>
                <w:sz w:val="20"/>
                <w:szCs w:val="20"/>
                <w:color w:val="auto"/>
              </w:rPr>
            </w:pPr>
            <w:r>
              <w:rPr>
                <w:rFonts w:ascii="Arial" w:cs="Arial" w:eastAsia="Arial" w:hAnsi="Arial"/>
                <w:sz w:val="18"/>
                <w:szCs w:val="18"/>
                <w:color w:val="auto"/>
              </w:rPr>
              <w:t>of stock options</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79,298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00" w:type="dxa"/>
            <w:vAlign w:val="bottom"/>
            <w:tcBorders>
              <w:right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Stock-based</w:t>
            </w: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left w:val="single" w:sz="8" w:color="CCEEFF"/>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compensation</w:t>
            </w: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(49,802)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(49,802)</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Balance at June 30, 2021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gridSpan w:val="2"/>
            <w:shd w:val="clear" w:color="auto" w:fill="CCEEFF"/>
          </w:tcPr>
          <w:p>
            <w:pPr>
              <w:spacing w:after="0"/>
              <w:rPr>
                <w:sz w:val="22"/>
                <w:szCs w:val="22"/>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27,112,760</w:t>
            </w:r>
          </w:p>
        </w:tc>
        <w:tc>
          <w:tcPr>
            <w:tcW w:w="28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74,447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(144,469)</w:t>
            </w: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(70,019)</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00" w:type="dxa"/>
            <w:vAlign w:val="bottom"/>
          </w:tcPr>
          <w:p>
            <w:pPr>
              <w:spacing w:after="0"/>
              <w:rPr>
                <w:sz w:val="24"/>
                <w:szCs w:val="24"/>
                <w:color w:val="auto"/>
              </w:rPr>
            </w:pPr>
          </w:p>
        </w:tc>
        <w:tc>
          <w:tcPr>
            <w:tcW w:w="1240" w:type="dxa"/>
            <w:vAlign w:val="bottom"/>
            <w:gridSpan w:val="5"/>
            <w:vMerge w:val="restart"/>
          </w:tcPr>
          <w:p>
            <w:pPr>
              <w:ind w:left="380"/>
              <w:spacing w:after="0"/>
              <w:rPr>
                <w:sz w:val="20"/>
                <w:szCs w:val="20"/>
                <w:color w:val="auto"/>
              </w:rPr>
            </w:pPr>
            <w:r>
              <w:rPr>
                <w:rFonts w:ascii="Arial" w:cs="Arial" w:eastAsia="Arial" w:hAnsi="Arial"/>
                <w:sz w:val="16"/>
                <w:szCs w:val="16"/>
                <w:b w:val="1"/>
                <w:bCs w:val="1"/>
                <w:color w:val="auto"/>
                <w:w w:val="95"/>
              </w:rPr>
              <w:t>Convertible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1240" w:type="dxa"/>
            <w:vAlign w:val="bottom"/>
            <w:gridSpan w:val="5"/>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rPr>
              <w:t>Additional</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vMerge w:val="restart"/>
          </w:tcPr>
          <w:p>
            <w:pPr>
              <w:jc w:val="center"/>
              <w:ind w:right="20"/>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81"/>
        </w:trPr>
        <w:tc>
          <w:tcPr>
            <w:tcW w:w="2000" w:type="dxa"/>
            <w:vAlign w:val="bottom"/>
          </w:tcPr>
          <w:p>
            <w:pPr>
              <w:spacing w:after="0"/>
              <w:rPr>
                <w:sz w:val="7"/>
                <w:szCs w:val="7"/>
                <w:color w:val="auto"/>
              </w:rPr>
            </w:pPr>
          </w:p>
        </w:tc>
        <w:tc>
          <w:tcPr>
            <w:tcW w:w="1640" w:type="dxa"/>
            <w:vAlign w:val="bottom"/>
            <w:gridSpan w:val="8"/>
            <w:vMerge w:val="restart"/>
          </w:tcPr>
          <w:p>
            <w:pPr>
              <w:ind w:left="240"/>
              <w:spacing w:after="0"/>
              <w:rPr>
                <w:sz w:val="20"/>
                <w:szCs w:val="20"/>
                <w:color w:val="auto"/>
              </w:rPr>
            </w:pPr>
            <w:r>
              <w:rPr>
                <w:rFonts w:ascii="Arial" w:cs="Arial" w:eastAsia="Arial" w:hAnsi="Arial"/>
                <w:sz w:val="16"/>
                <w:szCs w:val="16"/>
                <w:b w:val="1"/>
                <w:bCs w:val="1"/>
                <w:color w:val="auto"/>
              </w:rPr>
              <w:t>Preferred Stock</w:t>
            </w:r>
          </w:p>
        </w:tc>
        <w:tc>
          <w:tcPr>
            <w:tcW w:w="80" w:type="dxa"/>
            <w:vAlign w:val="bottom"/>
          </w:tcPr>
          <w:p>
            <w:pPr>
              <w:spacing w:after="0"/>
              <w:rPr>
                <w:sz w:val="7"/>
                <w:szCs w:val="7"/>
                <w:color w:val="auto"/>
              </w:rPr>
            </w:pPr>
          </w:p>
        </w:tc>
        <w:tc>
          <w:tcPr>
            <w:tcW w:w="1480" w:type="dxa"/>
            <w:vAlign w:val="bottom"/>
            <w:gridSpan w:val="6"/>
            <w:vMerge w:val="restart"/>
          </w:tcPr>
          <w:p>
            <w:pPr>
              <w:ind w:left="180"/>
              <w:spacing w:after="0"/>
              <w:rPr>
                <w:sz w:val="20"/>
                <w:szCs w:val="20"/>
                <w:color w:val="auto"/>
              </w:rPr>
            </w:pPr>
            <w:r>
              <w:rPr>
                <w:rFonts w:ascii="Arial" w:cs="Arial" w:eastAsia="Arial" w:hAnsi="Arial"/>
                <w:sz w:val="16"/>
                <w:szCs w:val="16"/>
                <w:b w:val="1"/>
                <w:bCs w:val="1"/>
                <w:color w:val="auto"/>
              </w:rPr>
              <w:t>Common Stock</w:t>
            </w:r>
          </w:p>
        </w:tc>
        <w:tc>
          <w:tcPr>
            <w:tcW w:w="90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00" w:type="dxa"/>
            <w:vAlign w:val="bottom"/>
          </w:tcPr>
          <w:p>
            <w:pPr>
              <w:spacing w:after="0"/>
              <w:rPr>
                <w:sz w:val="11"/>
                <w:szCs w:val="11"/>
                <w:color w:val="auto"/>
              </w:rPr>
            </w:pPr>
          </w:p>
        </w:tc>
        <w:tc>
          <w:tcPr>
            <w:tcW w:w="1640" w:type="dxa"/>
            <w:vAlign w:val="bottom"/>
            <w:gridSpan w:val="8"/>
            <w:vMerge w:val="continue"/>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line="176" w:lineRule="exact"/>
              <w:rPr>
                <w:sz w:val="20"/>
                <w:szCs w:val="20"/>
                <w:color w:val="auto"/>
              </w:rPr>
            </w:pPr>
            <w:r>
              <w:rPr>
                <w:rFonts w:ascii="Arial" w:cs="Arial" w:eastAsia="Arial" w:hAnsi="Arial"/>
                <w:sz w:val="16"/>
                <w:szCs w:val="16"/>
                <w:b w:val="1"/>
                <w:bCs w:val="1"/>
                <w:color w:val="auto"/>
              </w:rPr>
              <w:t>Paid-In</w:t>
            </w:r>
          </w:p>
        </w:tc>
        <w:tc>
          <w:tcPr>
            <w:tcW w:w="940" w:type="dxa"/>
            <w:vAlign w:val="bottom"/>
            <w:gridSpan w:val="4"/>
            <w:vMerge w:val="restart"/>
          </w:tcPr>
          <w:p>
            <w:pPr>
              <w:spacing w:after="0" w:line="176" w:lineRule="exact"/>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center"/>
              <w:ind w:right="160"/>
              <w:spacing w:after="0" w:line="176" w:lineRule="exact"/>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47"/>
        </w:trPr>
        <w:tc>
          <w:tcPr>
            <w:tcW w:w="20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000" w:type="dxa"/>
            <w:vAlign w:val="bottom"/>
          </w:tcPr>
          <w:p>
            <w:pPr>
              <w:spacing w:after="0"/>
              <w:rPr>
                <w:sz w:val="18"/>
                <w:szCs w:val="18"/>
                <w:color w:val="auto"/>
              </w:rPr>
            </w:pPr>
          </w:p>
        </w:tc>
        <w:tc>
          <w:tcPr>
            <w:tcW w:w="960" w:type="dxa"/>
            <w:vAlign w:val="bottom"/>
            <w:gridSpan w:val="3"/>
          </w:tcPr>
          <w:p>
            <w:pPr>
              <w:ind w:left="20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8"/>
                <w:szCs w:val="18"/>
                <w:color w:val="auto"/>
              </w:rPr>
            </w:pPr>
          </w:p>
        </w:tc>
        <w:tc>
          <w:tcPr>
            <w:tcW w:w="600" w:type="dxa"/>
            <w:vAlign w:val="bottom"/>
            <w:gridSpan w:val="4"/>
          </w:tcPr>
          <w:p>
            <w:pPr>
              <w:spacing w:after="0"/>
              <w:rPr>
                <w:sz w:val="20"/>
                <w:szCs w:val="20"/>
                <w:color w:val="auto"/>
              </w:rPr>
            </w:pPr>
            <w:r>
              <w:rPr>
                <w:rFonts w:ascii="Arial" w:cs="Arial" w:eastAsia="Arial" w:hAnsi="Arial"/>
                <w:sz w:val="16"/>
                <w:szCs w:val="16"/>
                <w:b w:val="1"/>
                <w:bCs w:val="1"/>
                <w:color w:val="auto"/>
                <w:w w:val="95"/>
              </w:rPr>
              <w:t>Amount</w:t>
            </w:r>
          </w:p>
        </w:tc>
        <w:tc>
          <w:tcPr>
            <w:tcW w:w="80" w:type="dxa"/>
            <w:vAlign w:val="bottom"/>
          </w:tcPr>
          <w:p>
            <w:pPr>
              <w:spacing w:after="0"/>
              <w:rPr>
                <w:sz w:val="18"/>
                <w:szCs w:val="18"/>
                <w:color w:val="auto"/>
              </w:rPr>
            </w:pPr>
          </w:p>
        </w:tc>
        <w:tc>
          <w:tcPr>
            <w:tcW w:w="780" w:type="dxa"/>
            <w:vAlign w:val="bottom"/>
          </w:tcPr>
          <w:p>
            <w:pPr>
              <w:jc w:val="right"/>
              <w:ind w:right="94"/>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600" w:type="dxa"/>
            <w:vAlign w:val="bottom"/>
            <w:gridSpan w:val="4"/>
          </w:tcPr>
          <w:p>
            <w:pPr>
              <w:spacing w:after="0"/>
              <w:rPr>
                <w:sz w:val="20"/>
                <w:szCs w:val="20"/>
                <w:color w:val="auto"/>
              </w:rPr>
            </w:pPr>
            <w:r>
              <w:rPr>
                <w:rFonts w:ascii="Arial" w:cs="Arial" w:eastAsia="Arial" w:hAnsi="Arial"/>
                <w:sz w:val="16"/>
                <w:szCs w:val="16"/>
                <w:b w:val="1"/>
                <w:bCs w:val="1"/>
                <w:color w:val="auto"/>
                <w:w w:val="95"/>
              </w:rPr>
              <w:t>Amount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3"/>
              </w:rPr>
              <w:t>Deficit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47"/>
        </w:trPr>
        <w:tc>
          <w:tcPr>
            <w:tcW w:w="20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shd w:val="clear" w:color="auto" w:fill="CCEEFF"/>
              </w:rPr>
              <w:t>Balance at June 30, 2021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shd w:val="clear" w:color="auto" w:fill="CCEEFF"/>
              </w:rPr>
              <w:t>28,343,420</w:t>
            </w: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28</w:t>
            </w:r>
          </w:p>
        </w:tc>
        <w:tc>
          <w:tcPr>
            <w:tcW w:w="120" w:type="dxa"/>
            <w:vAlign w:val="bottom"/>
            <w:tcBorders>
              <w:left w:val="single" w:sz="8" w:color="CCEEFF"/>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5,132,354</w:t>
            </w:r>
          </w:p>
        </w:tc>
        <w:tc>
          <w:tcPr>
            <w:tcW w:w="280" w:type="dxa"/>
            <w:vAlign w:val="bottom"/>
            <w:tcBorders>
              <w:left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shd w:val="clear" w:color="auto" w:fill="CCEEFF"/>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79"/>
                <w:shd w:val="clear" w:color="auto" w:fill="CCEEFF"/>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74,417</w:t>
            </w:r>
          </w:p>
        </w:tc>
        <w:tc>
          <w:tcPr>
            <w:tcW w:w="100" w:type="dxa"/>
            <w:vAlign w:val="bottom"/>
            <w:tcBorders>
              <w:left w:val="single" w:sz="8" w:color="CCEEFF"/>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shd w:val="clear" w:color="auto" w:fill="CCEEFF"/>
              </w:rPr>
              <w:t>(144,469)</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shd w:val="clear" w:color="auto" w:fill="CCEEFF"/>
              </w:rPr>
              <w:t>(70,019)</w:t>
            </w:r>
          </w:p>
        </w:tc>
        <w:tc>
          <w:tcPr>
            <w:tcW w:w="0" w:type="dxa"/>
            <w:vAlign w:val="bottom"/>
          </w:tcPr>
          <w:p>
            <w:pPr>
              <w:spacing w:after="0"/>
              <w:rPr>
                <w:sz w:val="1"/>
                <w:szCs w:val="1"/>
                <w:color w:val="auto"/>
              </w:rPr>
            </w:pPr>
          </w:p>
        </w:tc>
      </w:tr>
      <w:tr>
        <w:trPr>
          <w:trHeight w:val="202"/>
        </w:trPr>
        <w:tc>
          <w:tcPr>
            <w:tcW w:w="2000" w:type="dxa"/>
            <w:vAlign w:val="bottom"/>
          </w:tcPr>
          <w:p>
            <w:pPr>
              <w:ind w:left="180"/>
              <w:spacing w:after="0" w:line="201" w:lineRule="exact"/>
              <w:rPr>
                <w:sz w:val="20"/>
                <w:szCs w:val="20"/>
                <w:color w:val="auto"/>
              </w:rPr>
            </w:pPr>
            <w:r>
              <w:rPr>
                <w:rFonts w:ascii="Arial" w:cs="Arial" w:eastAsia="Arial" w:hAnsi="Arial"/>
                <w:sz w:val="18"/>
                <w:szCs w:val="18"/>
                <w:color w:val="auto"/>
              </w:rPr>
              <w:t>Retrospective</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360"/>
              <w:spacing w:after="0"/>
              <w:rPr>
                <w:sz w:val="20"/>
                <w:szCs w:val="20"/>
                <w:color w:val="auto"/>
              </w:rPr>
            </w:pPr>
            <w:r>
              <w:rPr>
                <w:rFonts w:ascii="Arial" w:cs="Arial" w:eastAsia="Arial" w:hAnsi="Arial"/>
                <w:sz w:val="18"/>
                <w:szCs w:val="18"/>
                <w:color w:val="auto"/>
              </w:rPr>
              <w:t>application of</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360"/>
              <w:spacing w:after="0"/>
              <w:rPr>
                <w:sz w:val="20"/>
                <w:szCs w:val="20"/>
                <w:color w:val="auto"/>
              </w:rPr>
            </w:pPr>
            <w:r>
              <w:rPr>
                <w:rFonts w:ascii="Arial" w:cs="Arial" w:eastAsia="Arial" w:hAnsi="Arial"/>
                <w:sz w:val="18"/>
                <w:szCs w:val="18"/>
                <w:color w:val="auto"/>
              </w:rPr>
              <w:t>recapitalization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360"/>
              <w:spacing w:after="0"/>
              <w:rPr>
                <w:sz w:val="20"/>
                <w:szCs w:val="20"/>
                <w:color w:val="auto"/>
              </w:rPr>
            </w:pPr>
            <w:r>
              <w:rPr>
                <w:rFonts w:ascii="Arial" w:cs="Arial" w:eastAsia="Arial" w:hAnsi="Arial"/>
                <w:sz w:val="18"/>
                <w:szCs w:val="18"/>
                <w:color w:val="auto"/>
              </w:rPr>
              <w:t>(Note 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(28,343,420)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(28)</w:t>
            </w:r>
          </w:p>
        </w:tc>
        <w:tc>
          <w:tcPr>
            <w:tcW w:w="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21,980,406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00" w:type="dxa"/>
            <w:vAlign w:val="bottom"/>
            <w:tcBorders>
              <w:right w:val="single" w:sz="8" w:color="CCEEFF"/>
            </w:tcBorders>
            <w:shd w:val="clear" w:color="auto" w:fill="CCEEFF"/>
          </w:tcPr>
          <w:p>
            <w:pPr>
              <w:ind w:left="180"/>
              <w:spacing w:after="0" w:line="195" w:lineRule="exact"/>
              <w:rPr>
                <w:sz w:val="20"/>
                <w:szCs w:val="20"/>
                <w:color w:val="auto"/>
              </w:rPr>
            </w:pPr>
            <w:r>
              <w:rPr>
                <w:rFonts w:ascii="Arial" w:cs="Arial" w:eastAsia="Arial" w:hAnsi="Arial"/>
                <w:sz w:val="18"/>
                <w:szCs w:val="18"/>
                <w:color w:val="auto"/>
              </w:rPr>
              <w:t>Adjusted balance,</w:t>
            </w:r>
          </w:p>
        </w:tc>
        <w:tc>
          <w:tcPr>
            <w:tcW w:w="8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left w:val="single" w:sz="8" w:color="CCEEFF"/>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tcBorders>
              <w:left w:val="single" w:sz="8" w:color="CCEEFF"/>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beginning of period</w:t>
            </w:r>
          </w:p>
        </w:tc>
        <w:tc>
          <w:tcPr>
            <w:tcW w:w="9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27,112,760</w:t>
            </w:r>
          </w:p>
        </w:tc>
        <w:tc>
          <w:tcPr>
            <w:tcW w:w="100" w:type="dxa"/>
            <w:vAlign w:val="bottom"/>
            <w:tcBorders>
              <w:left w:val="single" w:sz="8" w:color="CCEEFF"/>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74,447</w:t>
            </w:r>
          </w:p>
        </w:tc>
        <w:tc>
          <w:tcPr>
            <w:tcW w:w="100" w:type="dxa"/>
            <w:vAlign w:val="bottom"/>
            <w:tcBorders>
              <w:left w:val="single" w:sz="8" w:color="CCEEFF"/>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(144,469)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(70,019)</w:t>
            </w:r>
          </w:p>
        </w:tc>
        <w:tc>
          <w:tcPr>
            <w:tcW w:w="0" w:type="dxa"/>
            <w:vAlign w:val="bottom"/>
          </w:tcPr>
          <w:p>
            <w:pPr>
              <w:spacing w:after="0"/>
              <w:rPr>
                <w:sz w:val="1"/>
                <w:szCs w:val="1"/>
                <w:color w:val="auto"/>
              </w:rPr>
            </w:pPr>
          </w:p>
        </w:tc>
      </w:tr>
      <w:tr>
        <w:trPr>
          <w:trHeight w:val="202"/>
        </w:trPr>
        <w:tc>
          <w:tcPr>
            <w:tcW w:w="2000" w:type="dxa"/>
            <w:vAlign w:val="bottom"/>
          </w:tcPr>
          <w:p>
            <w:pPr>
              <w:ind w:left="180"/>
              <w:spacing w:after="0" w:line="201" w:lineRule="exact"/>
              <w:rPr>
                <w:sz w:val="20"/>
                <w:szCs w:val="20"/>
                <w:color w:val="auto"/>
              </w:rPr>
            </w:pPr>
            <w:r>
              <w:rPr>
                <w:rFonts w:ascii="Arial" w:cs="Arial" w:eastAsia="Arial" w:hAnsi="Arial"/>
                <w:sz w:val="18"/>
                <w:szCs w:val="18"/>
                <w:color w:val="auto"/>
              </w:rPr>
              <w:t>Issuance of common</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360"/>
              <w:spacing w:after="0"/>
              <w:rPr>
                <w:sz w:val="20"/>
                <w:szCs w:val="20"/>
                <w:color w:val="auto"/>
              </w:rPr>
            </w:pPr>
            <w:r>
              <w:rPr>
                <w:rFonts w:ascii="Arial" w:cs="Arial" w:eastAsia="Arial" w:hAnsi="Arial"/>
                <w:sz w:val="18"/>
                <w:szCs w:val="18"/>
                <w:color w:val="auto"/>
              </w:rPr>
              <w:t>stock upon exercise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360"/>
              <w:spacing w:after="0"/>
              <w:rPr>
                <w:sz w:val="20"/>
                <w:szCs w:val="20"/>
                <w:color w:val="auto"/>
              </w:rPr>
            </w:pPr>
            <w:r>
              <w:rPr>
                <w:rFonts w:ascii="Arial" w:cs="Arial" w:eastAsia="Arial" w:hAnsi="Arial"/>
                <w:sz w:val="18"/>
                <w:szCs w:val="18"/>
                <w:color w:val="auto"/>
              </w:rPr>
              <w:t>of stock options</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259,915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40"/>
        </w:trPr>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00" w:type="dxa"/>
            <w:vAlign w:val="bottom"/>
            <w:tcBorders>
              <w:right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Stock-based</w:t>
            </w: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left w:val="single" w:sz="8" w:color="CCEEFF"/>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compensation</w:t>
            </w:r>
          </w:p>
        </w:tc>
        <w:tc>
          <w:tcPr>
            <w:tcW w:w="9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Borders>
              <w:left w:val="single" w:sz="8" w:color="CCEEFF"/>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02"/>
        </w:trPr>
        <w:tc>
          <w:tcPr>
            <w:tcW w:w="2000" w:type="dxa"/>
            <w:vAlign w:val="bottom"/>
          </w:tcPr>
          <w:p>
            <w:pPr>
              <w:ind w:left="180"/>
              <w:spacing w:after="0" w:line="201" w:lineRule="exact"/>
              <w:rPr>
                <w:sz w:val="20"/>
                <w:szCs w:val="20"/>
                <w:color w:val="auto"/>
              </w:rPr>
            </w:pPr>
            <w:r>
              <w:rPr>
                <w:rFonts w:ascii="Arial" w:cs="Arial" w:eastAsia="Arial" w:hAnsi="Arial"/>
                <w:sz w:val="18"/>
                <w:szCs w:val="18"/>
                <w:color w:val="auto"/>
              </w:rPr>
              <w:t>Fair value of newly</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360"/>
              <w:spacing w:after="0"/>
              <w:rPr>
                <w:sz w:val="20"/>
                <w:szCs w:val="20"/>
                <w:color w:val="auto"/>
              </w:rPr>
            </w:pPr>
            <w:r>
              <w:rPr>
                <w:rFonts w:ascii="Arial" w:cs="Arial" w:eastAsia="Arial" w:hAnsi="Arial"/>
                <w:sz w:val="18"/>
                <w:szCs w:val="18"/>
                <w:color w:val="auto"/>
              </w:rPr>
              <w:t>issued non-voting</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360"/>
              <w:spacing w:after="0"/>
              <w:rPr>
                <w:sz w:val="20"/>
                <w:szCs w:val="20"/>
                <w:color w:val="auto"/>
              </w:rPr>
            </w:pPr>
            <w:r>
              <w:rPr>
                <w:rFonts w:ascii="Arial" w:cs="Arial" w:eastAsia="Arial" w:hAnsi="Arial"/>
                <w:sz w:val="18"/>
                <w:szCs w:val="18"/>
                <w:color w:val="auto"/>
              </w:rPr>
              <w:t>warrants (refer to</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360"/>
              <w:spacing w:after="0"/>
              <w:rPr>
                <w:sz w:val="20"/>
                <w:szCs w:val="20"/>
                <w:color w:val="auto"/>
              </w:rPr>
            </w:pPr>
            <w:r>
              <w:rPr>
                <w:rFonts w:ascii="Arial" w:cs="Arial" w:eastAsia="Arial" w:hAnsi="Arial"/>
                <w:sz w:val="18"/>
                <w:szCs w:val="18"/>
                <w:color w:val="auto"/>
              </w:rPr>
              <w:t>Note 2)</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40"/>
        </w:trPr>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00" w:type="dxa"/>
            <w:vAlign w:val="bottom"/>
            <w:tcBorders>
              <w:right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w:t>
            </w: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left w:val="single" w:sz="8" w:color="CCEEFF"/>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left w:val="single" w:sz="8" w:color="CCEEFF"/>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7"/>
              </w:rPr>
              <w:t>stock for CyborgOps</w:t>
            </w:r>
          </w:p>
        </w:tc>
        <w:tc>
          <w:tcPr>
            <w:tcW w:w="8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acquisition (refer</w:t>
            </w:r>
          </w:p>
        </w:tc>
        <w:tc>
          <w:tcPr>
            <w:tcW w:w="8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 Note 15)</w:t>
            </w:r>
          </w:p>
        </w:tc>
        <w:tc>
          <w:tcPr>
            <w:tcW w:w="9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601,764</w:t>
            </w:r>
          </w:p>
        </w:tc>
        <w:tc>
          <w:tcPr>
            <w:tcW w:w="100" w:type="dxa"/>
            <w:vAlign w:val="bottom"/>
            <w:tcBorders>
              <w:left w:val="single" w:sz="8" w:color="CCEEFF"/>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Borders>
              <w:left w:val="single" w:sz="8" w:color="CCEEFF"/>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43"/>
        </w:trPr>
        <w:tc>
          <w:tcPr>
            <w:tcW w:w="20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(56,314)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(56,314)</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Balance at June 30, 2022</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27,974,439</w:t>
            </w:r>
          </w:p>
        </w:tc>
        <w:tc>
          <w:tcPr>
            <w:tcW w:w="280" w:type="dxa"/>
            <w:vAlign w:val="bottom"/>
            <w:tcBorders>
              <w:lef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78,321</w:t>
            </w:r>
          </w:p>
        </w:tc>
        <w:tc>
          <w:tcPr>
            <w:tcW w:w="100" w:type="dxa"/>
            <w:vAlign w:val="bottom"/>
            <w:tcBorders>
              <w:left w:val="single" w:sz="8" w:color="CCEEFF"/>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(200,783)</w:t>
            </w: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(122,459)</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right w:val="single" w:sz="8" w:color="auto"/>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right w:val="single" w:sz="8" w:color="auto"/>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9" w:name="page170"/>
    <w:bookmarkEnd w:id="16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6"/>
          </w:tcPr>
          <w:p>
            <w:pPr>
              <w:jc w:val="right"/>
              <w:ind w:right="481"/>
              <w:spacing w:after="0"/>
              <w:rPr>
                <w:sz w:val="20"/>
                <w:szCs w:val="20"/>
                <w:color w:val="auto"/>
              </w:rPr>
            </w:pPr>
            <w:r>
              <w:rPr>
                <w:rFonts w:ascii="Arial" w:cs="Arial" w:eastAsia="Arial" w:hAnsi="Arial"/>
                <w:sz w:val="16"/>
                <w:szCs w:val="16"/>
                <w:b w:val="1"/>
                <w:bCs w:val="1"/>
                <w:color w:val="auto"/>
              </w:rPr>
              <w:t>Year Ended June 30,</w:t>
            </w:r>
          </w:p>
        </w:tc>
      </w:tr>
      <w:tr>
        <w:trPr>
          <w:trHeight w:val="47"/>
        </w:trPr>
        <w:tc>
          <w:tcPr>
            <w:tcW w:w="55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5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(56,314)</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(49,802)</w:t>
            </w:r>
          </w:p>
        </w:tc>
      </w:tr>
      <w:tr>
        <w:trPr>
          <w:trHeight w:val="41"/>
        </w:trPr>
        <w:tc>
          <w:tcPr>
            <w:tcW w:w="5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Adjustments to reconcile net loss to net 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Depreciation, amortization and impairment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5,872</w:t>
            </w:r>
          </w:p>
        </w:tc>
        <w:tc>
          <w:tcPr>
            <w:tcW w:w="140" w:type="dxa"/>
            <w:vAlign w:val="bottom"/>
          </w:tcPr>
          <w:p>
            <w:pPr>
              <w:spacing w:after="0"/>
              <w:rPr>
                <w:sz w:val="21"/>
                <w:szCs w:val="21"/>
                <w:color w:val="auto"/>
              </w:rPr>
            </w:pPr>
          </w:p>
        </w:tc>
      </w:tr>
      <w:tr>
        <w:trPr>
          <w:trHeight w:val="40"/>
        </w:trPr>
        <w:tc>
          <w:tcPr>
            <w:tcW w:w="5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Change in fair value of liability classified warrants</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1"/>
                <w:szCs w:val="21"/>
                <w:color w:val="auto"/>
              </w:rPr>
            </w:pPr>
          </w:p>
        </w:tc>
      </w:tr>
      <w:tr>
        <w:trPr>
          <w:trHeight w:val="40"/>
        </w:trPr>
        <w:tc>
          <w:tcPr>
            <w:tcW w:w="5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warrants and convertible promissory notes</w:t>
            </w: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Amortization of debt discount and debt issuance costs</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1,229</w:t>
            </w:r>
          </w:p>
        </w:tc>
        <w:tc>
          <w:tcPr>
            <w:tcW w:w="140" w:type="dxa"/>
            <w:vAlign w:val="bottom"/>
          </w:tcPr>
          <w:p>
            <w:pPr>
              <w:spacing w:after="0"/>
              <w:rPr>
                <w:sz w:val="21"/>
                <w:szCs w:val="21"/>
                <w:color w:val="auto"/>
              </w:rPr>
            </w:pPr>
          </w:p>
        </w:tc>
      </w:tr>
      <w:tr>
        <w:trPr>
          <w:trHeight w:val="41"/>
        </w:trPr>
        <w:tc>
          <w:tcPr>
            <w:tcW w:w="5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260" w:type="dxa"/>
            <w:vAlign w:val="bottom"/>
          </w:tcPr>
          <w:p>
            <w:pPr>
              <w:spacing w:after="0"/>
              <w:rPr>
                <w:sz w:val="21"/>
                <w:szCs w:val="21"/>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616</w:t>
            </w:r>
          </w:p>
        </w:tc>
        <w:tc>
          <w:tcPr>
            <w:tcW w:w="140" w:type="dxa"/>
            <w:vAlign w:val="bottom"/>
          </w:tcPr>
          <w:p>
            <w:pPr>
              <w:spacing w:after="0"/>
              <w:rPr>
                <w:sz w:val="21"/>
                <w:szCs w:val="21"/>
                <w:color w:val="auto"/>
              </w:rPr>
            </w:pPr>
          </w:p>
        </w:tc>
      </w:tr>
      <w:tr>
        <w:trPr>
          <w:trHeight w:val="40"/>
        </w:trPr>
        <w:tc>
          <w:tcPr>
            <w:tcW w:w="5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Paid-in-kind interest expense</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79</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Forgiveness of PPP loan</w:t>
            </w:r>
          </w:p>
        </w:tc>
        <w:tc>
          <w:tcPr>
            <w:tcW w:w="26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(2,599)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41"/>
        </w:trPr>
        <w:tc>
          <w:tcPr>
            <w:tcW w:w="5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5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(335)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1,367</w:t>
            </w:r>
          </w:p>
        </w:tc>
        <w:tc>
          <w:tcPr>
            <w:tcW w:w="140" w:type="dxa"/>
            <w:vAlign w:val="bottom"/>
          </w:tcPr>
          <w:p>
            <w:pPr>
              <w:spacing w:after="0"/>
              <w:rPr>
                <w:sz w:val="21"/>
                <w:szCs w:val="21"/>
                <w:color w:val="auto"/>
              </w:rPr>
            </w:pPr>
          </w:p>
        </w:tc>
      </w:tr>
      <w:tr>
        <w:trPr>
          <w:trHeight w:val="40"/>
        </w:trPr>
        <w:tc>
          <w:tcPr>
            <w:tcW w:w="5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costs</w:t>
            </w: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8,082</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(385)</w:t>
            </w:r>
          </w:p>
        </w:tc>
      </w:tr>
      <w:tr>
        <w:trPr>
          <w:trHeight w:val="40"/>
        </w:trPr>
        <w:tc>
          <w:tcPr>
            <w:tcW w:w="5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(43)</w:t>
            </w:r>
          </w:p>
        </w:tc>
      </w:tr>
      <w:tr>
        <w:trPr>
          <w:trHeight w:val="243"/>
        </w:trPr>
        <w:tc>
          <w:tcPr>
            <w:tcW w:w="55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(3,322)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(1,244)</w:t>
            </w:r>
          </w:p>
        </w:tc>
      </w:tr>
      <w:tr>
        <w:trPr>
          <w:trHeight w:val="40"/>
        </w:trPr>
        <w:tc>
          <w:tcPr>
            <w:tcW w:w="5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Vendor financing facility</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(6,792)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(3,562)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2,192</w:t>
            </w:r>
          </w:p>
        </w:tc>
        <w:tc>
          <w:tcPr>
            <w:tcW w:w="140" w:type="dxa"/>
            <w:vAlign w:val="bottom"/>
          </w:tcPr>
          <w:p>
            <w:pPr>
              <w:spacing w:after="0"/>
              <w:rPr>
                <w:sz w:val="21"/>
                <w:szCs w:val="21"/>
                <w:color w:val="auto"/>
              </w:rPr>
            </w:pPr>
          </w:p>
        </w:tc>
      </w:tr>
      <w:tr>
        <w:trPr>
          <w:trHeight w:val="40"/>
        </w:trPr>
        <w:tc>
          <w:tcPr>
            <w:tcW w:w="5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(14,854)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(12,391)</w:t>
            </w:r>
          </w:p>
        </w:tc>
      </w:tr>
      <w:tr>
        <w:trPr>
          <w:trHeight w:val="243"/>
        </w:trPr>
        <w:tc>
          <w:tcPr>
            <w:tcW w:w="5560" w:type="dxa"/>
            <w:vAlign w:val="bottom"/>
          </w:tcPr>
          <w:p>
            <w:pPr>
              <w:ind w:left="36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(330)</w:t>
            </w:r>
          </w:p>
        </w:tc>
      </w:tr>
      <w:tr>
        <w:trPr>
          <w:trHeight w:val="27"/>
        </w:trPr>
        <w:tc>
          <w:tcPr>
            <w:tcW w:w="5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69"/>
        </w:trPr>
        <w:tc>
          <w:tcPr>
            <w:tcW w:w="55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(47,299)</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(23,772)</w:t>
            </w:r>
          </w:p>
        </w:tc>
      </w:tr>
      <w:tr>
        <w:trPr>
          <w:trHeight w:val="237"/>
        </w:trPr>
        <w:tc>
          <w:tcPr>
            <w:tcW w:w="55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r>
      <w:tr>
        <w:trPr>
          <w:trHeight w:val="40"/>
        </w:trPr>
        <w:tc>
          <w:tcPr>
            <w:tcW w:w="5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(260)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(17)</w:t>
            </w: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Payments relating to capitalized software</w:t>
            </w:r>
          </w:p>
        </w:tc>
        <w:tc>
          <w:tcPr>
            <w:tcW w:w="26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(1,798)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(529)</w:t>
            </w:r>
          </w:p>
        </w:tc>
      </w:tr>
      <w:tr>
        <w:trPr>
          <w:trHeight w:val="40"/>
        </w:trPr>
        <w:tc>
          <w:tcPr>
            <w:tcW w:w="5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CyborgOps</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(155)</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37"/>
        </w:trPr>
        <w:tc>
          <w:tcPr>
            <w:tcW w:w="5560" w:type="dxa"/>
            <w:vAlign w:val="bottom"/>
          </w:tcPr>
          <w:p>
            <w:pPr>
              <w:ind w:left="54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140" w:type="dxa"/>
            <w:vAlign w:val="bottom"/>
          </w:tcPr>
          <w:p>
            <w:pPr>
              <w:jc w:val="right"/>
              <w:ind w:right="61"/>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r>
      <w:tr>
        <w:trPr>
          <w:trHeight w:val="27"/>
        </w:trPr>
        <w:tc>
          <w:tcPr>
            <w:tcW w:w="5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7"/>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Proceeds from the exercise of common stock options</w:t>
            </w:r>
          </w:p>
        </w:tc>
        <w:tc>
          <w:tcPr>
            <w:tcW w:w="260" w:type="dxa"/>
            <w:vAlign w:val="bottom"/>
          </w:tcPr>
          <w:p>
            <w:pPr>
              <w:spacing w:after="0"/>
              <w:rPr>
                <w:sz w:val="21"/>
                <w:szCs w:val="21"/>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r>
      <w:tr>
        <w:trPr>
          <w:trHeight w:val="40"/>
        </w:trPr>
        <w:tc>
          <w:tcPr>
            <w:tcW w:w="5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term loans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(6,195)</w:t>
            </w:r>
          </w:p>
        </w:tc>
      </w:tr>
      <w:tr>
        <w:trPr>
          <w:trHeight w:val="202"/>
        </w:trPr>
        <w:tc>
          <w:tcPr>
            <w:tcW w:w="5560" w:type="dxa"/>
            <w:vAlign w:val="bottom"/>
          </w:tcPr>
          <w:p>
            <w:pPr>
              <w:ind w:left="180"/>
              <w:spacing w:after="0" w:line="201" w:lineRule="exact"/>
              <w:rPr>
                <w:sz w:val="20"/>
                <w:szCs w:val="20"/>
                <w:color w:val="auto"/>
              </w:rPr>
            </w:pPr>
            <w:r>
              <w:rPr>
                <w:rFonts w:ascii="Arial" w:cs="Arial" w:eastAsia="Arial" w:hAnsi="Arial"/>
                <w:sz w:val="18"/>
                <w:szCs w:val="18"/>
                <w:color w:val="auto"/>
                <w:w w:val="93"/>
              </w:rPr>
              <w:t>Proceeds from issuance of convertible promissory notes and embedded</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warrants</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43,666</w:t>
            </w:r>
          </w:p>
        </w:tc>
        <w:tc>
          <w:tcPr>
            <w:tcW w:w="140" w:type="dxa"/>
            <w:vAlign w:val="bottom"/>
          </w:tcPr>
          <w:p>
            <w:pPr>
              <w:spacing w:after="0"/>
              <w:rPr>
                <w:sz w:val="20"/>
                <w:szCs w:val="20"/>
                <w:color w:val="auto"/>
              </w:rPr>
            </w:pPr>
          </w:p>
        </w:tc>
      </w:tr>
      <w:tr>
        <w:trPr>
          <w:trHeight w:val="40"/>
        </w:trPr>
        <w:tc>
          <w:tcPr>
            <w:tcW w:w="5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payments of financing obligations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(2,376)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(2,389)</w:t>
            </w: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Payment of debt issuance costs</w:t>
            </w:r>
          </w:p>
        </w:tc>
        <w:tc>
          <w:tcPr>
            <w:tcW w:w="26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(1,287)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(1,225)</w:t>
            </w:r>
          </w:p>
        </w:tc>
      </w:tr>
      <w:tr>
        <w:trPr>
          <w:trHeight w:val="41"/>
        </w:trPr>
        <w:tc>
          <w:tcPr>
            <w:tcW w:w="5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term loans</w:t>
            </w: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Proceeds from the issuance of PPP loans</w:t>
            </w:r>
          </w:p>
        </w:tc>
        <w:tc>
          <w:tcPr>
            <w:tcW w:w="260" w:type="dxa"/>
            <w:vAlign w:val="bottom"/>
          </w:tcPr>
          <w:p>
            <w:pPr>
              <w:spacing w:after="0"/>
              <w:rPr>
                <w:sz w:val="21"/>
                <w:szCs w:val="21"/>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21"/>
                <w:szCs w:val="21"/>
                <w:color w:val="auto"/>
              </w:rPr>
            </w:pPr>
          </w:p>
        </w:tc>
      </w:tr>
      <w:tr>
        <w:trPr>
          <w:trHeight w:val="40"/>
        </w:trPr>
        <w:tc>
          <w:tcPr>
            <w:tcW w:w="5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financing obligations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Payments of deferred transaction costs</w:t>
            </w:r>
          </w:p>
        </w:tc>
        <w:tc>
          <w:tcPr>
            <w:tcW w:w="26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(1,577)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57,040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36"/>
        </w:trPr>
        <w:tc>
          <w:tcPr>
            <w:tcW w:w="55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(33,892)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32,722</w:t>
            </w:r>
          </w:p>
        </w:tc>
        <w:tc>
          <w:tcPr>
            <w:tcW w:w="140" w:type="dxa"/>
            <w:vAlign w:val="bottom"/>
          </w:tcPr>
          <w:p>
            <w:pPr>
              <w:spacing w:after="0"/>
              <w:rPr>
                <w:sz w:val="20"/>
                <w:szCs w:val="20"/>
                <w:color w:val="auto"/>
              </w:rPr>
            </w:pPr>
          </w:p>
        </w:tc>
      </w:tr>
      <w:tr>
        <w:trPr>
          <w:trHeight w:val="41"/>
        </w:trPr>
        <w:tc>
          <w:tcPr>
            <w:tcW w:w="5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75"/>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36,909</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4,187</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36"/>
        </w:trPr>
        <w:tc>
          <w:tcPr>
            <w:tcW w:w="5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cash equivalents at end of year</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3,017</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36,909</w:t>
            </w:r>
          </w:p>
        </w:tc>
        <w:tc>
          <w:tcPr>
            <w:tcW w:w="140" w:type="dxa"/>
            <w:vAlign w:val="bottom"/>
            <w:tcBorders>
              <w:top w:val="single" w:sz="8" w:color="CCEEFF"/>
            </w:tcBorders>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175" w:lineRule="exact"/>
        <w:rPr>
          <w:sz w:val="20"/>
          <w:szCs w:val="20"/>
          <w:color w:val="auto"/>
        </w:rPr>
      </w:pPr>
    </w:p>
    <w:p>
      <w:pPr>
        <w:sectPr>
          <w:pgSz w:w="11900" w:h="16838" w:orient="portrait"/>
          <w:cols w:equalWidth="0" w:num="1">
            <w:col w:w="9019"/>
          </w:cols>
          <w:pgMar w:left="1440" w:top="274" w:right="1440" w:bottom="898" w:gutter="0" w:footer="0" w:header="0"/>
        </w:sectPr>
      </w:pPr>
    </w:p>
    <w:p>
      <w:pPr>
        <w:jc w:val="center"/>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898" w:gutter="0" w:footer="0" w:header="0"/>
          <w:type w:val="continuous"/>
        </w:sectPr>
      </w:pPr>
    </w:p>
    <w:bookmarkStart w:id="170" w:name="page171"/>
    <w:bookmarkEnd w:id="17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Year Ended June 30,</w:t>
            </w: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2021</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Disclosure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4,664</w:t>
            </w:r>
          </w:p>
        </w:tc>
      </w:tr>
      <w:tr>
        <w:trPr>
          <w:trHeight w:val="198"/>
        </w:trPr>
        <w:tc>
          <w:tcPr>
            <w:tcW w:w="5600" w:type="dxa"/>
            <w:vAlign w:val="bottom"/>
          </w:tcPr>
          <w:p>
            <w:pPr>
              <w:spacing w:after="0" w:line="198" w:lineRule="exact"/>
              <w:rPr>
                <w:sz w:val="20"/>
                <w:szCs w:val="20"/>
                <w:color w:val="auto"/>
              </w:rPr>
            </w:pPr>
            <w:r>
              <w:rPr>
                <w:rFonts w:ascii="Arial" w:cs="Arial" w:eastAsia="Arial" w:hAnsi="Arial"/>
                <w:sz w:val="18"/>
                <w:szCs w:val="18"/>
                <w:b w:val="1"/>
                <w:bCs w:val="1"/>
                <w:color w:val="auto"/>
              </w:rPr>
              <w:t>Supplemental Disclosure of Non-Cash Investing and Financing</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5600" w:type="dxa"/>
            <w:vAlign w:val="bottom"/>
          </w:tcPr>
          <w:p>
            <w:pPr>
              <w:ind w:left="180"/>
              <w:spacing w:after="0"/>
              <w:rPr>
                <w:sz w:val="20"/>
                <w:szCs w:val="20"/>
                <w:color w:val="auto"/>
              </w:rPr>
            </w:pPr>
            <w:r>
              <w:rPr>
                <w:rFonts w:ascii="Arial" w:cs="Arial" w:eastAsia="Arial" w:hAnsi="Arial"/>
                <w:sz w:val="18"/>
                <w:szCs w:val="18"/>
                <w:b w:val="1"/>
                <w:bCs w:val="1"/>
                <w:color w:val="auto"/>
              </w:rPr>
              <w:t>Activities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Cancellation of June 2021 Note and related accrued interest, with issuance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February 2022 Note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20,663</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Issuance of warrants</w:t>
            </w:r>
          </w:p>
        </w:tc>
        <w:tc>
          <w:tcPr>
            <w:tcW w:w="26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1,831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Forgiveness of PPP loan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Common stock issued in CyborgOps acquisition</w:t>
            </w:r>
          </w:p>
        </w:tc>
        <w:tc>
          <w:tcPr>
            <w:tcW w:w="26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consideration – CyborgOps acquisition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5600" w:type="dxa"/>
            <w:vAlign w:val="bottom"/>
          </w:tcPr>
          <w:p>
            <w:pPr>
              <w:ind w:left="180"/>
              <w:spacing w:after="0" w:line="201" w:lineRule="exact"/>
              <w:rPr>
                <w:sz w:val="20"/>
                <w:szCs w:val="20"/>
                <w:color w:val="auto"/>
              </w:rPr>
            </w:pPr>
            <w:r>
              <w:rPr>
                <w:rFonts w:ascii="Arial" w:cs="Arial" w:eastAsia="Arial" w:hAnsi="Arial"/>
                <w:sz w:val="18"/>
                <w:szCs w:val="18"/>
                <w:color w:val="auto"/>
                <w:w w:val="97"/>
              </w:rPr>
              <w:t>Deferred transaction costs recorded in accounts payable and accrued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5600" w:type="dxa"/>
            <w:vAlign w:val="bottom"/>
          </w:tcPr>
          <w:p>
            <w:pPr>
              <w:ind w:left="36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4,188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1" w:name="page172"/>
    <w:bookmarkEnd w:id="17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Business and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E la Carte, Inc.(formerly, KHR Technologies, Inc.) was incorporated in the State of Delaware in October 2008. In 2018, E la Carte, Inc. together with its subsidiary (the “</w:t>
      </w:r>
      <w:r>
        <w:rPr>
          <w:rFonts w:ascii="Arial" w:cs="Arial" w:eastAsia="Arial" w:hAnsi="Arial"/>
          <w:sz w:val="18"/>
          <w:szCs w:val="18"/>
          <w:b w:val="1"/>
          <w:bCs w:val="1"/>
          <w:color w:val="auto"/>
        </w:rPr>
        <w:t>Company</w:t>
      </w:r>
      <w:r>
        <w:rPr>
          <w:rFonts w:ascii="Arial" w:cs="Arial" w:eastAsia="Arial" w:hAnsi="Arial"/>
          <w:sz w:val="18"/>
          <w:szCs w:val="18"/>
          <w:color w:val="auto"/>
        </w:rPr>
        <w:t>”) adopted “Presto” as its trade name or doing business as (“</w:t>
      </w:r>
      <w:r>
        <w:rPr>
          <w:rFonts w:ascii="Arial" w:cs="Arial" w:eastAsia="Arial" w:hAnsi="Arial"/>
          <w:sz w:val="18"/>
          <w:szCs w:val="18"/>
          <w:b w:val="1"/>
          <w:bCs w:val="1"/>
          <w:color w:val="auto"/>
        </w:rPr>
        <w:t>dba</w:t>
      </w:r>
      <w:r>
        <w:rPr>
          <w:rFonts w:ascii="Arial" w:cs="Arial" w:eastAsia="Arial" w:hAnsi="Arial"/>
          <w:sz w:val="18"/>
          <w:szCs w:val="18"/>
          <w:color w:val="auto"/>
        </w:rPr>
        <w:t>”) name. In February 2019, the Company formed Presto Technology, Inc. as a wholly owned subsidiary located in Ontario, Canada. The Company is headquartered in Redwood City, California.</w:t>
      </w:r>
    </w:p>
    <w:p>
      <w:pPr>
        <w:spacing w:after="0" w:line="120"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Company is the developer of the Presto Smart Dining system (“Presto Touch”), which offers operations efficiency, guest self-service and marketing benefits for casual dining operators. The solution includes a portfolio of tabletop, handheld and wearable devices supported by a suite of powerful, cloud-based services to enable guest ordering, payment and surveys as well as cloud-based operations metrics, security and support monitoring in real time. The Company’s voice products (“Presto Voice”) use speech recognition technology in the customer order process and connects Presto’s cloud-based solution with restaurant point of sale (“POS”) systems to maximize efficiency and minimize costs by automatically transmitting orders to the restaurant’s POS system. The Company’s vision product consists of a platform-based artificial intelligence powered computer vision software application that delivers unique and real-time insights to operators (“Presto Vision”). The Presto solution improves operations efficiency and serves as the restaurant operating system, connecting front of house and back of house operations across dine-in, takeout, and delivery channels, with access to data that was previously inaccessible, allowing restaurant operators to make the smart decisions required to thrive in the highly competitive casual dining market.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Year</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Company’s fiscal year ends on June 30. References to fiscal 2022, for example, refer to the fiscal year ended June 30, 2022.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w:t>
      </w:r>
      <w:r>
        <w:rPr>
          <w:rFonts w:ascii="Arial" w:cs="Arial" w:eastAsia="Arial" w:hAnsi="Arial"/>
          <w:sz w:val="18"/>
          <w:szCs w:val="18"/>
          <w:b w:val="1"/>
          <w:bCs w:val="1"/>
          <w:color w:val="auto"/>
        </w:rPr>
        <w:t>U.S. GAAP</w:t>
      </w:r>
      <w:r>
        <w:rPr>
          <w:rFonts w:ascii="Arial" w:cs="Arial" w:eastAsia="Arial" w:hAnsi="Arial"/>
          <w:sz w:val="18"/>
          <w:szCs w:val="18"/>
          <w:color w:val="auto"/>
        </w:rPr>
        <w:t>”) and the rules and regulations of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The consolidated financial statements include the accounts of the Company. All intercompany balances and transactions have been eliminated in consolidation. References to ASC and ASU included hereinafter refer to the Accounting Standards Codification and Accounting Standards Update established by the Financial Accounting Standards Board (“</w:t>
      </w:r>
      <w:r>
        <w:rPr>
          <w:rFonts w:ascii="Arial" w:cs="Arial" w:eastAsia="Arial" w:hAnsi="Arial"/>
          <w:sz w:val="18"/>
          <w:szCs w:val="18"/>
          <w:b w:val="1"/>
          <w:bCs w:val="1"/>
          <w:color w:val="auto"/>
        </w:rPr>
        <w:t>FASB</w:t>
      </w:r>
      <w:r>
        <w:rPr>
          <w:rFonts w:ascii="Arial" w:cs="Arial" w:eastAsia="Arial" w:hAnsi="Arial"/>
          <w:sz w:val="18"/>
          <w:szCs w:val="18"/>
          <w:color w:val="auto"/>
        </w:rPr>
        <w:t>”) as the source of authoritative U.S. GAAP.</w:t>
      </w:r>
    </w:p>
    <w:p>
      <w:pPr>
        <w:spacing w:after="0" w:line="127"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On November 10, 2021, Ventoux CCM Acquisition Corp. (“Ventoux”) and its subsidiaries, and E La Carte, Inc. (“Presto”) entered into an Agreement and Plan of Merger, as amended on April 1, 2022 and July 25, 2022 (the “Merger Agreement”), which, among other transactions, was consummated on September 21, 2022. Upon the consummation of the Merger, each share of the Company’s common stock then issued and outstanding was canceled and converted into the right to receive 0.8099 shares (the “Exchange Ratio”) of common stock of Ventoux. Refer to Note 18 for further details regarding the Merger.</w:t>
      </w:r>
    </w:p>
    <w:p>
      <w:pPr>
        <w:spacing w:after="0" w:line="11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Merger is accounted for as a reverse recapitalization in accordance with GAAP. Under this method of accounting, Ventoux was treated as the “acquired” company for financial reporting purposes. Accordingly, for accounting purposes, the Merger was treated as the equivalent of Presto issuing stock for the net assets of Ventoux, accompanied by a recapitalization.</w:t>
      </w:r>
    </w:p>
    <w:p>
      <w:pPr>
        <w:spacing w:after="0" w:line="10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Pursuant to U.S. GAAP, the Company retroactively applied the recapitalization to the Company’s equity structure, including the consolidated statements of stockholders’ deficit for the years ended June 30, 2022 and 2021, the components within total stockholders’ deficit within the Company’s consolidated balance sheets as of June 30, 2022 and 2021 and to the net loss per share and weighted average outstanding shares basic and diluted within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2" w:name="page173"/>
    <w:bookmarkEnd w:id="17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Business and Significant Accounting Policies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consolidated statement of operations and comprehensive loss, the for the years ended June 30, 2022 and 2021. Further, the Company has retroactively applied the recapitalization to certain notes to the consolidated financial statements, as indicated.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spacing w:after="0" w:line="119"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Uses of estimates include, but are not limited to, the collectability of accounts receivable, the useful lives of property and equipment and intangible assets, inventory valuation, fair value of financial instruments, valuation of deferred tax assets and liabilities, valuation assumptions utilized in calculating the estimated value of stock-based compensation, valuation of warrants, valuation of goodwill and intangible assets acquired and impairment of long-lived assets. The Company has assessed the impact and are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15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 Company is subject to a number of risks common to emerging, technology-based companies, including a limited operating history; dependence on key individuals; rapid technological changes; competition from substitute products and larger companies; the need for additional financing to fund future operations; and the successful development, marketing, and outsourced manufacturing of the Company’s products and services as well as the impact of the novel coronavirus disease (“</w:t>
      </w:r>
      <w:r>
        <w:rPr>
          <w:rFonts w:ascii="Arial" w:cs="Arial" w:eastAsia="Arial" w:hAnsi="Arial"/>
          <w:sz w:val="16"/>
          <w:szCs w:val="16"/>
          <w:b w:val="1"/>
          <w:bCs w:val="1"/>
          <w:color w:val="auto"/>
        </w:rPr>
        <w:t>COVID-19</w:t>
      </w:r>
      <w:r>
        <w:rPr>
          <w:rFonts w:ascii="Arial" w:cs="Arial" w:eastAsia="Arial" w:hAnsi="Arial"/>
          <w:sz w:val="16"/>
          <w:szCs w:val="16"/>
          <w:color w:val="auto"/>
        </w:rPr>
        <w:t>”) on the restaurant industry.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Company was subject to risks and uncertainties as a result of the outbreak of a novel strain of coronavirus, designated “COVID-19” and declared to be a pandemic in March 2020. The Company first began to experience impacts from COVID-19 in March 2020, as federal, state and local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w:t>
      </w:r>
    </w:p>
    <w:p>
      <w:pPr>
        <w:spacing w:after="0" w:line="127"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Over the course of fiscal 2022 and 2021, certain of these restrictions were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the Company’s business remains highly uncertain and difficult to predict, as the operating status of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w:t>
      </w:r>
    </w:p>
    <w:p>
      <w:pPr>
        <w:spacing w:after="0" w:line="9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Company has taken several actions to mitigate the effects of the COVID-19 pandemic on its operations and franchisees. In April 2020, the Company received a loan of approximately $2,599 under the U.S. Small Business Administration (“SBA”) Paycheck Protection Program (“</w:t>
      </w:r>
      <w:r>
        <w:rPr>
          <w:rFonts w:ascii="Arial" w:cs="Arial" w:eastAsia="Arial" w:hAnsi="Arial"/>
          <w:sz w:val="18"/>
          <w:szCs w:val="18"/>
          <w:b w:val="1"/>
          <w:bCs w:val="1"/>
          <w:color w:val="auto"/>
        </w:rPr>
        <w:t>PPP</w:t>
      </w:r>
      <w:r>
        <w:rPr>
          <w:rFonts w:ascii="Arial" w:cs="Arial" w:eastAsia="Arial" w:hAnsi="Arial"/>
          <w:sz w:val="18"/>
          <w:szCs w:val="18"/>
          <w:color w:val="auto"/>
        </w:rPr>
        <w:t>”), to assist with the economic hardships caused by the pandemic. In March 2021, the Company received a second loan of approximately $2,000 under the PPP. In August 2021, the Company was granted forgiveness of the first loan of approximately $2,599. Refer to Note 7 for further details.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3" w:name="page174"/>
    <w:bookmarkEnd w:id="17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Business and Significant Accounting Policies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In fiscal years 2022 and 2021, the volume of repair charges the Company experienced was higher than usual due to a liquid ingress issue resulting from COVID-19 related actions by its customers. The Company’s devices failed primarily due to the use of extremely strong commercial disinfectant solutions by customers to clean the hardware devices as a mandatory precaution protocol due to COVID-19. Due to use of commercial cleaning products, the solution leaked into the hardware causing significant damage to the devices and requiring replacement of such devices. To prevent disruption to customers’ businesses, the Company has incurred $582 and $3,342 of loss on infrequent customer repairs related to this issue, which is presented as a separate line item on the Company’s consolidated statement of operations and comprehensive loss. The Company has claimed to recover the costs from its third-party subcontractor who manufactures the hardware, for which the Company received a favorable arbitrator ruling. Refer to Note 8 for further details.</w:t>
      </w:r>
    </w:p>
    <w:p>
      <w:pPr>
        <w:spacing w:after="0" w:line="87"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severity of the continued impact of the COVID-19 pandemic on the Company’s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customer re-engagement with its brands and, in general, what the short- and long-term impact on consumer discretionary spending the COVID-19 pandemic might have on the Company and the restaurant industry as a whole, all of which are uncertain and cannot be predicted. The Company’s future results of operations and liquidity could be impacted adversely by future dine-in restrictions and the failure of any initiatives or programs that the Company may undertake to address financial and operational challenges faced by it and its franchisees. As such, the extent to which the COVID-19 pandemic may continue to materially impact the Company’s financial condition, liquidity, or results of operations remains highly uncertain.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As of June 30, 2022 and 2021, the Company’s principal sources of liquidity were cash and cash equivalents of $3,017 and $36,909, respectively, which were held for working capital purposes.</w:t>
      </w:r>
    </w:p>
    <w:p>
      <w:pPr>
        <w:spacing w:after="0" w:line="10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Since inception, the Company has financed its operations primarily through financing transactions such as the issuance of convertible promissory notes and loans, and sales of convertible preferred stock. The Company has incurred recurring losses since its inception, including net losses of $56,314 and $49,802 for the years ended June 30, 2022 and 2021, respectively. As of June 30, 2022 and 2021, respectively, the Company had an accumulated deficit of $200,783 and $144,469 and the Company expects to generate operating losses for the near term. Cash from operations could also be affected by various risks and uncertainties, including, but not limited to, the effects of the COVID-19 pandemic, including timing of cash collections from customers. Additional capital infusion is necessary in order to fund currently anticipated expenditures, and to meet the Company’s obligations as they come due. The Company’s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spacing w:after="0" w:line="9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Company may, in the future, enter into arrangements to acquire or invest in complementary businesses, services, and technologies, including intellectual property rights. As of the date of this report, the Company has completed a deSPAC transaction (“</w:t>
      </w:r>
      <w:r>
        <w:rPr>
          <w:rFonts w:ascii="Arial" w:cs="Arial" w:eastAsia="Arial" w:hAnsi="Arial"/>
          <w:sz w:val="17"/>
          <w:szCs w:val="17"/>
          <w:b w:val="1"/>
          <w:bCs w:val="1"/>
          <w:color w:val="auto"/>
        </w:rPr>
        <w:t>deSPA</w:t>
      </w:r>
      <w:r>
        <w:rPr>
          <w:rFonts w:ascii="Arial" w:cs="Arial" w:eastAsia="Arial" w:hAnsi="Arial"/>
          <w:sz w:val="17"/>
          <w:szCs w:val="17"/>
          <w:color w:val="auto"/>
        </w:rPr>
        <w:t>C”). Subsequent to the deSPAC transaction, the Company may need to raise additional capital through equity or debt financing. These plans for additional financings are intended to mitigate the conditions or events that raise substantial doubt about the Company’s ability to continue as a going concern, however as the plans are outside of management’s control, the Company cannot ensure they will be effectively implemented. In the event that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 As a result, substantial doubt exists about the Company’s ability to continue as a going concern within one year after the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4" w:name="page175"/>
    <w:bookmarkEnd w:id="17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Business and Significant Accounting Policies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date that the financial statements are available to be issued. The Company’s financial statements have been prepared on a going concern basis, which contemplates the realization of assets and satisfaction of liabilities in the normal course of business.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Concentrations of Risks, Significant Customers and Investments</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Company’s financial instruments are exposed to concentrations of credit risk and consist primarily of cash and cash equivalents and accounts receivable. The Company maintains its cash and cash equivalents with high-quality financial institutions with investment-grade ratings.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customers accounted for more than 10% of revenues during the years ended June 30:</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00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r>
      <w:tr>
        <w:trPr>
          <w:trHeight w:val="47"/>
        </w:trPr>
        <w:tc>
          <w:tcPr>
            <w:tcW w:w="60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Customer B</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25%</w:t>
            </w:r>
          </w:p>
        </w:tc>
      </w:tr>
      <w:tr>
        <w:trPr>
          <w:trHeight w:val="40"/>
        </w:trPr>
        <w:tc>
          <w:tcPr>
            <w:tcW w:w="6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C</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4"/>
        </w:trPr>
        <w:tc>
          <w:tcPr>
            <w:tcW w:w="600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6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customers accounted for more than 10% of accounts receivable during the years ended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30:</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000" w:type="dxa"/>
            <w:vAlign w:val="bottom"/>
          </w:tcPr>
          <w:p>
            <w:pPr>
              <w:spacing w:after="0"/>
              <w:rPr>
                <w:sz w:val="18"/>
                <w:szCs w:val="18"/>
                <w:color w:val="auto"/>
              </w:rPr>
            </w:pPr>
          </w:p>
        </w:tc>
        <w:tc>
          <w:tcPr>
            <w:tcW w:w="800" w:type="dxa"/>
            <w:vAlign w:val="bottom"/>
          </w:tcPr>
          <w:p>
            <w:pPr>
              <w:ind w:left="300"/>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r>
      <w:tr>
        <w:trPr>
          <w:trHeight w:val="46"/>
        </w:trPr>
        <w:tc>
          <w:tcPr>
            <w:tcW w:w="60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w w:val="83"/>
              </w:rPr>
              <w:t>31%</w:t>
            </w:r>
          </w:p>
        </w:tc>
        <w:tc>
          <w:tcPr>
            <w:tcW w:w="11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w w:val="83"/>
              </w:rPr>
              <w:t>11%</w:t>
            </w: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Customer B</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w w:val="83"/>
              </w:rPr>
              <w:t>41%</w:t>
            </w:r>
          </w:p>
        </w:tc>
        <w:tc>
          <w:tcPr>
            <w:tcW w:w="1160" w:type="dxa"/>
            <w:vAlign w:val="bottom"/>
            <w:gridSpan w:val="3"/>
          </w:tcPr>
          <w:p>
            <w:pPr>
              <w:ind w:left="820"/>
              <w:spacing w:after="0"/>
              <w:rPr>
                <w:sz w:val="20"/>
                <w:szCs w:val="20"/>
                <w:color w:val="auto"/>
              </w:rPr>
            </w:pPr>
            <w:r>
              <w:rPr>
                <w:rFonts w:ascii="Arial" w:cs="Arial" w:eastAsia="Arial" w:hAnsi="Arial"/>
                <w:sz w:val="18"/>
                <w:szCs w:val="18"/>
                <w:color w:val="auto"/>
                <w:w w:val="88"/>
              </w:rPr>
              <w:t>35%</w:t>
            </w:r>
          </w:p>
        </w:tc>
      </w:tr>
      <w:tr>
        <w:trPr>
          <w:trHeight w:val="40"/>
        </w:trPr>
        <w:tc>
          <w:tcPr>
            <w:tcW w:w="6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C</w:t>
            </w: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w w:val="88"/>
              </w:rPr>
              <w:t>46%</w:t>
            </w: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Customer D*</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w w:val="83"/>
              </w:rPr>
              <w:t>11%</w:t>
            </w:r>
          </w:p>
        </w:tc>
        <w:tc>
          <w:tcPr>
            <w:tcW w:w="10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63"/>
        </w:trPr>
        <w:tc>
          <w:tcPr>
            <w:tcW w:w="60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83"/>
              </w:rPr>
              <w:t>83%</w:t>
            </w:r>
          </w:p>
        </w:tc>
        <w:tc>
          <w:tcPr>
            <w:tcW w:w="116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w w:val="88"/>
              </w:rPr>
              <w:t>92%</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Customers with a dash accounted for less than 10% of accounts receivable at period end.</w:t>
      </w:r>
    </w:p>
    <w:p>
      <w:pPr>
        <w:spacing w:after="0" w:line="16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Company is exposed to vendor concentration risk as it supplies tablets from one vendor. The Company’s operating results could be adversely affected should the vendor increase prices or incur disruptions in its tablet supply. As of June 30, 2022 and 2021, the Company had $0 and $6,792, respectively, due to the vendor as part of its vendor financing facility.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Comprehensive loss is comprised of net loss and other comprehensive income (loss). The Company has no components of other comprehensive loss. Therefore, net loss equals comprehensive loss for all periods presented.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The Company measures financial assets and liabilities at fair value at each reporting period using a fair value hierarchy which requires the Company to maximize the use of observable inputs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5" w:name="page176"/>
    <w:bookmarkEnd w:id="17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Business and Significant Accounting Policies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03" w:lineRule="exact"/>
        <w:rPr>
          <w:sz w:val="20"/>
          <w:szCs w:val="20"/>
          <w:color w:val="auto"/>
        </w:rPr>
      </w:pPr>
    </w:p>
    <w:p>
      <w:pPr>
        <w:ind w:left="1320" w:hanging="434"/>
        <w:spacing w:after="0"/>
        <w:tabs>
          <w:tab w:leader="none" w:pos="1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as of the reporting date.</w:t>
      </w:r>
    </w:p>
    <w:p>
      <w:pPr>
        <w:spacing w:after="0" w:line="157" w:lineRule="exact"/>
        <w:rPr>
          <w:rFonts w:ascii="Arial" w:cs="Arial" w:eastAsia="Arial" w:hAnsi="Arial"/>
          <w:sz w:val="18"/>
          <w:szCs w:val="18"/>
          <w:color w:val="auto"/>
        </w:rPr>
      </w:pPr>
    </w:p>
    <w:p>
      <w:pPr>
        <w:jc w:val="both"/>
        <w:ind w:left="1320" w:right="459" w:hanging="434"/>
        <w:spacing w:after="0" w:line="259" w:lineRule="auto"/>
        <w:tabs>
          <w:tab w:leader="none" w:pos="1316" w:val="left"/>
        </w:tabs>
        <w:numPr>
          <w:ilvl w:val="0"/>
          <w:numId w:val="94"/>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spacing w:after="0" w:line="119"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94"/>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w:t>
      </w:r>
    </w:p>
    <w:p>
      <w:pPr>
        <w:spacing w:after="0" w:line="8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Financial instruments consist of cash equivalents, accounts receivable, accounts payable, convertible promissory notes and warrant liabilities. Accounts receivable and accounts payable are stated at their carrying value, which approximates fair value due to the short time to the expected receipt or payment 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Company considers all highly liquid financial instruments purchased with original maturities of three months or less to be cash equivalents. As of June 30, 2022 and 2021, cash and cash equivalents consists solely of cash held in financial institutions.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Accounts Receivable, Net and Allowance for Doubtful Accounts</w:t>
      </w:r>
    </w:p>
    <w:p>
      <w:pPr>
        <w:spacing w:after="0" w:line="15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Accounts receivable are recorded at the invoiced amounts net of an allowance for doubtful accounts. The Company regularly reviews the outstanding accounts receivable and allowance for doubtful accounts and at each reporting date, makes judgments as to collectability of outstanding receivables. The Company determines the allowance for doubtful accounts receivable by making its best estimate of specific uncollectible accounts considering its historical accounts receivable collection experience and the information that management has regarding the current status of the Company’s accounts receivable balances. The allowance for doubtful accounts at June 30, 2022 and 2021 was $353 and $902, respectively.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Inventories</w:t>
      </w:r>
    </w:p>
    <w:p>
      <w:pPr>
        <w:spacing w:after="0" w:line="144"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The Company purchases its inventories from a third-party manufacturer as finished goods and stores the inventory partially in its own warehouse and partially at a third-party warehouse. The Company establishes provisions for excess and obsolete inventories after an evaluation of historical sales, future demand and market conditions, expected product life cycles, 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years ended June 30, 2022 and 2021.</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6" w:name="page177"/>
    <w:bookmarkEnd w:id="17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Business and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Intangible assets consist of the Company’s capitalized software costs, developed technology as part of the Company’s acquisition of CyborgOps and domain name rights acquired for “</w:t>
      </w:r>
      <w:r>
        <w:rPr>
          <w:rFonts w:ascii="Arial" w:cs="Arial" w:eastAsia="Arial" w:hAnsi="Arial"/>
          <w:sz w:val="16"/>
          <w:szCs w:val="16"/>
          <w:i w:val="1"/>
          <w:iCs w:val="1"/>
          <w:color w:val="auto"/>
        </w:rPr>
        <w:t>Presto.com</w:t>
      </w:r>
      <w:r>
        <w:rPr>
          <w:rFonts w:ascii="Arial" w:cs="Arial" w:eastAsia="Arial" w:hAnsi="Arial"/>
          <w:sz w:val="16"/>
          <w:szCs w:val="16"/>
          <w:color w:val="auto"/>
        </w:rPr>
        <w:t>”. The Company’s domain name is being amortized on a straight-line basis over 15 years. The capitalized software and developed technology is amortized on a straight-line basis over the estimated useful lives of the software, which is generally 4 years. Software development costs include costs to develop software to be used to meet internal needs and applications used to deliver its services. Refer to Note 15 for further details of the developed technology. The Company accounts for its internal use software in accordance with the guidance in Accounting Standard Codification (“</w:t>
      </w:r>
      <w:r>
        <w:rPr>
          <w:rFonts w:ascii="Arial" w:cs="Arial" w:eastAsia="Arial" w:hAnsi="Arial"/>
          <w:sz w:val="16"/>
          <w:szCs w:val="16"/>
          <w:b w:val="1"/>
          <w:bCs w:val="1"/>
          <w:color w:val="auto"/>
        </w:rPr>
        <w:t>ASC</w:t>
      </w:r>
      <w:r>
        <w:rPr>
          <w:rFonts w:ascii="Arial" w:cs="Arial" w:eastAsia="Arial" w:hAnsi="Arial"/>
          <w:sz w:val="16"/>
          <w:szCs w:val="16"/>
          <w:color w:val="auto"/>
        </w:rPr>
        <w:t xml:space="preserve">”) 350-40, </w:t>
      </w:r>
      <w:r>
        <w:rPr>
          <w:rFonts w:ascii="Arial" w:cs="Arial" w:eastAsia="Arial" w:hAnsi="Arial"/>
          <w:sz w:val="16"/>
          <w:szCs w:val="16"/>
          <w:i w:val="1"/>
          <w:iCs w:val="1"/>
          <w:color w:val="auto"/>
        </w:rPr>
        <w:t>Internal-Use Software</w:t>
      </w:r>
      <w:r>
        <w:rPr>
          <w:rFonts w:ascii="Arial" w:cs="Arial" w:eastAsia="Arial" w:hAnsi="Arial"/>
          <w:sz w:val="16"/>
          <w:szCs w:val="16"/>
          <w:color w:val="auto"/>
        </w:rPr>
        <w:t>. The costs incurred in the preliminary stages of development are expensed as incurred. The Company capitalizes development costs related to these software applications once the preliminary project stage is complete and it is probable that the project will be completed, and the software will be used to perform the function intended. Costs capitalized for developing such software applications were $1,783 and $540, respectively, for the years ended June 30, 2022, and 2021.</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44"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Property and equipment, net, are stated at cost, less accumulated depreciation. Substantially all of the Company’s property and equipment is comprised of tablets which are leased to customers. Property and equipment, net also includes equipment and software for general employee use. Depreciation is recognized using the straight-line method over the estimated useful lives of the respective assets, which is four years for tablets and three years for other property and equipment. Leasehold improvements are depreciated over the shorter of the life of the assets or the remaining term of the lease. Routine maintenance and repair costs are expensed as incurred. The costs of major additions, replacements and improvements are capitalized. Gains and losses realized on the sale or disposal of property and equipment are recognized or charged to other expense, net in the consolidated statements of operations and comprehensive loss.</w:t>
      </w:r>
    </w:p>
    <w:p>
      <w:pPr>
        <w:spacing w:after="0" w:line="99"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For tablets classified as property and equipment, net, the Company has historically entered into equipment financing facilities with financing partners, whereby the Company legally sells the tablets to such financing partners. The Company accounts for these as property and equipment with a corresponding financing obligation, as the Company retains substantially all of the benefits and risks of ownership of the property sold.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The Company evaluates the carrying value of long-lived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For the years ended June 30, 2022, and 2021, the Company recorded $579 and $2,965, respectively, in write offs related to the impairment of tablets. Refer to Note 4 for further details.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7" w:name="page178"/>
    <w:bookmarkEnd w:id="17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Business and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 Obligations</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Company entered various arrangements in which the Company incurred financing obligations in exchange for an upfront payment. The Company recognizes interest on the financed amount using either the effective interest method or stated interest, depending on the arrangement.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The Company accounts for its revenue in accordance with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Revenue is recognized when promised goods or services are transferred to the customer in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that reflects the consideration to which the Company expects to be entitled in exchange for those goods or services, net of any taxes collected from customers (e.g., sales and other indirect taxes), which are subsequently remitted to government authorities.</w:t>
      </w:r>
    </w:p>
    <w:p>
      <w:pPr>
        <w:spacing w:after="0" w:line="107"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During the years ended June 30, 2022 and 2021, the Company derived its revenues from two revenue streams: (1) sales and leases of the Presto Touch product (“</w:t>
      </w:r>
      <w:r>
        <w:rPr>
          <w:rFonts w:ascii="Arial" w:cs="Arial" w:eastAsia="Arial" w:hAnsi="Arial"/>
          <w:sz w:val="17"/>
          <w:szCs w:val="17"/>
          <w:b w:val="1"/>
          <w:bCs w:val="1"/>
          <w:color w:val="auto"/>
        </w:rPr>
        <w:t>Platform revenue</w:t>
      </w:r>
      <w:r>
        <w:rPr>
          <w:rFonts w:ascii="Arial" w:cs="Arial" w:eastAsia="Arial" w:hAnsi="Arial"/>
          <w:sz w:val="17"/>
          <w:szCs w:val="17"/>
          <w:color w:val="auto"/>
        </w:rPr>
        <w:t>”), which includes hardware, hardware accessories, software and customer support and maintenance, and (2) Premium Content (gaming) and other revenue, which includes professional services (“</w:t>
      </w:r>
      <w:r>
        <w:rPr>
          <w:rFonts w:ascii="Arial" w:cs="Arial" w:eastAsia="Arial" w:hAnsi="Arial"/>
          <w:sz w:val="17"/>
          <w:szCs w:val="17"/>
          <w:b w:val="1"/>
          <w:bCs w:val="1"/>
          <w:color w:val="auto"/>
        </w:rPr>
        <w:t>Transaction revenue</w:t>
      </w:r>
      <w:r>
        <w:rPr>
          <w:rFonts w:ascii="Arial" w:cs="Arial" w:eastAsia="Arial" w:hAnsi="Arial"/>
          <w:sz w:val="17"/>
          <w:szCs w:val="17"/>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Platform Revenue</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platform revenue stream is generated from fees charged to customers for access to the Company’s Presto Touch, which is recognized ratably. Revenue generated by Presto Voice and Presto Vision products are not material for the fiscal years ended June 30, 2022 and 2021. Part of the total contract value is due upon execution of the contract, and the remainder is due upon installation of the Presto Touch. Certain contracts allow the total contract value to be paid monthly over the term of the contract. The Company’s contracts with customers are generally for a term ranging from 12 to 48 months. Amounts invoiced in excess of revenue recognized are recorded as deferred revenue.</w:t>
      </w:r>
    </w:p>
    <w:p>
      <w:pPr>
        <w:spacing w:after="0" w:line="12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Company also maintains arrangements with certain customers whereby the Company leases the Presto Touch to its customer, which are accounted for in accordance with ASC 840. Revenue associated with the lease is recognized on a straight-line basis as platform revenue over the lease term in the consolidated statements of operations and comprehensive loss.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Transaction Revenue</w:t>
      </w:r>
    </w:p>
    <w:p>
      <w:pPr>
        <w:spacing w:after="0" w:line="144"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Transaction revenue consists of a single performance obligation recognized at a point in time when the content is delivered and used. Transaction revenue is recognized on a gross basis as the Company is the principal in the relationship and the restaurant acts as a sales agent between the Company and the diner to upsell premium content purchases during the dining experience. The Company is the principal as the Company is the primary obligor responsible for fulfillment, the Company controls the gaming license and its accessibility and has influence in establishing the price charged to the diner. The portion of gaming service collections withheld by the restaurant for sales commission are recorded to transaction cost of revenues.</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58" w:lineRule="exact"/>
        <w:rPr>
          <w:sz w:val="20"/>
          <w:szCs w:val="20"/>
          <w:color w:val="auto"/>
        </w:rPr>
      </w:pPr>
    </w:p>
    <w:p>
      <w:pPr>
        <w:jc w:val="both"/>
        <w:ind w:left="1320" w:right="459" w:hanging="434"/>
        <w:spacing w:after="0" w:line="290" w:lineRule="auto"/>
        <w:tabs>
          <w:tab w:leader="none" w:pos="1293" w:val="left"/>
        </w:tabs>
        <w:numPr>
          <w:ilvl w:val="0"/>
          <w:numId w:val="97"/>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 — the Company enters into a master sales agreement (“</w:t>
      </w:r>
      <w:r>
        <w:rPr>
          <w:rFonts w:ascii="Arial" w:cs="Arial" w:eastAsia="Arial" w:hAnsi="Arial"/>
          <w:sz w:val="16"/>
          <w:szCs w:val="16"/>
          <w:b w:val="1"/>
          <w:bCs w:val="1"/>
          <w:color w:val="auto"/>
        </w:rPr>
        <w:t>MSA</w:t>
      </w:r>
      <w:r>
        <w:rPr>
          <w:rFonts w:ascii="Arial" w:cs="Arial" w:eastAsia="Arial" w:hAnsi="Arial"/>
          <w:sz w:val="16"/>
          <w:szCs w:val="16"/>
          <w:color w:val="auto"/>
        </w:rPr>
        <w:t>”) with the customer which is signed by both parties. The rights and obligations are outlined in the MSA and payment terms are clearly defined. The Company then enters into a license agreement, typically with each franchisee, which outlines the specified goods and services to be provided. The Company also enters into separate gaming agreements with diners, whereby the customer agrees to pay for use of the premium content. Each MSA, in conjunction with a license agreement, and each gaming agreement, has commercial substance, whereby the Company is to provide products and services in exchange for payment, and collectability is probable.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8" w:name="page179"/>
    <w:bookmarkEnd w:id="17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Business and Significant Accounting Policies </w:t>
      </w:r>
      <w:r>
        <w:rPr>
          <w:rFonts w:ascii="Arial" w:cs="Arial" w:eastAsia="Arial" w:hAnsi="Arial"/>
          <w:sz w:val="18"/>
          <w:szCs w:val="18"/>
          <w:color w:val="auto"/>
        </w:rPr>
        <w:t>(cont.)</w:t>
      </w:r>
    </w:p>
    <w:p>
      <w:pPr>
        <w:spacing w:after="0" w:line="202" w:lineRule="exact"/>
        <w:rPr>
          <w:rFonts w:ascii="Arial" w:cs="Arial" w:eastAsia="Arial" w:hAnsi="Arial"/>
          <w:sz w:val="18"/>
          <w:szCs w:val="18"/>
          <w:b w:val="1"/>
          <w:bCs w:val="1"/>
          <w:color w:val="auto"/>
        </w:rPr>
      </w:pPr>
    </w:p>
    <w:p>
      <w:pPr>
        <w:jc w:val="both"/>
        <w:ind w:left="1320" w:right="459" w:hanging="434"/>
        <w:spacing w:after="0" w:line="269" w:lineRule="auto"/>
        <w:tabs>
          <w:tab w:leader="none" w:pos="1293" w:val="left"/>
        </w:tabs>
        <w:numPr>
          <w:ilvl w:val="1"/>
          <w:numId w:val="98"/>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 — The Company’s contracts with customers include promises to transfer multiple goods and services. For all arrangements with multiple services, the Company evaluates whether the individual services qualify as distinct performance obligations. In the Company’s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01" w:lineRule="exact"/>
        <w:rPr>
          <w:sz w:val="20"/>
          <w:szCs w:val="20"/>
          <w:color w:val="auto"/>
        </w:rPr>
      </w:pPr>
    </w:p>
    <w:p>
      <w:pPr>
        <w:jc w:val="both"/>
        <w:ind w:left="1320" w:right="459"/>
        <w:spacing w:after="0" w:line="301" w:lineRule="auto"/>
        <w:rPr>
          <w:sz w:val="20"/>
          <w:szCs w:val="20"/>
          <w:color w:val="auto"/>
        </w:rPr>
      </w:pPr>
      <w:r>
        <w:rPr>
          <w:rFonts w:ascii="Arial" w:cs="Arial" w:eastAsia="Arial" w:hAnsi="Arial"/>
          <w:sz w:val="16"/>
          <w:szCs w:val="16"/>
          <w:color w:val="auto"/>
        </w:rPr>
        <w:t>The Company identified the following performance obligations: for the MSAs and license agreements, 1) sales or leases of hardware, software-as-a-service (“</w:t>
      </w:r>
      <w:r>
        <w:rPr>
          <w:rFonts w:ascii="Arial" w:cs="Arial" w:eastAsia="Arial" w:hAnsi="Arial"/>
          <w:sz w:val="16"/>
          <w:szCs w:val="16"/>
          <w:b w:val="1"/>
          <w:bCs w:val="1"/>
          <w:color w:val="auto"/>
        </w:rPr>
        <w:t>Saas</w:t>
      </w:r>
      <w:r>
        <w:rPr>
          <w:rFonts w:ascii="Arial" w:cs="Arial" w:eastAsia="Arial" w:hAnsi="Arial"/>
          <w:sz w:val="16"/>
          <w:szCs w:val="16"/>
          <w:color w:val="auto"/>
        </w:rPr>
        <w:t>”) and maintenance as one combined performance obligation (“</w:t>
      </w:r>
      <w:r>
        <w:rPr>
          <w:rFonts w:ascii="Arial" w:cs="Arial" w:eastAsia="Arial" w:hAnsi="Arial"/>
          <w:sz w:val="16"/>
          <w:szCs w:val="16"/>
          <w:b w:val="1"/>
          <w:bCs w:val="1"/>
          <w:color w:val="auto"/>
        </w:rPr>
        <w:t>Presto Touch</w:t>
      </w:r>
      <w:r>
        <w:rPr>
          <w:rFonts w:ascii="Arial" w:cs="Arial" w:eastAsia="Arial" w:hAnsi="Arial"/>
          <w:sz w:val="16"/>
          <w:szCs w:val="16"/>
          <w:color w:val="auto"/>
        </w:rPr>
        <w:t>”) and for gaming agreements, 2) premium content, or gaming. Professional services were insignificant during fiscal years 2022 and 2021.</w:t>
      </w:r>
    </w:p>
    <w:p>
      <w:pPr>
        <w:spacing w:after="0" w:line="90" w:lineRule="exact"/>
        <w:rPr>
          <w:sz w:val="20"/>
          <w:szCs w:val="20"/>
          <w:color w:val="auto"/>
        </w:rPr>
      </w:pPr>
    </w:p>
    <w:p>
      <w:pPr>
        <w:jc w:val="both"/>
        <w:ind w:left="1320" w:right="459"/>
        <w:spacing w:after="0" w:line="311" w:lineRule="auto"/>
        <w:rPr>
          <w:sz w:val="20"/>
          <w:szCs w:val="20"/>
          <w:color w:val="auto"/>
        </w:rPr>
      </w:pPr>
      <w:r>
        <w:rPr>
          <w:rFonts w:ascii="Arial" w:cs="Arial" w:eastAsia="Arial" w:hAnsi="Arial"/>
          <w:sz w:val="16"/>
          <w:szCs w:val="16"/>
          <w:color w:val="auto"/>
        </w:rPr>
        <w:t>The Presto Touch is considered a single performance obligation because each element of the Presto Touch is interdependent and cannot function independently. The software and hardware represent one combined output and the customer cannot benefit from the use of one element without the other.</w:t>
      </w:r>
    </w:p>
    <w:p>
      <w:pPr>
        <w:spacing w:after="0" w:line="81" w:lineRule="exact"/>
        <w:rPr>
          <w:sz w:val="20"/>
          <w:szCs w:val="20"/>
          <w:color w:val="auto"/>
        </w:rPr>
      </w:pPr>
    </w:p>
    <w:p>
      <w:pPr>
        <w:jc w:val="both"/>
        <w:ind w:left="1320" w:right="459"/>
        <w:spacing w:after="0" w:line="269" w:lineRule="auto"/>
        <w:rPr>
          <w:sz w:val="20"/>
          <w:szCs w:val="20"/>
          <w:color w:val="auto"/>
        </w:rPr>
      </w:pPr>
      <w:r>
        <w:rPr>
          <w:rFonts w:ascii="Arial" w:cs="Arial" w:eastAsia="Arial" w:hAnsi="Arial"/>
          <w:sz w:val="17"/>
          <w:szCs w:val="17"/>
          <w:color w:val="auto"/>
        </w:rPr>
        <w:t>When the Company enters into gaming agreements, the Company’s Presto Touch includes the capability of providing entertainment services, designed (either on its own or through other subcontractors) and provided by the Company via internet, that can be purchased by diners. The games are only accessible over the internet, and upon the diner making the decision to pay for the content, the diner receives the right to access the game on the Presto Touch. Gaming fees are usage based through the diner’s use of the device and stipulated in a separate contract with the diner. Any fees that are incurred are collected by the restaurant as part of the normal payment for the dining check from the diner and remitted back to the Company, net of commissions paid to the restaurant as the sales agent. Premium content revenue, or gaming revenue, is therefore one performance obligation.</w:t>
      </w:r>
    </w:p>
    <w:p>
      <w:pPr>
        <w:spacing w:after="0" w:line="104" w:lineRule="exact"/>
        <w:rPr>
          <w:sz w:val="20"/>
          <w:szCs w:val="20"/>
          <w:color w:val="auto"/>
        </w:rPr>
      </w:pPr>
    </w:p>
    <w:p>
      <w:pPr>
        <w:jc w:val="both"/>
        <w:ind w:left="1320" w:right="459" w:hanging="434"/>
        <w:spacing w:after="0" w:line="271" w:lineRule="auto"/>
        <w:tabs>
          <w:tab w:leader="none" w:pos="1293" w:val="left"/>
        </w:tabs>
        <w:numPr>
          <w:ilvl w:val="0"/>
          <w:numId w:val="99"/>
        </w:numPr>
        <w:rPr>
          <w:rFonts w:ascii="Arial" w:cs="Arial" w:eastAsia="Arial" w:hAnsi="Arial"/>
          <w:sz w:val="17"/>
          <w:szCs w:val="17"/>
          <w:color w:val="auto"/>
        </w:rPr>
      </w:pPr>
      <w:r>
        <w:rPr>
          <w:rFonts w:ascii="Arial" w:cs="Arial" w:eastAsia="Arial" w:hAnsi="Arial"/>
          <w:sz w:val="17"/>
          <w:szCs w:val="17"/>
          <w:color w:val="auto"/>
        </w:rPr>
        <w:t>Determination of the transaction price — the Company’s MSAs stipulate the terms and conditions, and separate license agreements dictate the transaction price, and typically outlines as a price per store location or number of Presto Touch. The transaction price is generally a fixed fee, with a portion due upfront upon signing of the contract and the remainder due upon installation of the Presto Touch. The transaction price for transaction revenue is a fixed fee charged per game. The Company occasionally provides consideration payable to a customer, which is recorded as a capitalized asset upon payment and included as part of deferred costs and amortized as contra-revenue over the expected customer life.</w:t>
      </w:r>
    </w:p>
    <w:p>
      <w:pPr>
        <w:spacing w:after="0" w:line="110" w:lineRule="exact"/>
        <w:rPr>
          <w:rFonts w:ascii="Arial" w:cs="Arial" w:eastAsia="Arial" w:hAnsi="Arial"/>
          <w:sz w:val="17"/>
          <w:szCs w:val="17"/>
          <w:color w:val="auto"/>
        </w:rPr>
      </w:pPr>
    </w:p>
    <w:p>
      <w:pPr>
        <w:jc w:val="both"/>
        <w:ind w:left="1320" w:right="459" w:hanging="434"/>
        <w:spacing w:after="0" w:line="259" w:lineRule="auto"/>
        <w:tabs>
          <w:tab w:leader="none" w:pos="1293"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 As the Presto Touch is one combined performance obligation, no reallocation of the contract price is required. The Company’s premium content contract is comprised of one performance obligation and does not require reallocation of the contract price.</w:t>
      </w:r>
    </w:p>
    <w:p>
      <w:pPr>
        <w:spacing w:after="0" w:line="119" w:lineRule="exact"/>
        <w:rPr>
          <w:rFonts w:ascii="Arial" w:cs="Arial" w:eastAsia="Arial" w:hAnsi="Arial"/>
          <w:sz w:val="18"/>
          <w:szCs w:val="18"/>
          <w:color w:val="auto"/>
        </w:rPr>
      </w:pPr>
    </w:p>
    <w:p>
      <w:pPr>
        <w:jc w:val="both"/>
        <w:ind w:left="1320" w:right="459" w:hanging="434"/>
        <w:spacing w:after="0" w:line="273" w:lineRule="auto"/>
        <w:tabs>
          <w:tab w:leader="none" w:pos="1293" w:val="left"/>
        </w:tabs>
        <w:numPr>
          <w:ilvl w:val="0"/>
          <w:numId w:val="99"/>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 — As the customer simultaneously receives and consumes the benefits provided by the Company through continuous access to its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9" w:name="page180"/>
    <w:bookmarkEnd w:id="17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Business and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Costs Capitalized to Obtain Revenue Contracts</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Sales commissions and associated payroll taxes paid to internal sales personnel that are incremental costs resulting from obtaining a non-cancelable contract with a customer are capitalized and recognized over the estimated customer life, if material.</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Incremental costs incurred to obtain a contract were immaterial during the years ended June 30, 2022, and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2021.</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Revenue and Deferred Costs</w:t>
      </w:r>
    </w:p>
    <w:p>
      <w:pPr>
        <w:spacing w:after="0" w:line="14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Deferred revenue consists of deferred platform revenue, which arises from timing differences between the advance payment and satisfaction of all revenue recognition criteria consistent with the Company’s revenue recognition policy. Deferred costs consist of the direct costs associated with the purchase of the hardware in the Presto Touch and other equipment, shipping and freight costs, and installation costs. Costs are deferred in the same manner as revenue that is deferred. Deferred revenue and associated deferred costs expected to be realized within one year are classified as deferred revenue, current, and deferred costs, current, respectively.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Platform Cost of Revenue</w:t>
      </w:r>
    </w:p>
    <w:p>
      <w:pPr>
        <w:spacing w:after="0" w:line="15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Platform cost of revenue consists of four categories: product costs, shipping/freight costs, installation costs, and other costs. Product costs consist primarily of the cost to purchase the hardware and hardware accessories for the Presto Touch. Shipping/freight costs consist of all costs to transport the Presto Touch to the customers. Installation costs include the labor cost to install the hardware in each restaurant. Other costs include the amortization of capitalized software and product support costs.</w:t>
      </w:r>
    </w:p>
    <w:p>
      <w:pPr>
        <w:spacing w:after="0" w:line="10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Company also incurs costs to refurbish and repair its tablets. These costs are expensed in the period they are incurred, as the costs are expected to be linear and therefore, will match with the timing of revenue recognition over time. In connection with these costs, the Company also accrues a liability at each reporting period for expected repair costs for customer tablets currently in the Company’s return merchandise authorization process as of the reporting period, which get charged to platform cost of revenue. Refer to Note 9 for further details.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Transaction Cost of Revenue</w:t>
      </w:r>
    </w:p>
    <w:p>
      <w:pPr>
        <w:spacing w:after="0" w:line="14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Transaction cost of revenue consists primarily of the portion of the fees collected from diners that are then paid to the restaurant as part of the revenue share agreement with each restaurant. As the Company bears the primary responsibility of the product, the Company is the principal in the premium content transactions and restaurants act as the agent, whereby the Company collect all of the fees paid as revenue and remit the revenue share to the restaurants as cost of revenue. The commissions paid to restaurants under the Company’s revenue share agreement range on average between 70% and 90% of premium content revenue by customer logo.</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 and Impairment Cost of Revenue</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Depreciation and impairment cost of revenue consists primarily of the costs of assets that are included in property and equipment, net in the balance sheet that are amortized to cost of revenue and related impairment charges.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Operating expenses consist of sales and marketing, research and development, and general and administrative expenses. The largest single component of operating expenses is employee-related expenses, which include salaries, commissions and bonuses, stock-based compensation, and employee benefit and payroll costs. Operating expenses for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0" w:name="page181"/>
    <w:bookmarkEnd w:id="18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Business and Significant Accounting Policies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year ended June 30, 2022 and 2021 include $582 and $3,342, respectively, in losses on infrequent product repairs (refer to “</w:t>
      </w:r>
      <w:r>
        <w:rPr>
          <w:rFonts w:ascii="Arial" w:cs="Arial" w:eastAsia="Arial" w:hAnsi="Arial"/>
          <w:sz w:val="18"/>
          <w:szCs w:val="18"/>
          <w:i w:val="1"/>
          <w:iCs w:val="1"/>
          <w:color w:val="auto"/>
        </w:rPr>
        <w:t>Impact of COVID-19</w:t>
      </w:r>
      <w:r>
        <w:rPr>
          <w:rFonts w:ascii="Arial" w:cs="Arial" w:eastAsia="Arial" w:hAnsi="Arial"/>
          <w:sz w:val="18"/>
          <w:szCs w:val="18"/>
          <w:color w:val="auto"/>
        </w:rPr>
        <w:t>”). These damages were caused by customers’ use of commercial disinfectant solutions as a precautionary protocol in response to COVID-19, which caused damage to the devices and required significant repairs or replacement.</w:t>
      </w:r>
    </w:p>
    <w:p>
      <w:pPr>
        <w:spacing w:after="0" w:line="106"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Research and development expenses consist primarily of employee-related costs associated with maintenance of the Company’s platform and the evaluation and preliminary development of new product offerings, as well as allocated overhead and expenses associated with the use of third-party software directly related to preliminary development and maintenance of the Company’s products and services. These costs are expensed as incurred as they do not meet the requirements for capitalization.</w:t>
      </w:r>
    </w:p>
    <w:p>
      <w:pPr>
        <w:spacing w:after="0" w:line="10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Sales and marketing expenses consist primarily of employee-related costs incurred to acquire new customers and increase product adoption across the Company’s existing customer base. Marketing expenses also include fees incurred to generate demand through various advertising channels and allocated overhead costs.</w:t>
      </w:r>
    </w:p>
    <w:p>
      <w:pPr>
        <w:spacing w:after="0" w:line="119"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General and administrative expenses consist primarily of expenses related to facilities, finance, human resources and administrative personnel. General and administrative expenses also include costs related to fees paid for certain professional services, including legal, tax and accounting services and bad debt expenses.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Company’s advertising and promotional costs are expensed as incurred. Advertising costs were $36 and $10 for the years ended June 30, 2022 and 2021, respectively and are included in sales and marketing expense.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Leases</w:t>
      </w:r>
    </w:p>
    <w:p>
      <w:pPr>
        <w:spacing w:after="0" w:line="15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The Company accounts for leases in accordance with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The Company categorizes leases at their inception as either operating or capital leases, with the Company’s current lease portfolio consisting of operating leases for office spaces, and tablets leased to customers. In certain lease agreements, the Company may receive rent holidays and other incentives. For operating leases, the Company recognizes lease costs on a straight-line basis once control of the space is achieved, without regard to deferred payment terms such as rent holidays that defer the commencement date of required payments. Additionally, incentives received are treated as a reduction of costs over the term of the agreement.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Company has a stock incentive plan under which incentive stock options and restricted stock units (“RSUs”) are granted to employees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fair value of the Company’s common stock underlying the awards has historically been determined by the board of directors with input from management and third-party valuation specialists, as there was no public market for the Company’s common stock. The board of directors determines the fair value of the common stock by considering a number of objective and subjective factors including: the valuation of comparable companies, the Company’s operating and financial performance, the lack of liquidity of common stock, transactions in the Company’s preferred or common stock, and general and industry specific economic outlook, amongst other factors. The fair value of each option award is estimated on the grant date using the Black-Scholes option pricing model. The Black-Scholes option pricing model requires the input of subjective assumptions, including the fair value of the underlying common stock, risk-free interest rates, the expected term of the option, expected volatility, and expected dividend yield. The fair value of each RSU is the fair value of the underlying common stock on the grant date. The related stock-based compensation expense is recognized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1" w:name="page182"/>
    <w:bookmarkEnd w:id="18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Business and Significant Accounting Policies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on a straight-line basis over the requisite service period of the awards, which is generally four years. For awards with performance conditions, the related cumulative stock-based compensation expense from inception to date is recognized when it is probable that the performance condition will be achieved. The Company accounts for forfeitures as they occur.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Shipping and handling costs and sales tax</w:t>
      </w:r>
    </w:p>
    <w:p>
      <w:pPr>
        <w:spacing w:after="0" w:line="14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Shipping and handling costs are classified as a component of cost of revenue. Fees charged to customers for shipping and handling are recorded as revenue.</w:t>
      </w:r>
    </w:p>
    <w:p>
      <w:pPr>
        <w:spacing w:after="0" w:line="10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Sales tax collected from customers and remitted to taxing authorities is excluded from revenue and is included in accrued liabilities on the Company’s consolidated balance sheets.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5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The functional currency of the Company’s foreign subsidiary is the U.S. Dollar (USD). Monetary assets and liabilities are remeasured using foreign currency exchange rates at the end of the period, and non-monetary assets and liabilities are held based on historical exchange rates. Transactions denominated in currencies other than USD are recorded at the average exchange rates during the year. Gains and losses due to foreign currency are the result of either the remeasurement of subsidiary balances or transactions denominated in currencies other than the foreign subsidiaries’ functional currency and are included in other income (expense), net in the Company’s consolidated statement of operations and comprehensive loss.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Company accounts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spacing w:after="0" w:line="127"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Company is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10"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The Company records interest and penalties related to income tax matters in income tax expense. As of June 30, 2022 and 2021, the Company has no accrued interest and penalties related to uncertain tax positions.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4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Subsequent to the impact of the retroactive application of the recapitalization, the Company calculated basic net loss per share by dividing net loss attributable to common stockholders by the recapitalized weighted-average number of ordinary shares outstanding during the period. Net loss attributable to common stockholders is net loss minus convertible preferred stock dividends declared, of which there were none during the periods presented. Prior to the impact of the retroactive application of the recapitalization, the Company applied the two-class method to calculate basic net loss per share for the Company’s common stock and non-voting common stock. The net loss attributable to</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2" w:name="page183"/>
    <w:bookmarkEnd w:id="18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Business and Significant Accounting Policies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common stockholders is allocated to common stock and non-voting common stock on a pro rata portion of the total common stock outstanding. The Company’s preferred stockholders are not included in the basic net loss per share calculation because they are not contractually obligated to share in the Company’s losses.</w:t>
      </w:r>
    </w:p>
    <w:p>
      <w:pPr>
        <w:spacing w:after="0" w:line="6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Company’s potentially dilutive securities, which include stock options and RSUs, convertible notes, convertible preferred stock and warrants, have been excluded from the computation of diluted net loss per share as the effect would be anti-dilutive and reduce the net loss per share. Therefore, the weighted average number of the common shares outstanding used to calculate both basic and diluted net loss per share attributable to common stockholders is the same for the years presented.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5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Operating segments are defined as components of an enterprise for which separate financial information is available that is evaluated regularly by the chief operating decision maker (“</w:t>
      </w:r>
      <w:r>
        <w:rPr>
          <w:rFonts w:ascii="Arial" w:cs="Arial" w:eastAsia="Arial" w:hAnsi="Arial"/>
          <w:sz w:val="17"/>
          <w:szCs w:val="17"/>
          <w:b w:val="1"/>
          <w:bCs w:val="1"/>
          <w:color w:val="auto"/>
        </w:rPr>
        <w:t>CODM</w:t>
      </w:r>
      <w:r>
        <w:rPr>
          <w:rFonts w:ascii="Arial" w:cs="Arial" w:eastAsia="Arial" w:hAnsi="Arial"/>
          <w:sz w:val="17"/>
          <w:szCs w:val="17"/>
          <w:color w:val="auto"/>
        </w:rPr>
        <w:t>”) in deciding how to allocate resources and in assessing performance. The Company’s Co-CODMs are the Chief Executive Officer and the Chief Financial Officer, who review financial information presented on a consolidated basis for purposes of allocating resources and evaluating financial performance. As such, the Company’s operations constitute a single operating segment and one reportable segment.</w:t>
      </w:r>
    </w:p>
    <w:p>
      <w:pPr>
        <w:spacing w:after="0" w:line="110"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Company has operations in the United States and Canada. The Company earns primarily all of its revenue in the United States and all of its long-lived assets are held in the United States.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44"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w:t>
      </w:r>
    </w:p>
    <w:p>
      <w:pPr>
        <w:spacing w:after="0" w:line="2" w:lineRule="exact"/>
        <w:rPr>
          <w:sz w:val="20"/>
          <w:szCs w:val="20"/>
          <w:color w:val="auto"/>
        </w:rPr>
      </w:pPr>
    </w:p>
    <w:p>
      <w:pPr>
        <w:jc w:val="both"/>
        <w:ind w:left="460" w:right="459" w:hanging="6"/>
        <w:spacing w:after="0" w:line="285" w:lineRule="auto"/>
        <w:tabs>
          <w:tab w:leader="none" w:pos="68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irrevocably elects to “opt out” of such extended transition period or (ii) no longer qualifies as an emerging growth company. The Company may choose to early adopt any new or revised accounting standards whenever such early adoption is permitted for nonpublic companies. In August 2018, the FASB issued ASU No. 2018-15, </w:t>
      </w:r>
      <w:r>
        <w:rPr>
          <w:rFonts w:ascii="Arial" w:cs="Arial" w:eastAsia="Arial" w:hAnsi="Arial"/>
          <w:sz w:val="16"/>
          <w:szCs w:val="16"/>
          <w:i w:val="1"/>
          <w:iCs w:val="1"/>
          <w:color w:val="auto"/>
        </w:rPr>
        <w:t>Intangibles — Goodwill and Other — Internal-Use Software (Subtopic 350-40): Customer’s Accounting for Implementation Costs Incurred in a Cloud Computing Arrangement that is a Service Contract</w:t>
      </w:r>
      <w:r>
        <w:rPr>
          <w:rFonts w:ascii="Arial" w:cs="Arial" w:eastAsia="Arial" w:hAnsi="Arial"/>
          <w:sz w:val="16"/>
          <w:szCs w:val="16"/>
          <w:color w:val="auto"/>
        </w:rPr>
        <w:t>, which aligns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accounting for the service element of a hosting arrangement that is a service contract is not affected by this new guidance. The Company adopted the standard prospectively on July 1, 2021. The adoption of this standard resulted in an increase to capitalized software of $45 as of the adoption date and did not have an impact on the consolidated statement of operations and comprehensive loss and consolidated statement of cash flows.</w:t>
      </w:r>
    </w:p>
    <w:p>
      <w:pPr>
        <w:spacing w:after="0" w:line="10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In March 2020, the FASB issued ASU 2020-03, </w:t>
      </w:r>
      <w:r>
        <w:rPr>
          <w:rFonts w:ascii="Arial" w:cs="Arial" w:eastAsia="Arial" w:hAnsi="Arial"/>
          <w:sz w:val="18"/>
          <w:szCs w:val="18"/>
          <w:i w:val="1"/>
          <w:iCs w:val="1"/>
          <w:color w:val="auto"/>
        </w:rPr>
        <w:t>Codification Improvements to Financial Instruments,</w:t>
      </w:r>
      <w:r>
        <w:rPr>
          <w:rFonts w:ascii="Arial" w:cs="Arial" w:eastAsia="Arial" w:hAnsi="Arial"/>
          <w:sz w:val="18"/>
          <w:szCs w:val="18"/>
          <w:color w:val="auto"/>
        </w:rPr>
        <w:t xml:space="preserve"> which amended the disclosure requirements for debt for which the fair value option was elected. The Company adopted the standard on July 1, 2021. The adoption of this standard did not have an impact on the consolidated financial statements other than the required disclosures.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Topic 326: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 (Topic 326)</w:t>
      </w:r>
      <w:r>
        <w:rPr>
          <w:rFonts w:ascii="Arial" w:cs="Arial" w:eastAsia="Arial" w:hAnsi="Arial"/>
          <w:sz w:val="18"/>
          <w:szCs w:val="18"/>
          <w:color w:val="auto"/>
        </w:rPr>
        <w:t>, which requires an entity to utilize a new</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model known as the current expected credit loss (CECL) model to estimate its lifetime “expected credit loss” and record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3" w:name="page184"/>
    <w:bookmarkEnd w:id="18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Business and Significant Accounting Policies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Entities will apply the standard’s provisions as a cumulative effect adjustment to retained earnings as of the beginning of the first reporting period in which the guidance is adopted. The FASB subsequently issued ASU 2018-19, ASU 2019-04, and ASU 2019-10, which clarified the implementation guidance and effective date of Topic 326. Topic 326 is effective for the Company beginning fiscal year 2024. The Company is currently evaluating the impact of the adoption of this standard on the Company’s consolidated financial statements.</w:t>
      </w:r>
    </w:p>
    <w:p>
      <w:pPr>
        <w:spacing w:after="0" w:line="10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Topic 842: Leases (Topic 842)</w:t>
      </w:r>
      <w:r>
        <w:rPr>
          <w:rFonts w:ascii="Arial" w:cs="Arial" w:eastAsia="Arial" w:hAnsi="Arial"/>
          <w:sz w:val="16"/>
          <w:szCs w:val="16"/>
          <w:color w:val="auto"/>
        </w:rPr>
        <w:t xml:space="preserve">, which supersedes the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This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similarly to existing guidance for operating leases today. The Company will be required to recognize and measure leases existing at, or entered into after, the beginning of the period of adoption using a modified retrospective approach, with certain practical expedients available. Under the standard, disclosures are required to meet the objective of enabling users of financial statements to assess the amount, timing, and uncertainty of cash flows arising from leases. The FASB subsequently issued ASU 2018-10, ASU 2018-11, ASU 2019-01, ASU 2019-10, ASU 2020-05, and ASU 2021-05, which clarified the implementation guidance and effective date of Topic 842. The standard is effective for the Company beginning in fiscal year 2023 and early adoption is permitted. The Company is currently evaluating the impact of the adoption of this standard on the Company’s consolidated financial statements.</w:t>
      </w:r>
    </w:p>
    <w:p>
      <w:pPr>
        <w:spacing w:after="0" w:line="100"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which simplifies the accounting for income taxes by eliminating some exceptions</w:t>
      </w:r>
      <w:r>
        <w:rPr>
          <w:rFonts w:ascii="Arial" w:cs="Arial" w:eastAsia="Arial" w:hAnsi="Arial"/>
          <w:sz w:val="16"/>
          <w:szCs w:val="16"/>
          <w:i w:val="1"/>
          <w:iCs w:val="1"/>
          <w:color w:val="auto"/>
        </w:rPr>
        <w:t xml:space="preserve"> </w:t>
      </w:r>
      <w:r>
        <w:rPr>
          <w:rFonts w:ascii="Arial" w:cs="Arial" w:eastAsia="Arial" w:hAnsi="Arial"/>
          <w:sz w:val="16"/>
          <w:szCs w:val="16"/>
          <w:color w:val="auto"/>
        </w:rPr>
        <w:t>to the general approach in ASC 740, Income Taxes in order to reduce cost and complexity of its application. The standard is effective for the Company beginning in fiscal year 2023 and interim periods in the following years. Most amendments within this guidance are required to be applied on a prospective basis, while certain amendments must be applied on a retrospective or modified retrospective basis. The Company is currently evaluating the impact of the adoption of this standard on the Company’s consolidated financial statements.</w:t>
      </w:r>
    </w:p>
    <w:p>
      <w:pPr>
        <w:spacing w:after="0" w:line="99"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(Subtopic 470-20) and Derivatives and Hedging — Contracts in Entity’s Own Equity, </w:t>
      </w:r>
      <w:r>
        <w:rPr>
          <w:rFonts w:ascii="Arial" w:cs="Arial" w:eastAsia="Arial" w:hAnsi="Arial"/>
          <w:sz w:val="16"/>
          <w:szCs w:val="16"/>
          <w:color w:val="auto"/>
        </w:rPr>
        <w:t>which simplifies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convertible debt and convertible preferred stock by removing the 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consolidated financial statements.</w:t>
      </w:r>
    </w:p>
    <w:p>
      <w:pPr>
        <w:spacing w:after="0" w:line="8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 xml:space="preserve">In March 2020 with an update in January 2021, the FASB issued ASU 2020-04, </w:t>
      </w:r>
      <w:r>
        <w:rPr>
          <w:rFonts w:ascii="Arial" w:cs="Arial" w:eastAsia="Arial" w:hAnsi="Arial"/>
          <w:sz w:val="17"/>
          <w:szCs w:val="17"/>
          <w:i w:val="1"/>
          <w:iCs w:val="1"/>
          <w:color w:val="auto"/>
        </w:rPr>
        <w:t>Reference Rate Reform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848): Facilitation of the Effects of Reference Rate Reform on Financial Reporting, </w:t>
      </w:r>
      <w:r>
        <w:rPr>
          <w:rFonts w:ascii="Arial" w:cs="Arial" w:eastAsia="Arial" w:hAnsi="Arial"/>
          <w:sz w:val="17"/>
          <w:szCs w:val="17"/>
          <w:color w:val="auto"/>
        </w:rPr>
        <w:t>and ASU 2021-01,</w:t>
      </w:r>
      <w:r>
        <w:rPr>
          <w:rFonts w:ascii="Arial" w:cs="Arial" w:eastAsia="Arial" w:hAnsi="Arial"/>
          <w:sz w:val="17"/>
          <w:szCs w:val="17"/>
          <w:i w:val="1"/>
          <w:iCs w:val="1"/>
          <w:color w:val="auto"/>
        </w:rPr>
        <w:t xml:space="preserve"> Reference Rate Reform (Topic 848), </w:t>
      </w:r>
      <w:r>
        <w:rPr>
          <w:rFonts w:ascii="Arial" w:cs="Arial" w:eastAsia="Arial" w:hAnsi="Arial"/>
          <w:sz w:val="17"/>
          <w:szCs w:val="17"/>
          <w:color w:val="auto"/>
        </w:rPr>
        <w:t>which provides optional expedients and exceptions for applying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U.S. GAAP to contracts, hedging relationships, and other transactions affected by the discontinuation of the London Interbank Offered Rate (“</w:t>
      </w:r>
      <w:r>
        <w:rPr>
          <w:rFonts w:ascii="Arial" w:cs="Arial" w:eastAsia="Arial" w:hAnsi="Arial"/>
          <w:sz w:val="17"/>
          <w:szCs w:val="17"/>
          <w:b w:val="1"/>
          <w:bCs w:val="1"/>
          <w:color w:val="auto"/>
        </w:rPr>
        <w:t>LIBOR</w:t>
      </w:r>
      <w:r>
        <w:rPr>
          <w:rFonts w:ascii="Arial" w:cs="Arial" w:eastAsia="Arial" w:hAnsi="Arial"/>
          <w:sz w:val="17"/>
          <w:szCs w:val="17"/>
          <w:color w:val="auto"/>
        </w:rPr>
        <w:t>”)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 but does not expect this standard to have a material effect. The Company does not intend to adopt the standard early.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4" w:name="page185"/>
    <w:bookmarkEnd w:id="18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Business and Significant Accounting Policies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 Assets and Contract Liabilities from Contracts with Customers, </w:t>
      </w:r>
      <w:r>
        <w:rPr>
          <w:rFonts w:ascii="Arial" w:cs="Arial" w:eastAsia="Arial" w:hAnsi="Arial"/>
          <w:sz w:val="17"/>
          <w:szCs w:val="17"/>
          <w:color w:val="auto"/>
        </w:rPr>
        <w:t>which requires an acquirer to</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and measure contract assets and contract liabilities acquired in a business combination in accordance with ASC 606. The standard is effective for the Company beginning in fiscal year 2023 and interim periods within that year. The Company is currently evaluating the impact of the adoption of this standard on the Company’s consolidated financial statements.</w:t>
      </w:r>
    </w:p>
    <w:p>
      <w:pPr>
        <w:spacing w:after="0" w:line="174" w:lineRule="exact"/>
        <w:rPr>
          <w:sz w:val="20"/>
          <w:szCs w:val="20"/>
          <w:color w:val="auto"/>
        </w:rPr>
      </w:pPr>
    </w:p>
    <w:p>
      <w:pPr>
        <w:ind w:left="860" w:hanging="406"/>
        <w:spacing w:after="0"/>
        <w:tabs>
          <w:tab w:leader="none" w:pos="8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in the consolidated balance sheets was $516 and $446 as of June 30, 2022, and 2021, respectively.</w:t>
      </w:r>
    </w:p>
    <w:p>
      <w:pPr>
        <w:spacing w:after="0" w:line="125"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12-month period.</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the activity in deferred revenue:</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Deferred</w:t>
            </w:r>
          </w:p>
        </w:tc>
      </w:tr>
      <w:tr>
        <w:trPr>
          <w:trHeight w:val="210"/>
        </w:trPr>
        <w:tc>
          <w:tcPr>
            <w:tcW w:w="5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Revenue</w:t>
            </w:r>
          </w:p>
        </w:tc>
      </w:tr>
      <w:tr>
        <w:trPr>
          <w:trHeight w:val="46"/>
        </w:trPr>
        <w:tc>
          <w:tcPr>
            <w:tcW w:w="5320" w:type="dxa"/>
            <w:vAlign w:val="bottom"/>
            <w:tcBorders>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4"/>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 beginning of year – June 30, 2020</w:t>
            </w:r>
          </w:p>
        </w:tc>
        <w:tc>
          <w:tcPr>
            <w:tcW w:w="1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38,013</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spacing w:after="0"/>
              <w:rPr>
                <w:sz w:val="20"/>
                <w:szCs w:val="20"/>
                <w:color w:val="auto"/>
              </w:rPr>
            </w:pPr>
            <w:r>
              <w:rPr>
                <w:rFonts w:ascii="Arial" w:cs="Arial" w:eastAsia="Arial" w:hAnsi="Arial"/>
                <w:sz w:val="18"/>
                <w:szCs w:val="18"/>
                <w:color w:val="auto"/>
              </w:rPr>
              <w:t>Additions</w:t>
            </w:r>
          </w:p>
        </w:tc>
        <w:tc>
          <w:tcPr>
            <w:tcW w:w="1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2,999</w:t>
            </w:r>
          </w:p>
        </w:tc>
        <w:tc>
          <w:tcPr>
            <w:tcW w:w="140" w:type="dxa"/>
            <w:vAlign w:val="bottom"/>
          </w:tcPr>
          <w:p>
            <w:pPr>
              <w:spacing w:after="0"/>
              <w:rPr>
                <w:sz w:val="21"/>
                <w:szCs w:val="21"/>
                <w:color w:val="auto"/>
              </w:rPr>
            </w:pPr>
          </w:p>
        </w:tc>
      </w:tr>
      <w:tr>
        <w:trPr>
          <w:trHeight w:val="40"/>
        </w:trPr>
        <w:tc>
          <w:tcPr>
            <w:tcW w:w="53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1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(15,389)</w:t>
            </w:r>
          </w:p>
        </w:tc>
      </w:tr>
      <w:tr>
        <w:trPr>
          <w:trHeight w:val="243"/>
        </w:trPr>
        <w:tc>
          <w:tcPr>
            <w:tcW w:w="5320" w:type="dxa"/>
            <w:vAlign w:val="bottom"/>
          </w:tcPr>
          <w:p>
            <w:pPr>
              <w:spacing w:after="0"/>
              <w:rPr>
                <w:sz w:val="20"/>
                <w:szCs w:val="20"/>
                <w:color w:val="auto"/>
              </w:rPr>
            </w:pPr>
            <w:r>
              <w:rPr>
                <w:rFonts w:ascii="Arial" w:cs="Arial" w:eastAsia="Arial" w:hAnsi="Arial"/>
                <w:sz w:val="18"/>
                <w:szCs w:val="18"/>
                <w:color w:val="auto"/>
              </w:rPr>
              <w:t>Deferred revenue, end of period – June 30, 2021</w:t>
            </w:r>
          </w:p>
        </w:tc>
        <w:tc>
          <w:tcPr>
            <w:tcW w:w="1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25,623</w:t>
            </w:r>
          </w:p>
        </w:tc>
        <w:tc>
          <w:tcPr>
            <w:tcW w:w="140" w:type="dxa"/>
            <w:vAlign w:val="bottom"/>
          </w:tcPr>
          <w:p>
            <w:pPr>
              <w:spacing w:after="0"/>
              <w:rPr>
                <w:sz w:val="21"/>
                <w:szCs w:val="21"/>
                <w:color w:val="auto"/>
              </w:rPr>
            </w:pPr>
          </w:p>
        </w:tc>
      </w:tr>
      <w:tr>
        <w:trPr>
          <w:trHeight w:val="40"/>
        </w:trPr>
        <w:tc>
          <w:tcPr>
            <w:tcW w:w="53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Additions</w:t>
            </w:r>
          </w:p>
        </w:tc>
        <w:tc>
          <w:tcPr>
            <w:tcW w:w="1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5320" w:type="dxa"/>
            <w:vAlign w:val="bottom"/>
          </w:tcPr>
          <w:p>
            <w:pPr>
              <w:spacing w:after="0"/>
              <w:rPr>
                <w:sz w:val="20"/>
                <w:szCs w:val="20"/>
                <w:color w:val="auto"/>
              </w:rPr>
            </w:pPr>
            <w:r>
              <w:rPr>
                <w:rFonts w:ascii="Arial" w:cs="Arial" w:eastAsia="Arial" w:hAnsi="Arial"/>
                <w:sz w:val="18"/>
                <w:szCs w:val="18"/>
                <w:color w:val="auto"/>
              </w:rPr>
              <w:t>Revenue recognized</w:t>
            </w:r>
          </w:p>
        </w:tc>
        <w:tc>
          <w:tcPr>
            <w:tcW w:w="1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(19,335)</w:t>
            </w:r>
          </w:p>
        </w:tc>
      </w:tr>
      <w:tr>
        <w:trPr>
          <w:trHeight w:val="27"/>
        </w:trPr>
        <w:tc>
          <w:tcPr>
            <w:tcW w:w="53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end of period – June 30, 2022</w:t>
            </w:r>
          </w:p>
        </w:tc>
        <w:tc>
          <w:tcPr>
            <w:tcW w:w="17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10,769</w:t>
            </w:r>
          </w:p>
        </w:tc>
        <w:tc>
          <w:tcPr>
            <w:tcW w:w="140" w:type="dxa"/>
            <w:vAlign w:val="bottom"/>
            <w:shd w:val="clear" w:color="auto" w:fill="CCEEFF"/>
          </w:tcPr>
          <w:p>
            <w:pPr>
              <w:spacing w:after="0"/>
              <w:rPr>
                <w:sz w:val="21"/>
                <w:szCs w:val="2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As of June 30, 2022, approximately $12,309 of revenue is expected to be recognized from remaining performance obligations for customer contracts. The Company expects to recognize revenue on approximately $12,072 of these remaining performance obligations over the next 12 months, with the balance recognized thereafter.</w:t>
      </w:r>
    </w:p>
    <w:p>
      <w:pPr>
        <w:spacing w:after="0" w:line="119"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On July 29, 2019, the Company entered into an arrangement with Customer A whereby it agreed to provide a $5,000 marketing development payment once the roll out phase was completed, which occurred on June 4, 2020, with the payment coming due on July 4, 2020. This payment is treated as an offset to revenue recognized under the contract over 4 years and interest accrues on the unpaid balance at a rate of 12% per annum. The payment due on July 4, 2020 was not paid by the Company. For the years ended June 30, 2022 and June 30, 2021 the Company had incurred $170 and $634 of interest expense, respectively.</w:t>
      </w:r>
    </w:p>
    <w:p>
      <w:pPr>
        <w:spacing w:after="0" w:line="97"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On September 29, 2021, the Company entered into an agreement with Customer A regarding the payment of a $5,000 marketing development payment and related accrued interest to be made to the customer and $2,000 in handheld services to be provided to the customer under a previous contract. Through the settlement agreement, the Company agreed to provide certain alternative installation and replacement services with a value of $2,000 and cover expenses on behalf of the customer related to a liquid ingress issue resulting from COVID-19 of $3,333. The liquid ingress issue was a result of the Company’s devices failure primarily due to the use of extremely strong commercial disinfectant solutions by the Company’s customers to clean the hardware devices as a mandatory precaution protocol due to COVID-19.</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5" w:name="page186"/>
    <w:bookmarkEnd w:id="18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In return, the customer agreed to reduce the payment to be made from $5,000 to $3,200, waive the related accrued interest of $805 and no longer request a refund on a $2,000 payment it had previously made for handheld services. Of the amounts, $2,879 was accounted for as contra-loss on infrequent product repairs, $2,434 as a reduction to accounts payable for the principal and accrued interest owed, $274 as a reduction to deferred revenue, and $171 as prepaid interest as of and for the fiscal year ended June 30, 2021. Subsequently, $170 interest expense was recognized against the prepaid interest balance, $3,200 was recognized as a reduction to accounts payable for the payment of the outstanding marketing development amount in October 2021 and $1,227 was recognized as revenue relating to the installation and replacement services provided as part of the contract modification as of and for the fiscal year ended June 30, 2022. The Company will continue to offset revenue recognized based on the original $5,000 marketing development fund.</w:t>
      </w:r>
    </w:p>
    <w:p>
      <w:pPr>
        <w:spacing w:after="0" w:line="87"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On October 29, 2021, the Company entered into an arrangement with a customer whereby it issued a warrant to purchase 404,961 shares of non-voting common stock. Refer to Note 11 for further details. The fair value of the warrant is treated as a reduction to the transaction price of the customer contract and will be recorded as contra-revenue. Contra-revenue recognized related to the warrant was not material for the fiscal year 2022.</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No single country other than the United States represented 10% or more of the Company’s revenue during the years ended June 30, 2022 and 2021.</w:t>
      </w:r>
    </w:p>
    <w:p>
      <w:pPr>
        <w:spacing w:after="0" w:line="10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For the years ended June 30, 2022 and 2021, $2,316 and $3,540 of revenue were from leasing arrangements.</w:t>
      </w:r>
    </w:p>
    <w:p>
      <w:pPr>
        <w:spacing w:after="0" w:line="166" w:lineRule="exact"/>
        <w:rPr>
          <w:sz w:val="20"/>
          <w:szCs w:val="20"/>
          <w:color w:val="auto"/>
        </w:rPr>
      </w:pPr>
    </w:p>
    <w:p>
      <w:pPr>
        <w:ind w:left="860" w:hanging="406"/>
        <w:spacing w:after="0"/>
        <w:tabs>
          <w:tab w:leader="none" w:pos="8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Fair value accounting is applied for all financial assets and liabilities that are recognized or disclosed at fair value in the financial statements on a recurring basis.</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Company elected the fair value option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consolidated statement of operations and comprehensive loss.</w:t>
      </w:r>
    </w:p>
    <w:p>
      <w:pPr>
        <w:spacing w:after="0" w:line="120"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following table provides a summary of all financial instruments measured at fair value on a recurring basis as of June 30, 2022 and 2021:</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5"/>
          </w:tcPr>
          <w:p>
            <w:pPr>
              <w:jc w:val="right"/>
              <w:ind w:right="572"/>
              <w:spacing w:after="0"/>
              <w:rPr>
                <w:sz w:val="20"/>
                <w:szCs w:val="20"/>
                <w:color w:val="auto"/>
              </w:rPr>
            </w:pPr>
            <w:r>
              <w:rPr>
                <w:rFonts w:ascii="Arial" w:cs="Arial" w:eastAsia="Arial" w:hAnsi="Arial"/>
                <w:sz w:val="16"/>
                <w:szCs w:val="16"/>
                <w:b w:val="1"/>
                <w:bCs w:val="1"/>
                <w:color w:val="auto"/>
              </w:rPr>
              <w:t>June 30, 2022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7"/>
        </w:trPr>
        <w:tc>
          <w:tcPr>
            <w:tcW w:w="312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0"/>
        </w:trPr>
        <w:tc>
          <w:tcPr>
            <w:tcW w:w="3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32"/>
              <w:spacing w:after="0"/>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47"/>
        </w:trPr>
        <w:tc>
          <w:tcPr>
            <w:tcW w:w="31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57"/>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2"/>
        </w:trPr>
        <w:tc>
          <w:tcPr>
            <w:tcW w:w="3120" w:type="dxa"/>
            <w:vAlign w:val="bottom"/>
          </w:tcPr>
          <w:p>
            <w:pPr>
              <w:ind w:left="180"/>
              <w:spacing w:after="0" w:line="201" w:lineRule="exact"/>
              <w:rPr>
                <w:sz w:val="20"/>
                <w:szCs w:val="20"/>
                <w:color w:val="auto"/>
              </w:rPr>
            </w:pPr>
            <w:r>
              <w:rPr>
                <w:rFonts w:ascii="Arial" w:cs="Arial" w:eastAsia="Arial" w:hAnsi="Arial"/>
                <w:sz w:val="18"/>
                <w:szCs w:val="18"/>
                <w:color w:val="auto"/>
              </w:rPr>
              <w:t>Convertible promissory notes and</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embedded warrants</w:t>
            </w:r>
          </w:p>
        </w:tc>
        <w:tc>
          <w:tcPr>
            <w:tcW w:w="880" w:type="dxa"/>
            <w:vAlign w:val="bottom"/>
          </w:tcPr>
          <w:p>
            <w:pPr>
              <w:jc w:val="right"/>
              <w:ind w:right="724"/>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3"/>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89,663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89,663</w:t>
            </w:r>
          </w:p>
        </w:tc>
      </w:tr>
      <w:tr>
        <w:trPr>
          <w:trHeight w:val="40"/>
        </w:trPr>
        <w:tc>
          <w:tcPr>
            <w:tcW w:w="3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ind w:right="724"/>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3"/>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93,812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93,812</w:t>
            </w: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00"/>
        </w:trPr>
        <w:tc>
          <w:tcPr>
            <w:tcW w:w="3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5"/>
          </w:tcPr>
          <w:p>
            <w:pPr>
              <w:jc w:val="right"/>
              <w:ind w:right="572"/>
              <w:spacing w:after="0"/>
              <w:rPr>
                <w:sz w:val="20"/>
                <w:szCs w:val="20"/>
                <w:color w:val="auto"/>
              </w:rPr>
            </w:pPr>
            <w:r>
              <w:rPr>
                <w:rFonts w:ascii="Arial" w:cs="Arial" w:eastAsia="Arial" w:hAnsi="Arial"/>
                <w:sz w:val="16"/>
                <w:szCs w:val="16"/>
                <w:b w:val="1"/>
                <w:bCs w:val="1"/>
                <w:color w:val="auto"/>
              </w:rPr>
              <w:t>June 30, 2021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6"/>
        </w:trPr>
        <w:tc>
          <w:tcPr>
            <w:tcW w:w="312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0"/>
        </w:trPr>
        <w:tc>
          <w:tcPr>
            <w:tcW w:w="3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32"/>
              <w:spacing w:after="0"/>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47"/>
        </w:trPr>
        <w:tc>
          <w:tcPr>
            <w:tcW w:w="31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57"/>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2"/>
        </w:trPr>
        <w:tc>
          <w:tcPr>
            <w:tcW w:w="3120" w:type="dxa"/>
            <w:vAlign w:val="bottom"/>
          </w:tcPr>
          <w:p>
            <w:pPr>
              <w:ind w:left="180"/>
              <w:spacing w:after="0" w:line="201" w:lineRule="exact"/>
              <w:rPr>
                <w:sz w:val="20"/>
                <w:szCs w:val="20"/>
                <w:color w:val="auto"/>
              </w:rPr>
            </w:pPr>
            <w:r>
              <w:rPr>
                <w:rFonts w:ascii="Arial" w:cs="Arial" w:eastAsia="Arial" w:hAnsi="Arial"/>
                <w:sz w:val="18"/>
                <w:szCs w:val="18"/>
                <w:color w:val="auto"/>
              </w:rPr>
              <w:t>Convertible promissory notes and</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embedded warrants</w:t>
            </w:r>
          </w:p>
        </w:tc>
        <w:tc>
          <w:tcPr>
            <w:tcW w:w="880" w:type="dxa"/>
            <w:vAlign w:val="bottom"/>
          </w:tcPr>
          <w:p>
            <w:pPr>
              <w:jc w:val="right"/>
              <w:ind w:right="724"/>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3"/>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62,581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62,581</w:t>
            </w:r>
          </w:p>
        </w:tc>
      </w:tr>
      <w:tr>
        <w:trPr>
          <w:trHeight w:val="40"/>
        </w:trPr>
        <w:tc>
          <w:tcPr>
            <w:tcW w:w="3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44"/>
        </w:trPr>
        <w:tc>
          <w:tcPr>
            <w:tcW w:w="312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ind w:right="724"/>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3"/>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64,015</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64,015</w:t>
            </w: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spacing w:after="0"/>
        <w:rPr>
          <w:sz w:val="20"/>
          <w:szCs w:val="20"/>
          <w:color w:val="auto"/>
        </w:rPr>
      </w:pPr>
      <w:r>
        <w:rPr>
          <w:rFonts w:ascii="Arial" w:cs="Arial" w:eastAsia="Arial" w:hAnsi="Arial"/>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6" w:name="page187"/>
    <w:bookmarkEnd w:id="18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The fair value of the convertible notes is determined based on “Level 3” inputs, due to a lack of market data over inputs such as the probability weighting of the various scenarios that can impact the settlement.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financing of private preferred stock, conversion upon a next financing in a public liquidity event, conversion upon a change in control, conversion upon maturity and default. A public liquidity event is defined as the issuance and sale of shares in an initial public offering or a deSPAC. As part of the convertible promissory notes and embedded warrants valuation at each reporting date, the Company determined that credit risk associated with the convertible promissory notes and embedded warrants was immaterial.</w:t>
      </w:r>
    </w:p>
    <w:p>
      <w:pPr>
        <w:spacing w:after="0" w:line="87"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Company estimated the fair value of the convertible promissory notes, embedded warrants and accrued interest using the following weighted average assumptions: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gridSpan w:val="7"/>
          </w:tcPr>
          <w:p>
            <w:pPr>
              <w:jc w:val="center"/>
              <w:ind w:right="20"/>
              <w:spacing w:after="0"/>
              <w:rPr>
                <w:sz w:val="20"/>
                <w:szCs w:val="20"/>
                <w:color w:val="auto"/>
              </w:rPr>
            </w:pPr>
            <w:r>
              <w:rPr>
                <w:rFonts w:ascii="Arial" w:cs="Arial" w:eastAsia="Arial" w:hAnsi="Arial"/>
                <w:sz w:val="16"/>
                <w:szCs w:val="16"/>
                <w:b w:val="1"/>
                <w:bCs w:val="1"/>
                <w:color w:val="auto"/>
                <w:w w:val="90"/>
              </w:rPr>
              <w:t>As of June 30, 2022</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6"/>
        </w:trPr>
        <w:tc>
          <w:tcPr>
            <w:tcW w:w="28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182"/>
        </w:trPr>
        <w:tc>
          <w:tcPr>
            <w:tcW w:w="2800" w:type="dxa"/>
            <w:vAlign w:val="bottom"/>
          </w:tcPr>
          <w:p>
            <w:pPr>
              <w:spacing w:after="0"/>
              <w:rPr>
                <w:sz w:val="15"/>
                <w:szCs w:val="15"/>
                <w:color w:val="auto"/>
              </w:rPr>
            </w:pPr>
          </w:p>
        </w:tc>
        <w:tc>
          <w:tcPr>
            <w:tcW w:w="1000" w:type="dxa"/>
            <w:vAlign w:val="bottom"/>
            <w:gridSpan w:val="2"/>
          </w:tcPr>
          <w:p>
            <w:pPr>
              <w:jc w:val="center"/>
              <w:spacing w:after="0" w:line="182" w:lineRule="exact"/>
              <w:rPr>
                <w:sz w:val="20"/>
                <w:szCs w:val="20"/>
                <w:color w:val="auto"/>
              </w:rPr>
            </w:pPr>
            <w:r>
              <w:rPr>
                <w:rFonts w:ascii="Arial" w:cs="Arial" w:eastAsia="Arial" w:hAnsi="Arial"/>
                <w:sz w:val="16"/>
                <w:szCs w:val="16"/>
                <w:b w:val="1"/>
                <w:bCs w:val="1"/>
                <w:color w:val="auto"/>
                <w:w w:val="92"/>
              </w:rPr>
              <w:t>Next</w:t>
            </w:r>
          </w:p>
        </w:tc>
        <w:tc>
          <w:tcPr>
            <w:tcW w:w="80" w:type="dxa"/>
            <w:vAlign w:val="bottom"/>
          </w:tcPr>
          <w:p>
            <w:pPr>
              <w:spacing w:after="0"/>
              <w:rPr>
                <w:sz w:val="15"/>
                <w:szCs w:val="15"/>
                <w:color w:val="auto"/>
              </w:rPr>
            </w:pPr>
          </w:p>
        </w:tc>
        <w:tc>
          <w:tcPr>
            <w:tcW w:w="1000" w:type="dxa"/>
            <w:vAlign w:val="bottom"/>
            <w:gridSpan w:val="2"/>
          </w:tcPr>
          <w:p>
            <w:pPr>
              <w:jc w:val="center"/>
              <w:spacing w:after="0" w:line="182" w:lineRule="exact"/>
              <w:rPr>
                <w:sz w:val="20"/>
                <w:szCs w:val="20"/>
                <w:color w:val="auto"/>
              </w:rPr>
            </w:pPr>
            <w:r>
              <w:rPr>
                <w:rFonts w:ascii="Arial" w:cs="Arial" w:eastAsia="Arial" w:hAnsi="Arial"/>
                <w:sz w:val="16"/>
                <w:szCs w:val="16"/>
                <w:b w:val="1"/>
                <w:bCs w:val="1"/>
                <w:color w:val="auto"/>
                <w:w w:val="92"/>
              </w:rPr>
              <w:t>Next</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3"/>
        </w:trPr>
        <w:tc>
          <w:tcPr>
            <w:tcW w:w="2800" w:type="dxa"/>
            <w:vAlign w:val="bottom"/>
          </w:tcPr>
          <w:p>
            <w:pPr>
              <w:spacing w:after="0"/>
              <w:rPr>
                <w:sz w:val="17"/>
                <w:szCs w:val="17"/>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Financing –</w:t>
            </w:r>
          </w:p>
        </w:tc>
        <w:tc>
          <w:tcPr>
            <w:tcW w:w="8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Financing –</w:t>
            </w:r>
          </w:p>
        </w:tc>
        <w:tc>
          <w:tcPr>
            <w:tcW w:w="100" w:type="dxa"/>
            <w:vAlign w:val="bottom"/>
          </w:tcPr>
          <w:p>
            <w:pPr>
              <w:spacing w:after="0"/>
              <w:rPr>
                <w:sz w:val="17"/>
                <w:szCs w:val="17"/>
                <w:color w:val="auto"/>
              </w:rPr>
            </w:pPr>
          </w:p>
        </w:tc>
        <w:tc>
          <w:tcPr>
            <w:tcW w:w="116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0"/>
              </w:rPr>
              <w:t>Change in</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Maturity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280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3"/>
              </w:rPr>
              <w:t>Private</w:t>
            </w:r>
          </w:p>
        </w:tc>
        <w:tc>
          <w:tcPr>
            <w:tcW w:w="8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Public</w:t>
            </w:r>
          </w:p>
        </w:tc>
        <w:tc>
          <w:tcPr>
            <w:tcW w:w="100" w:type="dxa"/>
            <w:vAlign w:val="bottom"/>
          </w:tcPr>
          <w:p>
            <w:pPr>
              <w:spacing w:after="0"/>
              <w:rPr>
                <w:sz w:val="18"/>
                <w:szCs w:val="18"/>
                <w:color w:val="auto"/>
              </w:rPr>
            </w:pPr>
          </w:p>
        </w:tc>
        <w:tc>
          <w:tcPr>
            <w:tcW w:w="116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4"/>
              </w:rPr>
              <w:t>Control</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Date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ind w:right="173"/>
              <w:spacing w:after="0"/>
              <w:rPr>
                <w:sz w:val="20"/>
                <w:szCs w:val="20"/>
                <w:color w:val="auto"/>
              </w:rPr>
            </w:pPr>
            <w:r>
              <w:rPr>
                <w:rFonts w:ascii="Arial" w:cs="Arial" w:eastAsia="Arial" w:hAnsi="Arial"/>
                <w:sz w:val="16"/>
                <w:szCs w:val="16"/>
                <w:b w:val="1"/>
                <w:bCs w:val="1"/>
                <w:color w:val="auto"/>
              </w:rPr>
              <w:t>Default</w:t>
            </w:r>
          </w:p>
        </w:tc>
      </w:tr>
      <w:tr>
        <w:trPr>
          <w:trHeight w:val="46"/>
        </w:trPr>
        <w:tc>
          <w:tcPr>
            <w:tcW w:w="28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57"/>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Probability of conversion</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8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tcPr>
          <w:p>
            <w:pPr>
              <w:jc w:val="right"/>
              <w:ind w:right="115"/>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1"/>
                <w:szCs w:val="21"/>
                <w:color w:val="auto"/>
              </w:rPr>
            </w:pPr>
          </w:p>
        </w:tc>
        <w:tc>
          <w:tcPr>
            <w:tcW w:w="980" w:type="dxa"/>
            <w:vAlign w:val="bottom"/>
            <w:gridSpan w:val="2"/>
          </w:tcPr>
          <w:p>
            <w:pPr>
              <w:jc w:val="right"/>
              <w:ind w:right="19"/>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2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Discount rate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64"/>
        </w:trPr>
        <w:tc>
          <w:tcPr>
            <w:tcW w:w="2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92"/>
              </w:rPr>
              <w:t>Next</w:t>
            </w:r>
          </w:p>
        </w:tc>
        <w:tc>
          <w:tcPr>
            <w:tcW w:w="100" w:type="dxa"/>
            <w:vAlign w:val="bottom"/>
          </w:tcPr>
          <w:p>
            <w:pPr>
              <w:spacing w:after="0"/>
              <w:rPr>
                <w:sz w:val="24"/>
                <w:szCs w:val="24"/>
                <w:color w:val="auto"/>
              </w:rPr>
            </w:pPr>
          </w:p>
        </w:tc>
        <w:tc>
          <w:tcPr>
            <w:tcW w:w="11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Next</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2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3"/>
          </w:tcPr>
          <w:p>
            <w:pPr>
              <w:jc w:val="center"/>
              <w:ind w:right="39"/>
              <w:spacing w:after="0"/>
              <w:rPr>
                <w:sz w:val="20"/>
                <w:szCs w:val="20"/>
                <w:color w:val="auto"/>
              </w:rPr>
            </w:pPr>
            <w:r>
              <w:rPr>
                <w:rFonts w:ascii="Arial" w:cs="Arial" w:eastAsia="Arial" w:hAnsi="Arial"/>
                <w:sz w:val="16"/>
                <w:szCs w:val="16"/>
                <w:b w:val="1"/>
                <w:bCs w:val="1"/>
                <w:color w:val="auto"/>
                <w:w w:val="89"/>
              </w:rPr>
              <w:t>Financing –</w:t>
            </w:r>
          </w:p>
        </w:tc>
        <w:tc>
          <w:tcPr>
            <w:tcW w:w="126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w w:val="89"/>
              </w:rPr>
              <w:t>Financing –</w:t>
            </w:r>
          </w:p>
        </w:tc>
        <w:tc>
          <w:tcPr>
            <w:tcW w:w="8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Maturity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2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97"/>
              </w:rPr>
              <w:t>Private</w:t>
            </w:r>
          </w:p>
        </w:tc>
        <w:tc>
          <w:tcPr>
            <w:tcW w:w="100" w:type="dxa"/>
            <w:vAlign w:val="bottom"/>
          </w:tcPr>
          <w:p>
            <w:pPr>
              <w:spacing w:after="0"/>
              <w:rPr>
                <w:sz w:val="18"/>
                <w:szCs w:val="18"/>
                <w:color w:val="auto"/>
              </w:rPr>
            </w:pPr>
          </w:p>
        </w:tc>
        <w:tc>
          <w:tcPr>
            <w:tcW w:w="11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Public</w:t>
            </w:r>
          </w:p>
        </w:tc>
        <w:tc>
          <w:tcPr>
            <w:tcW w:w="8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Date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ind w:right="193"/>
              <w:spacing w:after="0"/>
              <w:rPr>
                <w:sz w:val="20"/>
                <w:szCs w:val="20"/>
                <w:color w:val="auto"/>
              </w:rPr>
            </w:pPr>
            <w:r>
              <w:rPr>
                <w:rFonts w:ascii="Arial" w:cs="Arial" w:eastAsia="Arial" w:hAnsi="Arial"/>
                <w:sz w:val="16"/>
                <w:szCs w:val="16"/>
                <w:b w:val="1"/>
                <w:bCs w:val="1"/>
                <w:color w:val="auto"/>
              </w:rPr>
              <w:t>Default</w:t>
            </w:r>
          </w:p>
        </w:tc>
      </w:tr>
      <w:tr>
        <w:trPr>
          <w:trHeight w:val="47"/>
        </w:trPr>
        <w:tc>
          <w:tcPr>
            <w:tcW w:w="280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r>
      <w:tr>
        <w:trPr>
          <w:trHeight w:val="243"/>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Probability of conversion</w:t>
            </w: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28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2"/>
          </w:tcPr>
          <w:p>
            <w:pPr>
              <w:jc w:val="right"/>
              <w:ind w:right="139"/>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40"/>
        </w:trPr>
        <w:tc>
          <w:tcPr>
            <w:tcW w:w="2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40"/>
        </w:trPr>
        <w:tc>
          <w:tcPr>
            <w:tcW w:w="28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fair value of the warrants are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right"/>
              <w:ind w:right="692"/>
              <w:spacing w:after="0"/>
              <w:rPr>
                <w:sz w:val="20"/>
                <w:szCs w:val="20"/>
                <w:color w:val="auto"/>
              </w:rPr>
            </w:pPr>
            <w:r>
              <w:rPr>
                <w:rFonts w:ascii="Arial" w:cs="Arial" w:eastAsia="Arial" w:hAnsi="Arial"/>
                <w:sz w:val="16"/>
                <w:szCs w:val="16"/>
                <w:b w:val="1"/>
                <w:bCs w:val="1"/>
                <w:color w:val="auto"/>
              </w:rPr>
              <w:t>As of June 30,</w:t>
            </w:r>
          </w:p>
        </w:tc>
      </w:tr>
      <w:tr>
        <w:trPr>
          <w:trHeight w:val="47"/>
        </w:trPr>
        <w:tc>
          <w:tcPr>
            <w:tcW w:w="28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17"/>
        </w:trPr>
        <w:tc>
          <w:tcPr>
            <w:tcW w:w="28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7"/>
        </w:trPr>
        <w:tc>
          <w:tcPr>
            <w:tcW w:w="28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57"/>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5.93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6.75</w:t>
            </w:r>
          </w:p>
        </w:tc>
      </w:tr>
      <w:tr>
        <w:trPr>
          <w:trHeight w:val="40"/>
        </w:trPr>
        <w:tc>
          <w:tcPr>
            <w:tcW w:w="28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7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65.72%</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49.20%</w:t>
            </w: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40"/>
        </w:trPr>
        <w:tc>
          <w:tcPr>
            <w:tcW w:w="28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3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6.06</w:t>
            </w: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5.96</w:t>
            </w:r>
          </w:p>
        </w:tc>
      </w:tr>
      <w:tr>
        <w:trPr>
          <w:trHeight w:val="391"/>
        </w:trPr>
        <w:tc>
          <w:tcPr>
            <w:tcW w:w="28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jc w:val="right"/>
              <w:ind w:right="1620"/>
              <w:spacing w:after="0"/>
              <w:rPr>
                <w:sz w:val="20"/>
                <w:szCs w:val="20"/>
                <w:color w:val="auto"/>
              </w:rPr>
            </w:pPr>
            <w:r>
              <w:rPr>
                <w:rFonts w:ascii="Arial" w:cs="Arial" w:eastAsia="Arial" w:hAnsi="Arial"/>
                <w:sz w:val="18"/>
                <w:szCs w:val="18"/>
                <w:color w:val="auto"/>
              </w:rPr>
              <w:t>F-63</w:t>
            </w: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87" w:name="page188"/>
    <w:bookmarkEnd w:id="18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The following table sets forth a summary of the difference between the carrying amount and the fair value of Level 3 convertible promissory notes and embedded warrants for which the fair value option was elected:</w:t>
      </w:r>
    </w:p>
    <w:p>
      <w:pPr>
        <w:spacing w:after="0" w:line="1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w w:val="92"/>
              </w:rPr>
              <w:t>June 30, 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6"/>
        </w:trPr>
        <w:tc>
          <w:tcPr>
            <w:tcW w:w="43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182"/>
        </w:trPr>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36"/>
              <w:spacing w:after="0" w:line="182" w:lineRule="exact"/>
              <w:rPr>
                <w:sz w:val="20"/>
                <w:szCs w:val="20"/>
                <w:color w:val="auto"/>
              </w:rPr>
            </w:pPr>
            <w:r>
              <w:rPr>
                <w:rFonts w:ascii="Arial" w:cs="Arial" w:eastAsia="Arial" w:hAnsi="Arial"/>
                <w:sz w:val="16"/>
                <w:szCs w:val="16"/>
                <w:b w:val="1"/>
                <w:bCs w:val="1"/>
                <w:color w:val="auto"/>
                <w:w w:val="95"/>
              </w:rPr>
              <w:t>Amount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3"/>
        </w:trPr>
        <w:tc>
          <w:tcPr>
            <w:tcW w:w="4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95"/>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6"/>
              <w:spacing w:after="0"/>
              <w:rPr>
                <w:sz w:val="20"/>
                <w:szCs w:val="20"/>
                <w:color w:val="auto"/>
              </w:rPr>
            </w:pPr>
            <w:r>
              <w:rPr>
                <w:rFonts w:ascii="Arial" w:cs="Arial" w:eastAsia="Arial" w:hAnsi="Arial"/>
                <w:sz w:val="16"/>
                <w:szCs w:val="16"/>
                <w:b w:val="1"/>
                <w:bCs w:val="1"/>
                <w:color w:val="auto"/>
                <w:w w:val="92"/>
              </w:rPr>
              <w:t>Charged to</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ind w:right="175"/>
              <w:spacing w:after="0"/>
              <w:rPr>
                <w:sz w:val="20"/>
                <w:szCs w:val="20"/>
                <w:color w:val="auto"/>
              </w:rPr>
            </w:pPr>
            <w:r>
              <w:rPr>
                <w:rFonts w:ascii="Arial" w:cs="Arial" w:eastAsia="Arial" w:hAnsi="Arial"/>
                <w:sz w:val="16"/>
                <w:szCs w:val="16"/>
                <w:b w:val="1"/>
                <w:bCs w:val="1"/>
                <w:color w:val="auto"/>
              </w:rPr>
              <w:t>Fair</w:t>
            </w:r>
          </w:p>
        </w:tc>
      </w:tr>
      <w:tr>
        <w:trPr>
          <w:trHeight w:val="210"/>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5"/>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6"/>
              <w:spacing w:after="0"/>
              <w:rPr>
                <w:sz w:val="20"/>
                <w:szCs w:val="20"/>
                <w:color w:val="auto"/>
              </w:rPr>
            </w:pPr>
            <w:r>
              <w:rPr>
                <w:rFonts w:ascii="Arial" w:cs="Arial" w:eastAsia="Arial" w:hAnsi="Arial"/>
                <w:sz w:val="16"/>
                <w:szCs w:val="16"/>
                <w:b w:val="1"/>
                <w:bCs w:val="1"/>
                <w:color w:val="auto"/>
                <w:w w:val="90"/>
              </w:rPr>
              <w:t>Earnings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ind w:right="175"/>
              <w:spacing w:after="0"/>
              <w:rPr>
                <w:sz w:val="20"/>
                <w:szCs w:val="20"/>
                <w:color w:val="auto"/>
              </w:rPr>
            </w:pPr>
            <w:r>
              <w:rPr>
                <w:rFonts w:ascii="Arial" w:cs="Arial" w:eastAsia="Arial" w:hAnsi="Arial"/>
                <w:sz w:val="16"/>
                <w:szCs w:val="16"/>
                <w:b w:val="1"/>
                <w:bCs w:val="1"/>
                <w:color w:val="auto"/>
                <w:w w:val="88"/>
              </w:rPr>
              <w:t>Value</w:t>
            </w:r>
          </w:p>
        </w:tc>
      </w:tr>
      <w:tr>
        <w:trPr>
          <w:trHeight w:val="47"/>
        </w:trPr>
        <w:tc>
          <w:tcPr>
            <w:tcW w:w="43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promissory notes and embedded warrants</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51,816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37,847</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89,663</w:t>
            </w:r>
          </w:p>
        </w:tc>
      </w:tr>
      <w:tr>
        <w:trPr>
          <w:trHeight w:val="20"/>
        </w:trPr>
        <w:tc>
          <w:tcPr>
            <w:tcW w:w="43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51,816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37,847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89,663</w:t>
            </w:r>
          </w:p>
        </w:tc>
      </w:tr>
      <w:tr>
        <w:trPr>
          <w:trHeight w:val="20"/>
        </w:trPr>
        <w:tc>
          <w:tcPr>
            <w:tcW w:w="4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400"/>
        </w:trPr>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w w:val="92"/>
              </w:rPr>
              <w:t>June 30, 2021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6"/>
        </w:trPr>
        <w:tc>
          <w:tcPr>
            <w:tcW w:w="43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182"/>
        </w:trPr>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36"/>
              <w:spacing w:after="0" w:line="182" w:lineRule="exact"/>
              <w:rPr>
                <w:sz w:val="20"/>
                <w:szCs w:val="20"/>
                <w:color w:val="auto"/>
              </w:rPr>
            </w:pPr>
            <w:r>
              <w:rPr>
                <w:rFonts w:ascii="Arial" w:cs="Arial" w:eastAsia="Arial" w:hAnsi="Arial"/>
                <w:sz w:val="16"/>
                <w:szCs w:val="16"/>
                <w:b w:val="1"/>
                <w:bCs w:val="1"/>
                <w:color w:val="auto"/>
                <w:w w:val="95"/>
              </w:rPr>
              <w:t>Amount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3"/>
        </w:trPr>
        <w:tc>
          <w:tcPr>
            <w:tcW w:w="4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95"/>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6"/>
              <w:spacing w:after="0"/>
              <w:rPr>
                <w:sz w:val="20"/>
                <w:szCs w:val="20"/>
                <w:color w:val="auto"/>
              </w:rPr>
            </w:pPr>
            <w:r>
              <w:rPr>
                <w:rFonts w:ascii="Arial" w:cs="Arial" w:eastAsia="Arial" w:hAnsi="Arial"/>
                <w:sz w:val="16"/>
                <w:szCs w:val="16"/>
                <w:b w:val="1"/>
                <w:bCs w:val="1"/>
                <w:color w:val="auto"/>
                <w:w w:val="92"/>
              </w:rPr>
              <w:t>Charged to</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ind w:right="175"/>
              <w:spacing w:after="0"/>
              <w:rPr>
                <w:sz w:val="20"/>
                <w:szCs w:val="20"/>
                <w:color w:val="auto"/>
              </w:rPr>
            </w:pPr>
            <w:r>
              <w:rPr>
                <w:rFonts w:ascii="Arial" w:cs="Arial" w:eastAsia="Arial" w:hAnsi="Arial"/>
                <w:sz w:val="16"/>
                <w:szCs w:val="16"/>
                <w:b w:val="1"/>
                <w:bCs w:val="1"/>
                <w:color w:val="auto"/>
              </w:rPr>
              <w:t>Fair</w:t>
            </w:r>
          </w:p>
        </w:tc>
      </w:tr>
      <w:tr>
        <w:trPr>
          <w:trHeight w:val="210"/>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5"/>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6"/>
              <w:spacing w:after="0"/>
              <w:rPr>
                <w:sz w:val="20"/>
                <w:szCs w:val="20"/>
                <w:color w:val="auto"/>
              </w:rPr>
            </w:pPr>
            <w:r>
              <w:rPr>
                <w:rFonts w:ascii="Arial" w:cs="Arial" w:eastAsia="Arial" w:hAnsi="Arial"/>
                <w:sz w:val="16"/>
                <w:szCs w:val="16"/>
                <w:b w:val="1"/>
                <w:bCs w:val="1"/>
                <w:color w:val="auto"/>
                <w:w w:val="90"/>
              </w:rPr>
              <w:t>Earnings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ind w:right="175"/>
              <w:spacing w:after="0"/>
              <w:rPr>
                <w:sz w:val="20"/>
                <w:szCs w:val="20"/>
                <w:color w:val="auto"/>
              </w:rPr>
            </w:pPr>
            <w:r>
              <w:rPr>
                <w:rFonts w:ascii="Arial" w:cs="Arial" w:eastAsia="Arial" w:hAnsi="Arial"/>
                <w:sz w:val="16"/>
                <w:szCs w:val="16"/>
                <w:b w:val="1"/>
                <w:bCs w:val="1"/>
                <w:color w:val="auto"/>
                <w:w w:val="88"/>
              </w:rPr>
              <w:t>Value</w:t>
            </w:r>
          </w:p>
        </w:tc>
      </w:tr>
      <w:tr>
        <w:trPr>
          <w:trHeight w:val="46"/>
        </w:trPr>
        <w:tc>
          <w:tcPr>
            <w:tcW w:w="43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promissory notes and embedded warrants</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43,666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18,915</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62,581</w:t>
            </w:r>
          </w:p>
        </w:tc>
      </w:tr>
      <w:tr>
        <w:trPr>
          <w:trHeight w:val="20"/>
        </w:trPr>
        <w:tc>
          <w:tcPr>
            <w:tcW w:w="43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44"/>
        </w:trPr>
        <w:tc>
          <w:tcPr>
            <w:tcW w:w="43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43,666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18,915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62,581</w:t>
            </w:r>
          </w:p>
        </w:tc>
      </w:tr>
      <w:tr>
        <w:trPr>
          <w:trHeight w:val="20"/>
        </w:trPr>
        <w:tc>
          <w:tcPr>
            <w:tcW w:w="4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a summary of changes in the fair value of Level 3 warrant liabilities and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 convertible promissory notes and embedded warrants for the years ended June 30, 2022 and 2021:</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3"/>
              <w:spacing w:after="0"/>
              <w:rPr>
                <w:sz w:val="20"/>
                <w:szCs w:val="20"/>
                <w:color w:val="auto"/>
              </w:rPr>
            </w:pPr>
            <w:r>
              <w:rPr>
                <w:rFonts w:ascii="Arial" w:cs="Arial" w:eastAsia="Arial" w:hAnsi="Arial"/>
                <w:sz w:val="16"/>
                <w:szCs w:val="16"/>
                <w:b w:val="1"/>
                <w:bCs w:val="1"/>
                <w:color w:val="auto"/>
                <w:w w:val="93"/>
              </w:rPr>
              <w:t>Convertible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Promissory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3"/>
              <w:spacing w:after="0"/>
              <w:rPr>
                <w:sz w:val="20"/>
                <w:szCs w:val="20"/>
                <w:color w:val="auto"/>
              </w:rPr>
            </w:pPr>
            <w:r>
              <w:rPr>
                <w:rFonts w:ascii="Arial" w:cs="Arial" w:eastAsia="Arial" w:hAnsi="Arial"/>
                <w:sz w:val="16"/>
                <w:szCs w:val="16"/>
                <w:b w:val="1"/>
                <w:bCs w:val="1"/>
                <w:color w:val="auto"/>
                <w:w w:val="90"/>
              </w:rPr>
              <w:t>Notes and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3"/>
              <w:spacing w:after="0"/>
              <w:rPr>
                <w:sz w:val="20"/>
                <w:szCs w:val="20"/>
                <w:color w:val="auto"/>
              </w:rPr>
            </w:pPr>
            <w:r>
              <w:rPr>
                <w:rFonts w:ascii="Arial" w:cs="Arial" w:eastAsia="Arial" w:hAnsi="Arial"/>
                <w:sz w:val="16"/>
                <w:szCs w:val="16"/>
                <w:b w:val="1"/>
                <w:bCs w:val="1"/>
                <w:color w:val="auto"/>
                <w:w w:val="90"/>
              </w:rPr>
              <w:t>Embedded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32"/>
              <w:spacing w:after="0"/>
              <w:rPr>
                <w:sz w:val="20"/>
                <w:szCs w:val="20"/>
                <w:color w:val="auto"/>
              </w:rPr>
            </w:pPr>
            <w:r>
              <w:rPr>
                <w:rFonts w:ascii="Arial" w:cs="Arial" w:eastAsia="Arial" w:hAnsi="Arial"/>
                <w:sz w:val="16"/>
                <w:szCs w:val="16"/>
                <w:b w:val="1"/>
                <w:bCs w:val="1"/>
                <w:color w:val="auto"/>
              </w:rPr>
              <w:t>Warrant</w:t>
            </w:r>
          </w:p>
        </w:tc>
      </w:tr>
      <w:tr>
        <w:trPr>
          <w:trHeight w:val="210"/>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3"/>
              <w:spacing w:after="0"/>
              <w:rPr>
                <w:sz w:val="20"/>
                <w:szCs w:val="20"/>
                <w:color w:val="auto"/>
              </w:rPr>
            </w:pPr>
            <w:r>
              <w:rPr>
                <w:rFonts w:ascii="Arial" w:cs="Arial" w:eastAsia="Arial" w:hAnsi="Arial"/>
                <w:sz w:val="16"/>
                <w:szCs w:val="16"/>
                <w:b w:val="1"/>
                <w:bCs w:val="1"/>
                <w:color w:val="auto"/>
                <w:w w:val="95"/>
              </w:rPr>
              <w:t>Warrants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6"/>
                <w:szCs w:val="16"/>
                <w:b w:val="1"/>
                <w:bCs w:val="1"/>
                <w:color w:val="auto"/>
              </w:rPr>
              <w:t>Liabilities</w:t>
            </w:r>
          </w:p>
        </w:tc>
      </w:tr>
      <w:tr>
        <w:trPr>
          <w:trHeight w:val="47"/>
        </w:trPr>
        <w:tc>
          <w:tcPr>
            <w:tcW w:w="56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Issuance of convertible promissory notes</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43,666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w w:val="95"/>
              </w:rPr>
              <w:t>Change in fair value of warrant liabilities and convertible promissory notes</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62,581</w:t>
            </w:r>
          </w:p>
        </w:tc>
        <w:tc>
          <w:tcPr>
            <w:tcW w:w="300" w:type="dxa"/>
            <w:vAlign w:val="bottom"/>
            <w:tcBorders>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Issuance of convertible promissory notes</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w w:val="95"/>
              </w:rPr>
              <w:t>Change in fair value of warrant liabilities and convertible promissory notes</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1,597</w:t>
            </w: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r>
      <w:tr>
        <w:trPr>
          <w:trHeight w:val="40"/>
        </w:trPr>
        <w:tc>
          <w:tcPr>
            <w:tcW w:w="5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The Company measures certain non-financial assets and liabilities, including property and equipment, intangible assets, and inventory, at fair value on a non-recurring basis. Fair value measurements of non-financial assets and non-financial liabilities are used primarily in the impairment analyses of property and equipment, intangible assets and inventory. The Company determined that impairment indicators exist for its property and equipment, so the fair value of the property and equipment was compared to its carrying value (refer to “</w:t>
      </w:r>
      <w:r>
        <w:rPr>
          <w:rFonts w:ascii="Arial" w:cs="Arial" w:eastAsia="Arial" w:hAnsi="Arial"/>
          <w:sz w:val="16"/>
          <w:szCs w:val="16"/>
          <w:i w:val="1"/>
          <w:iCs w:val="1"/>
          <w:color w:val="auto"/>
        </w:rPr>
        <w:t>Property and Equipment, Net</w:t>
      </w:r>
      <w:r>
        <w:rPr>
          <w:rFonts w:ascii="Arial" w:cs="Arial" w:eastAsia="Arial" w:hAnsi="Arial"/>
          <w:sz w:val="16"/>
          <w:szCs w:val="16"/>
          <w:color w:val="auto"/>
        </w:rPr>
        <w:t>”). The fair value was calculated using a discounted cash flow model determined using “Level 3” inputs, due to the lack of relevant observable market data over fair value inputs.</w:t>
      </w:r>
    </w:p>
    <w:p>
      <w:pPr>
        <w:spacing w:after="0" w:line="85"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During fiscal year 2022, the Company acquired in-process technology that was measured at fair value as part of an acquisition. The Company used the replacement cost method which leverages Level 3 inputs such as estimated time spent to recreate the technology plus a developer’s margin. Refer to Note 5 and Note 15 for further details.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8" w:name="page189"/>
    <w:bookmarkEnd w:id="18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4.</w:t>
            </w:r>
          </w:p>
        </w:tc>
        <w:tc>
          <w:tcPr>
            <w:tcW w:w="6600" w:type="dxa"/>
            <w:vAlign w:val="bottom"/>
          </w:tcPr>
          <w:p>
            <w:pPr>
              <w:ind w:left="140"/>
              <w:spacing w:after="0"/>
              <w:rPr>
                <w:sz w:val="20"/>
                <w:szCs w:val="20"/>
                <w:color w:val="auto"/>
              </w:rPr>
            </w:pPr>
            <w:r>
              <w:rPr>
                <w:rFonts w:ascii="Arial" w:cs="Arial" w:eastAsia="Arial" w:hAnsi="Arial"/>
                <w:sz w:val="18"/>
                <w:szCs w:val="18"/>
                <w:b w:val="1"/>
                <w:bCs w:val="1"/>
                <w:color w:val="auto"/>
              </w:rPr>
              <w:t>Consolidated Balance Sheet Components</w:t>
            </w: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64"/>
        </w:trPr>
        <w:tc>
          <w:tcPr>
            <w:tcW w:w="260" w:type="dxa"/>
            <w:vAlign w:val="bottom"/>
          </w:tcPr>
          <w:p>
            <w:pPr>
              <w:spacing w:after="0"/>
              <w:rPr>
                <w:sz w:val="24"/>
                <w:szCs w:val="24"/>
                <w:color w:val="auto"/>
              </w:rPr>
            </w:pPr>
          </w:p>
        </w:tc>
        <w:tc>
          <w:tcPr>
            <w:tcW w:w="66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Accounts Receivable, net</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4"/>
        </w:trPr>
        <w:tc>
          <w:tcPr>
            <w:tcW w:w="260" w:type="dxa"/>
            <w:vAlign w:val="bottom"/>
          </w:tcPr>
          <w:p>
            <w:pPr>
              <w:spacing w:after="0"/>
              <w:rPr>
                <w:sz w:val="24"/>
                <w:szCs w:val="24"/>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The Company’s allowance for doubtful accounts is as follows:</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6"/>
        </w:trPr>
        <w:tc>
          <w:tcPr>
            <w:tcW w:w="686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63"/>
        </w:trPr>
        <w:tc>
          <w:tcPr>
            <w:tcW w:w="686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 beginning of year – June 30, 2020</w:t>
            </w:r>
          </w:p>
        </w:tc>
        <w:tc>
          <w:tcPr>
            <w:tcW w:w="420" w:type="dxa"/>
            <w:vAlign w:val="bottom"/>
            <w:tcBorders>
              <w:bottom w:val="single" w:sz="8" w:color="CCEEFF"/>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4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651</w:t>
            </w:r>
          </w:p>
        </w:tc>
        <w:tc>
          <w:tcPr>
            <w:tcW w:w="140" w:type="dxa"/>
            <w:vAlign w:val="bottom"/>
          </w:tcPr>
          <w:p>
            <w:pPr>
              <w:spacing w:after="0"/>
              <w:rPr>
                <w:sz w:val="21"/>
                <w:szCs w:val="21"/>
                <w:color w:val="auto"/>
              </w:rPr>
            </w:pPr>
          </w:p>
        </w:tc>
      </w:tr>
      <w:tr>
        <w:trPr>
          <w:trHeight w:val="40"/>
        </w:trPr>
        <w:tc>
          <w:tcPr>
            <w:tcW w:w="686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75"/>
        </w:trPr>
        <w:tc>
          <w:tcPr>
            <w:tcW w:w="686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Write-offs</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37"/>
        </w:trPr>
        <w:tc>
          <w:tcPr>
            <w:tcW w:w="68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Allowance for doubtful accounts, end of period – June 30, 2021</w:t>
            </w:r>
          </w:p>
        </w:tc>
        <w:tc>
          <w:tcPr>
            <w:tcW w:w="4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40" w:type="dxa"/>
            <w:vAlign w:val="bottom"/>
            <w:tcBorders>
              <w:top w:val="single" w:sz="8" w:color="CCEEFF"/>
            </w:tcBorders>
          </w:tcPr>
          <w:p>
            <w:pPr>
              <w:spacing w:after="0"/>
              <w:rPr>
                <w:sz w:val="20"/>
                <w:szCs w:val="20"/>
                <w:color w:val="auto"/>
              </w:rPr>
            </w:pPr>
          </w:p>
        </w:tc>
      </w:tr>
      <w:tr>
        <w:trPr>
          <w:trHeight w:val="40"/>
        </w:trPr>
        <w:tc>
          <w:tcPr>
            <w:tcW w:w="686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Additions</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Recoveries</w:t>
            </w:r>
          </w:p>
        </w:tc>
        <w:tc>
          <w:tcPr>
            <w:tcW w:w="42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(338)</w:t>
            </w:r>
          </w:p>
        </w:tc>
      </w:tr>
      <w:tr>
        <w:trPr>
          <w:trHeight w:val="41"/>
        </w:trPr>
        <w:tc>
          <w:tcPr>
            <w:tcW w:w="686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0"/>
        </w:trPr>
        <w:tc>
          <w:tcPr>
            <w:tcW w:w="686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Write-offs</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(476)</w:t>
            </w:r>
          </w:p>
        </w:tc>
      </w:tr>
      <w:tr>
        <w:trPr>
          <w:trHeight w:val="20"/>
        </w:trPr>
        <w:tc>
          <w:tcPr>
            <w:tcW w:w="260" w:type="dxa"/>
            <w:vAlign w:val="bottom"/>
            <w:shd w:val="clear" w:color="auto" w:fill="CCEEFF"/>
          </w:tcPr>
          <w:p>
            <w:pPr>
              <w:spacing w:after="0" w:line="20" w:lineRule="exact"/>
              <w:rPr>
                <w:sz w:val="1"/>
                <w:szCs w:val="1"/>
                <w:color w:val="auto"/>
              </w:rPr>
            </w:pPr>
          </w:p>
        </w:tc>
        <w:tc>
          <w:tcPr>
            <w:tcW w:w="66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Allowance for doubtful accounts, end of period – June 30, 2022</w:t>
            </w: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21"/>
                <w:szCs w:val="21"/>
                <w:color w:val="auto"/>
              </w:rPr>
            </w:pPr>
          </w:p>
        </w:tc>
      </w:tr>
      <w:tr>
        <w:trPr>
          <w:trHeight w:val="20"/>
        </w:trPr>
        <w:tc>
          <w:tcPr>
            <w:tcW w:w="2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Inventories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Inventories consisted of the following:</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As of June 30,</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0"/>
        </w:trPr>
        <w:tc>
          <w:tcPr>
            <w:tcW w:w="56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Total inventories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420"/>
              <w:spacing w:after="0"/>
              <w:rPr>
                <w:sz w:val="20"/>
                <w:szCs w:val="20"/>
                <w:color w:val="auto"/>
              </w:rPr>
            </w:pPr>
            <w:r>
              <w:rPr>
                <w:rFonts w:ascii="Arial" w:cs="Arial" w:eastAsia="Arial" w:hAnsi="Arial"/>
                <w:sz w:val="18"/>
                <w:szCs w:val="18"/>
                <w:b w:val="1"/>
                <w:bCs w:val="1"/>
                <w:i w:val="1"/>
                <w:iCs w:val="1"/>
                <w:color w:val="auto"/>
              </w:rPr>
              <w:t>Prepaid Expenses and Other Current Assets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600" w:type="dxa"/>
            <w:vAlign w:val="bottom"/>
          </w:tcPr>
          <w:p>
            <w:pPr>
              <w:ind w:left="420"/>
              <w:spacing w:after="0"/>
              <w:rPr>
                <w:sz w:val="20"/>
                <w:szCs w:val="20"/>
                <w:color w:val="auto"/>
              </w:rPr>
            </w:pPr>
            <w:r>
              <w:rPr>
                <w:rFonts w:ascii="Arial" w:cs="Arial" w:eastAsia="Arial" w:hAnsi="Arial"/>
                <w:sz w:val="18"/>
                <w:szCs w:val="18"/>
                <w:color w:val="auto"/>
                <w:w w:val="93"/>
              </w:rPr>
              <w:t>Prepaid expenses and other current assets consisted of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As of 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6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707</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42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60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As of 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Tablets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5,663</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8,031</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Computer equipment</w:t>
            </w:r>
          </w:p>
        </w:tc>
        <w:tc>
          <w:tcPr>
            <w:tcW w:w="26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6,744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8,957</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gridSpan w:val="2"/>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1,975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3,925</w:t>
            </w:r>
          </w:p>
        </w:tc>
        <w:tc>
          <w:tcPr>
            <w:tcW w:w="0" w:type="dxa"/>
            <w:vAlign w:val="bottom"/>
          </w:tcPr>
          <w:p>
            <w:pPr>
              <w:spacing w:after="0"/>
              <w:rPr>
                <w:sz w:val="1"/>
                <w:szCs w:val="1"/>
                <w:color w:val="auto"/>
              </w:rPr>
            </w:pPr>
          </w:p>
        </w:tc>
      </w:tr>
      <w:tr>
        <w:trPr>
          <w:trHeight w:val="41"/>
        </w:trPr>
        <w:tc>
          <w:tcPr>
            <w:tcW w:w="56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Depreciation expense was $1,612 and $2,907 for the years ended June 30, 2022 and 2021, respectively, of which $1,454 and $2,589, respectively, was related to capital leased equipment and was recorded in cost of revenue in the Company’s consolidated statement of operations and comprehensive loss. The remainder of depreciation expense was recorded in operating expenses for the years ended June 30, 2022 and 2021.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9" w:name="page190"/>
    <w:bookmarkEnd w:id="18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Consolidated Balance Sheet Components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During the years ended June 30, 2022 and 2021, respectively, the Company recognized a loss on impairment of $579 and $2,965 in cost of revenue in the Company’s consolidated statement of operations and comprehensive loss. The impairment charge was primarily related to specific assets under lease with customers that terminated their contracts. Accordingly, the Company experienced a significant adverse change in the extent the property and equipment were being used. The Company evaluated the recoverability of the assets and concluded they were not recoverable.</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useful life of property and equipment, net consisted of the following:</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Years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Tablets</w:t>
            </w:r>
          </w:p>
        </w:tc>
        <w:tc>
          <w:tcPr>
            <w:tcW w:w="1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040" w:type="dxa"/>
            <w:vAlign w:val="bottom"/>
            <w:gridSpan w:val="2"/>
            <w:vMerge w:val="continue"/>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2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04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1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ind w:left="2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04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4060" w:type="dxa"/>
            <w:vAlign w:val="bottom"/>
            <w:gridSpan w:val="8"/>
          </w:tcPr>
          <w:p>
            <w:pPr>
              <w:jc w:val="right"/>
              <w:ind w:right="40"/>
              <w:spacing w:after="0"/>
              <w:rPr>
                <w:sz w:val="20"/>
                <w:szCs w:val="20"/>
                <w:color w:val="auto"/>
              </w:rPr>
            </w:pPr>
            <w:r>
              <w:rPr>
                <w:rFonts w:ascii="Arial" w:cs="Arial" w:eastAsia="Arial" w:hAnsi="Arial"/>
                <w:sz w:val="18"/>
                <w:szCs w:val="18"/>
                <w:color w:val="auto"/>
                <w:w w:val="91"/>
              </w:rPr>
              <w:t>Shorter of estimated useful life or remaining lease term</w:t>
            </w:r>
          </w:p>
        </w:tc>
        <w:tc>
          <w:tcPr>
            <w:tcW w:w="0" w:type="dxa"/>
            <w:vAlign w:val="bottom"/>
          </w:tcPr>
          <w:p>
            <w:pPr>
              <w:spacing w:after="0"/>
              <w:rPr>
                <w:sz w:val="1"/>
                <w:szCs w:val="1"/>
                <w:color w:val="auto"/>
              </w:rPr>
            </w:pPr>
          </w:p>
        </w:tc>
      </w:tr>
      <w:tr>
        <w:trPr>
          <w:trHeight w:val="500"/>
        </w:trPr>
        <w:tc>
          <w:tcPr>
            <w:tcW w:w="260" w:type="dxa"/>
            <w:vAlign w:val="bottom"/>
          </w:tcPr>
          <w:p>
            <w:pPr>
              <w:spacing w:after="0"/>
              <w:rPr>
                <w:sz w:val="24"/>
                <w:szCs w:val="24"/>
                <w:color w:val="auto"/>
              </w:rPr>
            </w:pPr>
          </w:p>
        </w:tc>
        <w:tc>
          <w:tcPr>
            <w:tcW w:w="37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Accrued Liabilities</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60" w:type="dxa"/>
            <w:vAlign w:val="bottom"/>
          </w:tcPr>
          <w:p>
            <w:pPr>
              <w:spacing w:after="0"/>
              <w:rPr>
                <w:sz w:val="24"/>
                <w:szCs w:val="24"/>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Accrued liabilities consisted of the following:</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As of June 30,</w:t>
            </w:r>
          </w:p>
        </w:tc>
        <w:tc>
          <w:tcPr>
            <w:tcW w:w="0" w:type="dxa"/>
            <w:vAlign w:val="bottom"/>
          </w:tcPr>
          <w:p>
            <w:pPr>
              <w:spacing w:after="0"/>
              <w:rPr>
                <w:sz w:val="1"/>
                <w:szCs w:val="1"/>
                <w:color w:val="auto"/>
              </w:rPr>
            </w:pPr>
          </w:p>
        </w:tc>
      </w:tr>
      <w:tr>
        <w:trPr>
          <w:trHeight w:val="46"/>
        </w:trPr>
        <w:tc>
          <w:tcPr>
            <w:tcW w:w="26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ind w:left="240"/>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40" w:type="dxa"/>
            <w:vAlign w:val="bottom"/>
            <w:tcBorders>
              <w:bottom w:val="single" w:sz="8" w:color="CCEEFF"/>
            </w:tcBorders>
            <w:gridSpan w:val="2"/>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43"/>
        </w:trPr>
        <w:tc>
          <w:tcPr>
            <w:tcW w:w="4040" w:type="dxa"/>
            <w:vAlign w:val="bottom"/>
            <w:gridSpan w:val="2"/>
          </w:tcPr>
          <w:p>
            <w:pPr>
              <w:spacing w:after="0"/>
              <w:rPr>
                <w:sz w:val="20"/>
                <w:szCs w:val="20"/>
                <w:color w:val="auto"/>
              </w:rPr>
            </w:pPr>
            <w:r>
              <w:rPr>
                <w:rFonts w:ascii="Arial" w:cs="Arial" w:eastAsia="Arial" w:hAnsi="Arial"/>
                <w:sz w:val="18"/>
                <w:szCs w:val="18"/>
                <w:color w:val="auto"/>
              </w:rPr>
              <w:t>Repair cost reserve (Refer to Note 8)</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40"/>
        </w:trPr>
        <w:tc>
          <w:tcPr>
            <w:tcW w:w="5600" w:type="dxa"/>
            <w:vAlign w:val="bottom"/>
            <w:gridSpan w:val="3"/>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COVID-19 deferred compensation and deferred payroll tax</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43"/>
        </w:trPr>
        <w:tc>
          <w:tcPr>
            <w:tcW w:w="4040" w:type="dxa"/>
            <w:vAlign w:val="bottom"/>
            <w:gridSpan w:val="2"/>
          </w:tcPr>
          <w:p>
            <w:pPr>
              <w:spacing w:after="0"/>
              <w:rPr>
                <w:sz w:val="20"/>
                <w:szCs w:val="20"/>
                <w:color w:val="auto"/>
              </w:rPr>
            </w:pPr>
            <w:r>
              <w:rPr>
                <w:rFonts w:ascii="Arial" w:cs="Arial" w:eastAsia="Arial" w:hAnsi="Arial"/>
                <w:sz w:val="18"/>
                <w:szCs w:val="18"/>
                <w:color w:val="auto"/>
              </w:rPr>
              <w:t>Accrued sales tax</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40"/>
        </w:trPr>
        <w:tc>
          <w:tcPr>
            <w:tcW w:w="4040" w:type="dxa"/>
            <w:vAlign w:val="bottom"/>
            <w:gridSpan w:val="2"/>
          </w:tcPr>
          <w:p>
            <w:pPr>
              <w:spacing w:after="0"/>
              <w:rPr>
                <w:sz w:val="3"/>
                <w:szCs w:val="3"/>
                <w:color w:val="auto"/>
              </w:rPr>
            </w:pPr>
          </w:p>
        </w:tc>
        <w:tc>
          <w:tcPr>
            <w:tcW w:w="1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1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43"/>
        </w:trPr>
        <w:tc>
          <w:tcPr>
            <w:tcW w:w="4040" w:type="dxa"/>
            <w:vAlign w:val="bottom"/>
            <w:gridSpan w:val="2"/>
          </w:tcPr>
          <w:p>
            <w:pPr>
              <w:spacing w:after="0"/>
              <w:rPr>
                <w:sz w:val="20"/>
                <w:szCs w:val="20"/>
                <w:color w:val="auto"/>
              </w:rPr>
            </w:pPr>
            <w:r>
              <w:rPr>
                <w:rFonts w:ascii="Arial" w:cs="Arial" w:eastAsia="Arial" w:hAnsi="Arial"/>
                <w:sz w:val="18"/>
                <w:szCs w:val="18"/>
                <w:color w:val="auto"/>
              </w:rPr>
              <w:t>Accrued interest</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40"/>
        </w:trPr>
        <w:tc>
          <w:tcPr>
            <w:tcW w:w="4040" w:type="dxa"/>
            <w:vAlign w:val="bottom"/>
            <w:gridSpan w:val="2"/>
          </w:tcPr>
          <w:p>
            <w:pPr>
              <w:spacing w:after="0"/>
              <w:rPr>
                <w:sz w:val="3"/>
                <w:szCs w:val="3"/>
                <w:color w:val="auto"/>
              </w:rPr>
            </w:pPr>
          </w:p>
        </w:tc>
        <w:tc>
          <w:tcPr>
            <w:tcW w:w="1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other</w:t>
            </w:r>
          </w:p>
        </w:tc>
        <w:tc>
          <w:tcPr>
            <w:tcW w:w="1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Total accrued liabilities</w:t>
            </w:r>
          </w:p>
        </w:tc>
        <w:tc>
          <w:tcPr>
            <w:tcW w:w="1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40" w:type="dxa"/>
            <w:vAlign w:val="bottom"/>
            <w:gridSpan w:val="2"/>
            <w:vMerge w:val="continue"/>
          </w:tcPr>
          <w:p>
            <w:pPr>
              <w:spacing w:after="0"/>
              <w:rPr>
                <w:sz w:val="21"/>
                <w:szCs w:val="21"/>
                <w:color w:val="auto"/>
              </w:rPr>
            </w:pPr>
          </w:p>
        </w:tc>
        <w:tc>
          <w:tcPr>
            <w:tcW w:w="15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6,215</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7,256</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37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Intangible Assets, Net</w:t>
            </w:r>
          </w:p>
        </w:tc>
        <w:tc>
          <w:tcPr>
            <w:tcW w:w="1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60" w:type="dxa"/>
            <w:vAlign w:val="bottom"/>
            <w:vMerge w:val="continue"/>
          </w:tcPr>
          <w:p>
            <w:pPr>
              <w:spacing w:after="0"/>
              <w:rPr>
                <w:sz w:val="24"/>
                <w:szCs w:val="24"/>
                <w:color w:val="auto"/>
              </w:rPr>
            </w:pPr>
          </w:p>
        </w:tc>
        <w:tc>
          <w:tcPr>
            <w:tcW w:w="378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60" w:type="dxa"/>
            <w:vAlign w:val="bottom"/>
          </w:tcPr>
          <w:p>
            <w:pPr>
              <w:spacing w:after="0"/>
              <w:rPr>
                <w:sz w:val="24"/>
                <w:szCs w:val="24"/>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Intangible assets consisted of the following:</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As of June 30,</w:t>
            </w:r>
          </w:p>
        </w:tc>
        <w:tc>
          <w:tcPr>
            <w:tcW w:w="0" w:type="dxa"/>
            <w:vAlign w:val="bottom"/>
          </w:tcPr>
          <w:p>
            <w:pPr>
              <w:spacing w:after="0"/>
              <w:rPr>
                <w:sz w:val="1"/>
                <w:szCs w:val="1"/>
                <w:color w:val="auto"/>
              </w:rPr>
            </w:pPr>
          </w:p>
        </w:tc>
      </w:tr>
      <w:tr>
        <w:trPr>
          <w:trHeight w:val="46"/>
        </w:trPr>
        <w:tc>
          <w:tcPr>
            <w:tcW w:w="26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ind w:left="240"/>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40" w:type="dxa"/>
            <w:vAlign w:val="bottom"/>
            <w:gridSpan w:val="2"/>
          </w:tcPr>
          <w:p>
            <w:pPr>
              <w:spacing w:after="0"/>
              <w:rPr>
                <w:sz w:val="4"/>
                <w:szCs w:val="4"/>
                <w:color w:val="auto"/>
              </w:rPr>
            </w:pPr>
          </w:p>
        </w:tc>
        <w:tc>
          <w:tcPr>
            <w:tcW w:w="1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gridSpan w:val="2"/>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040" w:type="dxa"/>
            <w:vAlign w:val="bottom"/>
            <w:gridSpan w:val="2"/>
          </w:tcPr>
          <w:p>
            <w:pPr>
              <w:spacing w:after="0"/>
              <w:rPr>
                <w:sz w:val="3"/>
                <w:szCs w:val="3"/>
                <w:color w:val="auto"/>
              </w:rPr>
            </w:pPr>
          </w:p>
        </w:tc>
        <w:tc>
          <w:tcPr>
            <w:tcW w:w="1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Domain name</w:t>
            </w:r>
          </w:p>
        </w:tc>
        <w:tc>
          <w:tcPr>
            <w:tcW w:w="15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40" w:type="dxa"/>
            <w:vAlign w:val="bottom"/>
            <w:gridSpan w:val="2"/>
          </w:tcPr>
          <w:p>
            <w:pPr>
              <w:spacing w:after="0"/>
              <w:rPr>
                <w:sz w:val="20"/>
                <w:szCs w:val="20"/>
                <w:color w:val="auto"/>
              </w:rPr>
            </w:pPr>
            <w:r>
              <w:rPr>
                <w:rFonts w:ascii="Arial" w:cs="Arial" w:eastAsia="Arial" w:hAnsi="Arial"/>
                <w:sz w:val="18"/>
                <w:szCs w:val="18"/>
                <w:color w:val="auto"/>
              </w:rPr>
              <w:t>Intangible assets, gross</w:t>
            </w:r>
          </w:p>
        </w:tc>
        <w:tc>
          <w:tcPr>
            <w:tcW w:w="1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040" w:type="dxa"/>
            <w:vAlign w:val="bottom"/>
            <w:gridSpan w:val="2"/>
          </w:tcPr>
          <w:p>
            <w:pPr>
              <w:spacing w:after="0"/>
              <w:rPr>
                <w:sz w:val="3"/>
                <w:szCs w:val="3"/>
                <w:color w:val="auto"/>
              </w:rPr>
            </w:pPr>
          </w:p>
        </w:tc>
        <w:tc>
          <w:tcPr>
            <w:tcW w:w="1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Intangible assets, net</w:t>
            </w:r>
          </w:p>
        </w:tc>
        <w:tc>
          <w:tcPr>
            <w:tcW w:w="1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40" w:type="dxa"/>
            <w:vAlign w:val="bottom"/>
            <w:gridSpan w:val="2"/>
            <w:vMerge w:val="continue"/>
          </w:tcPr>
          <w:p>
            <w:pPr>
              <w:spacing w:after="0"/>
              <w:rPr>
                <w:sz w:val="21"/>
                <w:szCs w:val="21"/>
                <w:color w:val="auto"/>
              </w:rPr>
            </w:pPr>
          </w:p>
        </w:tc>
        <w:tc>
          <w:tcPr>
            <w:tcW w:w="15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4,226</w:t>
            </w:r>
          </w:p>
        </w:tc>
        <w:tc>
          <w:tcPr>
            <w:tcW w:w="140" w:type="dxa"/>
            <w:vAlign w:val="bottom"/>
          </w:tcPr>
          <w:p>
            <w:pPr>
              <w:spacing w:after="0"/>
              <w:rPr>
                <w:sz w:val="21"/>
                <w:szCs w:val="21"/>
                <w:color w:val="auto"/>
              </w:rPr>
            </w:pP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1,334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Intangible assets have weighted-average amortization periods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40" w:type="dxa"/>
            <w:vAlign w:val="bottom"/>
          </w:tcPr>
          <w:p>
            <w:pPr>
              <w:ind w:left="420"/>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47"/>
        </w:trPr>
        <w:tc>
          <w:tcPr>
            <w:tcW w:w="2740" w:type="dxa"/>
            <w:vAlign w:val="bottom"/>
            <w:vMerge w:val="restart"/>
          </w:tcPr>
          <w:p>
            <w:pPr>
              <w:spacing w:after="0"/>
              <w:rPr>
                <w:sz w:val="20"/>
                <w:szCs w:val="20"/>
                <w:color w:val="auto"/>
              </w:rPr>
            </w:pPr>
            <w:r>
              <w:rPr>
                <w:rFonts w:ascii="Arial" w:cs="Arial" w:eastAsia="Arial" w:hAnsi="Arial"/>
                <w:sz w:val="18"/>
                <w:szCs w:val="18"/>
                <w:color w:val="auto"/>
              </w:rPr>
              <w:t>Capitalized software</w:t>
            </w:r>
          </w:p>
        </w:tc>
        <w:tc>
          <w:tcPr>
            <w:tcW w:w="4120" w:type="dxa"/>
            <w:vAlign w:val="bottom"/>
            <w:vMerge w:val="restart"/>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740" w:type="dxa"/>
            <w:vAlign w:val="bottom"/>
            <w:vMerge w:val="continue"/>
          </w:tcPr>
          <w:p>
            <w:pPr>
              <w:spacing w:after="0"/>
              <w:rPr>
                <w:sz w:val="19"/>
                <w:szCs w:val="19"/>
                <w:color w:val="auto"/>
              </w:rPr>
            </w:pPr>
          </w:p>
        </w:tc>
        <w:tc>
          <w:tcPr>
            <w:tcW w:w="4120" w:type="dxa"/>
            <w:vAlign w:val="bottom"/>
            <w:vMerge w:val="continue"/>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Developed technology</w:t>
            </w:r>
          </w:p>
        </w:tc>
        <w:tc>
          <w:tcPr>
            <w:tcW w:w="5360" w:type="dxa"/>
            <w:vAlign w:val="bottom"/>
            <w:gridSpan w:val="2"/>
          </w:tcPr>
          <w:p>
            <w:pPr>
              <w:jc w:val="center"/>
              <w:ind w:left="401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84"/>
        </w:trPr>
        <w:tc>
          <w:tcPr>
            <w:tcW w:w="2740" w:type="dxa"/>
            <w:vAlign w:val="bottom"/>
          </w:tcPr>
          <w:p>
            <w:pPr>
              <w:spacing w:after="0"/>
              <w:rPr>
                <w:sz w:val="20"/>
                <w:szCs w:val="20"/>
                <w:color w:val="auto"/>
              </w:rPr>
            </w:pPr>
            <w:r>
              <w:rPr>
                <w:rFonts w:ascii="Arial" w:cs="Arial" w:eastAsia="Arial" w:hAnsi="Arial"/>
                <w:sz w:val="18"/>
                <w:szCs w:val="18"/>
                <w:color w:val="auto"/>
              </w:rPr>
              <w:t>Domain Name</w:t>
            </w:r>
          </w:p>
        </w:tc>
        <w:tc>
          <w:tcPr>
            <w:tcW w:w="5360" w:type="dxa"/>
            <w:vAlign w:val="bottom"/>
            <w:gridSpan w:val="2"/>
          </w:tcPr>
          <w:p>
            <w:pPr>
              <w:jc w:val="center"/>
              <w:ind w:left="401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473"/>
        </w:trPr>
        <w:tc>
          <w:tcPr>
            <w:tcW w:w="27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ind w:left="1140"/>
              <w:spacing w:after="0"/>
              <w:rPr>
                <w:sz w:val="20"/>
                <w:szCs w:val="20"/>
                <w:color w:val="auto"/>
              </w:rPr>
            </w:pPr>
            <w:r>
              <w:rPr>
                <w:rFonts w:ascii="Arial" w:cs="Arial" w:eastAsia="Arial" w:hAnsi="Arial"/>
                <w:sz w:val="18"/>
                <w:szCs w:val="18"/>
                <w:color w:val="auto"/>
              </w:rPr>
              <w:t>F-66</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90" w:name="page191"/>
    <w:bookmarkEnd w:id="19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Net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Amortization expense of intangible assets was $73 and $95 for the years ended June 30, 2022 and 2021, respectively. During the year ended June 30, 2022, the Company recognized a loss on impairment of $133 related to its capitalized software in cost of revenue in the Company’s consolidated statement of operations and comprehensive loss. Within capitalized software on June 30, 2022 and 2021, $2,786 and $1,033, respectively, are in process capitalized software costs and accordingly, the amortization of such costs are excluded from the table below.</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future amortization expense for intangible assets was estimated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2023</w:t>
            </w:r>
          </w:p>
        </w:tc>
        <w:tc>
          <w:tcPr>
            <w:tcW w:w="5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5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350</w:t>
            </w:r>
          </w:p>
        </w:tc>
      </w:tr>
      <w:tr>
        <w:trPr>
          <w:trHeight w:val="41"/>
        </w:trPr>
        <w:tc>
          <w:tcPr>
            <w:tcW w:w="380" w:type="dxa"/>
            <w:vAlign w:val="bottom"/>
          </w:tcPr>
          <w:p>
            <w:pPr>
              <w:spacing w:after="0"/>
              <w:rPr>
                <w:sz w:val="3"/>
                <w:szCs w:val="3"/>
                <w:color w:val="auto"/>
              </w:rPr>
            </w:pPr>
          </w:p>
        </w:tc>
        <w:tc>
          <w:tcPr>
            <w:tcW w:w="5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2025</w:t>
            </w:r>
          </w:p>
        </w:tc>
        <w:tc>
          <w:tcPr>
            <w:tcW w:w="5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w w:val="89"/>
              </w:rPr>
              <w:t>2026</w:t>
            </w:r>
          </w:p>
        </w:tc>
        <w:tc>
          <w:tcPr>
            <w:tcW w:w="5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308</w:t>
            </w:r>
          </w:p>
        </w:tc>
      </w:tr>
      <w:tr>
        <w:trPr>
          <w:trHeight w:val="40"/>
        </w:trPr>
        <w:tc>
          <w:tcPr>
            <w:tcW w:w="380" w:type="dxa"/>
            <w:vAlign w:val="bottom"/>
          </w:tcPr>
          <w:p>
            <w:pPr>
              <w:spacing w:after="0"/>
              <w:rPr>
                <w:sz w:val="3"/>
                <w:szCs w:val="3"/>
                <w:color w:val="auto"/>
              </w:rPr>
            </w:pPr>
          </w:p>
        </w:tc>
        <w:tc>
          <w:tcPr>
            <w:tcW w:w="5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2027</w:t>
            </w:r>
          </w:p>
        </w:tc>
        <w:tc>
          <w:tcPr>
            <w:tcW w:w="5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3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83"/>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Total</w:t>
            </w:r>
          </w:p>
        </w:tc>
        <w:tc>
          <w:tcPr>
            <w:tcW w:w="5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w:t>
            </w:r>
          </w:p>
        </w:tc>
      </w:tr>
      <w:tr>
        <w:trPr>
          <w:trHeight w:val="419"/>
        </w:trPr>
        <w:tc>
          <w:tcPr>
            <w:tcW w:w="3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6.</w:t>
            </w:r>
          </w:p>
        </w:tc>
        <w:tc>
          <w:tcPr>
            <w:tcW w:w="522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Financing Obligations</w:t>
            </w:r>
          </w:p>
        </w:tc>
        <w:tc>
          <w:tcPr>
            <w:tcW w:w="26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r>
      <w:tr>
        <w:trPr>
          <w:trHeight w:val="365"/>
        </w:trPr>
        <w:tc>
          <w:tcPr>
            <w:tcW w:w="380" w:type="dxa"/>
            <w:vAlign w:val="bottom"/>
          </w:tcPr>
          <w:p>
            <w:pPr>
              <w:spacing w:after="0"/>
              <w:rPr>
                <w:sz w:val="24"/>
                <w:szCs w:val="24"/>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The Company’s financing obligations consist of the following:</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3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As of June 30,</w:t>
            </w:r>
          </w:p>
        </w:tc>
      </w:tr>
      <w:tr>
        <w:trPr>
          <w:trHeight w:val="47"/>
        </w:trPr>
        <w:tc>
          <w:tcPr>
            <w:tcW w:w="380" w:type="dxa"/>
            <w:vAlign w:val="bottom"/>
          </w:tcPr>
          <w:p>
            <w:pPr>
              <w:spacing w:after="0"/>
              <w:rPr>
                <w:sz w:val="4"/>
                <w:szCs w:val="4"/>
                <w:color w:val="auto"/>
              </w:rPr>
            </w:pPr>
          </w:p>
        </w:tc>
        <w:tc>
          <w:tcPr>
            <w:tcW w:w="52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17"/>
        </w:trPr>
        <w:tc>
          <w:tcPr>
            <w:tcW w:w="3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Vendor financing facility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Receivable financing facility</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5,911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6,170</w:t>
            </w:r>
          </w:p>
        </w:tc>
        <w:tc>
          <w:tcPr>
            <w:tcW w:w="140" w:type="dxa"/>
            <w:vAlign w:val="bottom"/>
          </w:tcPr>
          <w:p>
            <w:pPr>
              <w:spacing w:after="0"/>
              <w:rPr>
                <w:sz w:val="21"/>
                <w:szCs w:val="21"/>
                <w:color w:val="auto"/>
              </w:rPr>
            </w:pPr>
          </w:p>
        </w:tc>
      </w:tr>
      <w:tr>
        <w:trPr>
          <w:trHeight w:val="40"/>
        </w:trPr>
        <w:tc>
          <w:tcPr>
            <w:tcW w:w="56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75"/>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Equipment financing facility</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37"/>
        </w:trPr>
        <w:tc>
          <w:tcPr>
            <w:tcW w:w="56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financing obligations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8,840</w:t>
            </w:r>
          </w:p>
        </w:tc>
        <w:tc>
          <w:tcPr>
            <w:tcW w:w="1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18,535</w:t>
            </w:r>
          </w:p>
        </w:tc>
        <w:tc>
          <w:tcPr>
            <w:tcW w:w="140" w:type="dxa"/>
            <w:vAlign w:val="bottom"/>
            <w:tcBorders>
              <w:top w:val="single" w:sz="8" w:color="CCEEFF"/>
            </w:tcBorders>
          </w:tcPr>
          <w:p>
            <w:pPr>
              <w:spacing w:after="0"/>
              <w:rPr>
                <w:sz w:val="20"/>
                <w:szCs w:val="20"/>
                <w:color w:val="auto"/>
              </w:rPr>
            </w:pPr>
          </w:p>
        </w:tc>
      </w:tr>
      <w:tr>
        <w:trPr>
          <w:trHeight w:val="40"/>
        </w:trPr>
        <w:tc>
          <w:tcPr>
            <w:tcW w:w="56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0"/>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financing obligations, current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(15,763)</w:t>
            </w:r>
          </w:p>
        </w:tc>
      </w:tr>
      <w:tr>
        <w:trPr>
          <w:trHeight w:val="20"/>
        </w:trPr>
        <w:tc>
          <w:tcPr>
            <w:tcW w:w="380" w:type="dxa"/>
            <w:vAlign w:val="bottom"/>
            <w:shd w:val="clear" w:color="auto" w:fill="CCEEFF"/>
          </w:tcPr>
          <w:p>
            <w:pPr>
              <w:spacing w:after="0" w:line="20" w:lineRule="exact"/>
              <w:rPr>
                <w:sz w:val="1"/>
                <w:szCs w:val="1"/>
                <w:color w:val="auto"/>
              </w:rPr>
            </w:pPr>
          </w:p>
        </w:tc>
        <w:tc>
          <w:tcPr>
            <w:tcW w:w="5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Total financing obligations, noncurrent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2,772</w:t>
            </w:r>
          </w:p>
        </w:tc>
        <w:tc>
          <w:tcPr>
            <w:tcW w:w="1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Vendor financing facility</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Company entered into an interest-bearing vendor financing arrangement used to finance certain inventory purchases. The arrangement extends the repayment terms of normal invoices beyond the original due date and as such is classified outside of accounts payable on the Company’s consolidated balance sheet. Through the agreement, payments are made over the course of an 18-month term, with the unpaid balance bearing interest at a rate of 18% – 26%. As of June 30, 2022 and 2021, the Company had an outstanding principal balance of $0 and $6,792, respectively.</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Receivable financing facility</w:t>
      </w:r>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On April 27, 2021, the Company entered into an investment arrangement in which the Company provides future receivables available to an outside investor to invest in, in exchange for an upfront payment. Through this arrangement, the Company obtains financing in the form of a large upfront payment, which the Company accounts for as a borrowing by recording the proceeds received as a financing obligation, which will be repaid through payments collected from accounts receivable debtors relating to future receivables. The financing obligation is non-recourse; however, the Company is responsible for collections as the Company must first collect payments from the debtors and remit them to the investor. The Company recognizes interest on the financed amount using the effective interest method. The effective interest rate is the interest rate that equates the present value of the cash amounts to be received by the investor with the present value of the cash amounts paid by the investor to the Company. The receivable financing facility has a term of 5 years and the arrangement allows the Company and the financier to mutually agree to roll forward the Company’s borrowings as they come due.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1" w:name="page192"/>
    <w:bookmarkEnd w:id="19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Financing Obligations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On August 15, 2021, November 16, 2021, February 22, 2022 and May 31, 2022, in accordance with the terms of the receivable financing facility, the Company rolled forward the receivable financing facility, enabling the Company to continue its quarterly borrowings for a minimum of a rolling twelve-months. Subject to the approval of the financier, the Company expects to continue rolling forward the receivable financing facility.</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Equipment financing facility</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Beginning in 2019, the Company entered into arrangements with third party financiers to secure payments of certain tablet purchases. Such arrangements generally have terms ranging from 3 – 5 years and interest rates ranging from 8% – 14%. The Company then leases the tablets monetized by the financiers to one of its customers through operating leases that have 4-year terms.</w:t>
      </w:r>
    </w:p>
    <w:p>
      <w:pPr>
        <w:spacing w:after="0" w:line="11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In fiscal year 2022, the Company defaulted on certain arrangements with third party financiers due to non-payment of rent. As of September 27, 2022, the Company was in default related to required monthly payments from April 2022 through September 2022. Default under the arrangements permits the financiers to declare the amounts owed under the arrangement due and payable and exercise its right to secure the tablets under lease. Although the Company intends to cure the lease default, the Company cannot provide assurance that it will be successful. As a result, the Company reclassified all of its obligations under these arrangements that are in default as short-term within financing obligations, current as of June 30, 2022.</w:t>
      </w:r>
    </w:p>
    <w:p>
      <w:pPr>
        <w:spacing w:after="0" w:line="173" w:lineRule="exact"/>
        <w:rPr>
          <w:sz w:val="20"/>
          <w:szCs w:val="20"/>
          <w:color w:val="auto"/>
        </w:rPr>
      </w:pPr>
    </w:p>
    <w:p>
      <w:pPr>
        <w:ind w:left="860" w:hanging="406"/>
        <w:spacing w:after="0"/>
        <w:tabs>
          <w:tab w:leader="none" w:pos="8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Debt Arrangements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Company’s outstanding debt, net of debt discounts, consisted of the following:</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As of 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7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62,581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Term loans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25,443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14,011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PPP Loan</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117,106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81,191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debt, current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(115,106)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(12,453)</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debt, noncurrent</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21"/>
                <w:szCs w:val="21"/>
                <w:color w:val="auto"/>
              </w:rPr>
            </w:pP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68,738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Fiscal Year 2021 Notes</w:t>
      </w:r>
    </w:p>
    <w:p>
      <w:pPr>
        <w:spacing w:after="0" w:line="15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b w:val="1"/>
          <w:bCs w:val="1"/>
          <w:color w:val="auto"/>
        </w:rPr>
        <w:t xml:space="preserve">July 2020 Notes </w:t>
      </w:r>
      <w:r>
        <w:rPr>
          <w:rFonts w:ascii="Arial" w:cs="Arial" w:eastAsia="Arial" w:hAnsi="Arial"/>
          <w:sz w:val="16"/>
          <w:szCs w:val="16"/>
          <w:color w:val="auto"/>
        </w:rPr>
        <w:t>— In July 2020 the Company issued convertible promissory notes (the “July 2020</w:t>
      </w:r>
      <w:r>
        <w:rPr>
          <w:rFonts w:ascii="Arial" w:cs="Arial" w:eastAsia="Arial" w:hAnsi="Arial"/>
          <w:sz w:val="16"/>
          <w:szCs w:val="16"/>
          <w:b w:val="1"/>
          <w:bCs w:val="1"/>
          <w:color w:val="auto"/>
        </w:rPr>
        <w:t xml:space="preserve"> </w:t>
      </w:r>
      <w:r>
        <w:rPr>
          <w:rFonts w:ascii="Arial" w:cs="Arial" w:eastAsia="Arial" w:hAnsi="Arial"/>
          <w:sz w:val="16"/>
          <w:szCs w:val="16"/>
          <w:color w:val="auto"/>
        </w:rPr>
        <w:t>Notes”) in the amount of $5,500 with an annual interest rate of 5%. The July 2020 Notes mature at the earlier of</w:t>
      </w:r>
    </w:p>
    <w:p>
      <w:pPr>
        <w:spacing w:after="0" w:line="1" w:lineRule="exact"/>
        <w:rPr>
          <w:sz w:val="20"/>
          <w:szCs w:val="20"/>
          <w:color w:val="auto"/>
        </w:rPr>
      </w:pPr>
    </w:p>
    <w:p>
      <w:pPr>
        <w:jc w:val="both"/>
        <w:ind w:left="460" w:right="459" w:hanging="6"/>
        <w:spacing w:after="0" w:line="267" w:lineRule="auto"/>
        <w:tabs>
          <w:tab w:leader="none" w:pos="722" w:val="left"/>
        </w:tabs>
        <w:numPr>
          <w:ilvl w:val="0"/>
          <w:numId w:val="116"/>
        </w:numPr>
        <w:rPr>
          <w:rFonts w:ascii="Arial" w:cs="Arial" w:eastAsia="Arial" w:hAnsi="Arial"/>
          <w:sz w:val="17"/>
          <w:szCs w:val="17"/>
          <w:color w:val="auto"/>
        </w:rPr>
      </w:pPr>
      <w:r>
        <w:rPr>
          <w:rFonts w:ascii="Arial" w:cs="Arial" w:eastAsia="Arial" w:hAnsi="Arial"/>
          <w:sz w:val="17"/>
          <w:szCs w:val="17"/>
          <w:color w:val="auto"/>
        </w:rPr>
        <w:t>18 months from the note issuance date or (b) an event of default. If the notes have not converted prior to maturity, then at maturity the outstanding principal and accrued interest shall be automatically converted into shares of common stock based on a per-share conversion price equal to (a) $310,000 divided by (b) the Fully Diluted Capitalization as of immediately prior to the closing of the Maturity Date or upon election of the holder, be repaid in cash. Prior to maturity and upon the closing of the next private financing of preferred stock or public liquidity event, the entire outstanding principal and accrued interest shall automatically be cancelled and converted into that number of shares of private preferred stock sold in such next financing as obtained by dividing (a) the entire principal and accrued interest balance by the lower of (i) 85% of the per-share selling price at which the Company issues shares of Conversion Stock in the Next Financing or (ii) the quotient obtained by dividing (a) $310,000 by (b) the Fully Diluted Capitalization as of immediately prior to the closing of the Next Financing.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2" w:name="page193"/>
    <w:bookmarkEnd w:id="19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Debt Arrangements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Upon a public liquidity event, the holder has the option to convert the entire outstanding principal and accrued interest into that number of shares of preferred stock as obtained by dividing (a) the entire principal and accrued interest balance by the lower of (i) 85% of the per-share selling price at which the Company issues shares of Conversion Stock in the Next Financing or (ii) the quotient obtained by dividing (a) $310,000 by</w:t>
      </w:r>
    </w:p>
    <w:p>
      <w:pPr>
        <w:spacing w:after="0" w:line="1" w:lineRule="exact"/>
        <w:rPr>
          <w:sz w:val="20"/>
          <w:szCs w:val="20"/>
          <w:color w:val="auto"/>
        </w:rPr>
      </w:pPr>
    </w:p>
    <w:p>
      <w:pPr>
        <w:jc w:val="both"/>
        <w:ind w:left="460" w:right="459" w:hanging="6"/>
        <w:spacing w:after="0" w:line="253" w:lineRule="auto"/>
        <w:tabs>
          <w:tab w:leader="none" w:pos="7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Fully Diluted Capitalization as of immediately prior to the closing of the public liquidity event. In November 2021, the Company amended its July 2020 Notes to remove the note holders option to elect repayment in cash at maturity. In January 2022, the Company amended its July 2020 Notes to extend the maturity date to the earlier of (a) March 31, 2022 or (b) an event of default.</w:t>
      </w:r>
    </w:p>
    <w:p>
      <w:pPr>
        <w:spacing w:after="0" w:line="11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Concurrent with the issuance of the July 2020 Notes, the Company issued warrants to purchase common stock at an exercise price of $0.01 and expire in July 2025. The warrants were determined to not be freestanding financial instruments and are embedded in the convertible notes.</w:t>
      </w:r>
    </w:p>
    <w:p>
      <w:pPr>
        <w:spacing w:after="0" w:line="11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b w:val="1"/>
          <w:bCs w:val="1"/>
          <w:color w:val="auto"/>
        </w:rPr>
        <w:t xml:space="preserve">Q3 2021 Notes </w:t>
      </w:r>
      <w:r>
        <w:rPr>
          <w:rFonts w:ascii="Arial" w:cs="Arial" w:eastAsia="Arial" w:hAnsi="Arial"/>
          <w:sz w:val="16"/>
          <w:szCs w:val="16"/>
          <w:color w:val="auto"/>
        </w:rPr>
        <w:t>— During January 2021 through March 2021 the Company issued convertible promissory</w:t>
      </w:r>
      <w:r>
        <w:rPr>
          <w:rFonts w:ascii="Arial" w:cs="Arial" w:eastAsia="Arial" w:hAnsi="Arial"/>
          <w:sz w:val="16"/>
          <w:szCs w:val="16"/>
          <w:b w:val="1"/>
          <w:bCs w:val="1"/>
          <w:color w:val="auto"/>
        </w:rPr>
        <w:t xml:space="preserve"> </w:t>
      </w:r>
      <w:r>
        <w:rPr>
          <w:rFonts w:ascii="Arial" w:cs="Arial" w:eastAsia="Arial" w:hAnsi="Arial"/>
          <w:sz w:val="16"/>
          <w:szCs w:val="16"/>
          <w:color w:val="auto"/>
        </w:rPr>
        <w:t>notes (the “Q3 2021 Notes”) in the amount of $18,166 with an annual interest rate of 5%. The Q3 2021 Notes mature at the earlier of (a) 20 months from the note issuance date or (b) an event of default. If the notes have not converted prior to maturity, then at maturity the outstanding principal and accrued interest shall be automatically converted into shares of a new series of preferred stock of the Company (with terms substantially similar to the Company’s Series C Preferred Stock, including a pari passu liquidation preference with the Company’s Series C Preferred Stock and a liquidation preference equal to the applicable conversion price of the Note) based on a per share conversion price equal to the quotient obtained by dividing (a) the then-applicable Valuation Cap (as defined in the Warrant) by (b) the Fully Diluted Capitalization as of immediately prior to the closing of the Maturity Date. Prior to maturity and upon the closing of the next private financing of preferred stock, the entire outstanding principal and accrued interest shall automatically be cancelled and converted into that number of shares of preferred stock sold in such next private financing as obtained by dividing (a) the entire principal and accrued interest balance by the conversion price. The conversion price being 85% of the lowest per-share selling price at which the Company issues shares of preferred stock to new-money investors in the next private financing. Upon a public liquidity event, the holder has the option to convert the entire outstanding principal and accrued interest into that number of shares of preferred stock as obtained by dividing (a) the entire principal and accrued interest balance by the conversion price, a conversion price 85% of the lowest per-share selling price at which the Company issues shares of Conversion Stock to new-money investors in the Next Financing.</w:t>
      </w:r>
    </w:p>
    <w:p>
      <w:pPr>
        <w:spacing w:after="0" w:line="32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Concurrent with the issuance of the Q3 2021 Notes, the Company issued warrants to purchase a variable number of shares of common stock at an exercise price of $0.01. Such warrants expire between January 2026 and March 2026. The warrants were determined to not be freestanding financial instruments and are embedded in the convertible notes.</w:t>
      </w:r>
    </w:p>
    <w:p>
      <w:pPr>
        <w:spacing w:after="0" w:line="102"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b w:val="1"/>
          <w:bCs w:val="1"/>
          <w:color w:val="auto"/>
        </w:rPr>
        <w:t xml:space="preserve">June 2021 Notes </w:t>
      </w:r>
      <w:r>
        <w:rPr>
          <w:rFonts w:ascii="Arial" w:cs="Arial" w:eastAsia="Arial" w:hAnsi="Arial"/>
          <w:sz w:val="17"/>
          <w:szCs w:val="17"/>
          <w:color w:val="auto"/>
        </w:rPr>
        <w:t>— In June 2021, the Company issued convertible promissory notes (the “June 2021</w:t>
      </w:r>
      <w:r>
        <w:rPr>
          <w:rFonts w:ascii="Arial" w:cs="Arial" w:eastAsia="Arial" w:hAnsi="Arial"/>
          <w:sz w:val="17"/>
          <w:szCs w:val="17"/>
          <w:b w:val="1"/>
          <w:bCs w:val="1"/>
          <w:color w:val="auto"/>
        </w:rPr>
        <w:t xml:space="preserve"> </w:t>
      </w:r>
      <w:r>
        <w:rPr>
          <w:rFonts w:ascii="Arial" w:cs="Arial" w:eastAsia="Arial" w:hAnsi="Arial"/>
          <w:sz w:val="17"/>
          <w:szCs w:val="17"/>
          <w:color w:val="auto"/>
        </w:rPr>
        <w:t>Notes”) in the total amount of $20,000 with an annual interest rate of 5%. The June 2021 Notes mature at the earlier of (a) 20 months from the note issuance date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 (a) $600,000 by (b) the Fully Diluted Capitalization as of immediately prior to the closing of the Maturity Date. Prior to maturity and upon the closing of a qualified next private financing of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 (a) $600,000 by (b) the Fully Diluted Capitalization as of immediately prior to the closing of the next financing or public liquidity event The June 2021 Notes were settled with the issuance of the February 2022 Note.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3" w:name="page194"/>
    <w:bookmarkEnd w:id="19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Debt Arrangements </w:t>
      </w:r>
      <w:r>
        <w:rPr>
          <w:rFonts w:ascii="Arial" w:cs="Arial" w:eastAsia="Arial" w:hAnsi="Arial"/>
          <w:sz w:val="18"/>
          <w:szCs w:val="18"/>
          <w:color w:val="auto"/>
        </w:rPr>
        <w:t>(cont.)</w:t>
      </w:r>
    </w:p>
    <w:p>
      <w:pPr>
        <w:spacing w:after="0" w:line="19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b w:val="1"/>
          <w:bCs w:val="1"/>
          <w:color w:val="auto"/>
        </w:rPr>
        <w:t xml:space="preserve">July 2021 Notes </w:t>
      </w:r>
      <w:r>
        <w:rPr>
          <w:rFonts w:ascii="Arial" w:cs="Arial" w:eastAsia="Arial" w:hAnsi="Arial"/>
          <w:sz w:val="16"/>
          <w:szCs w:val="16"/>
          <w:color w:val="auto"/>
        </w:rPr>
        <w:t>— In July 2021, the Company issued convertible promissory notes (the “July 2021</w:t>
      </w:r>
      <w:r>
        <w:rPr>
          <w:rFonts w:ascii="Arial" w:cs="Arial" w:eastAsia="Arial" w:hAnsi="Arial"/>
          <w:sz w:val="16"/>
          <w:szCs w:val="16"/>
          <w:b w:val="1"/>
          <w:bCs w:val="1"/>
          <w:color w:val="auto"/>
        </w:rPr>
        <w:t xml:space="preserve"> </w:t>
      </w:r>
      <w:r>
        <w:rPr>
          <w:rFonts w:ascii="Arial" w:cs="Arial" w:eastAsia="Arial" w:hAnsi="Arial"/>
          <w:sz w:val="16"/>
          <w:szCs w:val="16"/>
          <w:color w:val="auto"/>
        </w:rPr>
        <w:t>Notes”) in the total amount of $500 with an annual interest rate of 5%. The July 2021 Notes mature at the earlier of (a) December 20, 2022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w:t>
      </w:r>
    </w:p>
    <w:p>
      <w:pPr>
        <w:spacing w:after="0" w:line="2" w:lineRule="exact"/>
        <w:rPr>
          <w:sz w:val="20"/>
          <w:szCs w:val="20"/>
          <w:color w:val="auto"/>
        </w:rPr>
      </w:pPr>
    </w:p>
    <w:p>
      <w:pPr>
        <w:jc w:val="both"/>
        <w:ind w:left="460" w:right="459" w:hanging="6"/>
        <w:spacing w:after="0" w:line="281" w:lineRule="auto"/>
        <w:tabs>
          <w:tab w:leader="none" w:pos="70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$600,000 by (b) the Fully Diluted Capitalization as of immediately prior to the closing of the Maturity Date. Prior to maturity and upon the closing of a qualified next financing of private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w:t>
      </w:r>
    </w:p>
    <w:p>
      <w:pPr>
        <w:spacing w:after="0" w:line="2" w:lineRule="exact"/>
        <w:rPr>
          <w:rFonts w:ascii="Arial" w:cs="Arial" w:eastAsia="Arial" w:hAnsi="Arial"/>
          <w:sz w:val="16"/>
          <w:szCs w:val="16"/>
          <w:color w:val="auto"/>
        </w:rPr>
      </w:pPr>
    </w:p>
    <w:p>
      <w:pPr>
        <w:jc w:val="both"/>
        <w:ind w:left="460" w:right="459" w:hanging="6"/>
        <w:spacing w:after="0" w:line="295" w:lineRule="auto"/>
        <w:tabs>
          <w:tab w:leader="none" w:pos="72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 (a) $600,000 by (b) the Fully Diluted Capitalization as of immediately prior to the closing of the next financing or public liquidity event.</w:t>
      </w:r>
    </w:p>
    <w:p>
      <w:pPr>
        <w:spacing w:after="0" w:line="76"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b w:val="1"/>
          <w:bCs w:val="1"/>
          <w:color w:val="auto"/>
        </w:rPr>
        <w:t xml:space="preserve">February 2022 Note </w:t>
      </w:r>
      <w:r>
        <w:rPr>
          <w:rFonts w:ascii="Arial" w:cs="Arial" w:eastAsia="Arial" w:hAnsi="Arial"/>
          <w:sz w:val="16"/>
          <w:szCs w:val="16"/>
          <w:color w:val="auto"/>
        </w:rPr>
        <w:t>— In February 2022, the Company issued a convertible promissory note</w:t>
      </w:r>
      <w:r>
        <w:rPr>
          <w:rFonts w:ascii="Arial" w:cs="Arial" w:eastAsia="Arial" w:hAnsi="Arial"/>
          <w:sz w:val="16"/>
          <w:szCs w:val="16"/>
          <w:b w:val="1"/>
          <w:bCs w:val="1"/>
          <w:color w:val="auto"/>
        </w:rPr>
        <w:t xml:space="preserve"> </w:t>
      </w:r>
      <w:r>
        <w:rPr>
          <w:rFonts w:ascii="Arial" w:cs="Arial" w:eastAsia="Arial" w:hAnsi="Arial"/>
          <w:sz w:val="16"/>
          <w:szCs w:val="16"/>
          <w:color w:val="auto"/>
        </w:rPr>
        <w:t>(“February 2022 Note”) in the amount of $25,663 with an annual interest rate of 5%. The February 2022 Notes settled indebtedness of $20,663, which includes accrued interest, related to the June 2021 Note and included $5,000 of cash proceeds. The February 2022 Note matures at the earlier of (a) December 20, 2022 or (b) an event of default. If the note has not converted prior to maturity, then at maturity the outstanding principal and accrued interest shall be automatically converted into senior preferred stock of the Company based on a per share conversion price equal to the quotient obtained by dividing (a) $535,000 by (b) the Fully Diluted Capitalization as of immediately prior to the closing of the Maturity Date. Prior to maturity and upon the closing of a qualified next financing of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w:t>
      </w:r>
    </w:p>
    <w:p>
      <w:pPr>
        <w:spacing w:after="0" w:line="5" w:lineRule="exact"/>
        <w:rPr>
          <w:sz w:val="20"/>
          <w:szCs w:val="20"/>
          <w:color w:val="auto"/>
        </w:rPr>
      </w:pPr>
    </w:p>
    <w:p>
      <w:pPr>
        <w:ind w:left="460" w:right="459" w:hanging="6"/>
        <w:spacing w:after="0" w:line="260" w:lineRule="auto"/>
        <w:tabs>
          <w:tab w:leader="none" w:pos="74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quotient obtained by dividing (a) $535,000 by (b) the Fully Diluted Capitalization as of immediately prior to the closing of the next financing or public liquidity event.</w:t>
      </w:r>
    </w:p>
    <w:p>
      <w:pPr>
        <w:spacing w:after="0" w:line="114" w:lineRule="exact"/>
        <w:rPr>
          <w:sz w:val="20"/>
          <w:szCs w:val="20"/>
          <w:color w:val="auto"/>
        </w:rPr>
      </w:pPr>
    </w:p>
    <w:p>
      <w:pPr>
        <w:ind w:left="460" w:right="459" w:firstLine="432"/>
        <w:spacing w:after="0" w:line="293" w:lineRule="auto"/>
        <w:rPr>
          <w:sz w:val="20"/>
          <w:szCs w:val="20"/>
          <w:color w:val="auto"/>
        </w:rPr>
      </w:pPr>
      <w:r>
        <w:rPr>
          <w:rFonts w:ascii="Arial" w:cs="Arial" w:eastAsia="Arial" w:hAnsi="Arial"/>
          <w:sz w:val="16"/>
          <w:szCs w:val="16"/>
          <w:b w:val="1"/>
          <w:bCs w:val="1"/>
          <w:color w:val="auto"/>
        </w:rPr>
        <w:t xml:space="preserve">May 2022 Notes </w:t>
      </w:r>
      <w:r>
        <w:rPr>
          <w:rFonts w:ascii="Arial" w:cs="Arial" w:eastAsia="Arial" w:hAnsi="Arial"/>
          <w:sz w:val="16"/>
          <w:szCs w:val="16"/>
          <w:color w:val="auto"/>
        </w:rPr>
        <w:t>— In May 2022, the Company issued convertible promissory notes (“May 2022 Notes”)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amount of $2,650 with an annual interest rate of 5%. The May 2022 Notes mature at the earlier of</w:t>
      </w:r>
    </w:p>
    <w:p>
      <w:pPr>
        <w:spacing w:after="0" w:line="1" w:lineRule="exact"/>
        <w:rPr>
          <w:sz w:val="20"/>
          <w:szCs w:val="20"/>
          <w:color w:val="auto"/>
        </w:rPr>
      </w:pPr>
    </w:p>
    <w:p>
      <w:pPr>
        <w:jc w:val="both"/>
        <w:ind w:left="460" w:right="459" w:hanging="6"/>
        <w:spacing w:after="0" w:line="281" w:lineRule="auto"/>
        <w:tabs>
          <w:tab w:leader="none" w:pos="72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December 20, 2022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w:t>
      </w:r>
    </w:p>
    <w:p>
      <w:pPr>
        <w:spacing w:after="0" w:line="1" w:lineRule="exact"/>
        <w:rPr>
          <w:rFonts w:ascii="Arial" w:cs="Arial" w:eastAsia="Arial" w:hAnsi="Arial"/>
          <w:sz w:val="16"/>
          <w:szCs w:val="16"/>
          <w:color w:val="auto"/>
        </w:rPr>
      </w:pPr>
    </w:p>
    <w:p>
      <w:pPr>
        <w:jc w:val="both"/>
        <w:ind w:left="460" w:right="459" w:hanging="6"/>
        <w:spacing w:after="0" w:line="281" w:lineRule="auto"/>
        <w:tabs>
          <w:tab w:leader="none" w:pos="70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$535,000 by (b) the Fully Diluted Capitalization as of immediately prior to the closing of the Maturity Date. Prior to maturity and upon the closing of a qualified next financing of private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w:t>
      </w:r>
    </w:p>
    <w:p>
      <w:pPr>
        <w:spacing w:after="0" w:line="2" w:lineRule="exact"/>
        <w:rPr>
          <w:rFonts w:ascii="Arial" w:cs="Arial" w:eastAsia="Arial" w:hAnsi="Arial"/>
          <w:sz w:val="16"/>
          <w:szCs w:val="16"/>
          <w:color w:val="auto"/>
        </w:rPr>
      </w:pPr>
    </w:p>
    <w:p>
      <w:pPr>
        <w:jc w:val="both"/>
        <w:ind w:left="460" w:right="459" w:hanging="6"/>
        <w:spacing w:after="0" w:line="295" w:lineRule="auto"/>
        <w:tabs>
          <w:tab w:leader="none" w:pos="72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 (a) $535,000 by (b) the Fully Diluted Capitalization as of immediately prior to the closing of the next financing or public liquidity event.</w:t>
      </w:r>
    </w:p>
    <w:p>
      <w:pPr>
        <w:spacing w:after="0" w:line="9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Company concluded that the convertible promissory notes were eligible to apply the fair value option under ASC 825, accordingly the Company elected to account for the convertible notes at fair value and to report interest costs as a component of the fair value measurement during each reporting period. At June 30, 2022 and June 30, 2021,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4" w:name="page195"/>
    <w:bookmarkEnd w:id="19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Debt Arrangements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the remeasured value of the convertible promissory notes was $89,663, and $62,581, respectively with the Company recording a loss on remeasurement of $18,932 during the year ended June 30, 2022. The Company recorded a loss on remeasurement of $18,915 during the year ended June 30, 2021.</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 loans</w:t>
      </w:r>
    </w:p>
    <w:p>
      <w:pPr>
        <w:spacing w:after="0" w:line="14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On May 6, 2020, the Company entered into a loan agreement (the “PFI Loan”) with Point Financial Inc., which provided the Company with $6,000. The PFI Loan bore interest at 18.5% and matured on May 6, 2024. The PFI Loan required repayment of accrued interest only on the outstanding principal amount over the first 18 payment dates and an equal payment of principal plus accrued interest on the next 30 payment dates. The PFI Loan required a prepayment fee of 3% of the principal balance owed if the Company pre-paid within the first 18 months of the loan agreement term. The Company pre-paid the principal balance of $6,000 on March 5, 2021 and recorded a loss on extinguishment of $616.</w:t>
      </w:r>
    </w:p>
    <w:p>
      <w:pPr>
        <w:spacing w:after="0" w:line="110"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On March 4, 2021, the Company entered into a loan agreement (the “Horizon Loan”) with Horizon Technology Finance Corporation (“Horizon”), which provided the Company with $15,000,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 with a maturity date of March 20, 2023.</w:t>
      </w:r>
    </w:p>
    <w:p>
      <w:pPr>
        <w:spacing w:after="0" w:line="9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On April 1, 2022, the Company entered into a second amendment with Horizon. Under the amended agreement, the Company experienced a default event, whereby the Company failed to achieve the agreed upon enterprise platform bookings target for the six months ended March 31, 2022. Horizon agreed to waive its right to repayment pursuant to the default event. However, as a consequence of the default, the Company will pay a 5% default rate for the periods commencing April 1, 2022 through the date of repayment of all obligations. In addition, pursuant to the amendments, the covenant related to enterprise platform bookings were also waived for the June 30, 2022 quarterly measurement period. The Company does not believe non-compliance with this covenant impacted the Company or its operations, other than the increased interest cost associated with the default rate. As of June 30, 2022, the Company was in compliance with the loan covenants. As of June 30, 2022 and June 30, 2021, the Company had an outstanding gross balance of $15,000 on the Horizon loan, and an unamortized debt discount of $570 and $989, respectively.</w:t>
      </w:r>
    </w:p>
    <w:p>
      <w:pPr>
        <w:spacing w:after="0" w:line="91"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On March 11, 2022, the Company entered into a loan agreement (the “Lago Loan”) with Lago Innovation Fund I &amp; II, LLC, which provided the Company with $12,600, bears interest at the greater of 12% plus the greater of 1% or 30 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 fee, dependent on the time of prepayment. The Lago Loan contains financial covenants that require the maintenance of unrestricted cash plus accounts receivable balance and achievement of quarterly bookings targets. As of June 30, 2022, the Company was in compliance with its covenants. The Company issued 253,855 warrants to purchase Series C convertible preferred stock with the Lago Loan prior to the retroactive impact of the recapitalization. Refer to Note 11 for further details. As of June 30, 2022, the Company had an outstanding gross balance of $12,679 on the Lago Loan and an unamortized debt discount of $1,665.</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5" w:name="page196"/>
    <w:bookmarkEnd w:id="19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Debt Arrangements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April 2020, the Company obtained a PPP loan for $2,599 through the SBA. In March 2021, a second</w:t>
      </w:r>
    </w:p>
    <w:p>
      <w:pPr>
        <w:spacing w:after="0" w:line="46" w:lineRule="exact"/>
        <w:rPr>
          <w:sz w:val="20"/>
          <w:szCs w:val="20"/>
          <w:color w:val="auto"/>
        </w:rPr>
      </w:pPr>
    </w:p>
    <w:p>
      <w:pPr>
        <w:jc w:val="both"/>
        <w:ind w:left="460" w:right="459" w:hanging="6"/>
        <w:spacing w:after="0" w:line="267" w:lineRule="auto"/>
        <w:tabs>
          <w:tab w:leader="none" w:pos="81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loan was obtained in the amount of $2,000, for a total of $4,599. The loans will be fully forgiven if the funds are used for payroll costs, interest on mortgages, rent, and utilities, with at least 60% being used for payroll. The Company used the funds for these expenses and applied for loan forgiveness of the PPP funds. Should the loans be forgiven, the forgiven loan balance will be recognized as income at that time. During the twelve months ended June 30, 2022, the Company received forgiveness for the first PPP loan of $2,599, which was recorded in Other income (expense), net in the Company’s consolidated statement of operations and comprehensive loss. The second PPP loan has not been forgiven as of June 30, 2022. The second PPP loan was forgiven after June 30, 2022; refer to Note 19 for further details. No collateral or personal guarantees were required for the loan. These PPP loans would bear an interest rate of 1%, with two-year maturity for the first and five-year maturity for the second loan, respectively. The Company accounts for the loans as debt subject to the accounting guidance in ASC 470, </w:t>
      </w:r>
      <w:r>
        <w:rPr>
          <w:rFonts w:ascii="Arial" w:cs="Arial" w:eastAsia="Arial" w:hAnsi="Arial"/>
          <w:sz w:val="17"/>
          <w:szCs w:val="17"/>
          <w:i w:val="1"/>
          <w:iCs w:val="1"/>
          <w:color w:val="auto"/>
        </w:rPr>
        <w:t>Debt</w:t>
      </w:r>
      <w:r>
        <w:rPr>
          <w:rFonts w:ascii="Arial" w:cs="Arial" w:eastAsia="Arial" w:hAnsi="Arial"/>
          <w:sz w:val="17"/>
          <w:szCs w:val="17"/>
          <w:color w:val="auto"/>
        </w:rPr>
        <w:t>.</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740" w:type="dxa"/>
            <w:vAlign w:val="bottom"/>
          </w:tcPr>
          <w:p>
            <w:pPr>
              <w:ind w:left="420"/>
              <w:spacing w:after="0"/>
              <w:rPr>
                <w:sz w:val="20"/>
                <w:szCs w:val="20"/>
                <w:color w:val="auto"/>
              </w:rPr>
            </w:pPr>
            <w:r>
              <w:rPr>
                <w:rFonts w:ascii="Arial" w:cs="Arial" w:eastAsia="Arial" w:hAnsi="Arial"/>
                <w:sz w:val="18"/>
                <w:szCs w:val="18"/>
                <w:color w:val="auto"/>
              </w:rPr>
              <w:t>As of June 30, 2022, future principal payments on debt were as follows:</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99"/>
        </w:trPr>
        <w:tc>
          <w:tcPr>
            <w:tcW w:w="6740" w:type="dxa"/>
            <w:vAlign w:val="bottom"/>
          </w:tcPr>
          <w:p>
            <w:pPr>
              <w:spacing w:after="0"/>
              <w:rPr>
                <w:sz w:val="20"/>
                <w:szCs w:val="20"/>
                <w:color w:val="auto"/>
              </w:rPr>
            </w:pPr>
            <w:r>
              <w:rPr>
                <w:rFonts w:ascii="Arial" w:cs="Arial" w:eastAsia="Arial" w:hAnsi="Arial"/>
                <w:sz w:val="16"/>
                <w:szCs w:val="16"/>
                <w:b w:val="1"/>
                <w:bCs w:val="1"/>
                <w:color w:val="auto"/>
              </w:rPr>
              <w:t>Year Ended June 30,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57"/>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80,079</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future payments on debt obligations</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left="860" w:hanging="406"/>
        <w:spacing w:after="0"/>
        <w:tabs>
          <w:tab w:leader="none" w:pos="8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The Company’s operating lease portfolio currently consists of office space leases. The Company leases its office headquarters under a non-cancellable operating lease expiring in January 2025.</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Future minimum payments related to operating leases as of June 30, 2022, are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93"/>
              <w:spacing w:after="0"/>
              <w:rPr>
                <w:sz w:val="20"/>
                <w:szCs w:val="20"/>
                <w:color w:val="auto"/>
              </w:rPr>
            </w:pPr>
            <w:r>
              <w:rPr>
                <w:rFonts w:ascii="Arial" w:cs="Arial" w:eastAsia="Arial" w:hAnsi="Arial"/>
                <w:sz w:val="16"/>
                <w:szCs w:val="16"/>
                <w:b w:val="1"/>
                <w:bCs w:val="1"/>
                <w:color w:val="auto"/>
              </w:rPr>
              <w:t>Operating</w:t>
            </w:r>
          </w:p>
        </w:tc>
      </w:tr>
      <w:tr>
        <w:trPr>
          <w:trHeight w:val="210"/>
        </w:trPr>
        <w:tc>
          <w:tcPr>
            <w:tcW w:w="6740" w:type="dxa"/>
            <w:vAlign w:val="bottom"/>
          </w:tcPr>
          <w:p>
            <w:pPr>
              <w:spacing w:after="0"/>
              <w:rPr>
                <w:sz w:val="20"/>
                <w:szCs w:val="20"/>
                <w:color w:val="auto"/>
              </w:rPr>
            </w:pPr>
            <w:r>
              <w:rPr>
                <w:rFonts w:ascii="Arial" w:cs="Arial" w:eastAsia="Arial" w:hAnsi="Arial"/>
                <w:sz w:val="16"/>
                <w:szCs w:val="16"/>
                <w:b w:val="1"/>
                <w:bCs w:val="1"/>
                <w:color w:val="auto"/>
              </w:rPr>
              <w:t>Year Ended June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13"/>
              <w:spacing w:after="0"/>
              <w:rPr>
                <w:sz w:val="20"/>
                <w:szCs w:val="20"/>
                <w:color w:val="auto"/>
              </w:rPr>
            </w:pPr>
            <w:r>
              <w:rPr>
                <w:rFonts w:ascii="Arial" w:cs="Arial" w:eastAsia="Arial" w:hAnsi="Arial"/>
                <w:sz w:val="16"/>
                <w:szCs w:val="16"/>
                <w:b w:val="1"/>
                <w:bCs w:val="1"/>
                <w:color w:val="auto"/>
              </w:rPr>
              <w:t>Leases</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57"/>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67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Total rent expense in the statements of operations, totaled $413 and $208 for the years ended June 30, 2022, and 2021,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Warranties, Indemnification, and Contingencies</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Company enters into service level agreements with customers which warrant defined levels of uptime and support response times and permit those customers to receive credits for prepaid amounts in the event that those performance and response levels are not met. In the years ended June 30, 2022 and 2021, the Company has incurred costs to refurbish customer tablets of $2,970 and $2,241, respectively, recorded in cost of revenue in the Company’s consolidated statement of operations and comprehensive loss. In connection with the service level agreements,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6" w:name="page197"/>
    <w:bookmarkEnd w:id="19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Company has recorded $724 and $1,166 in accrued liabilities in the consolidated financial statements for expected repair costs for customer tablets currently in the Company’s return merchandise authorization process as of June 30, 2022 and 2021, respectively.</w:t>
      </w:r>
    </w:p>
    <w:p>
      <w:pPr>
        <w:spacing w:after="0" w:line="103"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platform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spacing w:after="0" w:line="9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the Company does not have any such matters that, if resolved unfavorably, would have a material impact on its financial condition, results of operations or cash flows.</w:t>
      </w:r>
    </w:p>
    <w:p>
      <w:pPr>
        <w:spacing w:after="0" w:line="87"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In June 2022, the Company received a favorable arbitrator ruling related to a matter with its third-party subcontractor and was awarded approximately $11,304 in damages related to the Company’s loss on infrequent product repairs and to cover its legal expenses. The award has not met the criteria to be considered realizable as of June 30, 2022. As a result, the Company has not recognized any gain related to this settlement in its consolidated statement of operations and comprehensive loss.</w:t>
      </w:r>
    </w:p>
    <w:p>
      <w:pPr>
        <w:spacing w:after="0" w:line="172" w:lineRule="exact"/>
        <w:rPr>
          <w:sz w:val="20"/>
          <w:szCs w:val="20"/>
          <w:color w:val="auto"/>
        </w:rPr>
      </w:pPr>
    </w:p>
    <w:p>
      <w:pPr>
        <w:ind w:left="860" w:hanging="406"/>
        <w:spacing w:after="0"/>
        <w:tabs>
          <w:tab w:leader="none" w:pos="8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Loss on Infrequent Product Repairs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In fiscal years 2022 and 2021, the Company experienced an increase in hardware returned for repair or replacement using a Return Merchandise Authorization (“</w:t>
      </w:r>
      <w:r>
        <w:rPr>
          <w:rFonts w:ascii="Arial" w:cs="Arial" w:eastAsia="Arial" w:hAnsi="Arial"/>
          <w:sz w:val="18"/>
          <w:szCs w:val="18"/>
          <w:b w:val="1"/>
          <w:bCs w:val="1"/>
          <w:color w:val="auto"/>
        </w:rPr>
        <w:t>RMA</w:t>
      </w:r>
      <w:r>
        <w:rPr>
          <w:rFonts w:ascii="Arial" w:cs="Arial" w:eastAsia="Arial" w:hAnsi="Arial"/>
          <w:sz w:val="18"/>
          <w:szCs w:val="18"/>
          <w:color w:val="auto"/>
        </w:rPr>
        <w:t>”). While the Company has incurred RMA charges in the past, the volume of repair charges was extremely unusual and very high due to a liquid ingress issue resulting from COVID-19 related actions by the Company’s customers. The Company’s devices failed primarily due to the use of extremely strong commercial disinfectant solutions by the Company’s customers to clean the hardware devices as a mandatory precaution protocol due to COVID-19. Due to use of commercial cleaning products, the solution leaked into the hardware causing significant damage to the devices and requiring replacement of such devices.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7" w:name="page198"/>
    <w:bookmarkEnd w:id="19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860" w:hanging="406"/>
        <w:spacing w:after="0"/>
        <w:tabs>
          <w:tab w:leader="none" w:pos="8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Loss on Infrequent Product Repairs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standard warranty the Company provides covers regular wear and tear and does not cover any damage caused by mishandling of the product. However, given the nature of issues, the Company, in order to prevent disruption to the Company’s customers’ businesses, has incurred approximately $582 and $3,342 of repair and replacement expenses related to this issue during fiscal years 2022 and 2021, respectively. The Company provided repair and replacement of its hardware devices to all of its customers as a one-time only offer due to COVID-19. The Company has also made a claim to recover the costs from its third-party subcontractor who manufactures the hardware. Refer to Note 8 for further details.</w:t>
      </w:r>
    </w:p>
    <w:p>
      <w:pPr>
        <w:spacing w:after="0" w:line="173"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Stockholders’ Deficit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4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Prior to the retroactive impact of the recapitalization, the summary of the preferred stock outstanding and other related information is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5"/>
          </w:tcPr>
          <w:p>
            <w:pPr>
              <w:ind w:left="200"/>
              <w:spacing w:after="0"/>
              <w:rPr>
                <w:sz w:val="20"/>
                <w:szCs w:val="20"/>
                <w:color w:val="auto"/>
              </w:rPr>
            </w:pPr>
            <w:r>
              <w:rPr>
                <w:rFonts w:ascii="Arial" w:cs="Arial" w:eastAsia="Arial" w:hAnsi="Arial"/>
                <w:sz w:val="16"/>
                <w:szCs w:val="16"/>
                <w:b w:val="1"/>
                <w:bCs w:val="1"/>
                <w:color w:val="auto"/>
                <w:w w:val="94"/>
              </w:rPr>
              <w:t>June 30, 2022 and 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2"/>
              </w:rPr>
              <w:t>Common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7"/>
              </w:rPr>
              <w:t>Stock</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Arial" w:cs="Arial" w:eastAsia="Arial" w:hAnsi="Arial"/>
                <w:sz w:val="16"/>
                <w:szCs w:val="16"/>
                <w:b w:val="1"/>
                <w:bCs w:val="1"/>
                <w:color w:val="auto"/>
                <w:w w:val="99"/>
              </w:rPr>
              <w:t>Original</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12"/>
              <w:spacing w:after="0"/>
              <w:rPr>
                <w:sz w:val="20"/>
                <w:szCs w:val="20"/>
                <w:color w:val="auto"/>
              </w:rPr>
            </w:pPr>
            <w:r>
              <w:rPr>
                <w:rFonts w:ascii="Arial" w:cs="Arial" w:eastAsia="Arial" w:hAnsi="Arial"/>
                <w:sz w:val="16"/>
                <w:szCs w:val="16"/>
                <w:b w:val="1"/>
                <w:bCs w:val="1"/>
                <w:color w:val="auto"/>
                <w:w w:val="92"/>
              </w:rPr>
              <w:t>Net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0"/>
              </w:rPr>
              <w:t>Issuable</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93"/>
              <w:spacing w:after="0"/>
              <w:rPr>
                <w:sz w:val="20"/>
                <w:szCs w:val="20"/>
                <w:color w:val="auto"/>
              </w:rPr>
            </w:pPr>
            <w:r>
              <w:rPr>
                <w:rFonts w:ascii="Arial" w:cs="Arial" w:eastAsia="Arial" w:hAnsi="Arial"/>
                <w:sz w:val="16"/>
                <w:szCs w:val="16"/>
                <w:b w:val="1"/>
                <w:bCs w:val="1"/>
                <w:color w:val="auto"/>
              </w:rPr>
              <w:t>Issue</w:t>
            </w:r>
          </w:p>
        </w:tc>
        <w:tc>
          <w:tcPr>
            <w:tcW w:w="100" w:type="dxa"/>
            <w:vAlign w:val="bottom"/>
          </w:tcPr>
          <w:p>
            <w:pPr>
              <w:spacing w:after="0"/>
              <w:rPr>
                <w:sz w:val="17"/>
                <w:szCs w:val="17"/>
                <w:color w:val="auto"/>
              </w:rPr>
            </w:pPr>
          </w:p>
        </w:tc>
        <w:tc>
          <w:tcPr>
            <w:tcW w:w="900" w:type="dxa"/>
            <w:vAlign w:val="bottom"/>
          </w:tcPr>
          <w:p>
            <w:pPr>
              <w:jc w:val="right"/>
              <w:ind w:right="135"/>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7"/>
                <w:szCs w:val="17"/>
                <w:color w:val="auto"/>
              </w:rPr>
            </w:pPr>
          </w:p>
        </w:tc>
        <w:tc>
          <w:tcPr>
            <w:tcW w:w="96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12"/>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Liquidation</w:t>
            </w:r>
          </w:p>
        </w:tc>
        <w:tc>
          <w:tcPr>
            <w:tcW w:w="120" w:type="dxa"/>
            <w:vAlign w:val="bottom"/>
          </w:tcPr>
          <w:p>
            <w:pPr>
              <w:spacing w:after="0"/>
              <w:rPr>
                <w:sz w:val="17"/>
                <w:szCs w:val="17"/>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Upon</w:t>
            </w: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93"/>
              <w:spacing w:after="0"/>
              <w:rPr>
                <w:sz w:val="20"/>
                <w:szCs w:val="20"/>
                <w:color w:val="auto"/>
              </w:rPr>
            </w:pPr>
            <w:r>
              <w:rPr>
                <w:rFonts w:ascii="Arial" w:cs="Arial" w:eastAsia="Arial" w:hAnsi="Arial"/>
                <w:sz w:val="16"/>
                <w:szCs w:val="16"/>
                <w:b w:val="1"/>
                <w:bCs w:val="1"/>
                <w:color w:val="auto"/>
              </w:rPr>
              <w:t>Price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w w:val="98"/>
              </w:rPr>
              <w:t>Authorized</w:t>
            </w:r>
          </w:p>
        </w:tc>
        <w:tc>
          <w:tcPr>
            <w:tcW w:w="10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w w:val="97"/>
              </w:rPr>
              <w:t>Outstanding</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32"/>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Preference</w:t>
            </w:r>
          </w:p>
        </w:tc>
        <w:tc>
          <w:tcPr>
            <w:tcW w:w="12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8"/>
              </w:rPr>
              <w:t>Conversion</w:t>
            </w:r>
          </w:p>
        </w:tc>
        <w:tc>
          <w:tcPr>
            <w:tcW w:w="0" w:type="dxa"/>
            <w:vAlign w:val="bottom"/>
          </w:tcPr>
          <w:p>
            <w:pPr>
              <w:spacing w:after="0"/>
              <w:rPr>
                <w:sz w:val="1"/>
                <w:szCs w:val="1"/>
                <w:color w:val="auto"/>
              </w:rPr>
            </w:pPr>
          </w:p>
        </w:tc>
      </w:tr>
      <w:tr>
        <w:trPr>
          <w:trHeight w:val="46"/>
        </w:trPr>
        <w:tc>
          <w:tcPr>
            <w:tcW w:w="1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0.3017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9,410,799</w:t>
            </w:r>
          </w:p>
        </w:tc>
        <w:tc>
          <w:tcPr>
            <w:tcW w:w="10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8,621,800</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36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8,621,800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0"/>
                <w:szCs w:val="20"/>
                <w:color w:val="auto"/>
              </w:rPr>
            </w:pPr>
            <w:r>
              <w:rPr>
                <w:rFonts w:ascii="Arial" w:cs="Arial" w:eastAsia="Arial" w:hAnsi="Arial"/>
                <w:sz w:val="18"/>
                <w:szCs w:val="18"/>
                <w:color w:val="auto"/>
              </w:rPr>
              <w:t>Series AA-1</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9.3597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1,131,190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1,024,349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9,588</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1,024,349</w:t>
            </w:r>
          </w:p>
        </w:tc>
        <w:tc>
          <w:tcPr>
            <w:tcW w:w="0" w:type="dxa"/>
            <w:vAlign w:val="bottom"/>
          </w:tcPr>
          <w:p>
            <w:pPr>
              <w:spacing w:after="0"/>
              <w:rPr>
                <w:sz w:val="1"/>
                <w:szCs w:val="1"/>
                <w:color w:val="auto"/>
              </w:rPr>
            </w:pPr>
          </w:p>
        </w:tc>
      </w:tr>
      <w:tr>
        <w:trPr>
          <w:trHeight w:val="40"/>
        </w:trPr>
        <w:tc>
          <w:tcPr>
            <w:tcW w:w="1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AA-2</w:t>
            </w: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3.3215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169,083</w:t>
            </w:r>
          </w:p>
        </w:tc>
        <w:tc>
          <w:tcPr>
            <w:tcW w:w="10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169,083</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169,083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0"/>
                <w:szCs w:val="20"/>
                <w:color w:val="auto"/>
              </w:rPr>
            </w:pPr>
            <w:r>
              <w:rPr>
                <w:rFonts w:ascii="Arial" w:cs="Arial" w:eastAsia="Arial" w:hAnsi="Arial"/>
                <w:sz w:val="18"/>
                <w:szCs w:val="18"/>
                <w:color w:val="auto"/>
              </w:rPr>
              <w:t>Series B</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0.9959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10,364,829</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10,364,829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10,322</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10,364,829</w:t>
            </w:r>
          </w:p>
        </w:tc>
        <w:tc>
          <w:tcPr>
            <w:tcW w:w="0" w:type="dxa"/>
            <w:vAlign w:val="bottom"/>
          </w:tcPr>
          <w:p>
            <w:pPr>
              <w:spacing w:after="0"/>
              <w:rPr>
                <w:sz w:val="1"/>
                <w:szCs w:val="1"/>
                <w:color w:val="auto"/>
              </w:rPr>
            </w:pPr>
          </w:p>
        </w:tc>
      </w:tr>
      <w:tr>
        <w:trPr>
          <w:trHeight w:val="40"/>
        </w:trPr>
        <w:tc>
          <w:tcPr>
            <w:tcW w:w="1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B-1</w:t>
            </w: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0.6711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4,619,282</w:t>
            </w:r>
          </w:p>
        </w:tc>
        <w:tc>
          <w:tcPr>
            <w:tcW w:w="10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4,619,282</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4,619,282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0"/>
                <w:szCs w:val="20"/>
                <w:color w:val="auto"/>
              </w:rPr>
            </w:pPr>
            <w:r>
              <w:rPr>
                <w:rFonts w:ascii="Arial" w:cs="Arial" w:eastAsia="Arial" w:hAnsi="Arial"/>
                <w:sz w:val="18"/>
                <w:szCs w:val="18"/>
                <w:color w:val="auto"/>
              </w:rPr>
              <w:t>Series C</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6.6080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3,026,634</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1,513,316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10,000</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1,513,316</w:t>
            </w:r>
          </w:p>
        </w:tc>
        <w:tc>
          <w:tcPr>
            <w:tcW w:w="0" w:type="dxa"/>
            <w:vAlign w:val="bottom"/>
          </w:tcPr>
          <w:p>
            <w:pPr>
              <w:spacing w:after="0"/>
              <w:rPr>
                <w:sz w:val="1"/>
                <w:szCs w:val="1"/>
                <w:color w:val="auto"/>
              </w:rPr>
            </w:pPr>
          </w:p>
        </w:tc>
      </w:tr>
      <w:tr>
        <w:trPr>
          <w:trHeight w:val="40"/>
        </w:trPr>
        <w:tc>
          <w:tcPr>
            <w:tcW w:w="1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C-1</w:t>
            </w: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5.2864</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2,030,761</w:t>
            </w:r>
          </w:p>
        </w:tc>
        <w:tc>
          <w:tcPr>
            <w:tcW w:w="10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2,030,761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2,030,761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30,752,578</w:t>
            </w:r>
          </w:p>
        </w:tc>
        <w:tc>
          <w:tcPr>
            <w:tcW w:w="100" w:type="dxa"/>
            <w:vAlign w:val="bottom"/>
            <w:tcBorders>
              <w:top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28,343,420</w:t>
            </w: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46,564</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46,908</w:t>
            </w:r>
          </w:p>
        </w:tc>
        <w:tc>
          <w:tcPr>
            <w:tcW w:w="120" w:type="dxa"/>
            <w:vAlign w:val="bottom"/>
            <w:tcBorders>
              <w:top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28,343,420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As any liquidation event must first be approved by the Board, which is controlled by the Company and its common stockholders, the convertible preferred stock is classified as permanent equity in the Company’s consolidated balance sheets as of June 30, 2022 and 2021. The rights, preferences, privileges, restrictions, and other matters relating to the preferred stock are set forth in the Company’s Amended and Restated Certificate of Incorporation dated May 24, 2022, as amended, and are summarized as follows:</w:t>
      </w:r>
    </w:p>
    <w:p>
      <w:pPr>
        <w:spacing w:after="0" w:line="109"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i w:val="1"/>
          <w:iCs w:val="1"/>
          <w:color w:val="auto"/>
        </w:rPr>
        <w:t xml:space="preserve">Dividend Rights </w:t>
      </w:r>
      <w:r>
        <w:rPr>
          <w:rFonts w:ascii="Arial" w:cs="Arial" w:eastAsia="Arial" w:hAnsi="Arial"/>
          <w:sz w:val="16"/>
          <w:szCs w:val="16"/>
          <w:color w:val="auto"/>
        </w:rPr>
        <w:t>— Holders of Series A convertible preferred stock, Series B convertible preferred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Series B-1 convertible preferred stock, Series C convertible preferred stock, and Series C-1 convertible preferred stock (collectively, the “Senior Preferred Stock”), are entitled to receive dividends prior and in preference to dividends declared on the Series AA-1 convertible preferred stock, the Series AA-2 convertible preferred stock, and the voting common stock and non-voting common stock (collectively, the “ELC common stock”) at a rate of $0.0241, $0.0797, $0.0537, $0.5286, and $0.4229 per share per annum, respectively.</w:t>
      </w:r>
    </w:p>
    <w:p>
      <w:pPr>
        <w:spacing w:after="0" w:line="97"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After the holders of the Senior Preferred Stock have received full dividend preference, dividends may be declared and paid to all holders of Series AA-1 convertible preferred stock, in preference to the holders of Series AA-2 convertible preferred stock, common stock and non-voting common stock, at a rate of $0.7488 per share per annum. After the holders of Senior Preferred Stock and Series AA-1 convertible preferred stock have received full dividend preference, dividends may be declared and paid to all holders of Series AA-2 convertible preferred stock, in preference to the holders of the Company’s common stock, at a rate of $0.2657 per share per annum.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8" w:name="page199"/>
    <w:bookmarkEnd w:id="19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 xml:space="preserve">Stockholders’ Deficit </w:t>
      </w:r>
      <w:r>
        <w:rPr>
          <w:rFonts w:ascii="Arial" w:cs="Arial" w:eastAsia="Arial" w:hAnsi="Arial"/>
          <w:sz w:val="16"/>
          <w:szCs w:val="16"/>
          <w:color w:val="auto"/>
        </w:rPr>
        <w:t>(cont.)</w:t>
      </w:r>
    </w:p>
    <w:p>
      <w:pPr>
        <w:spacing w:after="0" w:line="202"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If, after dividends in the full preferential amount are paid to the holders of Senior Preferred Stock, Series AA-1 convertible preferred stock, and Series AA-2 convertible preferred stock, dividends may be declared and paid to all holders of the ELC common stock and convertible preferred stock holders in proportion to the number of shares of ELC common stock that would be held by each holder if all shares of convertible preferred stock were converted to common stock at the then effective conversion rate.</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Dividends are payable only when, and if, declared by the Board of Directors and are non-cumulative.</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June 30, 2022 and 2021, no dividends have been declared or paid by the Company.</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i w:val="1"/>
          <w:iCs w:val="1"/>
          <w:color w:val="auto"/>
        </w:rPr>
        <w:t xml:space="preserve">Liquidation preference </w:t>
      </w:r>
      <w:r>
        <w:rPr>
          <w:rFonts w:ascii="Arial" w:cs="Arial" w:eastAsia="Arial" w:hAnsi="Arial"/>
          <w:sz w:val="16"/>
          <w:szCs w:val="16"/>
          <w:color w:val="auto"/>
        </w:rPr>
        <w:t>— In the event of any liquidation event (as defined in the restated certificate of</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incorporation), whether voluntary or involuntary, before any payment shall be made to the holders of Series A convertible preferred stock, Series B convertible preferred stock, or Series B-1 convertible preferred stock (collectively, the “Other Senior Preferred Stock”), and before any payment shall be made to the holders of Series AA-1 convertible preferred stock, Series AA-2 convertible preferred stock, or ELC common stock, the holders of Series C convertible preferred stock and Series C-1 convertible preferred stock (collectively, “Series C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spacing w:after="0" w:line="8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Upon completion of the payments to holders of Series C Senior Preferred Stock, before any payment shall be made to the holders of Series AA-1 convertible preferred stock, Series AA-2 convertible preferred stock, or ELC common stock, the holders of Other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spacing w:after="0" w:line="111"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Upon completion of the payments to holders of Senior Preferred Stock, before any payment shall be made to the holders of Series AA-2 convertible preferred stock and ELC common stock, the holders of Series AA-1 convertible preferred stock shall be entitled to receive out of the funds and assets available for distribution, an amount per share equal to the greater of a) the original issue price for such series of Series AA-1 convertible preferred stock plus all declared but unpaid dividends, or b) such amount per share as would have been payable had all shares of Series AA-1 convertible preferred stock been converted into common stock prior to the liquidation event. If the assets and funds distributed among the holders of the Series AA-1 convertible preferred stock are insufficient to permit payment to such holders of the full preferential amount, then the entire assets and funds of are legally available for distribution shall be distributed ratably among the holders of the Series AA-1 convertible preferred stock in proportion to the preferential amount each such holder is otherwise entitled to receive.</w:t>
      </w:r>
    </w:p>
    <w:p>
      <w:pPr>
        <w:spacing w:after="0" w:line="11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Upon completion of the payments to holders of Senior Preferred Stock and Series AA-1 convertible preferred stock, before any payment shall be made to the holders of ELC common stock, the holders of Series AA-2 convertible preferred stock shall be entitled to receive out of the funds and assets available for distribution, an amount per share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9" w:name="page200"/>
    <w:bookmarkEnd w:id="19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 xml:space="preserve">Stockholders’ Deficit </w:t>
      </w:r>
      <w:r>
        <w:rPr>
          <w:rFonts w:ascii="Arial" w:cs="Arial" w:eastAsia="Arial" w:hAnsi="Arial"/>
          <w:sz w:val="16"/>
          <w:szCs w:val="16"/>
          <w:color w:val="auto"/>
        </w:rPr>
        <w:t>(cont.)</w:t>
      </w:r>
    </w:p>
    <w:p>
      <w:pPr>
        <w:spacing w:after="0" w:line="20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equal to the greater of a) the original issue price for such series of Series AA-2 convertible preferred stock plus all declared but unpaid dividends, or b) such amount per share as would have been payable had all shares of Series AA-2 convertible preferred stock been converted into common stock prior to the liquidation event. If the assets and funds distributed among the holders of the Series AA-2 convertible preferred stock are insufficient to permit payment to such holders of the full preferential amount, then the entire assets and funds of are legally available for distribution shall be distributed ratably among the holders of the Series AA-2 convertible preferred stock in proportion to the preferential amount each such holder is otherwise entitled to receive.</w:t>
      </w:r>
    </w:p>
    <w:p>
      <w:pPr>
        <w:spacing w:after="0" w:line="85"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After the payment of all preferential amounts required to be paid to the holders of Senior Preferred Stock, Series AA-1 convertible preferred stock, and Series AA-2 convertible preferred stock, the remaining assets and funds available for distribution to the stockholders shall be distributed among the holders of shares of ELC common stock.</w:t>
      </w:r>
    </w:p>
    <w:p>
      <w:pPr>
        <w:spacing w:after="0" w:line="119"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The original issue price is $6.6080, $5.2864, $0.9959, $0.6711, $0.3017, $9.3597, and $3.3215 per share on Series C convertible preferred stock, Series C-1 convertible preferred stock, Series B convertible preferred stock, Series B-1 convertible preferred stock, Series A convertible preferred stock, Series AA-1 convertible preferred stock and Series AA-2 convertible preferred stock, respectively.</w:t>
      </w:r>
    </w:p>
    <w:p>
      <w:pPr>
        <w:spacing w:after="0" w:line="10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 Each share of a series of convertible preferred stock are convertible, into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at the option of the holder, at any time, by dividing the original issue price for such series of convertible preferred stock by the conversion price for such series of preferred stock. The conversion price for each series of convertible preferred stock is equivalent to the original issue price for such series of convertible preferred stock.</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Each share of convertible preferred stock will automatically be converted into shares of common stock</w:t>
      </w:r>
    </w:p>
    <w:p>
      <w:pPr>
        <w:spacing w:after="0" w:line="35" w:lineRule="exact"/>
        <w:rPr>
          <w:sz w:val="20"/>
          <w:szCs w:val="20"/>
          <w:color w:val="auto"/>
        </w:rPr>
      </w:pPr>
    </w:p>
    <w:p>
      <w:pPr>
        <w:jc w:val="both"/>
        <w:ind w:left="460" w:right="459" w:hanging="6"/>
        <w:spacing w:after="0" w:line="284" w:lineRule="auto"/>
        <w:tabs>
          <w:tab w:leader="none" w:pos="74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immediately upon the closing of an underwritten public offering, pursuant to an effective registration statement file with the United States Securities and Exchange Commission resulting in aggregate gross proceeds to the Company of at least $75,000 and at a per share offering price to the public of no less than one times the original issue price of the Series C convertible preferred stock or (b) (i) in the case of the Series C convertible preferred stock and Series C-1 convertible preferred stock, the date and time in which a majority of the holders of Series C convertible preferred stock and Series C-1 convertible preferred stock, including the Series C lead investor, then outstanding specify by vote or written consent (ii) in the case of the Series B convertible preferred stock and Series B-1 convertible preferred stock, the date and time in which a majority of the holders of Series B convertible preferred stock and Series B-1 convertible preferred stock, including the Series B lead investor, then outstanding specify by vote or written consent, (iii) in the case of the Series A convertible preferred stock including the Series A lead investor, the date and time in which a majority of the holders of Series A convertible preferred stock then outstanding specify by vote or written consent (iv) in the case of the Series AA-1 convertible preferred stock, the date and time in which a majority of the holders of Series AA-1 convertible preferred stock then outstanding specify by vote or written consent and (v) in the case of the Series AA-2 convertible preferred stock, the date and time in which a majority of the holders of Series AA-2 convertible preferred stock then outstanding specify by vote or written consent.</w:t>
      </w:r>
    </w:p>
    <w:p>
      <w:pPr>
        <w:spacing w:after="0" w:line="10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Holders of convertible preferred stock are entitled to vote equal to the number of whole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into which the shares of convertible preferred stock are convertible. Holders of convertible preferred stock vote together with the holders of common stock as a single class on an as-converted basis.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w:t>
      </w:r>
    </w:p>
    <w:p>
      <w:pPr>
        <w:spacing w:after="0" w:line="15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As of June 30, 2022, the Company has 27,974,439 shares of common stock outstanding and as of June 30, 2021, the Company has 27,112,760 shares of common stock outstanding. The authorized and issued shares of common stock reflect the impact of the retroactive application of the recapitalization. The holders of common stock shall have the right to one vote for each share of common stock held. The holders of non-voting common stock do not have the right to vote on any matter. The Company’s common stock and non-voting common stock share all characteristics with the exception of voting rights.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0" w:name="page201"/>
    <w:bookmarkEnd w:id="20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 xml:space="preserve">Stockholders’ Deficit </w:t>
      </w:r>
      <w:r>
        <w:rPr>
          <w:rFonts w:ascii="Arial" w:cs="Arial" w:eastAsia="Arial" w:hAnsi="Arial"/>
          <w:sz w:val="16"/>
          <w:szCs w:val="16"/>
          <w:color w:val="auto"/>
        </w:rPr>
        <w:t>(cont.)</w:t>
      </w:r>
    </w:p>
    <w:p>
      <w:pPr>
        <w:spacing w:after="0" w:line="20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Company had reserved shares of common stock for issuance, on an as-converted basis and reflecting the impact of the retroactive application of the recapitalization, as follows: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500" w:type="dxa"/>
            <w:vAlign w:val="bottom"/>
            <w:gridSpan w:val="3"/>
          </w:tcPr>
          <w:p>
            <w:pPr>
              <w:jc w:val="right"/>
              <w:ind w:right="672"/>
              <w:spacing w:after="0"/>
              <w:rPr>
                <w:sz w:val="20"/>
                <w:szCs w:val="20"/>
                <w:color w:val="auto"/>
              </w:rPr>
            </w:pPr>
            <w:r>
              <w:rPr>
                <w:rFonts w:ascii="Arial" w:cs="Arial" w:eastAsia="Arial" w:hAnsi="Arial"/>
                <w:sz w:val="16"/>
                <w:szCs w:val="16"/>
                <w:b w:val="1"/>
                <w:bCs w:val="1"/>
                <w:color w:val="auto"/>
              </w:rPr>
              <w:t>As of June 30,</w:t>
            </w:r>
          </w:p>
        </w:tc>
      </w:tr>
      <w:tr>
        <w:trPr>
          <w:trHeight w:val="46"/>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114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1240" w:type="dxa"/>
            <w:vAlign w:val="bottom"/>
          </w:tcPr>
          <w:p>
            <w:pPr>
              <w:jc w:val="right"/>
              <w:ind w:right="372"/>
              <w:spacing w:after="0"/>
              <w:rPr>
                <w:sz w:val="20"/>
                <w:szCs w:val="20"/>
                <w:color w:val="auto"/>
              </w:rPr>
            </w:pPr>
            <w:r>
              <w:rPr>
                <w:rFonts w:ascii="Arial" w:cs="Arial" w:eastAsia="Arial" w:hAnsi="Arial"/>
                <w:sz w:val="16"/>
                <w:szCs w:val="16"/>
                <w:b w:val="1"/>
                <w:bCs w:val="1"/>
                <w:color w:val="auto"/>
              </w:rPr>
              <w:t>2021</w:t>
            </w:r>
          </w:p>
        </w:tc>
      </w:tr>
      <w:tr>
        <w:trPr>
          <w:trHeight w:val="46"/>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to purchase common stock and RSUs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11,568,090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12,084,408</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4,658,865</w:t>
            </w:r>
          </w:p>
        </w:tc>
        <w:tc>
          <w:tcPr>
            <w:tcW w:w="1240" w:type="dxa"/>
            <w:vAlign w:val="bottom"/>
          </w:tcPr>
          <w:p>
            <w:pPr>
              <w:jc w:val="right"/>
              <w:spacing w:after="0"/>
              <w:rPr>
                <w:sz w:val="20"/>
                <w:szCs w:val="20"/>
                <w:color w:val="auto"/>
              </w:rPr>
            </w:pPr>
            <w:r>
              <w:rPr>
                <w:rFonts w:ascii="Arial" w:cs="Arial" w:eastAsia="Arial" w:hAnsi="Arial"/>
                <w:sz w:val="18"/>
                <w:szCs w:val="18"/>
                <w:color w:val="auto"/>
              </w:rPr>
              <w:t>4,344,523</w:t>
            </w:r>
          </w:p>
        </w:tc>
      </w:tr>
      <w:tr>
        <w:trPr>
          <w:trHeight w:val="41"/>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Conversion of convertible notes</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5,827,990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3,449,872</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Stock options and RSUs available for future grants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877,627</w:t>
            </w:r>
          </w:p>
        </w:tc>
        <w:tc>
          <w:tcPr>
            <w:tcW w:w="1240" w:type="dxa"/>
            <w:vAlign w:val="bottom"/>
          </w:tcPr>
          <w:p>
            <w:pPr>
              <w:jc w:val="right"/>
              <w:spacing w:after="0"/>
              <w:rPr>
                <w:sz w:val="20"/>
                <w:szCs w:val="20"/>
                <w:color w:val="auto"/>
              </w:rPr>
            </w:pPr>
            <w:r>
              <w:rPr>
                <w:rFonts w:ascii="Arial" w:cs="Arial" w:eastAsia="Arial" w:hAnsi="Arial"/>
                <w:sz w:val="18"/>
                <w:szCs w:val="18"/>
                <w:color w:val="auto"/>
              </w:rPr>
              <w:t>621,224</w:t>
            </w:r>
          </w:p>
        </w:tc>
      </w:tr>
      <w:tr>
        <w:trPr>
          <w:trHeight w:val="27"/>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22,932,572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20,500,027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Warrants</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Since inception, the Company has issued warrants to purchase convertible preferred and common stock in conjunction with various debt financings.</w:t>
      </w:r>
    </w:p>
    <w:p>
      <w:pPr>
        <w:spacing w:after="0" w:line="8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The Company accounts for its warrants in accordance with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 Liability-classified warrants are remeasured at each reporting date until settlement, with changes in the fair value recognized in change in fair value of warrants and convertible promissory notes in the statement of operations and comprehensive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Convertible Preferred Stock Warrants</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Prior to the retroactive impact of the recapitalization, the following tables represents the warrants on convertible preferred stock outstanding:</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gridSpan w:val="4"/>
          </w:tcPr>
          <w:p>
            <w:pPr>
              <w:ind w:left="40"/>
              <w:spacing w:after="0"/>
              <w:rPr>
                <w:sz w:val="20"/>
                <w:szCs w:val="20"/>
                <w:color w:val="auto"/>
              </w:rPr>
            </w:pPr>
            <w:r>
              <w:rPr>
                <w:rFonts w:ascii="Arial" w:cs="Arial" w:eastAsia="Arial" w:hAnsi="Arial"/>
                <w:sz w:val="16"/>
                <w:szCs w:val="16"/>
                <w:b w:val="1"/>
                <w:bCs w:val="1"/>
                <w:color w:val="auto"/>
                <w:w w:val="98"/>
              </w:rPr>
              <w:t>As of June 30, 2022</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8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860" w:type="dxa"/>
            <w:vAlign w:val="bottom"/>
          </w:tcPr>
          <w:p>
            <w:pPr>
              <w:spacing w:after="0"/>
              <w:rPr>
                <w:sz w:val="15"/>
                <w:szCs w:val="15"/>
                <w:color w:val="auto"/>
              </w:rPr>
            </w:pPr>
          </w:p>
        </w:tc>
        <w:tc>
          <w:tcPr>
            <w:tcW w:w="11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4"/>
              </w:rPr>
              <w:t>Expiration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ind w:left="80"/>
              <w:spacing w:after="0" w:line="182" w:lineRule="exact"/>
              <w:rPr>
                <w:sz w:val="20"/>
                <w:szCs w:val="20"/>
                <w:color w:val="auto"/>
              </w:rPr>
            </w:pPr>
            <w:r>
              <w:rPr>
                <w:rFonts w:ascii="Arial" w:cs="Arial" w:eastAsia="Arial" w:hAnsi="Arial"/>
                <w:sz w:val="16"/>
                <w:szCs w:val="16"/>
                <w:b w:val="1"/>
                <w:bCs w:val="1"/>
                <w:color w:val="auto"/>
              </w:rPr>
              <w:t>Exercise</w:t>
            </w:r>
          </w:p>
        </w:tc>
        <w:tc>
          <w:tcPr>
            <w:tcW w:w="80" w:type="dxa"/>
            <w:vAlign w:val="bottom"/>
          </w:tcPr>
          <w:p>
            <w:pPr>
              <w:spacing w:after="0"/>
              <w:rPr>
                <w:sz w:val="15"/>
                <w:szCs w:val="15"/>
                <w:color w:val="auto"/>
              </w:rPr>
            </w:pPr>
          </w:p>
        </w:tc>
        <w:tc>
          <w:tcPr>
            <w:tcW w:w="1440" w:type="dxa"/>
            <w:vAlign w:val="bottom"/>
            <w:gridSpan w:val="3"/>
          </w:tcPr>
          <w:p>
            <w:pPr>
              <w:jc w:val="center"/>
              <w:ind w:right="300"/>
              <w:spacing w:after="0" w:line="182" w:lineRule="exact"/>
              <w:rPr>
                <w:sz w:val="20"/>
                <w:szCs w:val="20"/>
                <w:color w:val="auto"/>
              </w:rPr>
            </w:pPr>
            <w:r>
              <w:rPr>
                <w:rFonts w:ascii="Arial" w:cs="Arial" w:eastAsia="Arial" w:hAnsi="Arial"/>
                <w:sz w:val="16"/>
                <w:szCs w:val="16"/>
                <w:b w:val="1"/>
                <w:bCs w:val="1"/>
                <w:color w:val="auto"/>
                <w:w w:val="92"/>
              </w:rPr>
              <w:t>Number of</w:t>
            </w:r>
          </w:p>
        </w:tc>
        <w:tc>
          <w:tcPr>
            <w:tcW w:w="940" w:type="dxa"/>
            <w:vAlign w:val="bottom"/>
          </w:tcPr>
          <w:p>
            <w:pPr>
              <w:jc w:val="center"/>
              <w:ind w:right="112"/>
              <w:spacing w:after="0" w:line="182" w:lineRule="exact"/>
              <w:rPr>
                <w:sz w:val="20"/>
                <w:szCs w:val="20"/>
                <w:color w:val="auto"/>
              </w:rPr>
            </w:pPr>
            <w:r>
              <w:rPr>
                <w:rFonts w:ascii="Arial" w:cs="Arial" w:eastAsia="Arial" w:hAnsi="Arial"/>
                <w:sz w:val="16"/>
                <w:szCs w:val="16"/>
                <w:b w:val="1"/>
                <w:bCs w:val="1"/>
                <w:color w:val="auto"/>
                <w:w w:val="97"/>
              </w:rPr>
              <w:t>Term</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date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6"/>
                <w:szCs w:val="16"/>
                <w:b w:val="1"/>
                <w:bCs w:val="1"/>
                <w:color w:val="auto"/>
              </w:rPr>
              <w:t>Price</w:t>
            </w:r>
          </w:p>
        </w:tc>
        <w:tc>
          <w:tcPr>
            <w:tcW w:w="80" w:type="dxa"/>
            <w:vAlign w:val="bottom"/>
          </w:tcPr>
          <w:p>
            <w:pPr>
              <w:spacing w:after="0"/>
              <w:rPr>
                <w:sz w:val="18"/>
                <w:szCs w:val="18"/>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6"/>
              </w:rPr>
              <w:t>Shares</w:t>
            </w:r>
          </w:p>
        </w:tc>
        <w:tc>
          <w:tcPr>
            <w:tcW w:w="940" w:type="dxa"/>
            <w:vAlign w:val="bottom"/>
          </w:tcPr>
          <w:p>
            <w:pPr>
              <w:jc w:val="center"/>
              <w:ind w:right="92"/>
              <w:spacing w:after="0"/>
              <w:rPr>
                <w:sz w:val="20"/>
                <w:szCs w:val="20"/>
                <w:color w:val="auto"/>
              </w:rPr>
            </w:pPr>
            <w:r>
              <w:rPr>
                <w:rFonts w:ascii="Arial" w:cs="Arial" w:eastAsia="Arial" w:hAnsi="Arial"/>
                <w:sz w:val="16"/>
                <w:szCs w:val="16"/>
                <w:b w:val="1"/>
                <w:bCs w:val="1"/>
                <w:color w:val="auto"/>
                <w:w w:val="91"/>
              </w:rPr>
              <w:t>(years)</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0"/>
              </w:rPr>
              <w:t>Classification</w:t>
            </w:r>
          </w:p>
        </w:tc>
        <w:tc>
          <w:tcPr>
            <w:tcW w:w="0" w:type="dxa"/>
            <w:vAlign w:val="bottom"/>
          </w:tcPr>
          <w:p>
            <w:pPr>
              <w:spacing w:after="0"/>
              <w:rPr>
                <w:sz w:val="1"/>
                <w:szCs w:val="1"/>
                <w:color w:val="auto"/>
              </w:rPr>
            </w:pPr>
          </w:p>
        </w:tc>
      </w:tr>
      <w:tr>
        <w:trPr>
          <w:trHeight w:val="47"/>
        </w:trPr>
        <w:tc>
          <w:tcPr>
            <w:tcW w:w="18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79"/>
              </w:rPr>
              <w:t>0.30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right="112"/>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0"/>
                <w:szCs w:val="20"/>
                <w:color w:val="auto"/>
              </w:rPr>
            </w:pPr>
            <w:r>
              <w:rPr>
                <w:rFonts w:ascii="Arial" w:cs="Arial" w:eastAsia="Arial" w:hAnsi="Arial"/>
                <w:sz w:val="18"/>
                <w:szCs w:val="18"/>
                <w:color w:val="auto"/>
              </w:rPr>
              <w:t>Series A</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March 2026</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w w:val="91"/>
              </w:rPr>
              <w:t>7.49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71,553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center"/>
              <w:ind w:right="112"/>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AA-1</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2026</w:t>
            </w:r>
          </w:p>
        </w:tc>
        <w:tc>
          <w:tcPr>
            <w:tcW w:w="300" w:type="dxa"/>
            <w:vAlign w:val="bottom"/>
            <w:tcBorders>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w w:val="91"/>
              </w:rPr>
              <w:t>7.49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106,841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center"/>
              <w:ind w:right="112"/>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0"/>
                <w:szCs w:val="20"/>
                <w:color w:val="auto"/>
              </w:rPr>
            </w:pPr>
            <w:r>
              <w:rPr>
                <w:rFonts w:ascii="Arial" w:cs="Arial" w:eastAsia="Arial" w:hAnsi="Arial"/>
                <w:sz w:val="18"/>
                <w:szCs w:val="18"/>
                <w:color w:val="auto"/>
              </w:rPr>
              <w:t>Series A</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July 2027</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w w:val="91"/>
              </w:rPr>
              <w:t>0.30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497,183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center"/>
              <w:ind w:right="112"/>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[A]</w:t>
            </w:r>
          </w:p>
        </w:tc>
        <w:tc>
          <w:tcPr>
            <w:tcW w:w="300" w:type="dxa"/>
            <w:vAlign w:val="bottom"/>
            <w:tcBorders>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w w:val="91"/>
              </w:rPr>
              <w:t>6.61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224,909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center"/>
              <w:ind w:right="112"/>
              <w:spacing w:after="0"/>
              <w:rPr>
                <w:sz w:val="20"/>
                <w:szCs w:val="20"/>
                <w:color w:val="auto"/>
              </w:rPr>
            </w:pPr>
            <w:r>
              <w:rPr>
                <w:rFonts w:ascii="Arial" w:cs="Arial" w:eastAsia="Arial" w:hAnsi="Arial"/>
                <w:sz w:val="18"/>
                <w:szCs w:val="18"/>
                <w:b w:val="1"/>
                <w:bCs w:val="1"/>
                <w:color w:val="auto"/>
              </w:rPr>
              <w:t>[A]</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0"/>
                <w:szCs w:val="20"/>
                <w:color w:val="auto"/>
              </w:rPr>
            </w:pPr>
            <w:r>
              <w:rPr>
                <w:rFonts w:ascii="Arial" w:cs="Arial" w:eastAsia="Arial" w:hAnsi="Arial"/>
                <w:sz w:val="18"/>
                <w:szCs w:val="18"/>
                <w:color w:val="auto"/>
              </w:rPr>
              <w:t>Series C</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January 2031</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w w:val="91"/>
              </w:rPr>
              <w:t>6.61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34,050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center"/>
              <w:ind w:right="112"/>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C-1</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2031</w:t>
            </w:r>
          </w:p>
        </w:tc>
        <w:tc>
          <w:tcPr>
            <w:tcW w:w="300" w:type="dxa"/>
            <w:vAlign w:val="bottom"/>
            <w:tcBorders>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w w:val="91"/>
              </w:rPr>
              <w:t>5.29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363,894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center"/>
              <w:ind w:right="112"/>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56"/>
        </w:trPr>
        <w:tc>
          <w:tcPr>
            <w:tcW w:w="1860" w:type="dxa"/>
            <w:vAlign w:val="bottom"/>
          </w:tcPr>
          <w:p>
            <w:pPr>
              <w:spacing w:after="0"/>
              <w:rPr>
                <w:sz w:val="20"/>
                <w:szCs w:val="20"/>
                <w:color w:val="auto"/>
              </w:rPr>
            </w:pPr>
            <w:r>
              <w:rPr>
                <w:rFonts w:ascii="Arial" w:cs="Arial" w:eastAsia="Arial" w:hAnsi="Arial"/>
                <w:sz w:val="18"/>
                <w:szCs w:val="18"/>
                <w:color w:val="auto"/>
              </w:rPr>
              <w:t>Series C</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March 2032</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w w:val="91"/>
              </w:rPr>
              <w:t>6.61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253,855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center"/>
              <w:ind w:right="112"/>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7"/>
        </w:trPr>
        <w:tc>
          <w:tcPr>
            <w:tcW w:w="18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1,772,548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gridSpan w:val="2"/>
            <w:vMerge w:val="restart"/>
          </w:tcPr>
          <w:p>
            <w:pPr>
              <w:ind w:left="580"/>
              <w:spacing w:after="0"/>
              <w:rPr>
                <w:sz w:val="20"/>
                <w:szCs w:val="20"/>
                <w:color w:val="auto"/>
              </w:rPr>
            </w:pPr>
            <w:r>
              <w:rPr>
                <w:rFonts w:ascii="Arial" w:cs="Arial" w:eastAsia="Arial" w:hAnsi="Arial"/>
                <w:sz w:val="18"/>
                <w:szCs w:val="18"/>
                <w:color w:val="auto"/>
              </w:rPr>
              <w:t>F-77</w:t>
            </w: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8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01" w:name="page202"/>
    <w:bookmarkEnd w:id="20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 xml:space="preserve">Warrants </w:t>
      </w:r>
      <w:r>
        <w:rPr>
          <w:rFonts w:ascii="Arial" w:cs="Arial" w:eastAsia="Arial" w:hAnsi="Arial"/>
          <w:sz w:val="16"/>
          <w:szCs w:val="16"/>
          <w:color w:val="auto"/>
        </w:rPr>
        <w:t>(cont.)</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gridSpan w:val="4"/>
          </w:tcPr>
          <w:p>
            <w:pPr>
              <w:ind w:left="40"/>
              <w:spacing w:after="0"/>
              <w:rPr>
                <w:sz w:val="20"/>
                <w:szCs w:val="20"/>
                <w:color w:val="auto"/>
              </w:rPr>
            </w:pPr>
            <w:r>
              <w:rPr>
                <w:rFonts w:ascii="Arial" w:cs="Arial" w:eastAsia="Arial" w:hAnsi="Arial"/>
                <w:sz w:val="16"/>
                <w:szCs w:val="16"/>
                <w:b w:val="1"/>
                <w:bCs w:val="1"/>
                <w:color w:val="auto"/>
                <w:w w:val="98"/>
              </w:rPr>
              <w:t>As of June 30, 2021</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6"/>
        </w:trPr>
        <w:tc>
          <w:tcPr>
            <w:tcW w:w="18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182"/>
        </w:trPr>
        <w:tc>
          <w:tcPr>
            <w:tcW w:w="1860" w:type="dxa"/>
            <w:vAlign w:val="bottom"/>
          </w:tcPr>
          <w:p>
            <w:pPr>
              <w:spacing w:after="0"/>
              <w:rPr>
                <w:sz w:val="15"/>
                <w:szCs w:val="15"/>
                <w:color w:val="auto"/>
              </w:rPr>
            </w:pPr>
          </w:p>
        </w:tc>
        <w:tc>
          <w:tcPr>
            <w:tcW w:w="11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4"/>
              </w:rPr>
              <w:t>Expiration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300"/>
              <w:spacing w:after="0" w:line="182" w:lineRule="exact"/>
              <w:rPr>
                <w:sz w:val="20"/>
                <w:szCs w:val="20"/>
                <w:color w:val="auto"/>
              </w:rPr>
            </w:pPr>
            <w:r>
              <w:rPr>
                <w:rFonts w:ascii="Arial" w:cs="Arial" w:eastAsia="Arial" w:hAnsi="Arial"/>
                <w:sz w:val="16"/>
                <w:szCs w:val="16"/>
                <w:b w:val="1"/>
                <w:bCs w:val="1"/>
                <w:color w:val="auto"/>
              </w:rPr>
              <w:t>Exercise</w:t>
            </w:r>
          </w:p>
        </w:tc>
        <w:tc>
          <w:tcPr>
            <w:tcW w:w="80" w:type="dxa"/>
            <w:vAlign w:val="bottom"/>
          </w:tcPr>
          <w:p>
            <w:pPr>
              <w:spacing w:after="0"/>
              <w:rPr>
                <w:sz w:val="15"/>
                <w:szCs w:val="15"/>
                <w:color w:val="auto"/>
              </w:rPr>
            </w:pPr>
          </w:p>
        </w:tc>
        <w:tc>
          <w:tcPr>
            <w:tcW w:w="1440" w:type="dxa"/>
            <w:vAlign w:val="bottom"/>
            <w:gridSpan w:val="3"/>
          </w:tcPr>
          <w:p>
            <w:pPr>
              <w:jc w:val="center"/>
              <w:ind w:right="300"/>
              <w:spacing w:after="0" w:line="182" w:lineRule="exact"/>
              <w:rPr>
                <w:sz w:val="20"/>
                <w:szCs w:val="20"/>
                <w:color w:val="auto"/>
              </w:rPr>
            </w:pPr>
            <w:r>
              <w:rPr>
                <w:rFonts w:ascii="Arial" w:cs="Arial" w:eastAsia="Arial" w:hAnsi="Arial"/>
                <w:sz w:val="16"/>
                <w:szCs w:val="16"/>
                <w:b w:val="1"/>
                <w:bCs w:val="1"/>
                <w:color w:val="auto"/>
                <w:w w:val="92"/>
              </w:rPr>
              <w:t>Number of</w:t>
            </w:r>
          </w:p>
        </w:tc>
        <w:tc>
          <w:tcPr>
            <w:tcW w:w="940" w:type="dxa"/>
            <w:vAlign w:val="bottom"/>
          </w:tcPr>
          <w:p>
            <w:pPr>
              <w:jc w:val="center"/>
              <w:ind w:right="112"/>
              <w:spacing w:after="0" w:line="182" w:lineRule="exact"/>
              <w:rPr>
                <w:sz w:val="20"/>
                <w:szCs w:val="20"/>
                <w:color w:val="auto"/>
              </w:rPr>
            </w:pPr>
            <w:r>
              <w:rPr>
                <w:rFonts w:ascii="Arial" w:cs="Arial" w:eastAsia="Arial" w:hAnsi="Arial"/>
                <w:sz w:val="16"/>
                <w:szCs w:val="16"/>
                <w:b w:val="1"/>
                <w:bCs w:val="1"/>
                <w:color w:val="auto"/>
                <w:w w:val="97"/>
              </w:rPr>
              <w:t>Term</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10"/>
        </w:trPr>
        <w:tc>
          <w:tcPr>
            <w:tcW w:w="18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date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Price</w:t>
            </w:r>
          </w:p>
        </w:tc>
        <w:tc>
          <w:tcPr>
            <w:tcW w:w="80" w:type="dxa"/>
            <w:vAlign w:val="bottom"/>
          </w:tcPr>
          <w:p>
            <w:pPr>
              <w:spacing w:after="0"/>
              <w:rPr>
                <w:sz w:val="18"/>
                <w:szCs w:val="18"/>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6"/>
              </w:rPr>
              <w:t>Shares</w:t>
            </w:r>
          </w:p>
        </w:tc>
        <w:tc>
          <w:tcPr>
            <w:tcW w:w="940" w:type="dxa"/>
            <w:vAlign w:val="bottom"/>
          </w:tcPr>
          <w:p>
            <w:pPr>
              <w:jc w:val="center"/>
              <w:ind w:right="92"/>
              <w:spacing w:after="0"/>
              <w:rPr>
                <w:sz w:val="20"/>
                <w:szCs w:val="20"/>
                <w:color w:val="auto"/>
              </w:rPr>
            </w:pPr>
            <w:r>
              <w:rPr>
                <w:rFonts w:ascii="Arial" w:cs="Arial" w:eastAsia="Arial" w:hAnsi="Arial"/>
                <w:sz w:val="16"/>
                <w:szCs w:val="16"/>
                <w:b w:val="1"/>
                <w:bCs w:val="1"/>
                <w:color w:val="auto"/>
                <w:w w:val="91"/>
              </w:rPr>
              <w:t>(years)</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0"/>
              </w:rPr>
              <w:t>Classification</w:t>
            </w:r>
          </w:p>
        </w:tc>
      </w:tr>
      <w:tr>
        <w:trPr>
          <w:trHeight w:val="46"/>
        </w:trPr>
        <w:tc>
          <w:tcPr>
            <w:tcW w:w="18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57"/>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2026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220,263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center"/>
              <w:ind w:right="112"/>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43"/>
        </w:trPr>
        <w:tc>
          <w:tcPr>
            <w:tcW w:w="1860" w:type="dxa"/>
            <w:vAlign w:val="bottom"/>
          </w:tcPr>
          <w:p>
            <w:pPr>
              <w:spacing w:after="0"/>
              <w:rPr>
                <w:sz w:val="20"/>
                <w:szCs w:val="20"/>
                <w:color w:val="auto"/>
              </w:rPr>
            </w:pPr>
            <w:r>
              <w:rPr>
                <w:rFonts w:ascii="Arial" w:cs="Arial" w:eastAsia="Arial" w:hAnsi="Arial"/>
                <w:sz w:val="18"/>
                <w:szCs w:val="18"/>
                <w:color w:val="auto"/>
              </w:rPr>
              <w:t>Series A</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March 2026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7.49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71,553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center"/>
              <w:ind w:right="112"/>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AA-1</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2026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106,841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center"/>
              <w:ind w:right="112"/>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43"/>
        </w:trPr>
        <w:tc>
          <w:tcPr>
            <w:tcW w:w="1860" w:type="dxa"/>
            <w:vAlign w:val="bottom"/>
          </w:tcPr>
          <w:p>
            <w:pPr>
              <w:spacing w:after="0"/>
              <w:rPr>
                <w:sz w:val="20"/>
                <w:szCs w:val="20"/>
                <w:color w:val="auto"/>
              </w:rPr>
            </w:pPr>
            <w:r>
              <w:rPr>
                <w:rFonts w:ascii="Arial" w:cs="Arial" w:eastAsia="Arial" w:hAnsi="Arial"/>
                <w:sz w:val="18"/>
                <w:szCs w:val="18"/>
                <w:color w:val="auto"/>
              </w:rPr>
              <w:t>Series A</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July 2027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0.30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497,183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center"/>
              <w:ind w:right="112"/>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41"/>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[A]</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224,909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center"/>
              <w:ind w:right="112"/>
              <w:spacing w:after="0"/>
              <w:rPr>
                <w:sz w:val="20"/>
                <w:szCs w:val="20"/>
                <w:color w:val="auto"/>
              </w:rPr>
            </w:pPr>
            <w:r>
              <w:rPr>
                <w:rFonts w:ascii="Arial" w:cs="Arial" w:eastAsia="Arial" w:hAnsi="Arial"/>
                <w:sz w:val="18"/>
                <w:szCs w:val="18"/>
                <w:b w:val="1"/>
                <w:bCs w:val="1"/>
                <w:color w:val="auto"/>
              </w:rPr>
              <w:t>[A]</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43"/>
        </w:trPr>
        <w:tc>
          <w:tcPr>
            <w:tcW w:w="1860" w:type="dxa"/>
            <w:vAlign w:val="bottom"/>
          </w:tcPr>
          <w:p>
            <w:pPr>
              <w:spacing w:after="0"/>
              <w:rPr>
                <w:sz w:val="20"/>
                <w:szCs w:val="20"/>
                <w:color w:val="auto"/>
              </w:rPr>
            </w:pPr>
            <w:r>
              <w:rPr>
                <w:rFonts w:ascii="Arial" w:cs="Arial" w:eastAsia="Arial" w:hAnsi="Arial"/>
                <w:sz w:val="18"/>
                <w:szCs w:val="18"/>
                <w:color w:val="auto"/>
              </w:rPr>
              <w:t>Series C</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January 2031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6.61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34,050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center"/>
              <w:ind w:right="112"/>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5"/>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C-1</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2031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w:t>
            </w:r>
          </w:p>
        </w:tc>
        <w:tc>
          <w:tcPr>
            <w:tcW w:w="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363,894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center"/>
              <w:ind w:right="112"/>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43"/>
        </w:trPr>
        <w:tc>
          <w:tcPr>
            <w:tcW w:w="18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1,518,693</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r>
      <w:tr>
        <w:trPr>
          <w:trHeight w:val="20"/>
        </w:trPr>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900" w:right="459" w:hanging="446"/>
        <w:spacing w:after="0" w:line="266" w:lineRule="auto"/>
        <w:tabs>
          <w:tab w:leader="none" w:pos="73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—Warrants will expire at the earliest of a consummation of an acquisition and one year after the effective date of a registration statement for an initial public offering.</w:t>
      </w:r>
    </w:p>
    <w:p>
      <w:pPr>
        <w:spacing w:after="0" w:line="1" w:lineRule="exact"/>
        <w:rPr>
          <w:rFonts w:ascii="Arial" w:cs="Arial" w:eastAsia="Arial" w:hAnsi="Arial"/>
          <w:sz w:val="16"/>
          <w:szCs w:val="16"/>
          <w:color w:val="auto"/>
        </w:rPr>
      </w:pPr>
    </w:p>
    <w:p>
      <w:pPr>
        <w:ind w:left="900" w:right="459" w:hanging="446"/>
        <w:spacing w:after="0" w:line="272" w:lineRule="auto"/>
        <w:tabs>
          <w:tab w:leader="none" w:pos="73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—Warrant has the option of being converted into a variable number of shares based on the class of shares that the warrant is exercised at the discretion of the warrant holder. The Company notes the most likely conversion is to Series C-1 Preferred Stock and have calculated the number of shares as the quotient of the aggregate warrant intrinsic value of $1,925 over the exercise price of $5.29.</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Common Stock and Non-Voting Common Stock Warrants</w:t>
      </w:r>
    </w:p>
    <w:p>
      <w:pPr>
        <w:spacing w:after="0" w:line="144" w:lineRule="exact"/>
        <w:rPr>
          <w:sz w:val="20"/>
          <w:szCs w:val="20"/>
          <w:color w:val="auto"/>
        </w:rPr>
      </w:pPr>
    </w:p>
    <w:p>
      <w:pPr>
        <w:ind w:left="460" w:right="459" w:firstLine="432"/>
        <w:spacing w:after="0" w:line="342" w:lineRule="auto"/>
        <w:rPr>
          <w:sz w:val="20"/>
          <w:szCs w:val="20"/>
          <w:color w:val="auto"/>
        </w:rPr>
      </w:pPr>
      <w:r>
        <w:rPr>
          <w:rFonts w:ascii="Arial" w:cs="Arial" w:eastAsia="Arial" w:hAnsi="Arial"/>
          <w:sz w:val="16"/>
          <w:szCs w:val="16"/>
          <w:color w:val="auto"/>
        </w:rPr>
        <w:t>The following tables represents the warrants on common stock outstanding, presented on an as converted basis to reflect the impact of the retroactive application of the recapitalization using the Exchange Ratio:</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gridSpan w:val="6"/>
          </w:tcPr>
          <w:p>
            <w:pPr>
              <w:ind w:left="20"/>
              <w:spacing w:after="0"/>
              <w:rPr>
                <w:sz w:val="20"/>
                <w:szCs w:val="20"/>
                <w:color w:val="auto"/>
              </w:rPr>
            </w:pPr>
            <w:r>
              <w:rPr>
                <w:rFonts w:ascii="Arial" w:cs="Arial" w:eastAsia="Arial" w:hAnsi="Arial"/>
                <w:sz w:val="16"/>
                <w:szCs w:val="16"/>
                <w:b w:val="1"/>
                <w:bCs w:val="1"/>
                <w:color w:val="auto"/>
              </w:rPr>
              <w:t>As of June 30, 2022</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7"/>
        </w:trPr>
        <w:tc>
          <w:tcPr>
            <w:tcW w:w="18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182"/>
        </w:trPr>
        <w:tc>
          <w:tcPr>
            <w:tcW w:w="1860" w:type="dxa"/>
            <w:vAlign w:val="bottom"/>
          </w:tcPr>
          <w:p>
            <w:pPr>
              <w:spacing w:after="0"/>
              <w:rPr>
                <w:sz w:val="15"/>
                <w:szCs w:val="15"/>
                <w:color w:val="auto"/>
              </w:rPr>
            </w:pPr>
          </w:p>
        </w:tc>
        <w:tc>
          <w:tcPr>
            <w:tcW w:w="11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7"/>
              </w:rPr>
              <w:t>Expiration</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20"/>
              <w:spacing w:after="0" w:line="182" w:lineRule="exact"/>
              <w:rPr>
                <w:sz w:val="20"/>
                <w:szCs w:val="20"/>
                <w:color w:val="auto"/>
              </w:rPr>
            </w:pPr>
            <w:r>
              <w:rPr>
                <w:rFonts w:ascii="Arial" w:cs="Arial" w:eastAsia="Arial" w:hAnsi="Arial"/>
                <w:sz w:val="16"/>
                <w:szCs w:val="16"/>
                <w:b w:val="1"/>
                <w:bCs w:val="1"/>
                <w:color w:val="auto"/>
                <w:w w:val="88"/>
              </w:rPr>
              <w:t>Exercise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4"/>
          </w:tcPr>
          <w:p>
            <w:pPr>
              <w:jc w:val="center"/>
              <w:ind w:right="480"/>
              <w:spacing w:after="0" w:line="182" w:lineRule="exact"/>
              <w:rPr>
                <w:sz w:val="20"/>
                <w:szCs w:val="20"/>
                <w:color w:val="auto"/>
              </w:rPr>
            </w:pPr>
            <w:r>
              <w:rPr>
                <w:rFonts w:ascii="Arial" w:cs="Arial" w:eastAsia="Arial" w:hAnsi="Arial"/>
                <w:sz w:val="16"/>
                <w:szCs w:val="16"/>
                <w:b w:val="1"/>
                <w:bCs w:val="1"/>
                <w:color w:val="auto"/>
                <w:w w:val="94"/>
              </w:rPr>
              <w:t>Number of</w:t>
            </w:r>
          </w:p>
        </w:tc>
        <w:tc>
          <w:tcPr>
            <w:tcW w:w="8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7"/>
              </w:rPr>
              <w:t>Term</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10"/>
        </w:trPr>
        <w:tc>
          <w:tcPr>
            <w:tcW w:w="18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date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Price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4"/>
          </w:tcPr>
          <w:p>
            <w:pPr>
              <w:jc w:val="center"/>
              <w:ind w:right="460"/>
              <w:spacing w:after="0"/>
              <w:rPr>
                <w:sz w:val="20"/>
                <w:szCs w:val="20"/>
                <w:color w:val="auto"/>
              </w:rPr>
            </w:pPr>
            <w:r>
              <w:rPr>
                <w:rFonts w:ascii="Arial" w:cs="Arial" w:eastAsia="Arial" w:hAnsi="Arial"/>
                <w:sz w:val="16"/>
                <w:szCs w:val="16"/>
                <w:b w:val="1"/>
                <w:bCs w:val="1"/>
                <w:color w:val="auto"/>
                <w:w w:val="86"/>
              </w:rPr>
              <w:t>Shares</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1"/>
              </w:rPr>
              <w:t>(years)</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0"/>
              </w:rPr>
              <w:t>Classification</w:t>
            </w:r>
          </w:p>
        </w:tc>
      </w:tr>
      <w:tr>
        <w:trPr>
          <w:trHeight w:val="47"/>
        </w:trPr>
        <w:tc>
          <w:tcPr>
            <w:tcW w:w="18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57"/>
        </w:trPr>
        <w:tc>
          <w:tcPr>
            <w:tcW w:w="1860" w:type="dxa"/>
            <w:vAlign w:val="bottom"/>
            <w:tcBorders>
              <w:bottom w:val="single" w:sz="8" w:color="CCEEFF"/>
            </w:tcBorders>
            <w:shd w:val="clear" w:color="auto" w:fill="CCEEFF"/>
          </w:tcPr>
          <w:p>
            <w:pPr>
              <w:jc w:val="center"/>
              <w:ind w:right="1110"/>
              <w:spacing w:after="0"/>
              <w:rPr>
                <w:sz w:val="20"/>
                <w:szCs w:val="20"/>
                <w:color w:val="auto"/>
              </w:rPr>
            </w:pPr>
            <w:r>
              <w:rPr>
                <w:rFonts w:ascii="Arial" w:cs="Arial" w:eastAsia="Arial" w:hAnsi="Arial"/>
                <w:sz w:val="18"/>
                <w:szCs w:val="18"/>
                <w:color w:val="auto"/>
                <w:w w:val="90"/>
              </w:rPr>
              <w:t>Common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[C]</w:t>
            </w: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12,811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43"/>
        </w:trPr>
        <w:tc>
          <w:tcPr>
            <w:tcW w:w="1860" w:type="dxa"/>
            <w:vAlign w:val="bottom"/>
          </w:tcPr>
          <w:p>
            <w:pPr>
              <w:jc w:val="center"/>
              <w:ind w:right="1110"/>
              <w:spacing w:after="0"/>
              <w:rPr>
                <w:sz w:val="20"/>
                <w:szCs w:val="20"/>
                <w:color w:val="auto"/>
              </w:rPr>
            </w:pPr>
            <w:r>
              <w:rPr>
                <w:rFonts w:ascii="Arial" w:cs="Arial" w:eastAsia="Arial" w:hAnsi="Arial"/>
                <w:sz w:val="18"/>
                <w:szCs w:val="18"/>
                <w:color w:val="auto"/>
                <w:w w:val="90"/>
              </w:rPr>
              <w:t>Common</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[C]</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7.80</w:t>
            </w:r>
          </w:p>
        </w:tc>
        <w:tc>
          <w:tcPr>
            <w:tcW w:w="4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41,636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1860" w:type="dxa"/>
            <w:vAlign w:val="bottom"/>
            <w:tcBorders>
              <w:bottom w:val="single" w:sz="8" w:color="CCEEFF"/>
            </w:tcBorders>
            <w:shd w:val="clear" w:color="auto" w:fill="CCEEFF"/>
          </w:tcPr>
          <w:p>
            <w:pPr>
              <w:jc w:val="center"/>
              <w:ind w:right="1110"/>
              <w:spacing w:after="0"/>
              <w:rPr>
                <w:sz w:val="20"/>
                <w:szCs w:val="20"/>
                <w:color w:val="auto"/>
              </w:rPr>
            </w:pPr>
            <w:r>
              <w:rPr>
                <w:rFonts w:ascii="Arial" w:cs="Arial" w:eastAsia="Arial" w:hAnsi="Arial"/>
                <w:sz w:val="18"/>
                <w:szCs w:val="18"/>
                <w:color w:val="auto"/>
                <w:w w:val="90"/>
              </w:rPr>
              <w:t>Common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[C]</w:t>
            </w: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16,654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43"/>
        </w:trPr>
        <w:tc>
          <w:tcPr>
            <w:tcW w:w="1860" w:type="dxa"/>
            <w:vAlign w:val="bottom"/>
          </w:tcPr>
          <w:p>
            <w:pPr>
              <w:jc w:val="center"/>
              <w:ind w:right="1110"/>
              <w:spacing w:after="0"/>
              <w:rPr>
                <w:sz w:val="20"/>
                <w:szCs w:val="20"/>
                <w:color w:val="auto"/>
              </w:rPr>
            </w:pPr>
            <w:r>
              <w:rPr>
                <w:rFonts w:ascii="Arial" w:cs="Arial" w:eastAsia="Arial" w:hAnsi="Arial"/>
                <w:sz w:val="18"/>
                <w:szCs w:val="18"/>
                <w:color w:val="auto"/>
                <w:w w:val="90"/>
              </w:rPr>
              <w:t>Common</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March 2026</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9.25</w:t>
            </w:r>
          </w:p>
        </w:tc>
        <w:tc>
          <w:tcPr>
            <w:tcW w:w="4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84,461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1860" w:type="dxa"/>
            <w:vAlign w:val="bottom"/>
            <w:tcBorders>
              <w:bottom w:val="single" w:sz="8" w:color="CCEEFF"/>
            </w:tcBorders>
            <w:shd w:val="clear" w:color="auto" w:fill="CCEEFF"/>
          </w:tcPr>
          <w:p>
            <w:pPr>
              <w:jc w:val="center"/>
              <w:ind w:right="1110"/>
              <w:spacing w:after="0"/>
              <w:rPr>
                <w:sz w:val="20"/>
                <w:szCs w:val="20"/>
                <w:color w:val="auto"/>
              </w:rPr>
            </w:pPr>
            <w:r>
              <w:rPr>
                <w:rFonts w:ascii="Arial" w:cs="Arial" w:eastAsia="Arial" w:hAnsi="Arial"/>
                <w:sz w:val="18"/>
                <w:szCs w:val="18"/>
                <w:color w:val="auto"/>
                <w:w w:val="90"/>
              </w:rPr>
              <w:t>Common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2027</w:t>
            </w: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141,970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43"/>
        </w:trPr>
        <w:tc>
          <w:tcPr>
            <w:tcW w:w="1860" w:type="dxa"/>
            <w:vAlign w:val="bottom"/>
          </w:tcPr>
          <w:p>
            <w:pPr>
              <w:jc w:val="center"/>
              <w:ind w:right="1110"/>
              <w:spacing w:after="0"/>
              <w:rPr>
                <w:sz w:val="20"/>
                <w:szCs w:val="20"/>
                <w:color w:val="auto"/>
              </w:rPr>
            </w:pPr>
            <w:r>
              <w:rPr>
                <w:rFonts w:ascii="Arial" w:cs="Arial" w:eastAsia="Arial" w:hAnsi="Arial"/>
                <w:sz w:val="18"/>
                <w:szCs w:val="18"/>
                <w:color w:val="auto"/>
                <w:w w:val="90"/>
              </w:rPr>
              <w:t>Common</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2,575,190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rPr>
              <w:t>[D]</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5"/>
        </w:trPr>
        <w:tc>
          <w:tcPr>
            <w:tcW w:w="1860" w:type="dxa"/>
            <w:vAlign w:val="bottom"/>
            <w:tcBorders>
              <w:bottom w:val="single" w:sz="8" w:color="CCEEFF"/>
            </w:tcBorders>
            <w:shd w:val="clear" w:color="auto" w:fill="CCEEFF"/>
          </w:tcPr>
          <w:p>
            <w:pPr>
              <w:jc w:val="center"/>
              <w:ind w:right="1110"/>
              <w:spacing w:after="0"/>
              <w:rPr>
                <w:sz w:val="20"/>
                <w:szCs w:val="20"/>
                <w:color w:val="auto"/>
              </w:rPr>
            </w:pPr>
            <w:r>
              <w:rPr>
                <w:rFonts w:ascii="Arial" w:cs="Arial" w:eastAsia="Arial" w:hAnsi="Arial"/>
                <w:sz w:val="18"/>
                <w:szCs w:val="18"/>
                <w:color w:val="auto"/>
                <w:w w:val="90"/>
              </w:rPr>
              <w:t>Common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June 2028</w:t>
            </w: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4"/>
            <w:shd w:val="clear" w:color="auto" w:fill="CCEEFF"/>
          </w:tcPr>
          <w:p>
            <w:pPr>
              <w:ind w:left="520"/>
              <w:spacing w:after="0"/>
              <w:rPr>
                <w:sz w:val="20"/>
                <w:szCs w:val="20"/>
                <w:color w:val="auto"/>
              </w:rPr>
            </w:pPr>
            <w:r>
              <w:rPr>
                <w:rFonts w:ascii="Arial" w:cs="Arial" w:eastAsia="Arial" w:hAnsi="Arial"/>
                <w:sz w:val="18"/>
                <w:szCs w:val="18"/>
                <w:color w:val="auto"/>
              </w:rPr>
              <w:t xml:space="preserve">404,961 </w:t>
            </w:r>
            <w:r>
              <w:rPr>
                <w:rFonts w:ascii="Arial" w:cs="Arial" w:eastAsia="Arial" w:hAnsi="Arial"/>
                <w:sz w:val="18"/>
                <w:szCs w:val="18"/>
                <w:b w:val="1"/>
                <w:bCs w:val="1"/>
                <w:color w:val="auto"/>
              </w:rPr>
              <w:t>[E]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6.7</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44"/>
        </w:trPr>
        <w:tc>
          <w:tcPr>
            <w:tcW w:w="1860" w:type="dxa"/>
            <w:vAlign w:val="bottom"/>
            <w:tcBorders>
              <w:top w:val="single" w:sz="8" w:color="CCEEFF"/>
            </w:tcBorders>
          </w:tcPr>
          <w:p>
            <w:pPr>
              <w:jc w:val="center"/>
              <w:ind w:right="1050"/>
              <w:spacing w:after="0"/>
              <w:rPr>
                <w:sz w:val="20"/>
                <w:szCs w:val="20"/>
                <w:color w:val="auto"/>
              </w:rPr>
            </w:pPr>
            <w:r>
              <w:rPr>
                <w:rFonts w:ascii="Arial" w:cs="Arial" w:eastAsia="Arial" w:hAnsi="Arial"/>
                <w:sz w:val="18"/>
                <w:szCs w:val="18"/>
                <w:color w:val="auto"/>
                <w:w w:val="89"/>
              </w:rPr>
              <w:t>Total</w:t>
            </w:r>
          </w:p>
        </w:tc>
        <w:tc>
          <w:tcPr>
            <w:tcW w:w="1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9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3,277,683</w:t>
            </w: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r>
      <w:tr>
        <w:trPr>
          <w:trHeight w:val="20"/>
        </w:trPr>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99"/>
        </w:trPr>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gridSpan w:val="6"/>
          </w:tcPr>
          <w:p>
            <w:pPr>
              <w:ind w:left="40"/>
              <w:spacing w:after="0"/>
              <w:rPr>
                <w:sz w:val="20"/>
                <w:szCs w:val="20"/>
                <w:color w:val="auto"/>
              </w:rPr>
            </w:pPr>
            <w:r>
              <w:rPr>
                <w:rFonts w:ascii="Arial" w:cs="Arial" w:eastAsia="Arial" w:hAnsi="Arial"/>
                <w:sz w:val="16"/>
                <w:szCs w:val="16"/>
                <w:b w:val="1"/>
                <w:bCs w:val="1"/>
                <w:color w:val="auto"/>
              </w:rPr>
              <w:t>As of June 30, 2021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
        </w:trPr>
        <w:tc>
          <w:tcPr>
            <w:tcW w:w="18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182"/>
        </w:trPr>
        <w:tc>
          <w:tcPr>
            <w:tcW w:w="1860" w:type="dxa"/>
            <w:vAlign w:val="bottom"/>
          </w:tcPr>
          <w:p>
            <w:pPr>
              <w:spacing w:after="0"/>
              <w:rPr>
                <w:sz w:val="15"/>
                <w:szCs w:val="15"/>
                <w:color w:val="auto"/>
              </w:rPr>
            </w:pPr>
          </w:p>
        </w:tc>
        <w:tc>
          <w:tcPr>
            <w:tcW w:w="11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4"/>
              </w:rPr>
              <w:t>Expiration</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00"/>
              <w:spacing w:after="0" w:line="182" w:lineRule="exact"/>
              <w:rPr>
                <w:sz w:val="20"/>
                <w:szCs w:val="20"/>
                <w:color w:val="auto"/>
              </w:rPr>
            </w:pPr>
            <w:r>
              <w:rPr>
                <w:rFonts w:ascii="Arial" w:cs="Arial" w:eastAsia="Arial" w:hAnsi="Arial"/>
                <w:sz w:val="16"/>
                <w:szCs w:val="16"/>
                <w:b w:val="1"/>
                <w:bCs w:val="1"/>
                <w:color w:val="auto"/>
                <w:w w:val="91"/>
              </w:rPr>
              <w:t>Exercise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4"/>
          </w:tcPr>
          <w:p>
            <w:pPr>
              <w:jc w:val="center"/>
              <w:ind w:right="420"/>
              <w:spacing w:after="0" w:line="182" w:lineRule="exact"/>
              <w:rPr>
                <w:sz w:val="20"/>
                <w:szCs w:val="20"/>
                <w:color w:val="auto"/>
              </w:rPr>
            </w:pPr>
            <w:r>
              <w:rPr>
                <w:rFonts w:ascii="Arial" w:cs="Arial" w:eastAsia="Arial" w:hAnsi="Arial"/>
                <w:sz w:val="16"/>
                <w:szCs w:val="16"/>
                <w:b w:val="1"/>
                <w:bCs w:val="1"/>
                <w:color w:val="auto"/>
                <w:w w:val="92"/>
              </w:rPr>
              <w:t>Number of</w:t>
            </w:r>
          </w:p>
        </w:tc>
        <w:tc>
          <w:tcPr>
            <w:tcW w:w="820" w:type="dxa"/>
            <w:vAlign w:val="bottom"/>
          </w:tcPr>
          <w:p>
            <w:pPr>
              <w:jc w:val="center"/>
              <w:ind w:right="232"/>
              <w:spacing w:after="0" w:line="182" w:lineRule="exact"/>
              <w:rPr>
                <w:sz w:val="20"/>
                <w:szCs w:val="20"/>
                <w:color w:val="auto"/>
              </w:rPr>
            </w:pPr>
            <w:r>
              <w:rPr>
                <w:rFonts w:ascii="Arial" w:cs="Arial" w:eastAsia="Arial" w:hAnsi="Arial"/>
                <w:sz w:val="16"/>
                <w:szCs w:val="16"/>
                <w:b w:val="1"/>
                <w:bCs w:val="1"/>
                <w:color w:val="auto"/>
                <w:w w:val="97"/>
              </w:rPr>
              <w:t>Term</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10"/>
        </w:trPr>
        <w:tc>
          <w:tcPr>
            <w:tcW w:w="18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date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Price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w w:val="86"/>
              </w:rPr>
              <w:t>Shares</w:t>
            </w:r>
          </w:p>
        </w:tc>
        <w:tc>
          <w:tcPr>
            <w:tcW w:w="820" w:type="dxa"/>
            <w:vAlign w:val="bottom"/>
          </w:tcPr>
          <w:p>
            <w:pPr>
              <w:jc w:val="center"/>
              <w:ind w:right="212"/>
              <w:spacing w:after="0"/>
              <w:rPr>
                <w:sz w:val="20"/>
                <w:szCs w:val="20"/>
                <w:color w:val="auto"/>
              </w:rPr>
            </w:pPr>
            <w:r>
              <w:rPr>
                <w:rFonts w:ascii="Arial" w:cs="Arial" w:eastAsia="Arial" w:hAnsi="Arial"/>
                <w:sz w:val="16"/>
                <w:szCs w:val="16"/>
                <w:b w:val="1"/>
                <w:bCs w:val="1"/>
                <w:color w:val="auto"/>
                <w:w w:val="91"/>
              </w:rPr>
              <w:t>(years)</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0"/>
              </w:rPr>
              <w:t>Classification</w:t>
            </w:r>
          </w:p>
        </w:tc>
      </w:tr>
      <w:tr>
        <w:trPr>
          <w:trHeight w:val="46"/>
        </w:trPr>
        <w:tc>
          <w:tcPr>
            <w:tcW w:w="18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57"/>
        </w:trPr>
        <w:tc>
          <w:tcPr>
            <w:tcW w:w="1860" w:type="dxa"/>
            <w:vAlign w:val="bottom"/>
            <w:tcBorders>
              <w:bottom w:val="single" w:sz="8" w:color="CCEEFF"/>
            </w:tcBorders>
            <w:shd w:val="clear" w:color="auto" w:fill="CCEEFF"/>
          </w:tcPr>
          <w:p>
            <w:pPr>
              <w:jc w:val="center"/>
              <w:ind w:right="1110"/>
              <w:spacing w:after="0"/>
              <w:rPr>
                <w:sz w:val="20"/>
                <w:szCs w:val="20"/>
                <w:color w:val="auto"/>
              </w:rPr>
            </w:pPr>
            <w:r>
              <w:rPr>
                <w:rFonts w:ascii="Arial" w:cs="Arial" w:eastAsia="Arial" w:hAnsi="Arial"/>
                <w:sz w:val="18"/>
                <w:szCs w:val="18"/>
                <w:color w:val="auto"/>
                <w:w w:val="90"/>
              </w:rPr>
              <w:t>Common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[C]</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w:t>
            </w:r>
          </w:p>
        </w:tc>
        <w:tc>
          <w:tcPr>
            <w:tcW w:w="12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12,811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center"/>
              <w:ind w:right="232"/>
              <w:spacing w:after="0"/>
              <w:rPr>
                <w:sz w:val="20"/>
                <w:szCs w:val="20"/>
                <w:color w:val="auto"/>
              </w:rPr>
            </w:pPr>
            <w:r>
              <w:rPr>
                <w:rFonts w:ascii="Arial" w:cs="Arial" w:eastAsia="Arial" w:hAnsi="Arial"/>
                <w:sz w:val="18"/>
                <w:szCs w:val="18"/>
                <w:color w:val="auto"/>
                <w:w w:val="99"/>
              </w:rPr>
              <w:t>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43"/>
        </w:trPr>
        <w:tc>
          <w:tcPr>
            <w:tcW w:w="1860" w:type="dxa"/>
            <w:vAlign w:val="bottom"/>
          </w:tcPr>
          <w:p>
            <w:pPr>
              <w:jc w:val="center"/>
              <w:ind w:right="1110"/>
              <w:spacing w:after="0"/>
              <w:rPr>
                <w:sz w:val="20"/>
                <w:szCs w:val="20"/>
                <w:color w:val="auto"/>
              </w:rPr>
            </w:pPr>
            <w:r>
              <w:rPr>
                <w:rFonts w:ascii="Arial" w:cs="Arial" w:eastAsia="Arial" w:hAnsi="Arial"/>
                <w:sz w:val="18"/>
                <w:szCs w:val="18"/>
                <w:color w:val="auto"/>
                <w:w w:val="90"/>
              </w:rPr>
              <w:t>Common</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rPr>
              <w:t>[C]</w:t>
            </w: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7.80</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41,636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center"/>
              <w:ind w:right="232"/>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11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1860" w:type="dxa"/>
            <w:vAlign w:val="bottom"/>
            <w:tcBorders>
              <w:bottom w:val="single" w:sz="8" w:color="CCEEFF"/>
            </w:tcBorders>
            <w:shd w:val="clear" w:color="auto" w:fill="CCEEFF"/>
          </w:tcPr>
          <w:p>
            <w:pPr>
              <w:jc w:val="center"/>
              <w:ind w:right="1110"/>
              <w:spacing w:after="0"/>
              <w:rPr>
                <w:sz w:val="20"/>
                <w:szCs w:val="20"/>
                <w:color w:val="auto"/>
              </w:rPr>
            </w:pPr>
            <w:r>
              <w:rPr>
                <w:rFonts w:ascii="Arial" w:cs="Arial" w:eastAsia="Arial" w:hAnsi="Arial"/>
                <w:sz w:val="18"/>
                <w:szCs w:val="18"/>
                <w:color w:val="auto"/>
                <w:w w:val="90"/>
              </w:rPr>
              <w:t>Common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[C]</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w:t>
            </w:r>
          </w:p>
        </w:tc>
        <w:tc>
          <w:tcPr>
            <w:tcW w:w="12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16,654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center"/>
              <w:ind w:right="232"/>
              <w:spacing w:after="0"/>
              <w:rPr>
                <w:sz w:val="20"/>
                <w:szCs w:val="20"/>
                <w:color w:val="auto"/>
              </w:rPr>
            </w:pPr>
            <w:r>
              <w:rPr>
                <w:rFonts w:ascii="Arial" w:cs="Arial" w:eastAsia="Arial" w:hAnsi="Arial"/>
                <w:sz w:val="18"/>
                <w:szCs w:val="18"/>
                <w:color w:val="auto"/>
                <w:w w:val="99"/>
              </w:rPr>
              <w:t>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43"/>
        </w:trPr>
        <w:tc>
          <w:tcPr>
            <w:tcW w:w="1860" w:type="dxa"/>
            <w:vAlign w:val="bottom"/>
          </w:tcPr>
          <w:p>
            <w:pPr>
              <w:jc w:val="center"/>
              <w:ind w:right="1110"/>
              <w:spacing w:after="0"/>
              <w:rPr>
                <w:sz w:val="20"/>
                <w:szCs w:val="20"/>
                <w:color w:val="auto"/>
              </w:rPr>
            </w:pPr>
            <w:r>
              <w:rPr>
                <w:rFonts w:ascii="Arial" w:cs="Arial" w:eastAsia="Arial" w:hAnsi="Arial"/>
                <w:sz w:val="18"/>
                <w:szCs w:val="18"/>
                <w:color w:val="auto"/>
                <w:w w:val="90"/>
              </w:rPr>
              <w:t>Common</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March 2026</w:t>
            </w: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9.25</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84,461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center"/>
              <w:ind w:right="232"/>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41"/>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11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1860" w:type="dxa"/>
            <w:vAlign w:val="bottom"/>
            <w:tcBorders>
              <w:bottom w:val="single" w:sz="8" w:color="CCEEFF"/>
            </w:tcBorders>
            <w:shd w:val="clear" w:color="auto" w:fill="CCEEFF"/>
          </w:tcPr>
          <w:p>
            <w:pPr>
              <w:jc w:val="center"/>
              <w:ind w:right="1110"/>
              <w:spacing w:after="0"/>
              <w:rPr>
                <w:sz w:val="20"/>
                <w:szCs w:val="20"/>
                <w:color w:val="auto"/>
              </w:rPr>
            </w:pPr>
            <w:r>
              <w:rPr>
                <w:rFonts w:ascii="Arial" w:cs="Arial" w:eastAsia="Arial" w:hAnsi="Arial"/>
                <w:sz w:val="18"/>
                <w:szCs w:val="18"/>
                <w:color w:val="auto"/>
                <w:w w:val="90"/>
              </w:rPr>
              <w:t>Common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2027</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0.37</w:t>
            </w:r>
          </w:p>
        </w:tc>
        <w:tc>
          <w:tcPr>
            <w:tcW w:w="12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141,970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center"/>
              <w:ind w:right="232"/>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43"/>
        </w:trPr>
        <w:tc>
          <w:tcPr>
            <w:tcW w:w="1860" w:type="dxa"/>
            <w:vAlign w:val="bottom"/>
          </w:tcPr>
          <w:p>
            <w:pPr>
              <w:jc w:val="center"/>
              <w:ind w:right="1110"/>
              <w:spacing w:after="0"/>
              <w:rPr>
                <w:sz w:val="20"/>
                <w:szCs w:val="20"/>
                <w:color w:val="auto"/>
              </w:rPr>
            </w:pPr>
            <w:r>
              <w:rPr>
                <w:rFonts w:ascii="Arial" w:cs="Arial" w:eastAsia="Arial" w:hAnsi="Arial"/>
                <w:sz w:val="18"/>
                <w:szCs w:val="18"/>
                <w:color w:val="auto"/>
                <w:w w:val="90"/>
              </w:rPr>
              <w:t>Common</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rPr>
              <w:t>[D]</w:t>
            </w: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2,816,966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center"/>
              <w:ind w:right="232"/>
              <w:spacing w:after="0"/>
              <w:rPr>
                <w:sz w:val="20"/>
                <w:szCs w:val="20"/>
                <w:color w:val="auto"/>
              </w:rPr>
            </w:pPr>
            <w:r>
              <w:rPr>
                <w:rFonts w:ascii="Arial" w:cs="Arial" w:eastAsia="Arial" w:hAnsi="Arial"/>
                <w:sz w:val="18"/>
                <w:szCs w:val="18"/>
                <w:b w:val="1"/>
                <w:bCs w:val="1"/>
                <w:color w:val="auto"/>
              </w:rPr>
              <w:t>[D]</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7"/>
        </w:trPr>
        <w:tc>
          <w:tcPr>
            <w:tcW w:w="1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4"/>
        </w:trPr>
        <w:tc>
          <w:tcPr>
            <w:tcW w:w="1860" w:type="dxa"/>
            <w:vAlign w:val="bottom"/>
            <w:tcBorders>
              <w:bottom w:val="single" w:sz="8" w:color="CCEEFF"/>
            </w:tcBorders>
            <w:shd w:val="clear" w:color="auto" w:fill="CCEEFF"/>
          </w:tcPr>
          <w:p>
            <w:pPr>
              <w:jc w:val="center"/>
              <w:ind w:right="1050"/>
              <w:spacing w:after="0"/>
              <w:rPr>
                <w:sz w:val="20"/>
                <w:szCs w:val="20"/>
                <w:color w:val="auto"/>
              </w:rPr>
            </w:pPr>
            <w:r>
              <w:rPr>
                <w:rFonts w:ascii="Arial" w:cs="Arial" w:eastAsia="Arial" w:hAnsi="Arial"/>
                <w:sz w:val="18"/>
                <w:szCs w:val="18"/>
                <w:color w:val="auto"/>
                <w:w w:val="89"/>
              </w:rPr>
              <w:t>Total</w:t>
            </w: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gridSpan w:val="2"/>
            <w:shd w:val="clear" w:color="auto" w:fill="CCEEFF"/>
          </w:tcPr>
          <w:p>
            <w:pPr>
              <w:spacing w:after="0"/>
              <w:rPr>
                <w:sz w:val="24"/>
                <w:szCs w:val="24"/>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3,114,498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900" w:right="459" w:hanging="446"/>
        <w:spacing w:after="0" w:line="293" w:lineRule="auto"/>
        <w:tabs>
          <w:tab w:leader="none" w:pos="72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—Warrants expire at the greater of 7 years from the issuance date or 5 years from the effective date of a registration statement for an initial public offering.</w:t>
      </w:r>
    </w:p>
    <w:p>
      <w:pPr>
        <w:sectPr>
          <w:pgSz w:w="11900" w:h="16838" w:orient="portrait"/>
          <w:cols w:equalWidth="0" w:num="1">
            <w:col w:w="9019"/>
          </w:cols>
          <w:pgMar w:left="1440" w:top="274"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2" w:name="page203"/>
    <w:bookmarkEnd w:id="20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 xml:space="preserve">Warrants </w:t>
      </w:r>
      <w:r>
        <w:rPr>
          <w:rFonts w:ascii="Arial" w:cs="Arial" w:eastAsia="Arial" w:hAnsi="Arial"/>
          <w:sz w:val="16"/>
          <w:szCs w:val="16"/>
          <w:color w:val="auto"/>
        </w:rPr>
        <w:t>(cont.)</w:t>
      </w:r>
    </w:p>
    <w:p>
      <w:pPr>
        <w:spacing w:after="0" w:line="207" w:lineRule="exact"/>
        <w:rPr>
          <w:sz w:val="20"/>
          <w:szCs w:val="20"/>
          <w:color w:val="auto"/>
        </w:rPr>
      </w:pPr>
    </w:p>
    <w:p>
      <w:pPr>
        <w:ind w:left="900" w:right="459" w:hanging="446"/>
        <w:spacing w:after="0" w:line="265" w:lineRule="auto"/>
        <w:tabs>
          <w:tab w:leader="none" w:pos="72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—Warrants are exercisable after the conversion of the related convertible notes and will expire, if not exercised, at the earliest of a change in control event, the effective date of a registration statement for an initial public offering and 5 years from the issuance date.</w:t>
      </w:r>
    </w:p>
    <w:p>
      <w:pPr>
        <w:spacing w:after="0" w:line="1" w:lineRule="exact"/>
        <w:rPr>
          <w:rFonts w:ascii="Arial" w:cs="Arial" w:eastAsia="Arial" w:hAnsi="Arial"/>
          <w:sz w:val="16"/>
          <w:szCs w:val="16"/>
          <w:color w:val="auto"/>
        </w:rPr>
      </w:pPr>
    </w:p>
    <w:p>
      <w:pPr>
        <w:ind w:left="900" w:right="459" w:hanging="446"/>
        <w:spacing w:after="0" w:line="286" w:lineRule="auto"/>
        <w:tabs>
          <w:tab w:leader="none" w:pos="721" w:val="left"/>
        </w:tabs>
        <w:numPr>
          <w:ilvl w:val="0"/>
          <w:numId w:val="136"/>
        </w:numPr>
        <w:rPr>
          <w:rFonts w:ascii="Arial" w:cs="Arial" w:eastAsia="Arial" w:hAnsi="Arial"/>
          <w:sz w:val="15"/>
          <w:szCs w:val="15"/>
          <w:color w:val="auto"/>
        </w:rPr>
      </w:pPr>
      <w:r>
        <w:rPr>
          <w:rFonts w:ascii="Arial" w:cs="Arial" w:eastAsia="Arial" w:hAnsi="Arial"/>
          <w:sz w:val="15"/>
          <w:szCs w:val="15"/>
          <w:color w:val="auto"/>
        </w:rPr>
        <w:t>—Warrants were issued in October 2021 and are exercisable contingent on rollouts of the Company’s products and services to the warrant holder. Number of shares represents the maximum number of shares to be issued to the warrant holder of 404,961, of which 321,943 remained contingent as of June 30, 2022. Expense related to these warrants will be recognized as a reduction to the transaction price of the customer contract and recorded as contra-revenue in the Company’s consolidated statements of operations and comprehensive loss. At initial recognition the Company measured the warrants at fair value, and through June 30, 2022 the Company has recognized $712 increase to additional paid-in capital associated with the vesting of such warrants and has recorded a corresponding reduction to revenue during such period of $129. The difference between the amount vested and contra-revenue recorded being the remaining consideration associated with vested warrants of $583, which is being deferred and will be amortized as contra-revenue as the related services are rendered.</w:t>
      </w:r>
    </w:p>
    <w:p>
      <w:pPr>
        <w:spacing w:after="0" w:line="173"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Stock-Based Compensation</w:t>
      </w:r>
    </w:p>
    <w:p>
      <w:pPr>
        <w:spacing w:after="0" w:line="144"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7"/>
          <w:szCs w:val="17"/>
          <w:color w:val="auto"/>
        </w:rPr>
        <w:t>On November 7, 2018, the Company adopted a new equity incentive plan (“</w:t>
      </w:r>
      <w:r>
        <w:rPr>
          <w:rFonts w:ascii="Arial" w:cs="Arial" w:eastAsia="Arial" w:hAnsi="Arial"/>
          <w:sz w:val="17"/>
          <w:szCs w:val="17"/>
          <w:b w:val="1"/>
          <w:bCs w:val="1"/>
          <w:color w:val="auto"/>
        </w:rPr>
        <w:t>2018 Plan</w:t>
      </w:r>
      <w:r>
        <w:rPr>
          <w:rFonts w:ascii="Arial" w:cs="Arial" w:eastAsia="Arial" w:hAnsi="Arial"/>
          <w:sz w:val="17"/>
          <w:szCs w:val="17"/>
          <w:color w:val="auto"/>
        </w:rPr>
        <w:t>”) which replaced the 2008 Stock Incentive Plan (“</w:t>
      </w:r>
      <w:r>
        <w:rPr>
          <w:rFonts w:ascii="Arial" w:cs="Arial" w:eastAsia="Arial" w:hAnsi="Arial"/>
          <w:sz w:val="17"/>
          <w:szCs w:val="17"/>
          <w:b w:val="1"/>
          <w:bCs w:val="1"/>
          <w:color w:val="auto"/>
        </w:rPr>
        <w:t>2008 Plan</w:t>
      </w:r>
      <w:r>
        <w:rPr>
          <w:rFonts w:ascii="Arial" w:cs="Arial" w:eastAsia="Arial" w:hAnsi="Arial"/>
          <w:sz w:val="17"/>
          <w:szCs w:val="17"/>
          <w:color w:val="auto"/>
        </w:rPr>
        <w:t>”). As of June 30, 2022 and 2021, the number of shares of common stock reserved for issuance under the 2018 Plan includes 877,627 and 621,224, respectively.</w:t>
      </w:r>
    </w:p>
    <w:p>
      <w:pPr>
        <w:spacing w:after="0" w:line="9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Board of Directors may grant incentive and non-statutory stock options and RSUs to employees, outside directors, investors and consultants at an exercise price of not less than 100% of the fair market value, as determined by the Board of Directors, at the date of grant. Stock options and RSUs vest ratably over periods determined by the Board of Directors, generally 4 years, and expire no later than ten years from the date of grant. For options subject to the one-year cliff, the expense is recognized as 25% of the total option value, which is recognized on a straight-line basis over the first year and remaining option expense continues to be recognized straight-line as vesting occurs monthly thereafter.</w:t>
      </w:r>
    </w:p>
    <w:p>
      <w:pPr>
        <w:spacing w:after="0" w:line="11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During the fiscal year 2022, the Company granted 360,416 RSUs to its employees and consultants that contain a service-based vesting condition and a performance-based vesting condition, with a weighted average grant date fair value of $7.98 per RSU. The service-based vesting condition is generally satisfied by rendering continuous service for 5 years, with 20% vesting each year. The performance-based vesting condition is satisfied in connection with an initial public offering or a change in control. However, the consummation of the deSPAC does not result in satisfaction of the performance condition. The Company did not record compensation expense for the fiscal year 2022 related to these RSUs as achievement of the performance-based vesting condition was not deemed probable of occurring. As of June 30, 2022, $2,876 of stock-based compensation related to these RSUs remains unrecognized, which is expected to be recognized over a remaining weighted-average period of 4.69 years, subject to the performance-based vesting condition being satisfied or deemed probable at which point the Company will recognize a cumulative adjustment for the service condition satisfied at such point.</w:t>
      </w:r>
    </w:p>
    <w:p>
      <w:pPr>
        <w:spacing w:after="0" w:line="9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During the fiscal year 2021, the Company granted 600,752 performance-based options that contained a service-based vesting condition and a performance-based vesting condition. The service-based vesting condition is satisfied by rendering continuous service for 4 years after the performance-based vesting condition occurs. The performance-based vesting condition is satisfied in connection with a financing event or a public liquidity event for 300,376 of the options and in connection with a public liquidity event for 300,376 of the options. A financing event occurred as of June 30, 2021 that satisfied the performance-based vesting condition for 300,376 of the options. As a result, these options are now subject to the service-based vesting condition and the Company recorded $97 and $0 of compensation stock-based compensation expense during the year ended June 30, 2022 and 2021, respectively. As of June 30, 2022, $291 remains subject to service-based vesting, which is expected to be recognized over a weighted-average period of 3 years. The Company did not record compensation expense during the year ended June 30, 2022 related to the options that contain a performance-based vesting condition satisfied by a public liquidity event as achievement of the performance-based vesting conditions was not deemed probable of occurring.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3" w:name="page204"/>
    <w:bookmarkEnd w:id="20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 xml:space="preserve">Stock-Based Compensation </w:t>
      </w:r>
      <w:r>
        <w:rPr>
          <w:rFonts w:ascii="Arial" w:cs="Arial" w:eastAsia="Arial" w:hAnsi="Arial"/>
          <w:sz w:val="15"/>
          <w:szCs w:val="15"/>
          <w:color w:val="auto"/>
        </w:rPr>
        <w:t>(cont.)</w:t>
      </w:r>
    </w:p>
    <w:p>
      <w:pPr>
        <w:spacing w:after="0" w:line="20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During the years ended June 30, 2022 and 2021, the Company did not record compensation expense related to these options as achievement of the performance-based vesting conditions was not deemed probable of occurring. As of June 30, 2022, $388 of stock-based compensation related to these options for which the performance-based vesting condition has not been met remains unrecognized, which is expected to be recognized over a weighted-average period of 4 years beginning from when the performance-based vesting condition is satisfied or deemed probable.</w:t>
      </w:r>
    </w:p>
    <w:p>
      <w:pPr>
        <w:spacing w:after="0" w:line="11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the event of voluntary or involuntary termination of employment with the Company for any reason, with or without cause, all unvested options and RSUs are forfeited and all vested options must be exercised within a 90-day period under the 2018 Plan and within a 30-day period under the 2008 Plan or they are forfeited.</w:t>
      </w:r>
    </w:p>
    <w:p>
      <w:pPr>
        <w:spacing w:after="0" w:line="11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 following summary of the equity incentive plan option activity for the year ended June 30, 2022 is shown collectively for the 2018 Plan and the 2008 Plan, presented on an as converted basis to reflect the impact of the retroactive application of the recapitalization using the Exchange Ratio is as follows:</w:t>
      </w:r>
    </w:p>
    <w:p>
      <w:pPr>
        <w:spacing w:after="0" w:line="12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13"/>
              <w:spacing w:after="0"/>
              <w:rPr>
                <w:sz w:val="20"/>
                <w:szCs w:val="20"/>
                <w:color w:val="auto"/>
              </w:rPr>
            </w:pPr>
            <w:r>
              <w:rPr>
                <w:rFonts w:ascii="Arial" w:cs="Arial" w:eastAsia="Arial" w:hAnsi="Arial"/>
                <w:sz w:val="16"/>
                <w:szCs w:val="16"/>
                <w:b w:val="1"/>
                <w:bCs w:val="1"/>
                <w:color w:val="auto"/>
                <w:w w:val="93"/>
              </w:rPr>
              <w:t>Weighted-</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9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Options</w:t>
            </w:r>
          </w:p>
        </w:tc>
        <w:tc>
          <w:tcPr>
            <w:tcW w:w="10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13"/>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9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1"/>
              </w:rPr>
              <w:t>Available for</w:t>
            </w:r>
          </w:p>
        </w:tc>
        <w:tc>
          <w:tcPr>
            <w:tcW w:w="10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8"/>
              </w:rPr>
              <w:t>Exercise</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9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Grant</w:t>
            </w:r>
          </w:p>
        </w:tc>
        <w:tc>
          <w:tcPr>
            <w:tcW w:w="10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3"/>
              <w:spacing w:after="0"/>
              <w:rPr>
                <w:sz w:val="20"/>
                <w:szCs w:val="20"/>
                <w:color w:val="auto"/>
              </w:rPr>
            </w:pPr>
            <w:r>
              <w:rPr>
                <w:rFonts w:ascii="Arial" w:cs="Arial" w:eastAsia="Arial" w:hAnsi="Arial"/>
                <w:sz w:val="16"/>
                <w:szCs w:val="16"/>
                <w:b w:val="1"/>
                <w:bCs w:val="1"/>
                <w:color w:val="auto"/>
                <w:w w:val="91"/>
              </w:rPr>
              <w:t>Price</w:t>
            </w: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Life (years)</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46"/>
        </w:trPr>
        <w:tc>
          <w:tcPr>
            <w:tcW w:w="29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767,017</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14,920,447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0.52</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7.64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rPr>
              <w:t>Retrospective application of</w:t>
            </w: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(145,793)</w:t>
            </w:r>
          </w:p>
        </w:tc>
        <w:tc>
          <w:tcPr>
            <w:tcW w:w="104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(2,836,039)</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0.12</w:t>
            </w:r>
          </w:p>
        </w:tc>
        <w:tc>
          <w:tcPr>
            <w:tcW w:w="100" w:type="dxa"/>
            <w:vAlign w:val="bottom"/>
          </w:tcPr>
          <w:p>
            <w:pPr>
              <w:spacing w:after="0"/>
              <w:rPr>
                <w:sz w:val="17"/>
                <w:szCs w:val="17"/>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recapitalization</w:t>
            </w:r>
          </w:p>
        </w:tc>
        <w:tc>
          <w:tcPr>
            <w:tcW w:w="940" w:type="dxa"/>
            <w:vAlign w:val="bottom"/>
            <w:gridSpan w:val="2"/>
            <w:vMerge w:val="continue"/>
          </w:tcPr>
          <w:p>
            <w:pPr>
              <w:spacing w:after="0"/>
              <w:rPr>
                <w:sz w:val="20"/>
                <w:szCs w:val="20"/>
                <w:color w:val="auto"/>
              </w:rPr>
            </w:pPr>
          </w:p>
        </w:tc>
        <w:tc>
          <w:tcPr>
            <w:tcW w:w="1040" w:type="dxa"/>
            <w:vAlign w:val="bottom"/>
            <w:gridSpan w:val="3"/>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Adjusted Balance – beginning of</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621,224</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12,084,408</w:t>
            </w:r>
          </w:p>
        </w:tc>
        <w:tc>
          <w:tcPr>
            <w:tcW w:w="120" w:type="dxa"/>
            <w:vAlign w:val="bottom"/>
            <w:shd w:val="clear" w:color="auto" w:fill="CCEEFF"/>
          </w:tcPr>
          <w:p>
            <w:pPr>
              <w:spacing w:after="0"/>
              <w:rPr>
                <w:sz w:val="17"/>
                <w:szCs w:val="17"/>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0.64</w:t>
            </w:r>
          </w:p>
        </w:tc>
        <w:tc>
          <w:tcPr>
            <w:tcW w:w="11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7.64</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80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vMerge w:val="continue"/>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1120" w:type="dxa"/>
            <w:vAlign w:val="bottom"/>
            <w:tcBorders>
              <w:bottom w:val="single" w:sz="8" w:color="CCEEFF"/>
            </w:tcBorders>
            <w:gridSpan w:val="3"/>
            <w:vMerge w:val="continue"/>
            <w:shd w:val="clear" w:color="auto" w:fill="CCEEFF"/>
          </w:tcPr>
          <w:p>
            <w:pPr>
              <w:spacing w:after="0"/>
              <w:rPr>
                <w:sz w:val="20"/>
                <w:szCs w:val="20"/>
                <w:color w:val="auto"/>
              </w:rPr>
            </w:pPr>
          </w:p>
        </w:tc>
        <w:tc>
          <w:tcPr>
            <w:tcW w:w="102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tcPr>
          <w:p>
            <w:pPr>
              <w:ind w:left="18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(321,490)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321,490</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(259,915)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Forfeited and expired</w:t>
            </w:r>
          </w:p>
        </w:tc>
        <w:tc>
          <w:tcPr>
            <w:tcW w:w="800" w:type="dxa"/>
            <w:vAlign w:val="bottom"/>
          </w:tcPr>
          <w:p>
            <w:pPr>
              <w:jc w:val="right"/>
              <w:spacing w:after="0"/>
              <w:rPr>
                <w:sz w:val="20"/>
                <w:szCs w:val="20"/>
                <w:color w:val="auto"/>
              </w:rPr>
            </w:pPr>
            <w:r>
              <w:rPr>
                <w:rFonts w:ascii="Arial" w:cs="Arial" w:eastAsia="Arial" w:hAnsi="Arial"/>
                <w:sz w:val="18"/>
                <w:szCs w:val="18"/>
                <w:color w:val="auto"/>
              </w:rPr>
              <w:t>932,368</w:t>
            </w:r>
          </w:p>
        </w:tc>
        <w:tc>
          <w:tcPr>
            <w:tcW w:w="14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(932,368)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1,232,103</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11,213,615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0.73</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6.66</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w w:val="91"/>
              </w:rPr>
              <w:t>Vested and expected to vest at June 30,</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2022</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10,913,239</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0.73</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6.66</w:t>
            </w:r>
          </w:p>
        </w:tc>
        <w:tc>
          <w:tcPr>
            <w:tcW w:w="1020" w:type="dxa"/>
            <w:vAlign w:val="bottom"/>
          </w:tcPr>
          <w:p>
            <w:pPr>
              <w:jc w:val="right"/>
              <w:spacing w:after="0"/>
              <w:rPr>
                <w:sz w:val="20"/>
                <w:szCs w:val="20"/>
                <w:color w:val="auto"/>
              </w:rPr>
            </w:pPr>
            <w:r>
              <w:rPr>
                <w:rFonts w:ascii="Arial" w:cs="Arial" w:eastAsia="Arial" w:hAnsi="Arial"/>
                <w:sz w:val="18"/>
                <w:szCs w:val="18"/>
                <w:color w:val="auto"/>
              </w:rPr>
              <w:t>94,561</w:t>
            </w: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June 30, 2022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8,135,117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73,459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The options vested and expected to vest excludes 300,376 performance-based awards, for which the performance conditions were not probable of being achieved at June 30, 2022. The aggregate intrinsic value of options exercised during fiscal years 2022 and 2021 was $1,902 and $361, respectively. The weighted average grant date fair value of granted options during fiscal years 2022 and 2021 were $4.10 and $1.19, respectively.</w:t>
      </w:r>
    </w:p>
    <w:p>
      <w:pPr>
        <w:spacing w:after="0" w:line="7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following is a summary of the equity incentive plan RSU activity for the year ended June 30, 2022 for the 2018 Plan, presented on an as converted basis to reflect the impact of the retroactive application of the recapitalization using the Exchange Ratio is as follows: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0"/>
              </w:rPr>
              <w:t>Weighted-</w:t>
            </w:r>
          </w:p>
        </w:tc>
      </w:tr>
      <w:tr>
        <w:trPr>
          <w:trHeight w:val="202"/>
        </w:trPr>
        <w:tc>
          <w:tcPr>
            <w:tcW w:w="3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Average</w:t>
            </w:r>
          </w:p>
        </w:tc>
      </w:tr>
      <w:tr>
        <w:trPr>
          <w:trHeight w:val="203"/>
        </w:trPr>
        <w:tc>
          <w:tcPr>
            <w:tcW w:w="3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Awards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3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6"/>
              </w:rPr>
              <w:t>Fair Value</w:t>
            </w:r>
          </w:p>
        </w:tc>
      </w:tr>
      <w:tr>
        <w:trPr>
          <w:trHeight w:val="47"/>
        </w:trPr>
        <w:tc>
          <w:tcPr>
            <w:tcW w:w="3180" w:type="dxa"/>
            <w:vAlign w:val="bottom"/>
            <w:tcBorders>
              <w:bottom w:val="single" w:sz="8" w:color="CCEEFF"/>
            </w:tcBorders>
          </w:tcPr>
          <w:p>
            <w:pPr>
              <w:spacing w:after="0"/>
              <w:rPr>
                <w:sz w:val="4"/>
                <w:szCs w:val="4"/>
                <w:color w:val="auto"/>
              </w:rPr>
            </w:pPr>
          </w:p>
        </w:tc>
        <w:tc>
          <w:tcPr>
            <w:tcW w:w="24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 June 30, 2021</w:t>
            </w:r>
          </w:p>
        </w:tc>
        <w:tc>
          <w:tcPr>
            <w:tcW w:w="2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Granted</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360,416</w:t>
            </w:r>
          </w:p>
        </w:tc>
        <w:tc>
          <w:tcPr>
            <w:tcW w:w="1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40"/>
        </w:trPr>
        <w:tc>
          <w:tcPr>
            <w:tcW w:w="318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2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31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3560" w:type="dxa"/>
            <w:vAlign w:val="bottom"/>
            <w:gridSpan w:val="3"/>
          </w:tcPr>
          <w:p>
            <w:pPr>
              <w:jc w:val="right"/>
              <w:ind w:right="80"/>
              <w:spacing w:after="0"/>
              <w:rPr>
                <w:sz w:val="20"/>
                <w:szCs w:val="20"/>
                <w:color w:val="auto"/>
              </w:rPr>
            </w:pPr>
            <w:r>
              <w:rPr>
                <w:rFonts w:ascii="Arial" w:cs="Arial" w:eastAsia="Arial" w:hAnsi="Arial"/>
                <w:sz w:val="18"/>
                <w:szCs w:val="18"/>
                <w:color w:val="auto"/>
              </w:rPr>
              <w:t>(9,990)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7.86</w:t>
            </w:r>
          </w:p>
        </w:tc>
      </w:tr>
      <w:tr>
        <w:trPr>
          <w:trHeight w:val="27"/>
        </w:trPr>
        <w:tc>
          <w:tcPr>
            <w:tcW w:w="318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 June 30, 2022</w:t>
            </w:r>
          </w:p>
        </w:tc>
        <w:tc>
          <w:tcPr>
            <w:tcW w:w="2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350,426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r>
      <w:tr>
        <w:trPr>
          <w:trHeight w:val="20"/>
        </w:trPr>
        <w:tc>
          <w:tcPr>
            <w:tcW w:w="3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8"/>
        </w:trPr>
        <w:tc>
          <w:tcPr>
            <w:tcW w:w="31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3"/>
          </w:tcPr>
          <w:p>
            <w:pPr>
              <w:jc w:val="right"/>
              <w:ind w:right="2520"/>
              <w:spacing w:after="0"/>
              <w:rPr>
                <w:sz w:val="20"/>
                <w:szCs w:val="20"/>
                <w:color w:val="auto"/>
              </w:rPr>
            </w:pPr>
            <w:r>
              <w:rPr>
                <w:rFonts w:ascii="Arial" w:cs="Arial" w:eastAsia="Arial" w:hAnsi="Arial"/>
                <w:sz w:val="18"/>
                <w:szCs w:val="18"/>
                <w:color w:val="auto"/>
              </w:rPr>
              <w:t>F-80</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04" w:name="page205"/>
    <w:bookmarkEnd w:id="20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 xml:space="preserve">Stock-Based Compensation </w:t>
      </w:r>
      <w:r>
        <w:rPr>
          <w:rFonts w:ascii="Arial" w:cs="Arial" w:eastAsia="Arial" w:hAnsi="Arial"/>
          <w:sz w:val="15"/>
          <w:szCs w:val="15"/>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Significant Assumptions used in Estimating Option Fair Value and Stock-Based Compensation Expense</w:t>
      </w:r>
    </w:p>
    <w:p>
      <w:pPr>
        <w:spacing w:after="0" w:line="181"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Company estimated the fair values of each option awarded on the date of grant using the Black-Scholes-Merton option pricing model utilizing the assumptions noted below.</w:t>
      </w:r>
    </w:p>
    <w:p>
      <w:pPr>
        <w:spacing w:after="0" w:line="103" w:lineRule="exact"/>
        <w:rPr>
          <w:sz w:val="20"/>
          <w:szCs w:val="20"/>
          <w:color w:val="auto"/>
        </w:rPr>
      </w:pPr>
    </w:p>
    <w:p>
      <w:pPr>
        <w:jc w:val="both"/>
        <w:ind w:left="1320" w:right="459" w:hanging="434"/>
        <w:spacing w:after="0" w:line="259" w:lineRule="auto"/>
        <w:tabs>
          <w:tab w:leader="none" w:pos="1316" w:val="left"/>
        </w:tabs>
        <w:numPr>
          <w:ilvl w:val="0"/>
          <w:numId w:val="1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 </w:t>
      </w:r>
      <w:r>
        <w:rPr>
          <w:rFonts w:ascii="Arial" w:cs="Arial" w:eastAsia="Arial" w:hAnsi="Arial"/>
          <w:sz w:val="18"/>
          <w:szCs w:val="18"/>
          <w:color w:val="auto"/>
        </w:rPr>
        <w:t>The risk-free interest rate was calculated using the average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published interest rates of U.S. Treasury zero-coupon issues with maturities that approximate the expected term. The dividend yield assumption is zero as the Company has no history of, nor plans to distribute, dividend payments.</w:t>
      </w:r>
    </w:p>
    <w:p>
      <w:pPr>
        <w:spacing w:after="0" w:line="105" w:lineRule="exact"/>
        <w:rPr>
          <w:rFonts w:ascii="Arial" w:cs="Arial" w:eastAsia="Arial" w:hAnsi="Arial"/>
          <w:sz w:val="18"/>
          <w:szCs w:val="18"/>
          <w:color w:val="auto"/>
        </w:rPr>
      </w:pPr>
    </w:p>
    <w:p>
      <w:pPr>
        <w:jc w:val="both"/>
        <w:ind w:left="1320" w:right="459" w:hanging="434"/>
        <w:spacing w:after="0" w:line="257" w:lineRule="auto"/>
        <w:tabs>
          <w:tab w:leader="none" w:pos="1316" w:val="left"/>
        </w:tabs>
        <w:numPr>
          <w:ilvl w:val="0"/>
          <w:numId w:val="1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 </w:t>
      </w:r>
      <w:r>
        <w:rPr>
          <w:rFonts w:ascii="Arial" w:cs="Arial" w:eastAsia="Arial" w:hAnsi="Arial"/>
          <w:sz w:val="18"/>
          <w:szCs w:val="18"/>
          <w:color w:val="auto"/>
        </w:rPr>
        <w:t>The expected term of the options is based on the average period the stock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expected to remain outstanding, calculated as the midpoint of the options vesting term and the contractual expiration period, as the Company did not have sufficient historical information to develop reasonable expectations about future exercise patterns and post-vesting employment termination behavior.</w:t>
      </w:r>
    </w:p>
    <w:p>
      <w:pPr>
        <w:spacing w:after="0" w:line="120" w:lineRule="exact"/>
        <w:rPr>
          <w:rFonts w:ascii="Arial" w:cs="Arial" w:eastAsia="Arial" w:hAnsi="Arial"/>
          <w:sz w:val="18"/>
          <w:szCs w:val="18"/>
          <w:color w:val="auto"/>
        </w:rPr>
      </w:pPr>
    </w:p>
    <w:p>
      <w:pPr>
        <w:jc w:val="both"/>
        <w:ind w:left="1320" w:right="459" w:hanging="434"/>
        <w:spacing w:after="0" w:line="263" w:lineRule="auto"/>
        <w:tabs>
          <w:tab w:leader="none" w:pos="1316" w:val="left"/>
        </w:tabs>
        <w:numPr>
          <w:ilvl w:val="0"/>
          <w:numId w:val="1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volatility — </w:t>
      </w:r>
      <w:r>
        <w:rPr>
          <w:rFonts w:ascii="Arial" w:cs="Arial" w:eastAsia="Arial" w:hAnsi="Arial"/>
          <w:sz w:val="18"/>
          <w:szCs w:val="18"/>
          <w:color w:val="auto"/>
        </w:rPr>
        <w:t>The expected stock price volatility for the Company’s stock was determined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examining the historical volatilities of the Company’s industry peers as the Company did not have any trading history of its common stock.</w:t>
      </w:r>
    </w:p>
    <w:p>
      <w:pPr>
        <w:spacing w:after="0" w:line="116"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1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dividend yield — </w:t>
      </w:r>
      <w:r>
        <w:rPr>
          <w:rFonts w:ascii="Arial" w:cs="Arial" w:eastAsia="Arial" w:hAnsi="Arial"/>
          <w:sz w:val="18"/>
          <w:szCs w:val="18"/>
          <w:color w:val="auto"/>
        </w:rPr>
        <w:t>The dividend yield assumption is zero as the Company has no history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nor plans to distribute, dividend payments.</w:t>
      </w:r>
    </w:p>
    <w:p>
      <w:pPr>
        <w:spacing w:after="0" w:line="89"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assumptions used under the Black-Scholes-Merton option pricing model and the weighted average calculated value of the options granted to employees are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w w:val="99"/>
              </w:rPr>
              <w:t>Year Ended June 30,</w:t>
            </w:r>
          </w:p>
        </w:tc>
        <w:tc>
          <w:tcPr>
            <w:tcW w:w="800" w:type="dxa"/>
            <w:vAlign w:val="bottom"/>
          </w:tcPr>
          <w:p>
            <w:pPr>
              <w:spacing w:after="0"/>
              <w:rPr>
                <w:sz w:val="18"/>
                <w:szCs w:val="18"/>
                <w:color w:val="auto"/>
              </w:rPr>
            </w:pPr>
          </w:p>
        </w:tc>
      </w:tr>
      <w:tr>
        <w:trPr>
          <w:trHeight w:val="46"/>
        </w:trPr>
        <w:tc>
          <w:tcPr>
            <w:tcW w:w="5060" w:type="dxa"/>
            <w:vAlign w:val="bottom"/>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r>
      <w:tr>
        <w:trPr>
          <w:trHeight w:val="230"/>
        </w:trPr>
        <w:tc>
          <w:tcPr>
            <w:tcW w:w="5060" w:type="dxa"/>
            <w:vAlign w:val="bottom"/>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2022</w:t>
            </w:r>
          </w:p>
        </w:tc>
        <w:tc>
          <w:tcPr>
            <w:tcW w:w="1620" w:type="dxa"/>
            <w:vAlign w:val="bottom"/>
            <w:gridSpan w:val="3"/>
          </w:tcPr>
          <w:p>
            <w:pPr>
              <w:jc w:val="right"/>
              <w:ind w:right="510"/>
              <w:spacing w:after="0"/>
              <w:rPr>
                <w:sz w:val="20"/>
                <w:szCs w:val="20"/>
                <w:color w:val="auto"/>
              </w:rPr>
            </w:pPr>
            <w:r>
              <w:rPr>
                <w:rFonts w:ascii="Arial" w:cs="Arial" w:eastAsia="Arial" w:hAnsi="Arial"/>
                <w:sz w:val="16"/>
                <w:szCs w:val="16"/>
                <w:b w:val="1"/>
                <w:bCs w:val="1"/>
                <w:color w:val="auto"/>
              </w:rPr>
              <w:t>2021</w:t>
            </w:r>
          </w:p>
        </w:tc>
      </w:tr>
      <w:tr>
        <w:trPr>
          <w:trHeight w:val="47"/>
        </w:trPr>
        <w:tc>
          <w:tcPr>
            <w:tcW w:w="506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4"/>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1.25%</w:t>
            </w: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Expected term (years)</w:t>
            </w:r>
          </w:p>
        </w:tc>
        <w:tc>
          <w:tcPr>
            <w:tcW w:w="640" w:type="dxa"/>
            <w:vAlign w:val="bottom"/>
          </w:tcPr>
          <w:p>
            <w:pPr>
              <w:jc w:val="right"/>
              <w:spacing w:after="0"/>
              <w:rPr>
                <w:sz w:val="20"/>
                <w:szCs w:val="20"/>
                <w:color w:val="auto"/>
              </w:rPr>
            </w:pPr>
            <w:r>
              <w:rPr>
                <w:rFonts w:ascii="Arial" w:cs="Arial" w:eastAsia="Arial" w:hAnsi="Arial"/>
                <w:sz w:val="18"/>
                <w:szCs w:val="18"/>
                <w:color w:val="auto"/>
              </w:rPr>
              <w:t>6.10</w:t>
            </w:r>
          </w:p>
        </w:tc>
        <w:tc>
          <w:tcPr>
            <w:tcW w:w="780" w:type="dxa"/>
            <w:vAlign w:val="bottom"/>
          </w:tcPr>
          <w:p>
            <w:pPr>
              <w:ind w:left="20"/>
              <w:spacing w:after="0"/>
              <w:rPr>
                <w:sz w:val="20"/>
                <w:szCs w:val="20"/>
                <w:color w:val="auto"/>
              </w:rPr>
            </w:pPr>
            <w:r>
              <w:rPr>
                <w:rFonts w:ascii="Arial" w:cs="Arial" w:eastAsia="Arial" w:hAnsi="Arial"/>
                <w:sz w:val="18"/>
                <w:szCs w:val="18"/>
                <w:color w:val="auto"/>
              </w:rPr>
              <w:t>– 6.51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800" w:type="dxa"/>
            <w:vAlign w:val="bottom"/>
          </w:tcPr>
          <w:p>
            <w:pPr>
              <w:spacing w:after="0"/>
              <w:rPr>
                <w:sz w:val="20"/>
                <w:szCs w:val="20"/>
                <w:color w:val="auto"/>
              </w:rPr>
            </w:pPr>
            <w:r>
              <w:rPr>
                <w:rFonts w:ascii="Arial" w:cs="Arial" w:eastAsia="Arial" w:hAnsi="Arial"/>
                <w:sz w:val="18"/>
                <w:szCs w:val="18"/>
                <w:color w:val="auto"/>
              </w:rPr>
              <w:t>– 6.51</w:t>
            </w:r>
          </w:p>
        </w:tc>
      </w:tr>
      <w:tr>
        <w:trPr>
          <w:trHeight w:val="40"/>
        </w:trPr>
        <w:tc>
          <w:tcPr>
            <w:tcW w:w="5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45.84%</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 46.15%</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47.74%</w:t>
            </w: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50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Stock-based compensation expense, excluding stock-based compensation in capitalized software, by function is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9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120" w:type="dxa"/>
            <w:vAlign w:val="bottom"/>
            <w:gridSpan w:val="4"/>
          </w:tcPr>
          <w:p>
            <w:pPr>
              <w:jc w:val="right"/>
              <w:ind w:right="87"/>
              <w:spacing w:after="0"/>
              <w:rPr>
                <w:sz w:val="20"/>
                <w:szCs w:val="20"/>
                <w:color w:val="auto"/>
              </w:rPr>
            </w:pPr>
            <w:r>
              <w:rPr>
                <w:rFonts w:ascii="Arial" w:cs="Arial" w:eastAsia="Arial" w:hAnsi="Arial"/>
                <w:sz w:val="16"/>
                <w:szCs w:val="16"/>
                <w:b w:val="1"/>
                <w:bCs w:val="1"/>
                <w:color w:val="auto"/>
              </w:rPr>
              <w:t>Year Ended June 30,</w:t>
            </w:r>
          </w:p>
        </w:tc>
        <w:tc>
          <w:tcPr>
            <w:tcW w:w="380" w:type="dxa"/>
            <w:vAlign w:val="bottom"/>
          </w:tcPr>
          <w:p>
            <w:pPr>
              <w:spacing w:after="0"/>
              <w:rPr>
                <w:sz w:val="18"/>
                <w:szCs w:val="18"/>
                <w:color w:val="auto"/>
              </w:rPr>
            </w:pPr>
          </w:p>
        </w:tc>
      </w:tr>
      <w:tr>
        <w:trPr>
          <w:trHeight w:val="46"/>
        </w:trPr>
        <w:tc>
          <w:tcPr>
            <w:tcW w:w="29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30"/>
        </w:trPr>
        <w:tc>
          <w:tcPr>
            <w:tcW w:w="2900" w:type="dxa"/>
            <w:vAlign w:val="bottom"/>
          </w:tcPr>
          <w:p>
            <w:pPr>
              <w:spacing w:after="0"/>
              <w:rPr>
                <w:sz w:val="20"/>
                <w:szCs w:val="20"/>
                <w:color w:val="auto"/>
              </w:rPr>
            </w:pPr>
          </w:p>
        </w:tc>
        <w:tc>
          <w:tcPr>
            <w:tcW w:w="34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Pr>
          <w:p>
            <w:pPr>
              <w:spacing w:after="0"/>
              <w:rPr>
                <w:sz w:val="20"/>
                <w:szCs w:val="20"/>
                <w:color w:val="auto"/>
              </w:rPr>
            </w:pPr>
          </w:p>
        </w:tc>
        <w:tc>
          <w:tcPr>
            <w:tcW w:w="980" w:type="dxa"/>
            <w:vAlign w:val="bottom"/>
            <w:gridSpan w:val="2"/>
          </w:tcPr>
          <w:p>
            <w:pPr>
              <w:jc w:val="right"/>
              <w:ind w:right="7"/>
              <w:spacing w:after="0"/>
              <w:rPr>
                <w:sz w:val="20"/>
                <w:szCs w:val="20"/>
                <w:color w:val="auto"/>
              </w:rPr>
            </w:pPr>
            <w:r>
              <w:rPr>
                <w:rFonts w:ascii="Arial" w:cs="Arial" w:eastAsia="Arial" w:hAnsi="Arial"/>
                <w:sz w:val="16"/>
                <w:szCs w:val="16"/>
                <w:b w:val="1"/>
                <w:bCs w:val="1"/>
                <w:color w:val="auto"/>
              </w:rPr>
              <w:t>2021</w:t>
            </w:r>
          </w:p>
        </w:tc>
        <w:tc>
          <w:tcPr>
            <w:tcW w:w="380" w:type="dxa"/>
            <w:vAlign w:val="bottom"/>
          </w:tcPr>
          <w:p>
            <w:pPr>
              <w:spacing w:after="0"/>
              <w:rPr>
                <w:sz w:val="20"/>
                <w:szCs w:val="20"/>
                <w:color w:val="auto"/>
              </w:rPr>
            </w:pPr>
          </w:p>
        </w:tc>
      </w:tr>
      <w:tr>
        <w:trPr>
          <w:trHeight w:val="47"/>
        </w:trPr>
        <w:tc>
          <w:tcPr>
            <w:tcW w:w="2900" w:type="dxa"/>
            <w:vAlign w:val="bottom"/>
            <w:tcBorders>
              <w:bottom w:val="single" w:sz="8" w:color="CCEEFF"/>
            </w:tcBorders>
          </w:tcPr>
          <w:p>
            <w:pPr>
              <w:spacing w:after="0"/>
              <w:rPr>
                <w:sz w:val="4"/>
                <w:szCs w:val="4"/>
                <w:color w:val="auto"/>
              </w:rPr>
            </w:pPr>
          </w:p>
        </w:tc>
        <w:tc>
          <w:tcPr>
            <w:tcW w:w="27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43"/>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7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43"/>
        </w:trPr>
        <w:tc>
          <w:tcPr>
            <w:tcW w:w="2900" w:type="dxa"/>
            <w:vAlign w:val="bottom"/>
          </w:tcPr>
          <w:p>
            <w:pPr>
              <w:spacing w:after="0"/>
              <w:rPr>
                <w:sz w:val="20"/>
                <w:szCs w:val="20"/>
                <w:color w:val="auto"/>
              </w:rPr>
            </w:pPr>
            <w:r>
              <w:rPr>
                <w:rFonts w:ascii="Arial" w:cs="Arial" w:eastAsia="Arial" w:hAnsi="Arial"/>
                <w:sz w:val="18"/>
                <w:szCs w:val="18"/>
                <w:color w:val="auto"/>
              </w:rPr>
              <w:t>Sales and marketing</w:t>
            </w:r>
          </w:p>
        </w:tc>
        <w:tc>
          <w:tcPr>
            <w:tcW w:w="2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0"/>
        </w:trPr>
        <w:tc>
          <w:tcPr>
            <w:tcW w:w="2900" w:type="dxa"/>
            <w:vAlign w:val="bottom"/>
          </w:tcPr>
          <w:p>
            <w:pPr>
              <w:spacing w:after="0"/>
              <w:rPr>
                <w:sz w:val="3"/>
                <w:szCs w:val="3"/>
                <w:color w:val="auto"/>
              </w:rPr>
            </w:pPr>
          </w:p>
        </w:tc>
        <w:tc>
          <w:tcPr>
            <w:tcW w:w="2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63"/>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7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0"/>
        </w:trPr>
        <w:tc>
          <w:tcPr>
            <w:tcW w:w="2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244"/>
        </w:trPr>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740" w:type="dxa"/>
            <w:vAlign w:val="bottom"/>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1,909</w:t>
            </w:r>
          </w:p>
        </w:tc>
        <w:tc>
          <w:tcPr>
            <w:tcW w:w="98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736</w:t>
            </w:r>
          </w:p>
        </w:tc>
      </w:tr>
      <w:tr>
        <w:trPr>
          <w:trHeight w:val="20"/>
        </w:trPr>
        <w:tc>
          <w:tcPr>
            <w:tcW w:w="2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r>
        <w:trPr>
          <w:trHeight w:val="378"/>
        </w:trPr>
        <w:tc>
          <w:tcPr>
            <w:tcW w:w="29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2"/>
          </w:tcPr>
          <w:p>
            <w:pPr>
              <w:jc w:val="right"/>
              <w:ind w:right="2033"/>
              <w:spacing w:after="0"/>
              <w:rPr>
                <w:sz w:val="20"/>
                <w:szCs w:val="20"/>
                <w:color w:val="auto"/>
              </w:rPr>
            </w:pPr>
            <w:r>
              <w:rPr>
                <w:rFonts w:ascii="Arial" w:cs="Arial" w:eastAsia="Arial" w:hAnsi="Arial"/>
                <w:sz w:val="18"/>
                <w:szCs w:val="18"/>
                <w:color w:val="auto"/>
              </w:rPr>
              <w:t>F-81</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05" w:name="page206"/>
    <w:bookmarkEnd w:id="20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 xml:space="preserve">Stock-Based Compensation </w:t>
      </w:r>
      <w:r>
        <w:rPr>
          <w:rFonts w:ascii="Arial" w:cs="Arial" w:eastAsia="Arial" w:hAnsi="Arial"/>
          <w:sz w:val="15"/>
          <w:szCs w:val="15"/>
          <w:color w:val="auto"/>
        </w:rPr>
        <w:t>(cont.)</w:t>
      </w:r>
    </w:p>
    <w:p>
      <w:pPr>
        <w:spacing w:after="0" w:line="20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Stock-based compensation allocated to cost of goods sold was not material for the fiscal years ended June 30, 2022 and 2021. The weighted-average grant date fair value of options vested during the years ended June 30, 2022 and 2021 was $1.05 and $0.47, respectively. As of June 30, 2022, the unrecognized stock-based compensation expense related to outstanding unvested stock options, excluding those with performance-based service conditions that are either unvested or not deemed probable of occurring at June 30, 2022, was $3,756, which is expected to be recognized over a weighted-average period of 3.02 years.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Stock-based Compensation</w:t>
      </w:r>
    </w:p>
    <w:p>
      <w:pPr>
        <w:spacing w:after="0" w:line="14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In connection with the acquisition of CyborgOps (see Note 15), the Company issued 475,638 shares of common stock to former employees of CyborgOps who have continued employment with the Company, and are accounted for as stock-based compensation because the shares are subject to forfeiture based on post-acquisition time-based service vesting. The shares vest in monthly increments over four years commencing on June 11, 2022. The fair value was determined to be 8.75 per share based on the acquisition date fair value. During the fiscal year ended June 30, 2022, the Company recognized $101 of stock-based compensation expense related to these awards. As of June 30, 2022, unrecognized stock-based compensation expense was $4,063, which is expected to be recognized over a weighted-average period of 3.87 years.</w:t>
      </w:r>
    </w:p>
    <w:p>
      <w:pPr>
        <w:spacing w:after="0" w:line="16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Income Taxes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is subject to U.S. federal, state, and local corporate income taxes.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components of loss before taxes are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6"/>
          </w:tcPr>
          <w:p>
            <w:pPr>
              <w:jc w:val="right"/>
              <w:spacing w:after="0"/>
              <w:rPr>
                <w:sz w:val="20"/>
                <w:szCs w:val="20"/>
                <w:color w:val="auto"/>
              </w:rPr>
            </w:pPr>
            <w:r>
              <w:rPr>
                <w:rFonts w:ascii="Arial" w:cs="Arial" w:eastAsia="Arial" w:hAnsi="Arial"/>
                <w:sz w:val="16"/>
                <w:szCs w:val="16"/>
                <w:b w:val="1"/>
                <w:bCs w:val="1"/>
                <w:color w:val="auto"/>
                <w:w w:val="93"/>
              </w:rPr>
              <w:t>June 30,</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9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51"/>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2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(56,644)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3"/>
            <w:shd w:val="clear" w:color="auto" w:fill="CCEEFF"/>
          </w:tcPr>
          <w:p>
            <w:pPr>
              <w:jc w:val="right"/>
              <w:ind w:right="1"/>
              <w:spacing w:after="0"/>
              <w:rPr>
                <w:sz w:val="20"/>
                <w:szCs w:val="20"/>
                <w:color w:val="auto"/>
              </w:rPr>
            </w:pPr>
            <w:r>
              <w:rPr>
                <w:rFonts w:ascii="Arial" w:cs="Arial" w:eastAsia="Arial" w:hAnsi="Arial"/>
                <w:sz w:val="18"/>
                <w:szCs w:val="18"/>
                <w:color w:val="auto"/>
              </w:rPr>
              <w:t>(49,819)</w:t>
            </w:r>
          </w:p>
        </w:tc>
        <w:tc>
          <w:tcPr>
            <w:tcW w:w="0" w:type="dxa"/>
            <w:vAlign w:val="bottom"/>
          </w:tcPr>
          <w:p>
            <w:pPr>
              <w:spacing w:after="0"/>
              <w:rPr>
                <w:sz w:val="1"/>
                <w:szCs w:val="1"/>
                <w:color w:val="auto"/>
              </w:rPr>
            </w:pPr>
          </w:p>
        </w:tc>
      </w:tr>
      <w:tr>
        <w:trPr>
          <w:trHeight w:val="257"/>
        </w:trPr>
        <w:tc>
          <w:tcPr>
            <w:tcW w:w="526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loss before taxes</w:t>
            </w:r>
          </w:p>
        </w:tc>
        <w:tc>
          <w:tcPr>
            <w:tcW w:w="5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(56,544</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(49,779</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w w:val="98"/>
              </w:rPr>
              <w:t>Income tax (benefit) provision was comprised of the following:</w:t>
            </w: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7"/>
          </w:tcPr>
          <w:p>
            <w:pPr>
              <w:ind w:left="700"/>
              <w:spacing w:after="0"/>
              <w:rPr>
                <w:sz w:val="20"/>
                <w:szCs w:val="20"/>
                <w:color w:val="auto"/>
              </w:rPr>
            </w:pPr>
            <w:r>
              <w:rPr>
                <w:rFonts w:ascii="Arial" w:cs="Arial" w:eastAsia="Arial" w:hAnsi="Arial"/>
                <w:sz w:val="16"/>
                <w:szCs w:val="16"/>
                <w:b w:val="1"/>
                <w:bCs w:val="1"/>
                <w:color w:val="auto"/>
              </w:rPr>
              <w:t>June 30,</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5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2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United States</w:t>
            </w:r>
          </w:p>
        </w:tc>
        <w:tc>
          <w:tcPr>
            <w:tcW w:w="5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47"/>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tax provision</w:t>
            </w: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w:t>
            </w:r>
          </w:p>
        </w:tc>
        <w:tc>
          <w:tcPr>
            <w:tcW w:w="280" w:type="dxa"/>
            <w:vAlign w:val="bottom"/>
            <w:tcBorders>
              <w:top w:val="single" w:sz="8" w:color="CCEEFF"/>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260" w:type="dxa"/>
            <w:vAlign w:val="bottom"/>
          </w:tcPr>
          <w:p>
            <w:pPr>
              <w:spacing w:after="0"/>
              <w:rPr>
                <w:sz w:val="20"/>
                <w:szCs w:val="20"/>
                <w:color w:val="auto"/>
              </w:rPr>
            </w:pPr>
            <w:r>
              <w:rPr>
                <w:rFonts w:ascii="Arial" w:cs="Arial" w:eastAsia="Arial" w:hAnsi="Arial"/>
                <w:sz w:val="18"/>
                <w:szCs w:val="18"/>
                <w:color w:val="auto"/>
              </w:rPr>
              <w:t>Total deferred tax (benefit) provision</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tax (benefit) provision</w:t>
            </w:r>
          </w:p>
        </w:tc>
        <w:tc>
          <w:tcPr>
            <w:tcW w:w="5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ind w:lef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Effective tax rate</w:t>
            </w: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0.41%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418"/>
        </w:trPr>
        <w:tc>
          <w:tcPr>
            <w:tcW w:w="526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F-82</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06" w:name="page207"/>
    <w:bookmarkEnd w:id="20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(cont.)</w:t>
      </w:r>
    </w:p>
    <w:p>
      <w:pPr>
        <w:spacing w:after="0" w:line="20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Company’s effective income tax rate reconciliation is composed of the following for the periods presented:</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6"/>
          </w:tcPr>
          <w:p>
            <w:pPr>
              <w:jc w:val="right"/>
              <w:ind w:right="120"/>
              <w:spacing w:after="0"/>
              <w:rPr>
                <w:sz w:val="20"/>
                <w:szCs w:val="20"/>
                <w:color w:val="auto"/>
              </w:rPr>
            </w:pPr>
            <w:r>
              <w:rPr>
                <w:rFonts w:ascii="Arial" w:cs="Arial" w:eastAsia="Arial" w:hAnsi="Arial"/>
                <w:sz w:val="16"/>
                <w:szCs w:val="16"/>
                <w:b w:val="1"/>
                <w:bCs w:val="1"/>
                <w:color w:val="auto"/>
                <w:w w:val="90"/>
              </w:rPr>
              <w:t>June 30,</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54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3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6"/>
        </w:trPr>
        <w:tc>
          <w:tcPr>
            <w:tcW w:w="54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21.00%</w:t>
            </w: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(0.04)%</w:t>
            </w:r>
          </w:p>
        </w:tc>
      </w:tr>
      <w:tr>
        <w:trPr>
          <w:trHeight w:val="41"/>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credits</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0.83%</w:t>
            </w: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0.02%</w:t>
            </w:r>
          </w:p>
        </w:tc>
      </w:tr>
      <w:tr>
        <w:trPr>
          <w:trHeight w:val="40"/>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 of warrants and convertible notes</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0.61%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(0.24)%</w:t>
            </w:r>
          </w:p>
        </w:tc>
      </w:tr>
      <w:tr>
        <w:trPr>
          <w:trHeight w:val="41"/>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8"/>
        </w:trPr>
        <w:tc>
          <w:tcPr>
            <w:tcW w:w="5800" w:type="dxa"/>
            <w:vAlign w:val="bottom"/>
            <w:gridSpan w:val="3"/>
          </w:tcPr>
          <w:p>
            <w:pPr>
              <w:ind w:left="420"/>
              <w:spacing w:after="0"/>
              <w:rPr>
                <w:sz w:val="20"/>
                <w:szCs w:val="20"/>
                <w:color w:val="auto"/>
              </w:rPr>
            </w:pPr>
            <w:r>
              <w:rPr>
                <w:rFonts w:ascii="Arial" w:cs="Arial" w:eastAsia="Arial" w:hAnsi="Arial"/>
                <w:sz w:val="18"/>
                <w:szCs w:val="18"/>
                <w:color w:val="auto"/>
                <w:w w:val="92"/>
              </w:rPr>
              <w:t>The components of net deferred tax assets are as follows (in thousands):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3"/>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gridSpan w:val="6"/>
          </w:tcPr>
          <w:p>
            <w:pPr>
              <w:jc w:val="right"/>
              <w:ind w:right="60"/>
              <w:spacing w:after="0"/>
              <w:rPr>
                <w:sz w:val="20"/>
                <w:szCs w:val="20"/>
                <w:color w:val="auto"/>
              </w:rPr>
            </w:pPr>
            <w:r>
              <w:rPr>
                <w:rFonts w:ascii="Arial" w:cs="Arial" w:eastAsia="Arial" w:hAnsi="Arial"/>
                <w:sz w:val="16"/>
                <w:szCs w:val="16"/>
                <w:b w:val="1"/>
                <w:bCs w:val="1"/>
                <w:color w:val="auto"/>
                <w:w w:val="99"/>
              </w:rPr>
              <w:t>June 30,</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6"/>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0"/>
        </w:trPr>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5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51"/>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7"/>
        </w:trPr>
        <w:tc>
          <w:tcPr>
            <w:tcW w:w="54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31,038</w:t>
            </w:r>
          </w:p>
        </w:tc>
        <w:tc>
          <w:tcPr>
            <w:tcW w:w="80" w:type="dxa"/>
            <w:vAlign w:val="bottom"/>
          </w:tcPr>
          <w:p>
            <w:pPr>
              <w:spacing w:after="0"/>
              <w:rPr>
                <w:sz w:val="21"/>
                <w:szCs w:val="21"/>
                <w:color w:val="auto"/>
              </w:rPr>
            </w:pPr>
          </w:p>
        </w:tc>
        <w:tc>
          <w:tcPr>
            <w:tcW w:w="5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19,659</w:t>
            </w:r>
          </w:p>
        </w:tc>
        <w:tc>
          <w:tcPr>
            <w:tcW w:w="140" w:type="dxa"/>
            <w:vAlign w:val="bottom"/>
          </w:tcPr>
          <w:p>
            <w:pPr>
              <w:spacing w:after="0"/>
              <w:rPr>
                <w:sz w:val="21"/>
                <w:szCs w:val="21"/>
                <w:color w:val="auto"/>
              </w:rPr>
            </w:pPr>
          </w:p>
        </w:tc>
      </w:tr>
      <w:tr>
        <w:trPr>
          <w:trHeight w:val="40"/>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Tax credits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4,795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3,929</w:t>
            </w:r>
          </w:p>
        </w:tc>
        <w:tc>
          <w:tcPr>
            <w:tcW w:w="140" w:type="dxa"/>
            <w:vAlign w:val="bottom"/>
          </w:tcPr>
          <w:p>
            <w:pPr>
              <w:spacing w:after="0"/>
              <w:rPr>
                <w:sz w:val="21"/>
                <w:szCs w:val="21"/>
                <w:color w:val="auto"/>
              </w:rPr>
            </w:pPr>
          </w:p>
        </w:tc>
      </w:tr>
      <w:tr>
        <w:trPr>
          <w:trHeight w:val="40"/>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limitation</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ind w:right="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917</w:t>
            </w:r>
          </w:p>
        </w:tc>
        <w:tc>
          <w:tcPr>
            <w:tcW w:w="14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38,877</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29,555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(38,750)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(29,555)</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r>
      <w:tr>
        <w:trPr>
          <w:trHeight w:val="268"/>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tax assets, net of valuation allowance</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37"/>
        </w:trPr>
        <w:tc>
          <w:tcPr>
            <w:tcW w:w="5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r>
      <w:tr>
        <w:trPr>
          <w:trHeight w:val="40"/>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37"/>
        </w:trPr>
        <w:tc>
          <w:tcPr>
            <w:tcW w:w="5480" w:type="dxa"/>
            <w:vAlign w:val="bottom"/>
          </w:tcPr>
          <w:p>
            <w:pPr>
              <w:ind w:left="360"/>
              <w:spacing w:after="0"/>
              <w:rPr>
                <w:sz w:val="20"/>
                <w:szCs w:val="20"/>
                <w:color w:val="auto"/>
              </w:rPr>
            </w:pPr>
            <w:r>
              <w:rPr>
                <w:rFonts w:ascii="Arial" w:cs="Arial" w:eastAsia="Arial" w:hAnsi="Arial"/>
                <w:sz w:val="18"/>
                <w:szCs w:val="18"/>
                <w:color w:val="auto"/>
              </w:rPr>
              <w:t>Total deferred tax liabilities</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5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Deferred tax assets are reduced by valuation allowances if, based on the consideration of all available evidence, it is more likely than not that some portion of the deferred tax asset will not be realized.</w:t>
      </w:r>
    </w:p>
    <w:p>
      <w:pPr>
        <w:spacing w:after="0" w:line="7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ultimate realization of deferred tax assets depends on the generation of future taxable income during the periods in which those temporary differences are deductible. The Company considers the scheduled reversal of deferred tax liabilities (including the effect of available carryback and carryforward periods), as well as projected pre-tax book income in making this assessment. To fully utilize the net operating loss (“</w:t>
      </w:r>
      <w:r>
        <w:rPr>
          <w:rFonts w:ascii="Arial" w:cs="Arial" w:eastAsia="Arial" w:hAnsi="Arial"/>
          <w:sz w:val="18"/>
          <w:szCs w:val="18"/>
          <w:b w:val="1"/>
          <w:bCs w:val="1"/>
          <w:color w:val="auto"/>
        </w:rPr>
        <w:t>NOL</w:t>
      </w:r>
      <w:r>
        <w:rPr>
          <w:rFonts w:ascii="Arial" w:cs="Arial" w:eastAsia="Arial" w:hAnsi="Arial"/>
          <w:sz w:val="18"/>
          <w:szCs w:val="18"/>
          <w:color w:val="auto"/>
        </w:rPr>
        <w:t>”) and tax credits carryforwards, the Company will need to generate sufficient future taxable income in each respective jurisdiction.</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summarizes the activity related to valuation allowances on deferred tax assets: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7"/>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7"/>
        </w:trPr>
        <w:tc>
          <w:tcPr>
            <w:tcW w:w="3540" w:type="dxa"/>
            <w:vAlign w:val="bottom"/>
            <w:tcBorders>
              <w:bottom w:val="single" w:sz="8" w:color="CCEEFF"/>
            </w:tcBorders>
          </w:tcPr>
          <w:p>
            <w:pPr>
              <w:spacing w:after="0"/>
              <w:rPr>
                <w:sz w:val="4"/>
                <w:szCs w:val="4"/>
                <w:color w:val="auto"/>
              </w:rPr>
            </w:pPr>
          </w:p>
        </w:tc>
        <w:tc>
          <w:tcPr>
            <w:tcW w:w="20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Valuation allowance, as of beginning of year</w:t>
            </w:r>
          </w:p>
        </w:tc>
        <w:tc>
          <w:tcPr>
            <w:tcW w:w="2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22,272</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Valuation allowance established</w:t>
            </w:r>
          </w:p>
        </w:tc>
        <w:tc>
          <w:tcPr>
            <w:tcW w:w="2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35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to existing valuation allowances</w:t>
            </w:r>
          </w:p>
        </w:tc>
        <w:tc>
          <w:tcPr>
            <w:tcW w:w="20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7,283</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Valuation allowance, as of end of year</w:t>
            </w:r>
          </w:p>
        </w:tc>
        <w:tc>
          <w:tcPr>
            <w:tcW w:w="2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540" w:type="dxa"/>
            <w:vAlign w:val="bottom"/>
            <w:vMerge w:val="continue"/>
          </w:tcPr>
          <w:p>
            <w:pPr>
              <w:spacing w:after="0"/>
              <w:rPr>
                <w:sz w:val="21"/>
                <w:szCs w:val="21"/>
                <w:color w:val="auto"/>
              </w:rPr>
            </w:pPr>
          </w:p>
        </w:tc>
        <w:tc>
          <w:tcPr>
            <w:tcW w:w="20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38,750</w:t>
            </w: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29,555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5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jc w:val="right"/>
              <w:ind w:right="1550"/>
              <w:spacing w:after="0"/>
              <w:rPr>
                <w:sz w:val="20"/>
                <w:szCs w:val="20"/>
                <w:color w:val="auto"/>
              </w:rPr>
            </w:pPr>
            <w:r>
              <w:rPr>
                <w:rFonts w:ascii="Arial" w:cs="Arial" w:eastAsia="Arial" w:hAnsi="Arial"/>
                <w:sz w:val="18"/>
                <w:szCs w:val="18"/>
                <w:color w:val="auto"/>
              </w:rPr>
              <w:t>F-83</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081" w:gutter="0" w:footer="0" w:header="0"/>
        </w:sectPr>
      </w:pPr>
    </w:p>
    <w:bookmarkStart w:id="207" w:name="page208"/>
    <w:bookmarkEnd w:id="20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(cont.)</w:t>
      </w:r>
    </w:p>
    <w:p>
      <w:pPr>
        <w:spacing w:after="0" w:line="20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As of June 30, 2022, the Company had federal and state NOLs for approximately $134,670 and $41,581, respectively. The federal and state NOLs begin to expire in 2029 if not utilized. The use of the NOLs may be subject to certain limitations under Section 382 of the Internal Revenue Code of 1986 (the “Code”) and similar state tax law. As of June 30, 2022, the Company had research and development tax credit carryforwards of approximately $5,024 and $4,809 for federal and state tax purposes, respectively. The federal credits begin to expire in 2029 and the state tax credits do not expire.</w:t>
      </w:r>
    </w:p>
    <w:p>
      <w:pPr>
        <w:spacing w:after="0" w:line="9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Utilization of the NOL carryforwards and credits may be subject to a substantial annual limitation due to ownership changes that may have occurred previously or that could occur in the future, as provided by Section 382 of the Code, as well as similar state provisions. Such annual limitation could result in the expiration of net operating losses and credits before their utilization.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5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The total amount of gross unrecognized tax benefits was $4,916 as of June 30, 2022, of which none would affect the effective tax rate if recognized because it would result in an increase in the deferred tax assets with a corresponding increase in the valuation allowance, therefore no impact. The aggregate changes in the balance of gross unrecognized tax benefits are as follows (in thousands):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17"/>
        </w:trPr>
        <w:tc>
          <w:tcPr>
            <w:tcW w:w="5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72"/>
              <w:spacing w:after="0"/>
              <w:rPr>
                <w:sz w:val="20"/>
                <w:szCs w:val="20"/>
                <w:color w:val="auto"/>
              </w:rPr>
            </w:pPr>
            <w:r>
              <w:rPr>
                <w:rFonts w:ascii="Arial" w:cs="Arial" w:eastAsia="Arial" w:hAnsi="Arial"/>
                <w:sz w:val="16"/>
                <w:szCs w:val="16"/>
                <w:b w:val="1"/>
                <w:bCs w:val="1"/>
                <w:color w:val="auto"/>
              </w:rPr>
              <w:t>2021</w:t>
            </w:r>
          </w:p>
        </w:tc>
      </w:tr>
      <w:tr>
        <w:trPr>
          <w:trHeight w:val="46"/>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4,189</w:t>
            </w:r>
          </w:p>
        </w:tc>
        <w:tc>
          <w:tcPr>
            <w:tcW w:w="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Decrease related to prior period tax positions</w:t>
            </w: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related to current year tax positions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0"/>
        </w:trPr>
        <w:tc>
          <w:tcPr>
            <w:tcW w:w="56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740" w:type="dxa"/>
            <w:vAlign w:val="bottom"/>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4,916</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4,189</w:t>
            </w:r>
          </w:p>
        </w:tc>
      </w:tr>
      <w:tr>
        <w:trPr>
          <w:trHeight w:val="20"/>
        </w:trPr>
        <w:tc>
          <w:tcPr>
            <w:tcW w:w="5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The amount of unrecognized tax benefits relating to the Company’s tax positions is subject to change based on future events including, but not limited to, the settlements of ongoing audits and/or the expiration of applicable statute of limitations. Although the outcomes and timing of such events are highly uncertain, the Company does not expect the unrecognized tax benefits to change significantly over the next 12 months.</w:t>
      </w:r>
    </w:p>
    <w:p>
      <w:pPr>
        <w:spacing w:after="0" w:line="7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 Company files U.S. federal and various state and local income tax returns, including the State of California. The Company has no ongoing tax examinations by the U.S. income tax authorities at this time. The Company is subject to U.S. federal, state or local income tax examinations for all prior years.</w:t>
      </w:r>
    </w:p>
    <w:p>
      <w:pPr>
        <w:spacing w:after="0" w:line="16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Net Loss Per Share</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for the periods presented after giving effect to the impact of the retroactive application of the recapitalization as discussed in Note 1:</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6"/>
          </w:tcPr>
          <w:p>
            <w:pPr>
              <w:jc w:val="right"/>
              <w:ind w:right="421"/>
              <w:spacing w:after="0"/>
              <w:rPr>
                <w:sz w:val="20"/>
                <w:szCs w:val="20"/>
                <w:color w:val="auto"/>
              </w:rPr>
            </w:pPr>
            <w:r>
              <w:rPr>
                <w:rFonts w:ascii="Arial" w:cs="Arial" w:eastAsia="Arial" w:hAnsi="Arial"/>
                <w:sz w:val="16"/>
                <w:szCs w:val="16"/>
                <w:b w:val="1"/>
                <w:bCs w:val="1"/>
                <w:color w:val="auto"/>
              </w:rPr>
              <w:t>Years Ended 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74"/>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 attributable to common stockholders, 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(56,314)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(49,802)</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3"/>
              </w:rPr>
              <w:t>Weighted-average shares used in computing net loss per share attributable</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600" w:type="dxa"/>
            <w:vAlign w:val="bottom"/>
          </w:tcPr>
          <w:p>
            <w:pPr>
              <w:ind w:left="180"/>
              <w:spacing w:after="0"/>
              <w:rPr>
                <w:sz w:val="20"/>
                <w:szCs w:val="20"/>
                <w:color w:val="auto"/>
              </w:rPr>
            </w:pPr>
            <w:r>
              <w:rPr>
                <w:rFonts w:ascii="Arial" w:cs="Arial" w:eastAsia="Arial" w:hAnsi="Arial"/>
                <w:sz w:val="18"/>
                <w:szCs w:val="18"/>
                <w:color w:val="auto"/>
              </w:rPr>
              <w:t>to common stockholders, basic and diluted</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27,268,887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27,065,512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5"/>
              </w:rPr>
              <w:t>Net loss per share attributable to common stockholders,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880"/>
              <w:spacing w:after="0"/>
              <w:rPr>
                <w:sz w:val="20"/>
                <w:szCs w:val="20"/>
                <w:color w:val="auto"/>
              </w:rPr>
            </w:pPr>
            <w:r>
              <w:rPr>
                <w:rFonts w:ascii="Arial" w:cs="Arial" w:eastAsia="Arial" w:hAnsi="Arial"/>
                <w:sz w:val="18"/>
                <w:szCs w:val="18"/>
                <w:color w:val="auto"/>
              </w:rPr>
              <w:t>F-84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6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08" w:name="page209"/>
    <w:bookmarkEnd w:id="20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 xml:space="preserve">Net Loss Per Share </w:t>
      </w:r>
      <w:r>
        <w:rPr>
          <w:rFonts w:ascii="Arial" w:cs="Arial" w:eastAsia="Arial" w:hAnsi="Arial"/>
          <w:sz w:val="16"/>
          <w:szCs w:val="16"/>
          <w:color w:val="auto"/>
        </w:rPr>
        <w:t>(cont.)</w:t>
      </w:r>
    </w:p>
    <w:p>
      <w:pPr>
        <w:spacing w:after="0" w:line="20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been antidilutive are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500" w:type="dxa"/>
            <w:vAlign w:val="bottom"/>
            <w:gridSpan w:val="3"/>
          </w:tcPr>
          <w:p>
            <w:pPr>
              <w:jc w:val="right"/>
              <w:ind w:right="452"/>
              <w:spacing w:after="0"/>
              <w:rPr>
                <w:sz w:val="20"/>
                <w:szCs w:val="20"/>
                <w:color w:val="auto"/>
              </w:rPr>
            </w:pPr>
            <w:r>
              <w:rPr>
                <w:rFonts w:ascii="Arial" w:cs="Arial" w:eastAsia="Arial" w:hAnsi="Arial"/>
                <w:sz w:val="16"/>
                <w:szCs w:val="16"/>
                <w:b w:val="1"/>
                <w:bCs w:val="1"/>
                <w:color w:val="auto"/>
              </w:rPr>
              <w:t>Year Ended June 30,</w:t>
            </w:r>
          </w:p>
        </w:tc>
      </w:tr>
      <w:tr>
        <w:trPr>
          <w:trHeight w:val="46"/>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114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1240" w:type="dxa"/>
            <w:vAlign w:val="bottom"/>
          </w:tcPr>
          <w:p>
            <w:pPr>
              <w:jc w:val="right"/>
              <w:ind w:right="372"/>
              <w:spacing w:after="0"/>
              <w:rPr>
                <w:sz w:val="20"/>
                <w:szCs w:val="20"/>
                <w:color w:val="auto"/>
              </w:rPr>
            </w:pPr>
            <w:r>
              <w:rPr>
                <w:rFonts w:ascii="Arial" w:cs="Arial" w:eastAsia="Arial" w:hAnsi="Arial"/>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and RSUs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11,568,090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12,084,408</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Convertible notes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5,827,990</w:t>
            </w:r>
          </w:p>
        </w:tc>
        <w:tc>
          <w:tcPr>
            <w:tcW w:w="1240" w:type="dxa"/>
            <w:vAlign w:val="bottom"/>
          </w:tcPr>
          <w:p>
            <w:pPr>
              <w:jc w:val="right"/>
              <w:spacing w:after="0"/>
              <w:rPr>
                <w:sz w:val="20"/>
                <w:szCs w:val="20"/>
                <w:color w:val="auto"/>
              </w:rPr>
            </w:pPr>
            <w:r>
              <w:rPr>
                <w:rFonts w:ascii="Arial" w:cs="Arial" w:eastAsia="Arial" w:hAnsi="Arial"/>
                <w:sz w:val="18"/>
                <w:szCs w:val="18"/>
                <w:color w:val="auto"/>
              </w:rPr>
              <w:t>3,449,872</w:t>
            </w:r>
          </w:p>
        </w:tc>
      </w:tr>
      <w:tr>
        <w:trPr>
          <w:trHeight w:val="40"/>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4,658,865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4,344,523</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Common stock subject to vesting – CyborgOps (see Note 15)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475,638</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2"/>
        </w:trPr>
        <w:tc>
          <w:tcPr>
            <w:tcW w:w="5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Total potential shares of common stock excluded from the computation of</w:t>
            </w: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51"/>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loss per share</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22,530,583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19,878,803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Company’s stock options and RSUs include 650,802 and 300,376 of service-based and performance-based awards as of June 30, 2022 and 2021, respectively.</w:t>
      </w:r>
    </w:p>
    <w:p>
      <w:pPr>
        <w:spacing w:after="0" w:line="166"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CyborgOps Acquisition</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On May 23, 2022, the Company entered into an Asset Purchase Agreement (“Purchase Agreement”) with CyborgOps, Inc. (“CyborgOps”), a provider of artificial intelligence based products and services for merchants’ phone answering and ordering systems, to purchase substantially all of its assets and assume certain liabilities. The transaction closed on May 23, 2022. The purpose of the acquisition was to allow the Company to accelerate its development of the Presto technology, including acquiring CyborgOps’ assembled workforce to assist in such development. Pursuant to the Purchase Agreement, the stockholders of CyborgOps may receive up to $6,795 in total consideration, consisting of 601,764 shares of the Company’s common stock valued at $8.75 per share and $1,527 in cash consideration, consisting of $100 in cash paid upon closing and a $1,427 promissory note. The promissory note bears interest at 5% and requires monthly payments of $50, consisting of interest and principal payments, beginning in June 2022. All remaining unpaid principal and accrued interest will become due and payable on May 23, 2024. Should a financing event with aggregate proceeds of over $50,000 occur, the unpaid principal and accrued will immediately become due and payable.</w:t>
      </w:r>
    </w:p>
    <w:p>
      <w:pPr>
        <w:spacing w:after="0" w:line="10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Of the $6,795 total consideration, $2,209 was accounted for as consideration transferred, consisting of $155 in cash paid upon closing, $950 deferred cash consideration and $1,104 of stock consideration, representing the conveyance to the former stockholders of 126,126 Company shares valued at $8.75 per share. On the acquisition date, the remaining 475,638 shares are accounted for as stock-based compensation because the shares are subject to forfeiture based on post-acquisition time-based service vesting over four years (see Note 12). The promissory note is accounted for as post-acquisition compensation expense due to certain cancellation and forgiveness provisions based on continuing employment requirements of certain employees, who were also the primary owners of CyborgOps. The continuing employment condition will be met two years after the execution of the Purchase Agreement.</w:t>
      </w:r>
    </w:p>
    <w:p>
      <w:pPr>
        <w:spacing w:after="0" w:line="10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acquisition has been accounted for as a business combination under the acquisition method and, accordingly, the total purchase price is allocated to the tangible and intangible assets acquired and the liabilities assumed based on their estimated fair value on the acquisition date. The fair value of the assets acquired was developed technology intangible assets of $1,300 (See Note 5), $247 deferred tax liability and goodwill of $1,156. Except for these assets and liabilities, CyborgOps did not have other material assets or other material liabilities that were assumed by the Company. The intangible assets were measured using the replacement cost method. The goodwill is primarily attributable to the assembled workforce and is not deductible for tax purposes.</w:t>
      </w:r>
    </w:p>
    <w:p>
      <w:pPr>
        <w:spacing w:after="0" w:line="12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revenue and earnings of the acquired business have been included in the Company’s results since the acquisition date. The Company incurred approximately $200 in acquisition-related costs, which were expensed as incurred in general and administrative in the Company’s consolidated statement of operations and comprehensive loss.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9" w:name="page210"/>
    <w:bookmarkEnd w:id="20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 xml:space="preserve">CyborgOps Acquisition </w:t>
      </w:r>
      <w:r>
        <w:rPr>
          <w:rFonts w:ascii="Arial" w:cs="Arial" w:eastAsia="Arial" w:hAnsi="Arial"/>
          <w:sz w:val="16"/>
          <w:szCs w:val="16"/>
          <w:color w:val="auto"/>
        </w:rPr>
        <w:t>(cont.)</w:t>
      </w:r>
    </w:p>
    <w:p>
      <w:pPr>
        <w:spacing w:after="0" w:line="202"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The acquisition did not result in material contributions to revenue or net loss in the consolidated financial statements during the year ended June 30, 2022. Additionally, pro forma financial information is not provided for consolidated revenue and net loss per share as such amounts attributable to CyborgOps were not material.</w:t>
      </w:r>
    </w:p>
    <w:p>
      <w:pPr>
        <w:spacing w:after="0" w:line="14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Employee Benefit Plans</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Company sponsors a 401(k) defined contribution plan covering eligible employees who elect to participate. The plan does not provide for any Company contributions.</w:t>
      </w:r>
    </w:p>
    <w:p>
      <w:pPr>
        <w:spacing w:after="0" w:line="166"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Related Party Transactions</w:t>
      </w:r>
    </w:p>
    <w:p>
      <w:pPr>
        <w:spacing w:after="0" w:line="162"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The Company has certain convertible promissory notes and embedded warrants with entities in which a member of the Company’s board of directors is an officer of the entity and has a financial interest in the entity (“</w:t>
      </w:r>
      <w:r>
        <w:rPr>
          <w:rFonts w:ascii="Arial" w:cs="Arial" w:eastAsia="Arial" w:hAnsi="Arial"/>
          <w:sz w:val="17"/>
          <w:szCs w:val="17"/>
          <w:b w:val="1"/>
          <w:bCs w:val="1"/>
          <w:color w:val="auto"/>
        </w:rPr>
        <w:t>affiliated entities</w:t>
      </w:r>
      <w:r>
        <w:rPr>
          <w:rFonts w:ascii="Arial" w:cs="Arial" w:eastAsia="Arial" w:hAnsi="Arial"/>
          <w:sz w:val="17"/>
          <w:szCs w:val="17"/>
          <w:color w:val="auto"/>
        </w:rPr>
        <w:t>”). In fiscal year 2021, the Company issued $4,500 of convertible promissory notes to the affiliated entities as part of the July 2020 Notes and the Q3 2021 Notes. Refer to Note 7 for further details on settlement of the July 2020 Notes and the Q3 2021 Notes.</w:t>
      </w:r>
    </w:p>
    <w:p>
      <w:pPr>
        <w:spacing w:after="0" w:line="10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As of June 30, 2022 and 2021, $9,566 and $6,449, respectively, of the Company’s convertible promissory notes and embedded warrants balance is due to a related party, of which $9,566 and $3,583, respectively, are due within 12 months.</w:t>
      </w:r>
    </w:p>
    <w:p>
      <w:pPr>
        <w:spacing w:after="0" w:line="180"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Subsequent Events pertaining to the Merger Agreement</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On July 25, 2022, the Company subsequently amended its agreement and plan of merger (“the Amended Merger Agreement”) among the Company, Ventoux, Ventoux Merger Sub, and Ventoux Merger Sub II. As a result of the Amended Merger Agreement, the Company’s shareholders will receive $525,000 in Aggregate Base Consideration as each outstanding share of the Company’s common stock, including those preferred shares that have converted to common, will be exchanged into the right to receive newly issued shares of Ventoux’s Class A common stock, as calculated pursuant to the terms of the Amended Merger Agreement and based on a price of $10.00 per share. In addition, the Company amended its convertible note subscription agreement (“the Convertible Note Subscription Agreement”), such that the subscription note holder revised its principal amount to $25 million in connection with the closing of the merger transaction and revised its interest rate to 15% cash interest and 5% paid-in-kind interest.</w:t>
      </w:r>
    </w:p>
    <w:p>
      <w:pPr>
        <w:spacing w:after="0" w:line="11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On September 14, 2022, Ventoux held a special meeting of its stockholders and voted to approve the Proposed Business Combination (“the Business Combination”). The Business Combination closed on September 21, 2022. In connection with the closing of the Proposed Business Combination, the Company was renamed Presto Automation, Inc. and is referred to herein as “New Presto” as of the time of such change of name.</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Ventoux issued to the Company’s shareholders 36,760,009 shares of common stock at a price of $10.00 per share and the right to receive up to an aggregate of 15,000,000 shares of New Presto common stock (“Presto Earnout Shares”) if, during the period from and after the Closing until the fifth anniversary of the Closing, the Volume Weighted Average Price (“VWAP” as defined in the Merger Agreement) of New Presto common stock is greater than as follows: (A) 7,500,000 Presto Earnout Shares, if the VWAP is greater than or equal to $12.50 for any 20 trading days within a period of 30 consecutive trading days, and (B) 7,500,000 Presto Earnout Shares if the VWAP is greater than or equal to $15.00 for any 20 trading days within a period of 30 consecutive trading days.</w:t>
      </w:r>
    </w:p>
    <w:p>
      <w:pPr>
        <w:spacing w:after="0" w:line="11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Ventoux issued an aggregate of 7,143,687 shares of New Presto common stock to certain investors for aggregate proceeds of $55,500 to New Presto (the “Equity PIPE Investment”).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0" w:name="page211"/>
    <w:bookmarkEnd w:id="21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 xml:space="preserve">Subsequent Events pertaining to the Merger Agreement </w:t>
      </w:r>
      <w:r>
        <w:rPr>
          <w:rFonts w:ascii="Arial" w:cs="Arial" w:eastAsia="Arial" w:hAnsi="Arial"/>
          <w:sz w:val="16"/>
          <w:szCs w:val="16"/>
          <w:color w:val="auto"/>
        </w:rPr>
        <w:t>(cont.)</w:t>
      </w:r>
    </w:p>
    <w:p>
      <w:pPr>
        <w:spacing w:after="0" w:line="202"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Upon the consummation of the Business Combination, all existing outstanding options and RSUs of the Company were assumed by New Presto and converted into an option to acquire New Presto common stock and a restricted stock unit to acquire New Presto common stock, respectively. The number of shares was determined by multiplying (i) the number of shares of the Company’s common stock prior to the consummation of the Business Combination, and (ii) the Exchange Ratio, rounded down to the nearest whole number of shares.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Credit Agreement and Convertible Note Subscription Agreement</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On September 21, 2022, in connection with the consummation of the Business Combination, New Presto entered into a Credit Agreement (the “Credit Agreement”) with the Surviving Corporation, Metropolitan Partners Group Administration, LLC, with extended term loans having an aggregate original principal amount of $55,000 (the “Metropolitan Term Loans”).</w:t>
      </w:r>
    </w:p>
    <w:p>
      <w:pPr>
        <w:spacing w:after="0" w:line="11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Metropolitan Term Loans were borrowed in full at closing. 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Metropolitan Term Loans, after which such capitalized interest shall accrue interest at the interest rate and otherwise constitute principal under the Metropolitan Term Loans (“PIK Interest”). With respect to interest accruing during the first six months after the closing date, the Company may elect for 100% of the interest payment to be capitalized as PIK Interest on a monthly basis. With respect to interest accruing after the six month anniversary of the closing date, but before the 18 month anniversary of the closing date, the Company may elect for 50% of the interest payment to be capitalized as PIK Interest on a monthly basis. The Metropolitan Term Loans mature on March 21, 2025.</w:t>
      </w:r>
    </w:p>
    <w:p>
      <w:pPr>
        <w:spacing w:after="0" w:line="11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The Metropolitan Term Loans may be prepaid by the Company; however, any voluntary or mandatory prepayment made prior to the 18 month anniversary of the closing date must be accompanied by payment of a make whole premium equal to the interest and fees that would have accrued on the aggregate principal amount of the Metropolitan Term Loans (including any interest that could have been capitalized as PIK Interest during such period) from the date of payment through the 18 month anniversary of the closing date. The Company’s obligations under the Credit Agreement are secured by substantially all of the Company’s assets.</w:t>
      </w:r>
    </w:p>
    <w:p>
      <w:pPr>
        <w:spacing w:after="0" w:line="8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On September 21, 2022, in connection with the consummation of the Business Combination, Ventoux, the Company, and affiliates of Silver Rock agreed to terminate the Convertible Note Subscription Agreement, pursuant to a Termination Agreement by and among Ventoux, the Company and Silver Rock (the “Termination Agreement”). Pursuant to the Termination Agreement, Silver Rock agreed to terminate the Convertible Note Subscription Agreement in exchange for 400,000 shares of common stock of the Company which were converted into 322,868 shares of New Presto common stock pursuant to the terms of the Merger Agreement and the payment of certain expenses of Silver Rock.</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 Subscription Agreement</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connection with the Metropolitan Term Loans, New Presto also agreed to issue Metropolitan under the Metropolitan Term Loans 1,500,000 non-redeemable New Presto Warrants to purchase New Presto Common Stock that have an exercise price of $11.50 per share and expire 5 years following the consummation of the Business Combination (“Metropolitan Warrants”).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1" w:name="page212"/>
    <w:bookmarkEnd w:id="21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 xml:space="preserve">Subsequent Events pertaining to the Merger Agreement </w:t>
      </w:r>
      <w:r>
        <w:rPr>
          <w:rFonts w:ascii="Arial" w:cs="Arial" w:eastAsia="Arial" w:hAnsi="Arial"/>
          <w:sz w:val="16"/>
          <w:szCs w:val="16"/>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Amended and Restated Warrant Agreement</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In conjunction with the Business Combination, the Company assumed Ventoux’s warrant agreement with Continental Stock Transfer and Trust Company (“Continental”), which includes 17,250,000 public warrants and 6,675,000 private placement warrants outstanding. On September 21, 2022, in connection with the consummation of the Business Combination and as contemplated by the Merger Agreement, the Company entered into an Amended and Restated Warrant Agreement (“</w:t>
      </w:r>
      <w:r>
        <w:rPr>
          <w:rFonts w:ascii="Arial" w:cs="Arial" w:eastAsia="Arial" w:hAnsi="Arial"/>
          <w:sz w:val="18"/>
          <w:szCs w:val="18"/>
          <w:u w:val="single" w:color="auto"/>
          <w:color w:val="auto"/>
        </w:rPr>
        <w:t>Amended and Restated Warrant Agreement</w:t>
      </w:r>
      <w:r>
        <w:rPr>
          <w:rFonts w:ascii="Arial" w:cs="Arial" w:eastAsia="Arial" w:hAnsi="Arial"/>
          <w:sz w:val="18"/>
          <w:szCs w:val="18"/>
          <w:color w:val="auto"/>
        </w:rPr>
        <w:t>”) with Continental, to reflect the issuance of the Metropolitan Warrants, to reflect the transfer of 500,000 Private Warrants (the “</w:t>
      </w:r>
      <w:r>
        <w:rPr>
          <w:rFonts w:ascii="Arial" w:cs="Arial" w:eastAsia="Arial" w:hAnsi="Arial"/>
          <w:sz w:val="18"/>
          <w:szCs w:val="18"/>
          <w:u w:val="single" w:color="auto"/>
          <w:color w:val="auto"/>
        </w:rPr>
        <w:t>Silver Rock Warrants</w:t>
      </w:r>
      <w:r>
        <w:rPr>
          <w:rFonts w:ascii="Arial" w:cs="Arial" w:eastAsia="Arial" w:hAnsi="Arial"/>
          <w:sz w:val="18"/>
          <w:szCs w:val="18"/>
          <w:color w:val="auto"/>
        </w:rPr>
        <w:t>”) to affiliates of Silver Rock Capital Partners LP (“</w:t>
      </w:r>
      <w:r>
        <w:rPr>
          <w:rFonts w:ascii="Arial" w:cs="Arial" w:eastAsia="Arial" w:hAnsi="Arial"/>
          <w:sz w:val="18"/>
          <w:szCs w:val="18"/>
          <w:u w:val="single" w:color="auto"/>
          <w:color w:val="auto"/>
        </w:rPr>
        <w:t>Silver Rock</w:t>
      </w:r>
      <w:r>
        <w:rPr>
          <w:rFonts w:ascii="Arial" w:cs="Arial" w:eastAsia="Arial" w:hAnsi="Arial"/>
          <w:sz w:val="18"/>
          <w:szCs w:val="18"/>
          <w:color w:val="auto"/>
        </w:rPr>
        <w:t>”) and provide that 550,000 of Ventoux’s Private Warrants were cancelled as of the Closing. Each of the Metropolitan Warrants, the Private Warrants and the Silver Rock Warrants is exercisable for one share of New Presto Common Stock at an exercise price of $11.50 per share. Each of the public warrants is exercisable for $8.21 per share.</w:t>
      </w:r>
    </w:p>
    <w:p>
      <w:pPr>
        <w:spacing w:after="0" w:line="188"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Business Combination Marketing Agreement, Administrative Services Agreement and the Placement Agency Agreement</w:t>
      </w:r>
    </w:p>
    <w:p>
      <w:pPr>
        <w:spacing w:after="0" w:line="9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On September 21, 2022, in connection with the Closing, Ventoux and Chardan Capital Markets, LLC (“</w:t>
      </w:r>
      <w:r>
        <w:rPr>
          <w:rFonts w:ascii="Arial" w:cs="Arial" w:eastAsia="Arial" w:hAnsi="Arial"/>
          <w:sz w:val="16"/>
          <w:szCs w:val="16"/>
          <w:u w:val="single" w:color="auto"/>
          <w:color w:val="auto"/>
        </w:rPr>
        <w:t>Chardan</w:t>
      </w:r>
      <w:r>
        <w:rPr>
          <w:rFonts w:ascii="Arial" w:cs="Arial" w:eastAsia="Arial" w:hAnsi="Arial"/>
          <w:sz w:val="16"/>
          <w:szCs w:val="16"/>
          <w:color w:val="auto"/>
        </w:rPr>
        <w:t>”) waived certain obligations of New Presto to Chardan in connection with the following agreements:</w:t>
      </w:r>
    </w:p>
    <w:p>
      <w:pPr>
        <w:jc w:val="both"/>
        <w:ind w:left="460" w:right="459" w:hanging="6"/>
        <w:spacing w:after="0" w:line="270" w:lineRule="auto"/>
        <w:tabs>
          <w:tab w:leader="none" w:pos="694"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Business Combination Marketing Agreement, dated December 23, 2020, by and between Ventoux and Chardan, (ii) the Administrative Services Agreement, dated December 23, 2020, by and between Ventoux and Chardan and (iii) the Placement Agency Agreement, dated August 9, 2021, by and between Ventoux and Chardan. In exchange for such waiver, New Presto agreed to pay Chardan approximately $3.2 million, issue an affiliate of Chardan 350,000 shares of New Presto Common Stock and grant Chardan certain rights of first refusal in connection with future financings of New Presto.</w:t>
      </w:r>
    </w:p>
    <w:p>
      <w:pPr>
        <w:spacing w:after="0" w:line="174"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Other Subsequent Events</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Company has evaluated subsequent events after the balance sheet date through September 27, 2022 the date the financial statements were available to be issued.</w:t>
      </w:r>
    </w:p>
    <w:p>
      <w:pPr>
        <w:spacing w:after="0" w:line="103"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In July 2022, the Company amended its July 2020 Notes to extend the maturity date to the earlier of (a) August 31, 2022, or (b) an event of default.</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July 2022, the Company received forgiveness of the second PPP loan of approximately $2,000.</w:t>
      </w:r>
    </w:p>
    <w:p>
      <w:pPr>
        <w:spacing w:after="0" w:line="15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On August 4, 2022, the Company amended the Lago Loan to, among other things, increase the borrowings under the facility by $5,250 and issue approximately 209,044 additional warrants to purchase Series C preferred stock at an exercise price of $6.61, prior to the retroactive impact of the recapitalization, with a maturity date in March 2032. The additional borrowings mature on March 11, 2023 and carry the same interest terms as the original Lago Loan.</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On September 15, 2022, the Company issued 133,249 shares of common stock to an existing investor for an aggregate purchase price of $1,000, or $6.08 per share. In conjunction with the issuance, the Company provided the investor with the option to sell the shares back to the Company for the purchase price if (i) during the one-month period immediately following the closing of the Business Combination, the shares of New Presto are de-listed, or 1,133,333 shares to be issued in the closing of the Business Combination are not free from transfer restrictions.</w:t>
      </w:r>
    </w:p>
    <w:p>
      <w:pPr>
        <w:spacing w:after="0" w:line="125"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On September 16, 2022, the Company granted 1,200,000 RSUs to a member of its board of directors, a related party to the Company. The RSUs fully vested upon the closing of the Business Combination.</w:t>
      </w:r>
    </w:p>
    <w:p>
      <w:pPr>
        <w:spacing w:after="0" w:line="65"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On August 18, 2022, the Company rolled forward the receivable financing facility, enabling the Company to continue its quarterly borrowings for a minimum of a rolling twelve-months.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2" w:name="page213"/>
    <w:bookmarkEnd w:id="21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both"/>
        <w:ind w:left="2160" w:right="2159" w:hanging="9"/>
        <w:spacing w:after="0" w:line="361" w:lineRule="auto"/>
        <w:rPr>
          <w:sz w:val="20"/>
          <w:szCs w:val="20"/>
          <w:color w:val="auto"/>
        </w:rPr>
      </w:pPr>
      <w:r>
        <w:rPr>
          <w:rFonts w:ascii="Arial" w:cs="Arial" w:eastAsia="Arial" w:hAnsi="Arial"/>
          <w:sz w:val="15"/>
          <w:szCs w:val="15"/>
          <w:b w:val="1"/>
          <w:bCs w:val="1"/>
          <w:color w:val="auto"/>
        </w:rPr>
        <w:t>NOTES TO CONSOLIDATED FINANCIAL STATEMENTS (Amounts in thousands, except share and per share amounts)</w:t>
      </w:r>
    </w:p>
    <w:p>
      <w:pPr>
        <w:spacing w:after="0" w:line="11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 xml:space="preserve">Other Subsequent Events </w:t>
      </w:r>
      <w:r>
        <w:rPr>
          <w:rFonts w:ascii="Arial" w:cs="Arial" w:eastAsia="Arial" w:hAnsi="Arial"/>
          <w:sz w:val="16"/>
          <w:szCs w:val="16"/>
          <w:color w:val="auto"/>
        </w:rPr>
        <w:t>(cont.)</w:t>
      </w:r>
    </w:p>
    <w:p>
      <w:pPr>
        <w:spacing w:after="0" w:line="202"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On September 21, 2022, immediately prior to the closing of the Business Combination, the following occurred:</w:t>
      </w:r>
    </w:p>
    <w:p>
      <w:pPr>
        <w:spacing w:after="0" w:line="89" w:lineRule="exact"/>
        <w:rPr>
          <w:sz w:val="20"/>
          <w:szCs w:val="20"/>
          <w:color w:val="auto"/>
        </w:rPr>
      </w:pPr>
    </w:p>
    <w:p>
      <w:pPr>
        <w:jc w:val="both"/>
        <w:ind w:left="1320" w:right="459" w:hanging="434"/>
        <w:spacing w:after="0" w:line="263" w:lineRule="auto"/>
        <w:tabs>
          <w:tab w:leader="none" w:pos="131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Prior to the retroactive impact of the recapitalization, the Company’s convertible preferred stock outstanding was automatically converted into 28,343,420 shares of the Company’s common stock immediately prior to the closing of the Business Combination.</w:t>
      </w:r>
    </w:p>
    <w:p>
      <w:pPr>
        <w:spacing w:after="0" w:line="116" w:lineRule="exact"/>
        <w:rPr>
          <w:rFonts w:ascii="Arial" w:cs="Arial" w:eastAsia="Arial" w:hAnsi="Arial"/>
          <w:sz w:val="18"/>
          <w:szCs w:val="18"/>
          <w:color w:val="auto"/>
        </w:rPr>
      </w:pPr>
    </w:p>
    <w:p>
      <w:pPr>
        <w:jc w:val="both"/>
        <w:ind w:left="1320" w:right="459" w:hanging="434"/>
        <w:spacing w:after="0" w:line="259" w:lineRule="auto"/>
        <w:tabs>
          <w:tab w:leader="none" w:pos="131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Company’s convertible promissory notes and embedded warrants, including the July 2020 Notes, the Q3 2021 Notes, the July 2021 Notes, the February 2022 Note, and the May 2022 Notes, were converted into an aggregate of 8,147,938 shares of the Company’s common stock immediately prior to the closing of the Business Combination.</w:t>
      </w:r>
    </w:p>
    <w:p>
      <w:pPr>
        <w:spacing w:after="0" w:line="119"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Warrants to purchase 141,970 shares of common stock were net exercised for 136,681 shares of common stock.</w:t>
      </w:r>
    </w:p>
    <w:p>
      <w:pPr>
        <w:spacing w:after="0" w:line="89" w:lineRule="exact"/>
        <w:rPr>
          <w:rFonts w:ascii="Arial" w:cs="Arial" w:eastAsia="Arial" w:hAnsi="Arial"/>
          <w:sz w:val="18"/>
          <w:szCs w:val="18"/>
          <w:color w:val="auto"/>
        </w:rPr>
      </w:pPr>
    </w:p>
    <w:p>
      <w:pPr>
        <w:jc w:val="both"/>
        <w:ind w:left="1320" w:right="459" w:hanging="434"/>
        <w:spacing w:after="0" w:line="259" w:lineRule="auto"/>
        <w:tabs>
          <w:tab w:leader="none" w:pos="131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remaining outstanding warrants to purchase shares of the Company were assumed and converted into a newly issued warrants exercisable for common stock of New Presto with share amounts and exercise prices adjusted proportionately using the ratio applicable for exchanging the Company’s common stock to New Presto common stock.</w:t>
      </w:r>
    </w:p>
    <w:p>
      <w:pPr>
        <w:spacing w:after="0" w:line="119" w:lineRule="exact"/>
        <w:rPr>
          <w:rFonts w:ascii="Arial" w:cs="Arial" w:eastAsia="Arial" w:hAnsi="Arial"/>
          <w:sz w:val="18"/>
          <w:szCs w:val="18"/>
          <w:color w:val="auto"/>
        </w:rPr>
      </w:pPr>
    </w:p>
    <w:p>
      <w:pPr>
        <w:jc w:val="both"/>
        <w:ind w:left="1320" w:right="459" w:hanging="434"/>
        <w:spacing w:after="0" w:line="254" w:lineRule="auto"/>
        <w:tabs>
          <w:tab w:leader="none" w:pos="131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pre-paid the outstanding balance of its Lago Loan for a total of $22,351, including principal, accrued interest, and an excess make-whole payment based on a multiple of Lago’s invested capital. The Company also amended the warrants issued in conjunction with Lago Loan to remain outstanding upon the closing of the Business Combination, with the number of shares and exercise price adjusted to allow the holder to receive the same number of shares in New Presto that it would have been entitled to receive if the Lago warrants were exercised prior to the Business Combination.</w:t>
      </w:r>
    </w:p>
    <w:p>
      <w:pPr>
        <w:spacing w:after="0" w:line="127"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pre-paid the outstanding balance of its Horizon Loan for a total of $17,005, including principal, accrued interest, an end of term fee, and prepayment fees.</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31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paid the outstanding balance, including principal and accrued interest, of its promissory note issued as part of the CyborgOps acquisition for a total of $1,451.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3" w:name="page214"/>
    <w:bookmarkEnd w:id="213"/>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72390</wp:posOffset>
            </wp:positionV>
            <wp:extent cx="514350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114935</wp:posOffset>
            </wp:positionV>
            <wp:extent cx="514350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PRESTO AUTOMATION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1172845</wp:posOffset>
            </wp:positionV>
            <wp:extent cx="1594485" cy="5829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59448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dated July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1337310</wp:posOffset>
            </wp:positionV>
            <wp:extent cx="514350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1380490</wp:posOffset>
            </wp:positionV>
            <wp:extent cx="514350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1663065</wp:posOffset>
            </wp:positionV>
            <wp:extent cx="51435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27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1)"/>
      <w:numFmt w:val="lowerLetter"/>
      <w:start w:val="1"/>
    </w:lvl>
  </w:abstractNum>
  <w:abstractNum w:abstractNumId="11">
    <w:nsid w:val="51D9C564"/>
    <w:multiLevelType w:val="hybridMultilevel"/>
    <w:lvl w:ilvl="0">
      <w:lvlJc w:val="left"/>
      <w:lvlText w:val="(%1)"/>
      <w:numFmt w:val="lowerRoman"/>
      <w:start w:val="1"/>
    </w:lvl>
  </w:abstractNum>
  <w:abstractNum w:abstractNumId="12">
    <w:nsid w:val="613EFDC5"/>
    <w:multiLevelType w:val="hybridMultilevel"/>
    <w:lvl w:ilvl="0">
      <w:lvlJc w:val="left"/>
      <w:lvlText w:val="(%1)"/>
      <w:numFmt w:val="lowerRoman"/>
      <w:start w:val="3"/>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1)"/>
      <w:numFmt w:val="lowerRoman"/>
      <w:start w:val="2"/>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1)"/>
      <w:numFmt w:val="lowerLetter"/>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1)"/>
      <w:numFmt w:val="decimal"/>
      <w:start w:val="2"/>
    </w:lvl>
    <w:lvl w:ilvl="1">
      <w:lvlJc w:val="left"/>
      <w:lvlText w:val="•"/>
      <w:numFmt w:val="bullet"/>
      <w:start w:val="1"/>
    </w:lvl>
  </w:abstractNum>
  <w:abstractNum w:abstractNumId="38">
    <w:nsid w:val="3222E7CD"/>
    <w:multiLevelType w:val="hybridMultilevel"/>
    <w:lvl w:ilvl="0">
      <w:lvlJc w:val="left"/>
      <w:lvlText w:val="•"/>
      <w:numFmt w:val="bullet"/>
      <w:start w:val="1"/>
    </w:lvl>
  </w:abstractNum>
  <w:abstractNum w:abstractNumId="39">
    <w:nsid w:val="74DE0EE3"/>
    <w:multiLevelType w:val="hybridMultilevel"/>
    <w:lvl w:ilvl="0">
      <w:lvlJc w:val="left"/>
      <w:lvlText w:val="(%1)"/>
      <w:numFmt w:val="decimal"/>
      <w:start w:val="1"/>
    </w:lvl>
  </w:abstractNum>
  <w:abstractNum w:abstractNumId="40">
    <w:nsid w:val="68EBC550"/>
    <w:multiLevelType w:val="hybridMultilevel"/>
    <w:lvl w:ilvl="0">
      <w:lvlJc w:val="left"/>
      <w:lvlText w:val="%1."/>
      <w:numFmt w:val="decimal"/>
      <w:start w:val="1"/>
    </w:lvl>
  </w:abstractNum>
  <w:abstractNum w:abstractNumId="41">
    <w:nsid w:val="2DF6D648"/>
    <w:multiLevelType w:val="hybridMultilevel"/>
    <w:lvl w:ilvl="0">
      <w:lvlJc w:val="left"/>
      <w:lvlText w:val="%1."/>
      <w:numFmt w:val="decimal"/>
      <w:start w:val="3"/>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1)"/>
      <w:numFmt w:val="lowerRoman"/>
      <w:start w:val="2"/>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
      <w:numFmt w:val="bullet"/>
      <w:start w:val="1"/>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
      <w:numFmt w:val="bullet"/>
      <w:start w:val="1"/>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1)"/>
      <w:numFmt w:val="decimal"/>
      <w:start w:val="1"/>
    </w:lvl>
  </w:abstractNum>
  <w:abstractNum w:abstractNumId="55">
    <w:nsid w:val="488AC1A"/>
    <w:multiLevelType w:val="hybridMultilevel"/>
    <w:lvl w:ilvl="0">
      <w:lvlJc w:val="left"/>
      <w:lvlText w:val="(%1)"/>
      <w:numFmt w:val="decimal"/>
      <w:start w:val="1"/>
    </w:lvl>
  </w:abstractNum>
  <w:abstractNum w:abstractNumId="56">
    <w:nsid w:val="5FB8011C"/>
    <w:multiLevelType w:val="hybridMultilevel"/>
    <w:lvl w:ilvl="0">
      <w:lvlJc w:val="left"/>
      <w:lvlText w:val="(%1)"/>
      <w:numFmt w:val="decimal"/>
      <w:start w:val="3"/>
    </w:lvl>
  </w:abstractNum>
  <w:abstractNum w:abstractNumId="57">
    <w:nsid w:val="6AA78F7F"/>
    <w:multiLevelType w:val="hybridMultilevel"/>
    <w:lvl w:ilvl="0">
      <w:lvlJc w:val="left"/>
      <w:lvlText w:val="(%1)"/>
      <w:numFmt w:val="decimal"/>
      <w:start w:val="1"/>
    </w:lvl>
  </w:abstractNum>
  <w:abstractNum w:abstractNumId="58">
    <w:nsid w:val="7672BD23"/>
    <w:multiLevelType w:val="hybridMultilevel"/>
    <w:lvl w:ilvl="0">
      <w:lvlJc w:val="left"/>
      <w:lvlText w:val="•"/>
      <w:numFmt w:val="bullet"/>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1)"/>
      <w:numFmt w:val="decimal"/>
      <w:start w:val="1"/>
    </w:lvl>
    <w:lvl w:ilvl="1">
      <w:lvlJc w:val="left"/>
      <w:lvlText w:val="(%2)"/>
      <w:numFmt w:val="lowerRoman"/>
      <w:start w:val="6"/>
    </w:lvl>
  </w:abstractNum>
  <w:abstractNum w:abstractNumId="61">
    <w:nsid w:val="7D5E18F8"/>
    <w:multiLevelType w:val="hybridMultilevel"/>
    <w:lvl w:ilvl="0">
      <w:lvlJc w:val="left"/>
      <w:lvlText w:val="(%1)"/>
      <w:numFmt w:val="decimal"/>
      <w:start w:val="3"/>
    </w:lvl>
  </w:abstractNum>
  <w:abstractNum w:abstractNumId="62">
    <w:nsid w:val="5F3534A4"/>
    <w:multiLevelType w:val="hybridMultilevel"/>
    <w:lvl w:ilvl="0">
      <w:lvlJc w:val="left"/>
      <w:lvlText w:val="*"/>
      <w:numFmt w:val="bullet"/>
      <w:start w:val="1"/>
    </w:lvl>
  </w:abstractNum>
  <w:abstractNum w:abstractNumId="63">
    <w:nsid w:val="73A1821B"/>
    <w:multiLevelType w:val="hybridMultilevel"/>
    <w:lvl w:ilvl="0">
      <w:lvlJc w:val="left"/>
      <w:lvlText w:val="(%1)"/>
      <w:numFmt w:val="decimal"/>
      <w:start w:val="1"/>
    </w:lvl>
  </w:abstractNum>
  <w:abstractNum w:abstractNumId="64">
    <w:nsid w:val="7DE67713"/>
    <w:multiLevelType w:val="hybridMultilevel"/>
    <w:lvl w:ilvl="0">
      <w:lvlJc w:val="left"/>
      <w:lvlText w:val="(%1)"/>
      <w:numFmt w:val="decimal"/>
      <w:start w:val="3"/>
    </w:lvl>
  </w:abstractNum>
  <w:abstractNum w:abstractNumId="65">
    <w:nsid w:val="555C55B5"/>
    <w:multiLevelType w:val="hybridMultilevel"/>
    <w:lvl w:ilvl="0">
      <w:lvlJc w:val="left"/>
      <w:lvlText w:val="•"/>
      <w:numFmt w:val="bullet"/>
      <w:start w:val="1"/>
    </w:lvl>
  </w:abstractNum>
  <w:abstractNum w:abstractNumId="66">
    <w:nsid w:val="3FA62ACA"/>
    <w:multiLevelType w:val="hybridMultilevel"/>
    <w:lvl w:ilvl="0">
      <w:lvlJc w:val="left"/>
      <w:lvlText w:val="•"/>
      <w:numFmt w:val="bullet"/>
      <w:start w:val="1"/>
    </w:lvl>
  </w:abstractNum>
  <w:abstractNum w:abstractNumId="67">
    <w:nsid w:val="14FCE74E"/>
    <w:multiLevelType w:val="hybridMultilevel"/>
    <w:lvl w:ilvl="0">
      <w:lvlJc w:val="left"/>
      <w:lvlText w:val="•"/>
      <w:numFmt w:val="bullet"/>
      <w:start w:val="1"/>
    </w:lvl>
  </w:abstractNum>
  <w:abstractNum w:abstractNumId="68">
    <w:nsid w:val="6A3DD3E8"/>
    <w:multiLevelType w:val="hybridMultilevel"/>
    <w:lvl w:ilvl="0">
      <w:lvlJc w:val="left"/>
      <w:lvlText w:val="•"/>
      <w:numFmt w:val="bullet"/>
      <w:start w:val="1"/>
    </w:lvl>
  </w:abstractNum>
  <w:abstractNum w:abstractNumId="69">
    <w:nsid w:val="71C91298"/>
    <w:multiLevelType w:val="hybridMultilevel"/>
    <w:lvl w:ilvl="0">
      <w:lvlJc w:val="left"/>
      <w:lvlText w:val="•"/>
      <w:numFmt w:val="bullet"/>
      <w:start w:val="1"/>
    </w:lvl>
  </w:abstractNum>
  <w:abstractNum w:abstractNumId="70">
    <w:nsid w:val="9DAF632"/>
    <w:multiLevelType w:val="hybridMultilevel"/>
    <w:lvl w:ilvl="0">
      <w:lvlJc w:val="left"/>
      <w:lvlText w:val="(%1)"/>
      <w:numFmt w:val="decimal"/>
      <w:start w:val="2"/>
    </w:lvl>
  </w:abstractNum>
  <w:abstractNum w:abstractNumId="71">
    <w:nsid w:val="53299938"/>
    <w:multiLevelType w:val="hybridMultilevel"/>
    <w:lvl w:ilvl="0">
      <w:lvlJc w:val="left"/>
      <w:lvlText w:val="(%1)"/>
      <w:numFmt w:val="decimal"/>
      <w:start w:val="2"/>
    </w:lvl>
    <w:lvl w:ilvl="1">
      <w:lvlJc w:val="left"/>
      <w:lvlText w:val="•"/>
      <w:numFmt w:val="bullet"/>
      <w:start w:val="1"/>
    </w:lvl>
  </w:abstractNum>
  <w:abstractNum w:abstractNumId="72">
    <w:nsid w:val="1FBFE8E0"/>
    <w:multiLevelType w:val="hybridMultilevel"/>
    <w:lvl w:ilvl="0">
      <w:lvlJc w:val="left"/>
      <w:lvlText w:val="•"/>
      <w:numFmt w:val="bullet"/>
      <w:start w:val="1"/>
    </w:lvl>
  </w:abstractNum>
  <w:abstractNum w:abstractNumId="73">
    <w:nsid w:val="5092CA79"/>
    <w:multiLevelType w:val="hybridMultilevel"/>
    <w:lvl w:ilvl="0">
      <w:lvlJc w:val="left"/>
      <w:lvlText w:val="•"/>
      <w:numFmt w:val="bullet"/>
      <w:start w:val="1"/>
    </w:lvl>
  </w:abstractNum>
  <w:abstractNum w:abstractNumId="74">
    <w:nsid w:val="1D545C4D"/>
    <w:multiLevelType w:val="hybridMultilevel"/>
    <w:lvl w:ilvl="0">
      <w:lvlJc w:val="left"/>
      <w:lvlText w:val="(%1)"/>
      <w:numFmt w:val="decimal"/>
      <w:start w:val="1"/>
    </w:lvl>
  </w:abstractNum>
  <w:abstractNum w:abstractNumId="75">
    <w:nsid w:val="59ADEA3D"/>
    <w:multiLevelType w:val="hybridMultilevel"/>
    <w:lvl w:ilvl="0">
      <w:lvlJc w:val="left"/>
      <w:lvlText w:val="•"/>
      <w:numFmt w:val="bullet"/>
      <w:start w:val="1"/>
    </w:lvl>
  </w:abstractNum>
  <w:abstractNum w:abstractNumId="76">
    <w:nsid w:val="288F1A34"/>
    <w:multiLevelType w:val="hybridMultilevel"/>
    <w:lvl w:ilvl="0">
      <w:lvlJc w:val="left"/>
      <w:lvlText w:val="(%1)"/>
      <w:numFmt w:val="lowerRoman"/>
      <w:start w:val="1"/>
    </w:lvl>
  </w:abstractNum>
  <w:abstractNum w:abstractNumId="77">
    <w:nsid w:val="2A155DBC"/>
    <w:multiLevelType w:val="hybridMultilevel"/>
    <w:lvl w:ilvl="0">
      <w:lvlJc w:val="left"/>
      <w:lvlText w:val="*"/>
      <w:numFmt w:val="bullet"/>
      <w:start w:val="1"/>
    </w:lvl>
  </w:abstractNum>
  <w:abstractNum w:abstractNumId="78">
    <w:nsid w:val="1D9F6E5F"/>
    <w:multiLevelType w:val="hybridMultilevel"/>
    <w:lvl w:ilvl="0">
      <w:lvlJc w:val="left"/>
      <w:lvlText w:val="%1."/>
      <w:numFmt w:val="decimal"/>
      <w:start w:val="1"/>
    </w:lvl>
  </w:abstractNum>
  <w:abstractNum w:abstractNumId="79">
    <w:nsid w:val="97E1B4E"/>
    <w:multiLevelType w:val="hybridMultilevel"/>
    <w:lvl w:ilvl="0">
      <w:lvlJc w:val="left"/>
      <w:lvlText w:val="%1."/>
      <w:numFmt w:val="decimal"/>
      <w:start w:val="3"/>
    </w:lvl>
  </w:abstractNum>
  <w:abstractNum w:abstractNumId="80">
    <w:nsid w:val="51088277"/>
    <w:multiLevelType w:val="hybridMultilevel"/>
    <w:lvl w:ilvl="0">
      <w:lvlJc w:val="left"/>
      <w:lvlText w:val="(%1)"/>
      <w:numFmt w:val="decimal"/>
      <w:start w:val="1"/>
    </w:lvl>
  </w:abstractNum>
  <w:abstractNum w:abstractNumId="81">
    <w:nsid w:val="1CA0C5FA"/>
    <w:multiLevelType w:val="hybridMultilevel"/>
    <w:lvl w:ilvl="0">
      <w:lvlJc w:val="left"/>
      <w:lvlText w:val="%1."/>
      <w:numFmt w:val="decimal"/>
      <w:start w:val="5"/>
    </w:lvl>
  </w:abstractNum>
  <w:abstractNum w:abstractNumId="82">
    <w:nsid w:val="53584BCB"/>
    <w:multiLevelType w:val="hybridMultilevel"/>
    <w:lvl w:ilvl="0">
      <w:lvlJc w:val="left"/>
      <w:lvlText w:val="%1"/>
      <w:numFmt w:val="upperLetter"/>
      <w:start w:val="68"/>
    </w:lvl>
  </w:abstractNum>
  <w:abstractNum w:abstractNumId="83">
    <w:nsid w:val="415E286C"/>
    <w:multiLevelType w:val="hybridMultilevel"/>
    <w:lvl w:ilvl="0">
      <w:lvlJc w:val="left"/>
      <w:lvlText w:val="•"/>
      <w:numFmt w:val="bullet"/>
      <w:start w:val="1"/>
    </w:lvl>
  </w:abstractNum>
  <w:abstractNum w:abstractNumId="84">
    <w:nsid w:val="7C58FD05"/>
    <w:multiLevelType w:val="hybridMultilevel"/>
    <w:lvl w:ilvl="0">
      <w:lvlJc w:val="left"/>
      <w:lvlText w:val="%1."/>
      <w:numFmt w:val="decimal"/>
      <w:start w:val="10"/>
    </w:lvl>
    <w:lvl w:ilvl="1">
      <w:lvlJc w:val="left"/>
      <w:lvlText w:val="•"/>
      <w:numFmt w:val="bullet"/>
      <w:start w:val="1"/>
    </w:lvl>
  </w:abstractNum>
  <w:abstractNum w:abstractNumId="85">
    <w:nsid w:val="23D86AAC"/>
    <w:multiLevelType w:val="hybridMultilevel"/>
    <w:lvl w:ilvl="0">
      <w:lvlJc w:val="left"/>
      <w:lvlText w:val="[%1]"/>
      <w:numFmt w:val="upperLetter"/>
      <w:start w:val="1"/>
    </w:lvl>
  </w:abstractNum>
  <w:abstractNum w:abstractNumId="86">
    <w:nsid w:val="45E6D486"/>
    <w:multiLevelType w:val="hybridMultilevel"/>
    <w:lvl w:ilvl="0">
      <w:lvlJc w:val="left"/>
      <w:lvlText w:val="[%1]"/>
      <w:numFmt w:val="upperLetter"/>
      <w:start w:val="2"/>
    </w:lvl>
  </w:abstractNum>
  <w:abstractNum w:abstractNumId="87">
    <w:nsid w:val="5C10FE21"/>
    <w:multiLevelType w:val="hybridMultilevel"/>
    <w:lvl w:ilvl="0">
      <w:lvlJc w:val="left"/>
      <w:lvlText w:val="%1."/>
      <w:numFmt w:val="decimal"/>
      <w:start w:val="1"/>
    </w:lvl>
  </w:abstractNum>
  <w:abstractNum w:abstractNumId="88">
    <w:nsid w:val="E7FFA2B"/>
    <w:multiLevelType w:val="hybridMultilevel"/>
    <w:lvl w:ilvl="0">
      <w:lvlJc w:val="left"/>
      <w:lvlText w:val="%1."/>
      <w:numFmt w:val="decimal"/>
      <w:start w:val="1"/>
    </w:lvl>
  </w:abstractNum>
  <w:abstractNum w:abstractNumId="89">
    <w:nsid w:val="3C5991AA"/>
    <w:multiLevelType w:val="hybridMultilevel"/>
    <w:lvl w:ilvl="0">
      <w:lvlJc w:val="left"/>
      <w:lvlText w:val="%1."/>
      <w:numFmt w:val="decimal"/>
      <w:start w:val="1"/>
    </w:lvl>
  </w:abstractNum>
  <w:abstractNum w:abstractNumId="90">
    <w:nsid w:val="4BD8591A"/>
    <w:multiLevelType w:val="hybridMultilevel"/>
    <w:lvl w:ilvl="0">
      <w:lvlJc w:val="left"/>
      <w:lvlText w:val="%1."/>
      <w:numFmt w:val="decimal"/>
      <w:start w:val="1"/>
    </w:lvl>
  </w:abstractNum>
  <w:abstractNum w:abstractNumId="91">
    <w:nsid w:val="78DF6A55"/>
    <w:multiLevelType w:val="hybridMultilevel"/>
    <w:lvl w:ilvl="0">
      <w:lvlJc w:val="left"/>
      <w:lvlText w:val="*"/>
      <w:numFmt w:val="bullet"/>
      <w:start w:val="1"/>
    </w:lvl>
  </w:abstractNum>
  <w:abstractNum w:abstractNumId="92">
    <w:nsid w:val="39B7AAA2"/>
    <w:multiLevelType w:val="hybridMultilevel"/>
    <w:lvl w:ilvl="0">
      <w:lvlJc w:val="left"/>
      <w:lvlText w:val="%1."/>
      <w:numFmt w:val="decimal"/>
      <w:start w:val="1"/>
    </w:lvl>
  </w:abstractNum>
  <w:abstractNum w:abstractNumId="93">
    <w:nsid w:val="2B0D8DBE"/>
    <w:multiLevelType w:val="hybridMultilevel"/>
    <w:lvl w:ilvl="0">
      <w:lvlJc w:val="left"/>
      <w:lvlText w:val="•"/>
      <w:numFmt w:val="bullet"/>
      <w:start w:val="1"/>
    </w:lvl>
  </w:abstractNum>
  <w:abstractNum w:abstractNumId="94">
    <w:nsid w:val="6C80EC70"/>
    <w:multiLevelType w:val="hybridMultilevel"/>
    <w:lvl w:ilvl="0">
      <w:lvlJc w:val="left"/>
      <w:lvlText w:val="%1."/>
      <w:numFmt w:val="decimal"/>
      <w:start w:val="1"/>
    </w:lvl>
  </w:abstractNum>
  <w:abstractNum w:abstractNumId="95">
    <w:nsid w:val="379E21B5"/>
    <w:multiLevelType w:val="hybridMultilevel"/>
    <w:lvl w:ilvl="0">
      <w:lvlJc w:val="left"/>
      <w:lvlText w:val="%1."/>
      <w:numFmt w:val="decimal"/>
      <w:start w:val="1"/>
    </w:lvl>
  </w:abstractNum>
  <w:abstractNum w:abstractNumId="96">
    <w:nsid w:val="69E373"/>
    <w:multiLevelType w:val="hybridMultilevel"/>
    <w:lvl w:ilvl="0">
      <w:lvlJc w:val="left"/>
      <w:lvlText w:val="%1."/>
      <w:numFmt w:val="decimal"/>
      <w:start w:val="1"/>
    </w:lvl>
  </w:abstractNum>
  <w:abstractNum w:abstractNumId="97">
    <w:nsid w:val="2C27173B"/>
    <w:multiLevelType w:val="hybridMultilevel"/>
    <w:lvl w:ilvl="0">
      <w:lvlJc w:val="left"/>
      <w:lvlText w:val="%1."/>
      <w:numFmt w:val="decimal"/>
      <w:start w:val="1"/>
    </w:lvl>
    <w:lvl w:ilvl="1">
      <w:lvlJc w:val="left"/>
      <w:lvlText w:val="%2."/>
      <w:numFmt w:val="decimal"/>
      <w:start w:val="2"/>
    </w:lvl>
  </w:abstractNum>
  <w:abstractNum w:abstractNumId="98">
    <w:nsid w:val="4C9B0904"/>
    <w:multiLevelType w:val="hybridMultilevel"/>
    <w:lvl w:ilvl="0">
      <w:lvlJc w:val="left"/>
      <w:lvlText w:val="%1."/>
      <w:numFmt w:val="decimal"/>
      <w:start w:val="3"/>
    </w:lvl>
  </w:abstractNum>
  <w:abstractNum w:abstractNumId="99">
    <w:nsid w:val="6AA7B75C"/>
    <w:multiLevelType w:val="hybridMultilevel"/>
    <w:lvl w:ilvl="0">
      <w:lvlJc w:val="left"/>
      <w:lvlText w:val="%1."/>
      <w:numFmt w:val="decimal"/>
      <w:start w:val="1"/>
    </w:lvl>
  </w:abstractNum>
  <w:abstractNum w:abstractNumId="100">
    <w:nsid w:val="1DF029D3"/>
    <w:multiLevelType w:val="hybridMultilevel"/>
    <w:lvl w:ilvl="0">
      <w:lvlJc w:val="left"/>
      <w:lvlText w:val="%1."/>
      <w:numFmt w:val="decimal"/>
      <w:start w:val="1"/>
    </w:lvl>
  </w:abstractNum>
  <w:abstractNum w:abstractNumId="101">
    <w:nsid w:val="5675FF36"/>
    <w:multiLevelType w:val="hybridMultilevel"/>
    <w:lvl w:ilvl="0">
      <w:lvlJc w:val="left"/>
      <w:lvlText w:val="%1."/>
      <w:numFmt w:val="decimal"/>
      <w:start w:val="1"/>
    </w:lvl>
  </w:abstractNum>
  <w:abstractNum w:abstractNumId="102">
    <w:nsid w:val="3DD15094"/>
    <w:multiLevelType w:val="hybridMultilevel"/>
    <w:lvl w:ilvl="0">
      <w:lvlJc w:val="left"/>
      <w:lvlText w:val="%1."/>
      <w:numFmt w:val="decimal"/>
      <w:start w:val="1"/>
    </w:lvl>
  </w:abstractNum>
  <w:abstractNum w:abstractNumId="103">
    <w:nsid w:val="3DB012B3"/>
    <w:multiLevelType w:val="hybridMultilevel"/>
    <w:lvl w:ilvl="0">
      <w:lvlJc w:val="left"/>
      <w:lvlText w:val="(%1)"/>
      <w:numFmt w:val="lowerRoman"/>
      <w:start w:val="1"/>
    </w:lvl>
  </w:abstractNum>
  <w:abstractNum w:abstractNumId="104">
    <w:nsid w:val="2708C9AF"/>
    <w:multiLevelType w:val="hybridMultilevel"/>
    <w:lvl w:ilvl="0">
      <w:lvlJc w:val="left"/>
      <w:lvlText w:val="%1."/>
      <w:numFmt w:val="decimal"/>
      <w:start w:val="1"/>
    </w:lvl>
  </w:abstractNum>
  <w:abstractNum w:abstractNumId="105">
    <w:nsid w:val="5B25ACE2"/>
    <w:multiLevelType w:val="hybridMultilevel"/>
    <w:lvl w:ilvl="0">
      <w:lvlJc w:val="left"/>
      <w:lvlText w:val="%1."/>
      <w:numFmt w:val="decimal"/>
      <w:start w:val="1"/>
    </w:lvl>
  </w:abstractNum>
  <w:abstractNum w:abstractNumId="106">
    <w:nsid w:val="175DFCF0"/>
    <w:multiLevelType w:val="hybridMultilevel"/>
    <w:lvl w:ilvl="0">
      <w:lvlJc w:val="left"/>
      <w:lvlText w:val="%1."/>
      <w:numFmt w:val="decimal"/>
      <w:start w:val="2"/>
    </w:lvl>
  </w:abstractNum>
  <w:abstractNum w:abstractNumId="107">
    <w:nsid w:val="4F97E3E4"/>
    <w:multiLevelType w:val="hybridMultilevel"/>
    <w:lvl w:ilvl="0">
      <w:lvlJc w:val="left"/>
      <w:lvlText w:val="%1."/>
      <w:numFmt w:val="decimal"/>
      <w:start w:val="2"/>
    </w:lvl>
  </w:abstractNum>
  <w:abstractNum w:abstractNumId="108">
    <w:nsid w:val="53B0A9E"/>
    <w:multiLevelType w:val="hybridMultilevel"/>
    <w:lvl w:ilvl="0">
      <w:lvlJc w:val="left"/>
      <w:lvlText w:val="%1."/>
      <w:numFmt w:val="decimal"/>
      <w:start w:val="3"/>
    </w:lvl>
  </w:abstractNum>
  <w:abstractNum w:abstractNumId="109">
    <w:nsid w:val="34FD6B4F"/>
    <w:multiLevelType w:val="hybridMultilevel"/>
    <w:lvl w:ilvl="0">
      <w:lvlJc w:val="left"/>
      <w:lvlText w:val="%1."/>
      <w:numFmt w:val="decimal"/>
      <w:start w:val="3"/>
    </w:lvl>
  </w:abstractNum>
  <w:abstractNum w:abstractNumId="110">
    <w:nsid w:val="5915FF32"/>
    <w:multiLevelType w:val="hybridMultilevel"/>
    <w:lvl w:ilvl="0">
      <w:lvlJc w:val="left"/>
      <w:lvlText w:val="%1."/>
      <w:numFmt w:val="decimal"/>
      <w:start w:val="3"/>
    </w:lvl>
  </w:abstractNum>
  <w:abstractNum w:abstractNumId="111">
    <w:nsid w:val="56438D15"/>
    <w:multiLevelType w:val="hybridMultilevel"/>
    <w:lvl w:ilvl="0">
      <w:lvlJc w:val="left"/>
      <w:lvlText w:val="%1."/>
      <w:numFmt w:val="decimal"/>
      <w:start w:val="4"/>
    </w:lvl>
  </w:abstractNum>
  <w:abstractNum w:abstractNumId="112">
    <w:nsid w:val="519E3149"/>
    <w:multiLevelType w:val="hybridMultilevel"/>
    <w:lvl w:ilvl="0">
      <w:lvlJc w:val="left"/>
      <w:lvlText w:val="%1."/>
      <w:numFmt w:val="decimal"/>
      <w:start w:val="5"/>
    </w:lvl>
  </w:abstractNum>
  <w:abstractNum w:abstractNumId="113">
    <w:nsid w:val="2C6E4AFD"/>
    <w:multiLevelType w:val="hybridMultilevel"/>
    <w:lvl w:ilvl="0">
      <w:lvlJc w:val="left"/>
      <w:lvlText w:val="%1."/>
      <w:numFmt w:val="decimal"/>
      <w:start w:val="6"/>
    </w:lvl>
  </w:abstractNum>
  <w:abstractNum w:abstractNumId="114">
    <w:nsid w:val="17A1B582"/>
    <w:multiLevelType w:val="hybridMultilevel"/>
    <w:lvl w:ilvl="0">
      <w:lvlJc w:val="left"/>
      <w:lvlText w:val="%1."/>
      <w:numFmt w:val="decimal"/>
      <w:start w:val="7"/>
    </w:lvl>
  </w:abstractNum>
  <w:abstractNum w:abstractNumId="115">
    <w:nsid w:val="4DF72E4E"/>
    <w:multiLevelType w:val="hybridMultilevel"/>
    <w:lvl w:ilvl="0">
      <w:lvlJc w:val="left"/>
      <w:lvlText w:val="(%1)"/>
      <w:numFmt w:val="lowerLetter"/>
      <w:start w:val="1"/>
    </w:lvl>
  </w:abstractNum>
  <w:abstractNum w:abstractNumId="116">
    <w:nsid w:val="5046B5A9"/>
    <w:multiLevelType w:val="hybridMultilevel"/>
    <w:lvl w:ilvl="0">
      <w:lvlJc w:val="left"/>
      <w:lvlText w:val="%1."/>
      <w:numFmt w:val="decimal"/>
      <w:start w:val="7"/>
    </w:lvl>
  </w:abstractNum>
  <w:abstractNum w:abstractNumId="117">
    <w:nsid w:val="5D888A08"/>
    <w:multiLevelType w:val="hybridMultilevel"/>
    <w:lvl w:ilvl="0">
      <w:lvlJc w:val="left"/>
      <w:lvlText w:val="(%1)"/>
      <w:numFmt w:val="lowerLetter"/>
      <w:start w:val="2"/>
    </w:lvl>
  </w:abstractNum>
  <w:abstractNum w:abstractNumId="118">
    <w:nsid w:val="2A082C70"/>
    <w:multiLevelType w:val="hybridMultilevel"/>
    <w:lvl w:ilvl="0">
      <w:lvlJc w:val="left"/>
      <w:lvlText w:val="%1."/>
      <w:numFmt w:val="decimal"/>
      <w:start w:val="7"/>
    </w:lvl>
  </w:abstractNum>
  <w:abstractNum w:abstractNumId="119">
    <w:nsid w:val="5EC6AFD4"/>
    <w:multiLevelType w:val="hybridMultilevel"/>
    <w:lvl w:ilvl="0">
      <w:lvlJc w:val="left"/>
      <w:lvlText w:val="(%1)"/>
      <w:numFmt w:val="lowerLetter"/>
      <w:start w:val="1"/>
    </w:lvl>
  </w:abstractNum>
  <w:abstractNum w:abstractNumId="120">
    <w:nsid w:val="19E21BB2"/>
    <w:multiLevelType w:val="hybridMultilevel"/>
    <w:lvl w:ilvl="0">
      <w:lvlJc w:val="left"/>
      <w:lvlText w:val="(%1)"/>
      <w:numFmt w:val="lowerLetter"/>
      <w:start w:val="1"/>
    </w:lvl>
  </w:abstractNum>
  <w:abstractNum w:abstractNumId="121">
    <w:nsid w:val="75E0858A"/>
    <w:multiLevelType w:val="hybridMultilevel"/>
    <w:lvl w:ilvl="0">
      <w:lvlJc w:val="left"/>
      <w:lvlText w:val="(%1)"/>
      <w:numFmt w:val="lowerRoman"/>
      <w:start w:val="2"/>
    </w:lvl>
  </w:abstractNum>
  <w:abstractNum w:abstractNumId="122">
    <w:nsid w:val="57A61A29"/>
    <w:multiLevelType w:val="hybridMultilevel"/>
    <w:lvl w:ilvl="0">
      <w:lvlJc w:val="left"/>
      <w:lvlText w:val="(%1)"/>
      <w:numFmt w:val="lowerLetter"/>
      <w:start w:val="1"/>
    </w:lvl>
  </w:abstractNum>
  <w:abstractNum w:abstractNumId="123">
    <w:nsid w:val="5399C654"/>
    <w:multiLevelType w:val="hybridMultilevel"/>
    <w:lvl w:ilvl="0">
      <w:lvlJc w:val="left"/>
      <w:lvlText w:val="(%1)"/>
      <w:numFmt w:val="lowerLetter"/>
      <w:start w:val="1"/>
    </w:lvl>
  </w:abstractNum>
  <w:abstractNum w:abstractNumId="124">
    <w:nsid w:val="20EE1348"/>
    <w:multiLevelType w:val="hybridMultilevel"/>
    <w:lvl w:ilvl="0">
      <w:lvlJc w:val="left"/>
      <w:lvlText w:val="(%1)"/>
      <w:numFmt w:val="lowerLetter"/>
      <w:start w:val="1"/>
    </w:lvl>
  </w:abstractNum>
  <w:abstractNum w:abstractNumId="125">
    <w:nsid w:val="4427069A"/>
    <w:multiLevelType w:val="hybridMultilevel"/>
    <w:lvl w:ilvl="0">
      <w:lvlJc w:val="left"/>
      <w:lvlText w:val="%1."/>
      <w:numFmt w:val="decimal"/>
      <w:start w:val="7"/>
    </w:lvl>
  </w:abstractNum>
  <w:abstractNum w:abstractNumId="126">
    <w:nsid w:val="B37E80A"/>
    <w:multiLevelType w:val="hybridMultilevel"/>
    <w:lvl w:ilvl="0">
      <w:lvlJc w:val="left"/>
      <w:lvlText w:val="%1."/>
      <w:numFmt w:val="decimal"/>
      <w:start w:val="7"/>
    </w:lvl>
  </w:abstractNum>
  <w:abstractNum w:abstractNumId="127">
    <w:nsid w:val="2157F6BC"/>
    <w:multiLevelType w:val="hybridMultilevel"/>
    <w:lvl w:ilvl="0">
      <w:lvlJc w:val="left"/>
      <w:lvlText w:val="%1"/>
      <w:numFmt w:val="upperLetter"/>
      <w:start w:val="68"/>
    </w:lvl>
  </w:abstractNum>
  <w:abstractNum w:abstractNumId="128">
    <w:nsid w:val="704E1DD5"/>
    <w:multiLevelType w:val="hybridMultilevel"/>
    <w:lvl w:ilvl="0">
      <w:lvlJc w:val="left"/>
      <w:lvlText w:val="%1."/>
      <w:numFmt w:val="decimal"/>
      <w:start w:val="8"/>
    </w:lvl>
  </w:abstractNum>
  <w:abstractNum w:abstractNumId="129">
    <w:nsid w:val="57D2F10E"/>
    <w:multiLevelType w:val="hybridMultilevel"/>
    <w:lvl w:ilvl="0">
      <w:lvlJc w:val="left"/>
      <w:lvlText w:val="%1."/>
      <w:numFmt w:val="decimal"/>
      <w:start w:val="8"/>
    </w:lvl>
  </w:abstractNum>
  <w:abstractNum w:abstractNumId="130">
    <w:nsid w:val="BFFAE18"/>
    <w:multiLevelType w:val="hybridMultilevel"/>
    <w:lvl w:ilvl="0">
      <w:lvlJc w:val="left"/>
      <w:lvlText w:val="%1."/>
      <w:numFmt w:val="decimal"/>
      <w:start w:val="9"/>
    </w:lvl>
  </w:abstractNum>
  <w:abstractNum w:abstractNumId="131">
    <w:nsid w:val="E3E47A8"/>
    <w:multiLevelType w:val="hybridMultilevel"/>
    <w:lvl w:ilvl="0">
      <w:lvlJc w:val="left"/>
      <w:lvlText w:val="%1."/>
      <w:numFmt w:val="decimal"/>
      <w:start w:val="9"/>
    </w:lvl>
  </w:abstractNum>
  <w:abstractNum w:abstractNumId="132">
    <w:nsid w:val="2E48F044"/>
    <w:multiLevelType w:val="hybridMultilevel"/>
    <w:lvl w:ilvl="0">
      <w:lvlJc w:val="left"/>
      <w:lvlText w:val="(%1)"/>
      <w:numFmt w:val="lowerLetter"/>
      <w:start w:val="1"/>
    </w:lvl>
  </w:abstractNum>
  <w:abstractNum w:abstractNumId="133">
    <w:nsid w:val="49D0FEAC"/>
    <w:multiLevelType w:val="hybridMultilevel"/>
    <w:lvl w:ilvl="0">
      <w:lvlJc w:val="left"/>
      <w:lvlText w:val="[%1]"/>
      <w:numFmt w:val="upperLetter"/>
      <w:start w:val="1"/>
    </w:lvl>
  </w:abstractNum>
  <w:abstractNum w:abstractNumId="134">
    <w:nsid w:val="4BEE5A5B"/>
    <w:multiLevelType w:val="hybridMultilevel"/>
    <w:lvl w:ilvl="0">
      <w:lvlJc w:val="left"/>
      <w:lvlText w:val="[%1]"/>
      <w:numFmt w:val="upperLetter"/>
      <w:start w:val="3"/>
    </w:lvl>
  </w:abstractNum>
  <w:abstractNum w:abstractNumId="135">
    <w:nsid w:val="5551B9F3"/>
    <w:multiLevelType w:val="hybridMultilevel"/>
    <w:lvl w:ilvl="0">
      <w:lvlJc w:val="left"/>
      <w:lvlText w:val="[%1]"/>
      <w:numFmt w:val="upperLetter"/>
      <w:start w:val="4"/>
    </w:lvl>
  </w:abstractNum>
  <w:abstractNum w:abstractNumId="136">
    <w:nsid w:val="24F6AB8E"/>
    <w:multiLevelType w:val="hybridMultilevel"/>
    <w:lvl w:ilvl="0">
      <w:lvlJc w:val="left"/>
      <w:lvlText w:val="•"/>
      <w:numFmt w:val="bullet"/>
      <w:start w:val="1"/>
    </w:lvl>
  </w:abstractNum>
  <w:abstractNum w:abstractNumId="137">
    <w:nsid w:val="634C574C"/>
    <w:multiLevelType w:val="hybridMultilevel"/>
    <w:lvl w:ilvl="0">
      <w:lvlJc w:val="left"/>
      <w:lvlText w:val="(%1)"/>
      <w:numFmt w:val="lowerRoman"/>
      <w:start w:val="1"/>
    </w:lvl>
  </w:abstractNum>
  <w:abstractNum w:abstractNumId="138">
    <w:nsid w:val="24E99DD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2023-07-06T15:51:04Z</dcterms:created>
  <dcterms:modified xsi:type="dcterms:W3CDTF">2023-07-06T15:51:04Z</dcterms:modified>
</cp:coreProperties>
</file>