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right"/>
        <w:ind w:right="50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500"/>
        <w:spacing w:after="0"/>
        <w:rPr>
          <w:sz w:val="20"/>
          <w:szCs w:val="20"/>
          <w:color w:val="auto"/>
        </w:rPr>
      </w:pPr>
      <w:r>
        <w:rPr>
          <w:rFonts w:ascii="Arial" w:cs="Arial" w:eastAsia="Arial" w:hAnsi="Arial"/>
          <w:sz w:val="18"/>
          <w:szCs w:val="18"/>
          <w:b w:val="1"/>
          <w:bCs w:val="1"/>
          <w:color w:val="auto"/>
        </w:rPr>
        <w:t>Registration No. 333-272913</w:t>
      </w:r>
    </w:p>
    <w:p>
      <w:pPr>
        <w:spacing w:after="0" w:line="20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(to Prospectus dated July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211455</wp:posOffset>
            </wp:positionV>
            <wp:extent cx="159448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PRESTO AUTOMATION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7,260,500 Shares of Common Stock by the Selling Securityholders</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_______________________________</w:t>
      </w:r>
    </w:p>
    <w:p>
      <w:pPr>
        <w:spacing w:after="0" w:line="209" w:lineRule="exact"/>
        <w:rPr>
          <w:sz w:val="24"/>
          <w:szCs w:val="24"/>
          <w:color w:val="auto"/>
        </w:rPr>
      </w:pPr>
    </w:p>
    <w:p>
      <w:pPr>
        <w:jc w:val="both"/>
        <w:ind w:left="520" w:right="500" w:firstLine="648"/>
        <w:spacing w:after="0" w:line="263" w:lineRule="auto"/>
        <w:rPr>
          <w:sz w:val="20"/>
          <w:szCs w:val="20"/>
          <w:color w:val="auto"/>
        </w:rPr>
      </w:pPr>
      <w:r>
        <w:rPr>
          <w:rFonts w:ascii="Arial" w:cs="Arial" w:eastAsia="Arial" w:hAnsi="Arial"/>
          <w:sz w:val="18"/>
          <w:szCs w:val="18"/>
          <w:color w:val="auto"/>
        </w:rPr>
        <w:t>This prospectus supplement updates and supplements the prospectus dated July 6, 2023 (as may be further supplemented or amended from time to time, the “Prospectus”), which forms a part of our Registration Statement on Form S-1 (File No. 333-272913).</w:t>
      </w:r>
    </w:p>
    <w:p>
      <w:pPr>
        <w:spacing w:after="0" w:line="184" w:lineRule="exact"/>
        <w:rPr>
          <w:sz w:val="24"/>
          <w:szCs w:val="24"/>
          <w:color w:val="auto"/>
        </w:rPr>
      </w:pPr>
    </w:p>
    <w:p>
      <w:pPr>
        <w:jc w:val="both"/>
        <w:ind w:left="520" w:right="500" w:firstLine="648"/>
        <w:spacing w:after="0" w:line="259" w:lineRule="auto"/>
        <w:rPr>
          <w:sz w:val="20"/>
          <w:szCs w:val="20"/>
          <w:color w:val="auto"/>
        </w:rPr>
      </w:pPr>
      <w:r>
        <w:rPr>
          <w:rFonts w:ascii="Arial" w:cs="Arial" w:eastAsia="Arial" w:hAnsi="Arial"/>
          <w:sz w:val="18"/>
          <w:szCs w:val="18"/>
          <w:color w:val="auto"/>
        </w:rPr>
        <w:t>This prospectus supplement is being filed to update and supplement the Prospectus with the information contained in our Annual Report on Form 10-K for the fiscal year ended June 30, 2023, filed with the U.S. Securities and Exchange Commission on October 11, 2023 (the “Annual Report”). Accordingly, we have attached the Annual Report to this prospectus supplement.</w:t>
      </w:r>
    </w:p>
    <w:p>
      <w:pPr>
        <w:spacing w:after="0" w:line="187" w:lineRule="exact"/>
        <w:rPr>
          <w:sz w:val="24"/>
          <w:szCs w:val="24"/>
          <w:color w:val="auto"/>
        </w:rPr>
      </w:pPr>
    </w:p>
    <w:p>
      <w:pPr>
        <w:jc w:val="both"/>
        <w:ind w:left="520" w:right="500" w:firstLine="648"/>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required to be delivered with this prospectus supplement.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jc w:val="both"/>
        <w:ind w:left="520" w:right="500" w:firstLine="648"/>
        <w:spacing w:after="0" w:line="259" w:lineRule="auto"/>
        <w:rPr>
          <w:sz w:val="20"/>
          <w:szCs w:val="20"/>
          <w:color w:val="auto"/>
        </w:rPr>
      </w:pPr>
      <w:r>
        <w:rPr>
          <w:rFonts w:ascii="Arial" w:cs="Arial" w:eastAsia="Arial" w:hAnsi="Arial"/>
          <w:sz w:val="18"/>
          <w:szCs w:val="18"/>
          <w:color w:val="auto"/>
        </w:rPr>
        <w:t>Our shares of common stock, par value $0.0001 per share (the “Common Stock”), and public warrants to purchase shares of Common Stock (the “Warrants”) are listed on the Nasdaq Stock Market LLC under the symbols “PRST” and “PRSTW”, respectively. On October 10, 2023, the closing price of our Common Stock was $1.71 per share and the closing price of our Warrants was $0.06 per Warrant.</w:t>
      </w:r>
    </w:p>
    <w:p>
      <w:pPr>
        <w:spacing w:after="0" w:line="187" w:lineRule="exact"/>
        <w:rPr>
          <w:sz w:val="24"/>
          <w:szCs w:val="24"/>
          <w:color w:val="auto"/>
        </w:rPr>
      </w:pPr>
    </w:p>
    <w:p>
      <w:pPr>
        <w:jc w:val="both"/>
        <w:ind w:left="520" w:right="500" w:firstLine="648"/>
        <w:spacing w:after="0" w:line="308" w:lineRule="auto"/>
        <w:rPr>
          <w:sz w:val="20"/>
          <w:szCs w:val="20"/>
          <w:color w:val="auto"/>
        </w:rPr>
      </w:pPr>
      <w:r>
        <w:rPr>
          <w:rFonts w:ascii="Arial" w:cs="Arial" w:eastAsia="Arial" w:hAnsi="Arial"/>
          <w:sz w:val="17"/>
          <w:szCs w:val="17"/>
          <w:color w:val="auto"/>
        </w:rPr>
        <w:t>We are an “emerging growth company” and a “smaller reporting company” as such terms are defined under the federal securities laws and, as such, are subject to certain reduced public company reporting requirements.</w:t>
      </w:r>
    </w:p>
    <w:p>
      <w:pPr>
        <w:spacing w:after="0" w:line="142" w:lineRule="exact"/>
        <w:rPr>
          <w:sz w:val="24"/>
          <w:szCs w:val="24"/>
          <w:color w:val="auto"/>
        </w:rPr>
      </w:pPr>
    </w:p>
    <w:p>
      <w:pPr>
        <w:jc w:val="both"/>
        <w:ind w:left="520" w:right="500"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6 of the Prospectus, and under similar headings in any amendments or supplements to the Prospectus.</w:t>
      </w:r>
    </w:p>
    <w:p>
      <w:pPr>
        <w:spacing w:after="0" w:line="176" w:lineRule="exact"/>
        <w:rPr>
          <w:sz w:val="24"/>
          <w:szCs w:val="24"/>
          <w:color w:val="auto"/>
        </w:rPr>
      </w:pPr>
    </w:p>
    <w:p>
      <w:pPr>
        <w:jc w:val="both"/>
        <w:ind w:left="520" w:right="5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the Prospectus. Any representation to the contrary is a criminal offense.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360045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271780</wp:posOffset>
            </wp:positionV>
            <wp:extent cx="62922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32" w:lineRule="exact"/>
        <w:rPr>
          <w:sz w:val="24"/>
          <w:szCs w:val="24"/>
          <w:color w:val="auto"/>
        </w:rPr>
      </w:pPr>
    </w:p>
    <w:p>
      <w:pPr>
        <w:jc w:val="cente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b w:val="1"/>
          <w:bCs w:val="1"/>
          <w:color w:val="auto"/>
        </w:rPr>
        <w:t>ANNUAL REPORT UNDER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2023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0" w:lineRule="exact"/>
        <w:rPr>
          <w:sz w:val="24"/>
          <w:szCs w:val="24"/>
          <w:color w:val="auto"/>
        </w:rPr>
      </w:pPr>
    </w:p>
    <w:p>
      <w:pPr>
        <w:ind w:left="1380" w:hanging="163"/>
        <w:spacing w:after="0"/>
        <w:tabs>
          <w:tab w:leader="none" w:pos="1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800"/>
        <w:spacing w:after="0"/>
        <w:tabs>
          <w:tab w:leader="none" w:pos="60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PRESTO AUTOMATION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Delaware</w:t>
            </w:r>
          </w:p>
        </w:tc>
        <w:tc>
          <w:tcPr>
            <w:tcW w:w="2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001-39830</w:t>
            </w:r>
          </w:p>
        </w:tc>
        <w:tc>
          <w:tcPr>
            <w:tcW w:w="240" w:type="dxa"/>
            <w:vAlign w:val="bottom"/>
          </w:tcPr>
          <w:p>
            <w:pPr>
              <w:spacing w:after="0"/>
              <w:rPr>
                <w:sz w:val="14"/>
                <w:szCs w:val="14"/>
                <w:color w:val="auto"/>
              </w:rPr>
            </w:pPr>
          </w:p>
        </w:tc>
        <w:tc>
          <w:tcPr>
            <w:tcW w:w="3080" w:type="dxa"/>
            <w:vAlign w:val="bottom"/>
          </w:tcPr>
          <w:p>
            <w:pPr>
              <w:jc w:val="right"/>
              <w:ind w:right="1128"/>
              <w:spacing w:after="0"/>
              <w:rPr>
                <w:sz w:val="20"/>
                <w:szCs w:val="20"/>
                <w:color w:val="auto"/>
              </w:rPr>
            </w:pPr>
            <w:r>
              <w:rPr>
                <w:rFonts w:ascii="Arial" w:cs="Arial" w:eastAsia="Arial" w:hAnsi="Arial"/>
                <w:sz w:val="14"/>
                <w:szCs w:val="14"/>
                <w:b w:val="1"/>
                <w:bCs w:val="1"/>
                <w:color w:val="auto"/>
              </w:rPr>
              <w:t>84-2968594</w:t>
            </w:r>
          </w:p>
        </w:tc>
        <w:tc>
          <w:tcPr>
            <w:tcW w:w="0" w:type="dxa"/>
            <w:vAlign w:val="bottom"/>
          </w:tcPr>
          <w:p>
            <w:pPr>
              <w:spacing w:after="0"/>
              <w:rPr>
                <w:sz w:val="1"/>
                <w:szCs w:val="1"/>
                <w:color w:val="auto"/>
              </w:rPr>
            </w:pPr>
          </w:p>
        </w:tc>
      </w:tr>
      <w:tr>
        <w:trPr>
          <w:trHeight w:val="18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 w:type="dxa"/>
            <w:vAlign w:val="bottom"/>
          </w:tcPr>
          <w:p>
            <w:pPr>
              <w:spacing w:after="0"/>
              <w:rPr>
                <w:sz w:val="15"/>
                <w:szCs w:val="15"/>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24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985 Industrial Road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vMerge w:val="restart"/>
          </w:tcPr>
          <w:p>
            <w:pPr>
              <w:jc w:val="right"/>
              <w:ind w:right="2188"/>
              <w:spacing w:after="0"/>
              <w:rPr>
                <w:sz w:val="20"/>
                <w:szCs w:val="20"/>
                <w:color w:val="auto"/>
              </w:rPr>
            </w:pPr>
            <w:r>
              <w:rPr>
                <w:rFonts w:ascii="Arial" w:cs="Arial" w:eastAsia="Arial" w:hAnsi="Arial"/>
                <w:sz w:val="14"/>
                <w:szCs w:val="14"/>
                <w:b w:val="1"/>
                <w:bCs w:val="1"/>
                <w:color w:val="auto"/>
              </w:rPr>
              <w:t>94070</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3"/>
              </w:rPr>
              <w:t>San Carlos, California</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jc w:val="center"/>
              <w:ind w:right="17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ectPr>
          <w:pgSz w:w="11900" w:h="16902" w:orient="portrait"/>
          <w:cols w:equalWidth="0" w:num="1">
            <w:col w:w="9920"/>
          </w:cols>
          <w:pgMar w:left="980" w:top="661" w:right="999" w:bottom="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(650) 817-9012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42"/>
        </w:trPr>
        <w:tc>
          <w:tcPr>
            <w:tcW w:w="3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Common Stock, par value $0.0001 per share</w:t>
            </w:r>
          </w:p>
        </w:tc>
        <w:tc>
          <w:tcPr>
            <w:tcW w:w="16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PRST</w:t>
            </w:r>
          </w:p>
        </w:tc>
        <w:tc>
          <w:tcPr>
            <w:tcW w:w="16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2"/>
              </w:rPr>
              <w:t>Warrants, each whole warrant exercisable for one share of</w:t>
            </w:r>
          </w:p>
        </w:tc>
        <w:tc>
          <w:tcPr>
            <w:tcW w:w="2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Common Stock, each at an exercise price of $8.21 per share</w:t>
            </w:r>
          </w:p>
        </w:tc>
        <w:tc>
          <w:tcPr>
            <w:tcW w:w="31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PRSTW</w:t>
            </w: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2" w:lineRule="exact"/>
        <w:rPr>
          <w:sz w:val="20"/>
          <w:szCs w:val="20"/>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0"/>
          <w:szCs w:val="20"/>
          <w:color w:val="auto"/>
        </w:rPr>
      </w:pPr>
    </w:p>
    <w:p>
      <w:pPr>
        <w:ind w:right="300"/>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5"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58" w:lineRule="exact"/>
        <w:rPr>
          <w:sz w:val="20"/>
          <w:szCs w:val="20"/>
          <w:color w:val="auto"/>
        </w:rPr>
      </w:pPr>
    </w:p>
    <w:p>
      <w:pPr>
        <w:ind w:right="4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4" w:lineRule="exact"/>
        <w:rPr>
          <w:sz w:val="20"/>
          <w:szCs w:val="20"/>
          <w:color w:val="auto"/>
        </w:rPr>
      </w:pPr>
    </w:p>
    <w:p>
      <w:pPr>
        <w:ind w:right="120"/>
        <w:spacing w:after="0" w:line="18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4"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December 31, 2022, the last business day of the registrant’s most recently completed second fiscal quarter, was approximately $46.2 million, calculated by using the closing price of the registrant’s Common Stock on such date on the Nasdaq Stock Market LLC of $2.29.</w:t>
      </w:r>
    </w:p>
    <w:p>
      <w:pPr>
        <w:spacing w:after="0" w:line="20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As of September 30, 2023, 57,855,594 shares of Common Stock, par value $0.0001 per share were issued and outstanding.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2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registrant intends to file a proxy statement pursuant to Regulation 14A within 120 days of the end of the fiscal year ended June 30, 2023. Portions of such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260"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rPr>
              <w:t>PRESTO AUTOMATION INC.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PART I</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Business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1A.</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Risk Factors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ind w:left="40"/>
              <w:spacing w:after="0" w:line="176" w:lineRule="exact"/>
              <w:rPr>
                <w:sz w:val="20"/>
                <w:szCs w:val="20"/>
                <w:color w:val="auto"/>
              </w:rPr>
            </w:pPr>
            <w:r>
              <w:rPr>
                <w:rFonts w:ascii="Arial" w:cs="Arial" w:eastAsia="Arial" w:hAnsi="Arial"/>
                <w:sz w:val="18"/>
                <w:szCs w:val="18"/>
                <w:color w:val="0000EE"/>
                <w:w w:val="92"/>
              </w:rPr>
              <w:t>Item 1B.</w:t>
            </w:r>
          </w:p>
        </w:tc>
        <w:tc>
          <w:tcPr>
            <w:tcW w:w="60" w:type="dxa"/>
            <w:vAlign w:val="bottom"/>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Unresolved Staff Comments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Borders>
              <w:left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2.</w:t>
            </w:r>
          </w:p>
        </w:tc>
        <w:tc>
          <w:tcPr>
            <w:tcW w:w="180" w:type="dxa"/>
            <w:vAlign w:val="bottom"/>
            <w:gridSpan w:val="3"/>
            <w:shd w:val="clear" w:color="auto" w:fill="CCEEFF"/>
          </w:tcPr>
          <w:p>
            <w:pPr>
              <w:spacing w:after="0"/>
              <w:rPr>
                <w:sz w:val="15"/>
                <w:szCs w:val="15"/>
                <w:color w:val="auto"/>
              </w:rPr>
            </w:pP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Properties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gridSpan w:val="3"/>
          </w:tcPr>
          <w:p>
            <w:pPr>
              <w:ind w:left="40"/>
              <w:spacing w:after="0" w:line="176" w:lineRule="exact"/>
              <w:rPr>
                <w:sz w:val="20"/>
                <w:szCs w:val="20"/>
                <w:color w:val="auto"/>
              </w:rPr>
            </w:pPr>
            <w:r>
              <w:rPr>
                <w:rFonts w:ascii="Arial" w:cs="Arial" w:eastAsia="Arial" w:hAnsi="Arial"/>
                <w:sz w:val="18"/>
                <w:szCs w:val="18"/>
                <w:color w:val="0000EE"/>
                <w:w w:val="90"/>
              </w:rPr>
              <w:t>Item 3.</w:t>
            </w:r>
          </w:p>
        </w:tc>
        <w:tc>
          <w:tcPr>
            <w:tcW w:w="180" w:type="dxa"/>
            <w:vAlign w:val="bottom"/>
            <w:gridSpan w:val="3"/>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Legal Proceedings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4.</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Mine Safety Disclosures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lef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5.</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 Securities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6</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[Reserved]</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7.</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auto"/>
              </w:rPr>
              <w:t>Item 7A.</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8.</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lef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Item 9.</w:t>
            </w:r>
          </w:p>
        </w:tc>
        <w:tc>
          <w:tcPr>
            <w:tcW w:w="8360" w:type="dxa"/>
            <w:vAlign w:val="bottom"/>
            <w:gridSpan w:val="24"/>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9A.</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Controls and Procedures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left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0000EE"/>
                <w:w w:val="92"/>
              </w:rPr>
              <w:t>Item 9B.</w:t>
            </w:r>
          </w:p>
        </w:tc>
        <w:tc>
          <w:tcPr>
            <w:tcW w:w="60" w:type="dxa"/>
            <w:vAlign w:val="bottom"/>
            <w:shd w:val="clear" w:color="auto" w:fill="CCEEFF"/>
          </w:tcPr>
          <w:p>
            <w:pPr>
              <w:spacing w:after="0"/>
              <w:rPr>
                <w:sz w:val="15"/>
                <w:szCs w:val="15"/>
                <w:color w:val="auto"/>
              </w:rPr>
            </w:pP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Other Information</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5"/>
          </w:tcPr>
          <w:p>
            <w:pPr>
              <w:ind w:left="40"/>
              <w:spacing w:after="0" w:line="176" w:lineRule="exact"/>
              <w:rPr>
                <w:sz w:val="20"/>
                <w:szCs w:val="20"/>
                <w:color w:val="auto"/>
              </w:rPr>
            </w:pPr>
            <w:r>
              <w:rPr>
                <w:rFonts w:ascii="Arial" w:cs="Arial" w:eastAsia="Arial" w:hAnsi="Arial"/>
                <w:sz w:val="18"/>
                <w:szCs w:val="18"/>
                <w:color w:val="0000EE"/>
                <w:w w:val="91"/>
              </w:rPr>
              <w:t>Item 9C.</w:t>
            </w:r>
          </w:p>
        </w:tc>
        <w:tc>
          <w:tcPr>
            <w:tcW w:w="60" w:type="dxa"/>
            <w:vAlign w:val="bottom"/>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gridSpan w:val="6"/>
          </w:tcPr>
          <w:p>
            <w:pPr>
              <w:ind w:left="40"/>
              <w:spacing w:after="0"/>
              <w:rPr>
                <w:sz w:val="20"/>
                <w:szCs w:val="20"/>
                <w:color w:val="auto"/>
              </w:rPr>
            </w:pPr>
            <w:r>
              <w:rPr>
                <w:rFonts w:ascii="Arial" w:cs="Arial" w:eastAsia="Arial" w:hAnsi="Arial"/>
                <w:sz w:val="18"/>
                <w:szCs w:val="18"/>
                <w:color w:val="auto"/>
                <w:w w:val="99"/>
              </w:rPr>
              <w:t>PART III</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10.</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4"/>
          </w:tcPr>
          <w:p>
            <w:pPr>
              <w:ind w:left="40"/>
              <w:spacing w:after="0" w:line="176" w:lineRule="exact"/>
              <w:rPr>
                <w:sz w:val="20"/>
                <w:szCs w:val="20"/>
                <w:color w:val="auto"/>
              </w:rPr>
            </w:pPr>
            <w:r>
              <w:rPr>
                <w:rFonts w:ascii="Arial" w:cs="Arial" w:eastAsia="Arial" w:hAnsi="Arial"/>
                <w:sz w:val="18"/>
                <w:szCs w:val="18"/>
                <w:color w:val="0000EE"/>
                <w:w w:val="89"/>
              </w:rPr>
              <w:t>Item 11.</w:t>
            </w:r>
          </w:p>
        </w:tc>
        <w:tc>
          <w:tcPr>
            <w:tcW w:w="100" w:type="dxa"/>
            <w:vAlign w:val="bottom"/>
            <w:gridSpan w:val="2"/>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Executive Compensation</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12.</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13.</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14.</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Principal Accountant Fees and Services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top w:val="single" w:sz="8" w:color="0000EE"/>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Part IV</w:t>
            </w:r>
          </w:p>
        </w:tc>
        <w:tc>
          <w:tcPr>
            <w:tcW w:w="100" w:type="dxa"/>
            <w:vAlign w:val="bottom"/>
            <w:tcBorders>
              <w:top w:val="single" w:sz="8" w:color="CCEEFF"/>
            </w:tcBorders>
            <w:gridSpan w:val="2"/>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3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400" w:type="dxa"/>
            <w:vAlign w:val="bottom"/>
            <w:tcBorders>
              <w:top w:val="single" w:sz="8" w:color="0000EE"/>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15.</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Exhibits and Financial Statements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90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Item 16  Form 10-K Summary</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00" w:type="dxa"/>
            <w:vAlign w:val="bottom"/>
            <w:gridSpan w:val="30"/>
          </w:tcPr>
          <w:p>
            <w:pPr>
              <w:spacing w:after="0" w:line="176" w:lineRule="exact"/>
              <w:rPr>
                <w:sz w:val="20"/>
                <w:szCs w:val="20"/>
                <w:color w:val="auto"/>
              </w:rPr>
            </w:pPr>
            <w:r>
              <w:rPr>
                <w:rFonts w:ascii="Arial" w:cs="Arial" w:eastAsia="Arial" w:hAnsi="Arial"/>
                <w:sz w:val="18"/>
                <w:szCs w:val="18"/>
                <w:color w:val="0000EE"/>
              </w:rPr>
              <w:t>SIGNATURES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Unless the context indicates otherwise, references to the “Company,” “we,” “us” and “our” refer to Presto Automation Inc., a Delaware corporation, and its consolidated subsidiaries following the Business Combination (defined below). References to “Ventoux” or “VTAQ” refer to Ventoux CCM Acquisition Corp. prior to the Business Combination and references to “Legacy Presto” refer to E La Carte, Inc. prior to the Business Combination.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Ventoux was originally formed as a Delaware corporation in July of 2019 for the purpose of effecting a merger, share exchange, asset acquisition, share purchase, recapitalization, reorganization, or other similar business combination with one or more businesses. On December 30, 2020, Ventoux consummated its initial public offering (the “IPO”), following which its securities began trading on the Nasdaq Capital Market (“Nasdaq”).</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21, 2022, Ventoux consummated its previously announced business combination (the “Business Combination”) with E La Carte, a Delaware corporation (d/b/a Presto, Inc. “Presto”) (“Legacy Presto”), pursuant to the terms of that certain Merger Agreement, as subsequently amended (the “Merger Agreement”) by and among Ventoux CCM Acquisition Corp. (“Ventoux” or “VTAQ”), Ventoux Merger Sub I, Ventoux Merger Sub II and Legacy Presto, pursuant to which (a) Ventoux Merger Sub I merged with and into Legacy Presto, with Legacy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Upon the Closing, VTAQ was renamed “Presto Automation Inc.” For accounting purposes, and in accordance with generally accepted accounting principles, Ventoux was treated as the acquired company and Legacy Presto was treated as the acquirer."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RISK FACTOR SUMMARY</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Form 10-K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in this Form 10-K,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7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are described in greater detail in Item 1A of Part I,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 Description of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7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7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Industry and Market Overview</w:t>
      </w:r>
    </w:p>
    <w:p>
      <w:pPr>
        <w:spacing w:after="0" w:line="229" w:lineRule="exact"/>
        <w:rPr>
          <w:sz w:val="20"/>
          <w:szCs w:val="20"/>
          <w:color w:val="auto"/>
        </w:rPr>
      </w:pPr>
    </w:p>
    <w:p>
      <w:pPr>
        <w:ind w:right="20" w:firstLine="432"/>
        <w:spacing w:after="0" w:line="276" w:lineRule="auto"/>
        <w:rPr>
          <w:sz w:val="20"/>
          <w:szCs w:val="20"/>
          <w:color w:val="auto"/>
        </w:rPr>
      </w:pPr>
      <w:r>
        <w:rPr>
          <w:rFonts w:ascii="Arial" w:cs="Arial" w:eastAsia="Arial" w:hAnsi="Arial"/>
          <w:sz w:val="16"/>
          <w:szCs w:val="16"/>
          <w:color w:val="auto"/>
        </w:rPr>
        <w:t>The QSR and casual dining market in the United States and Canada consists of approximately 330,000 restaurants and is project to grow to approximately 360,000 restaurants by 2028 according to a 2023 report by IBIS World.</w:t>
      </w:r>
      <w:r>
        <w:rPr>
          <w:rFonts w:ascii="Arial" w:cs="Arial" w:eastAsia="Arial" w:hAnsi="Arial"/>
          <w:sz w:val="23"/>
          <w:szCs w:val="23"/>
          <w:u w:val="single" w:color="auto"/>
          <w:color w:val="0000EE"/>
          <w:vertAlign w:val="superscript"/>
        </w:rPr>
        <w:t>1</w:t>
      </w:r>
      <w:r>
        <w:rPr>
          <w:rFonts w:ascii="Arial" w:cs="Arial" w:eastAsia="Arial" w:hAnsi="Arial"/>
          <w:sz w:val="16"/>
          <w:szCs w:val="16"/>
          <w:color w:val="auto"/>
        </w:rPr>
        <w:t xml:space="preserve"> These locations are operated by a brand’s corporate owner or, in many cases, their franchisees. We estimate that approximately 13.5 billion guests visit in-store casual dining restaurants in the United States and Canada each year based on 2013 dining habit information from Statista. We believe that dining habits have remained substantially consistent since that time. The drive-thru segment of the market is expanding and grew by 20% from February 2020 to February 2022 according to The NPD Group and today accounts for approximately 40%, or 130,000 locations, of the total QSR store base. We estimate that this equates to an annual market size for the QSR market of $67 billion. We estimate based on 2013-2016 data from the U.S. Centers for Disease Control and Prevention that approximately 56 million customers in the United States and Canada visit drive-thru restaurants daily and, based on data from QSR Magazine in 2023, that the average American spends, on average, $1,200 annually on food and drinks from drive-thru restaurants.</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QSR and casual dining restaurant chains are increasingly leveraging technology solutions to increase profitability from their established store base, with approximately 58% of U.S. restaurant operators saying using technology-enabled solutions to improve efficiency, labor cost management and revenue growth will be common in the future, according a 2023 study by the National Restaurant Association. We estimate that the total addressable spend on restaurant enterprise technology in QSR and casual dining restaurants in the United States and Canada is approximately $3.0 billion per annum and, based on third party projected growth rates, we estimate it will grow by approximately 35% per annum. We are in the early stages of capturing our addressable market opportunity and are well positioned through our Voice AI solution to increase our share of this market over the next five years.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QSR and casual dining restaurant operators face many challenges which are addressed by our solutions. They include the need to:</w:t>
      </w:r>
    </w:p>
    <w:p>
      <w:pPr>
        <w:spacing w:after="0" w:line="248" w:lineRule="exact"/>
        <w:rPr>
          <w:sz w:val="20"/>
          <w:szCs w:val="20"/>
          <w:color w:val="auto"/>
        </w:rPr>
      </w:pPr>
    </w:p>
    <w:p>
      <w:pPr>
        <w:jc w:val="both"/>
        <w:ind w:left="1080" w:hanging="316"/>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Combat High Staff Turnover</w:t>
      </w:r>
      <w:r>
        <w:rPr>
          <w:rFonts w:ascii="Arial" w:cs="Arial" w:eastAsia="Arial" w:hAnsi="Arial"/>
          <w:sz w:val="18"/>
          <w:szCs w:val="18"/>
          <w:color w:val="auto"/>
        </w:rPr>
        <w:t>. The restaurant industry struggles to retain workers and has experienced consistently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turnover rates. The restaurant industry routinely has higher job opening rates relative to other industries and had a total of approximately 1 million job openings in June 2023, according to the Bureau of Labor Statistics. Restaurants require solutions that help them maintain continuity of their employee base to reduce their labor costs, increase order accuracy and improve the guest experience.</w:t>
      </w:r>
    </w:p>
    <w:p>
      <w:pPr>
        <w:spacing w:after="0" w:line="187" w:lineRule="exact"/>
        <w:rPr>
          <w:rFonts w:ascii="Arial" w:cs="Arial" w:eastAsia="Arial" w:hAnsi="Arial"/>
          <w:sz w:val="18"/>
          <w:szCs w:val="18"/>
          <w:color w:val="auto"/>
        </w:rPr>
      </w:pPr>
    </w:p>
    <w:p>
      <w:pPr>
        <w:jc w:val="both"/>
        <w:ind w:left="1080" w:hanging="316"/>
        <w:spacing w:after="0" w:line="31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Reduce High Labor Costs</w:t>
      </w:r>
      <w:r>
        <w:rPr>
          <w:rFonts w:ascii="Arial" w:cs="Arial" w:eastAsia="Arial" w:hAnsi="Arial"/>
          <w:sz w:val="16"/>
          <w:szCs w:val="16"/>
          <w:color w:val="auto"/>
        </w:rPr>
        <w:t>. Labor has historically been the largest expense category for most restaurants,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30% of sales on average, according to Notch Financial. High labor costs can result in significantly lower margins and negatively impact restaurant profitability. Recent labor inflation trends have exacerbated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274955</wp:posOffset>
            </wp:positionV>
            <wp:extent cx="1568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60" w:right="999" w:bottom="1440" w:gutter="0" w:footer="0" w:header="0"/>
        </w:sectPr>
      </w:pPr>
    </w:p>
    <w:bookmarkStart w:id="6" w:name="page7"/>
    <w:bookmarkEnd w:id="6"/>
    <w:p>
      <w:pPr>
        <w:jc w:val="both"/>
        <w:ind w:left="1080" w:hanging="316"/>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Achieve High Efficiency in the Drive-Thru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Fast food guests consider speed of service to be important to their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satisfaction. Restaurant operators are increasingly seeking efficiencies in their operations. Any new efficiencies generated enables a restaurant to maximize the revenue opportunity available to them and to ensure that guests have a positive experience.</w:t>
      </w:r>
    </w:p>
    <w:p>
      <w:pPr>
        <w:spacing w:after="0" w:line="2" w:lineRule="exact"/>
        <w:rPr>
          <w:rFonts w:ascii="Arial" w:cs="Arial" w:eastAsia="Arial" w:hAnsi="Arial"/>
          <w:sz w:val="18"/>
          <w:szCs w:val="18"/>
          <w:color w:val="auto"/>
        </w:rPr>
      </w:pPr>
    </w:p>
    <w:p>
      <w:pPr>
        <w:jc w:val="both"/>
        <w:ind w:left="1080" w:right="2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Generate Higher Average Order Values</w:t>
      </w:r>
      <w:r>
        <w:rPr>
          <w:rFonts w:ascii="Arial" w:cs="Arial" w:eastAsia="Arial" w:hAnsi="Arial"/>
          <w:sz w:val="18"/>
          <w:szCs w:val="18"/>
          <w:color w:val="auto"/>
        </w:rPr>
        <w:t>. Higher average order values per transaction increase a restaurant’s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its fixed cost base. Although a restaurant’s existing employees are trained to up-sell menu items as additional order suggestions, they do so inconsistently.</w:t>
      </w:r>
    </w:p>
    <w:p>
      <w:pPr>
        <w:spacing w:after="0" w:line="1" w:lineRule="exact"/>
        <w:rPr>
          <w:rFonts w:ascii="Arial" w:cs="Arial" w:eastAsia="Arial" w:hAnsi="Arial"/>
          <w:sz w:val="18"/>
          <w:szCs w:val="18"/>
          <w:color w:val="auto"/>
        </w:rPr>
      </w:pPr>
    </w:p>
    <w:p>
      <w:pPr>
        <w:jc w:val="both"/>
        <w:ind w:left="1080" w:right="20" w:hanging="316"/>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Drive Loyalty and Engagement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highly competitive restaurant market, operators are focused on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loyalty, generating repeat restaurant visits and obtaining higher overall check sizes through more personalized customer engagement.</w:t>
      </w:r>
    </w:p>
    <w:p>
      <w:pPr>
        <w:spacing w:after="0" w:line="19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provide restaurant operators with solutions to these challenges. First, our solutions allow restaurants to operate efficiently with fewer staff in drive-thrus and in-store restaurants and, accordingly, lower overall labor costs. Second, customers report that our solutions allow them to improve staff retention rates by reducing the cognitive load and stress on them. Third, the increased efficiencies our solutions provide enhance the guest experience by improving order accuracy and reducing wait and delivery times. Fourth, we integrate our solutions into a restaurant’s existing technology so that operators do not need to make major changes to their existing technology stacks.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Voice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Voice AI solution, Presto Voice, completes complex orders, including large orders with multiple menu modifications and add-ons, with limited on-site restaurant staff intervention. Presto Voice greets the guest, takes her or his order, populates the order in the restaurant’s point of sale (POS) system and delivers the order to the restaurant’s Kitchen Display System (KDS). Our end-to-end solution is designed to integrate with a restaurant's existing technology and not require the restaurant operator to make major changes to its existing technology stack.</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Presto Voice enables orders to be processed with improved accuracy and improves the guest experience by allowing the restaurant staff to build the order using the KDS while Presto Voice finalizes the order with the guest. This often results in the order being ready for the guest when she or he pulls up to the pick-up window. Presto Voice strives to increase check sizes with automatic upselling functionality. Presto Voice offers upsells on nearly 80% of orders in the drive-thru, with upsells accepted by the guest nearly 35% of the time, resulting in additional revenues to the restaurant. Presto Voice benefits the restaurant staff as well. The platform removes one of the restaurant staff’s previous responsibilities (taking the order through the headset), allowing them to enhance their performance in other areas including order assembly.</w:t>
      </w:r>
    </w:p>
    <w:p>
      <w:pPr>
        <w:spacing w:after="0" w:line="19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Revenues from Presto Voice have not been material to date; however, we expect an increasing portion of our future revenues to be generated by Presto Voice.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Touch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Presto Touch pay-at-table tablet solution enables self-serve ordering, payment processing, personalization and gaming experiences for restaurant guests. We believe that Presto Touch provides significant value to restaurant operators and guests alike by allowing restaurants to operate dining rooms with fewer staff, personalizing guest experiences and providing more guest insights to the restaurant’s marketing team. Presto Touch increases the server’s efficiency, thereby increasing the number of tables each server can service and, therefore, tips available per server.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Presto Touch provides guests with the opportunity to purchase premium gaming content during the dining experience. We control the associated gaming licenses and work with our restaurant customers to establish the end price charged to the guest. We also generate revenue from professional services, consisting primarily of fees from installing our products and from developing premium content used on the pay-at-table devices. Presto Touch offers Wi-Fi and LTE connectivity. Its front and rear cameras enable coupon scanning. Presto Touch hosts a wide range of payment options and is PCI-DSS compliant. In addition, Presto Touch offers the latest EMV and mobile payment technologies, as well as the ability to split checks.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our founding in 2008 to June 30, 2023, we have shipped over 277,000 Presto Touch tablets to three of the largest casual dining chains in the United States. In 2023, we launched a next generation hardware solution that enhances the capabilities of Presto Touch. This new solution has multiple batteries and removes the pin pad which will assist in the device’s longevity.</w:t>
      </w:r>
    </w:p>
    <w:p>
      <w:pPr>
        <w:sectPr>
          <w:pgSz w:w="11900" w:h="16838" w:orient="portrait"/>
          <w:cols w:equalWidth="0" w:num="1">
            <w:col w:w="9920"/>
          </w:cols>
          <w:pgMar w:left="980" w:top="729"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 AI Technology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began developing our own AI technology platform, Presto Voice, in 2020. To date, we have implemented this technology at Del Taco, Carl’s Jr. and Hardee’s, as well as other restaurant brands that are currently in pilot. Like most AI systems, Presto Voice relies on a combination of machine learning and human collaboration to achieve optimal outcomes for the customer including order accuracy, improved operating efficiencies and consistent upselling.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key elements of our AI solution consist of:</w:t>
      </w:r>
    </w:p>
    <w:p>
      <w:pPr>
        <w:spacing w:after="0" w:line="225" w:lineRule="exact"/>
        <w:rPr>
          <w:sz w:val="20"/>
          <w:szCs w:val="20"/>
          <w:color w:val="auto"/>
        </w:rPr>
      </w:pPr>
    </w:p>
    <w:p>
      <w:pPr>
        <w:jc w:val="both"/>
        <w:ind w:left="840" w:hanging="400"/>
        <w:spacing w:after="0" w:line="259"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Speech Recognition (ASR) and Text-To-Speech (TTS) Engines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ASR engines decipher spoken orders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guests and convert the spoken orders into text for further processing. Following the processing, TTS engines convert the output into a human-like voice for interaction with guests. Our ASR and TTS engines are based on a widely licensed third-party platform that we have customized significantly.</w:t>
      </w:r>
    </w:p>
    <w:p>
      <w:pPr>
        <w:spacing w:after="0" w:line="186" w:lineRule="exact"/>
        <w:rPr>
          <w:rFonts w:ascii="Arial" w:cs="Arial" w:eastAsia="Arial" w:hAnsi="Arial"/>
          <w:sz w:val="18"/>
          <w:szCs w:val="18"/>
          <w:color w:val="auto"/>
        </w:rPr>
      </w:pPr>
    </w:p>
    <w:p>
      <w:pPr>
        <w:jc w:val="both"/>
        <w:ind w:left="840" w:hanging="400"/>
        <w:spacing w:after="0" w:line="275"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Natural Language Understanding (NLU) Technology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NLU technology analyzes the text generated by the ASR engine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deciphers the meaning of a particular phrase. Because there are usually multiple ways to express a single request, the NLU will generally improve its effectiveness over time as the system adapts to restaurant-specific menus and food items and learns from past successful and failed orders. In addition, particular restaurant conditions, such as the amount of ambient noise, can impact the effectiveness and accuracy of the NLU technology.</w:t>
      </w:r>
    </w:p>
    <w:p>
      <w:pPr>
        <w:spacing w:after="0" w:line="176" w:lineRule="exact"/>
        <w:rPr>
          <w:rFonts w:ascii="Arial" w:cs="Arial" w:eastAsia="Arial" w:hAnsi="Arial"/>
          <w:sz w:val="17"/>
          <w:szCs w:val="17"/>
          <w:color w:val="auto"/>
        </w:rPr>
      </w:pPr>
    </w:p>
    <w:p>
      <w:pPr>
        <w:jc w:val="both"/>
        <w:ind w:left="840" w:hanging="400"/>
        <w:spacing w:after="0" w:line="270"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Humans in the Loop (HITL)</w:t>
      </w:r>
      <w:r>
        <w:rPr>
          <w:rFonts w:ascii="Arial" w:cs="Arial" w:eastAsia="Arial" w:hAnsi="Arial"/>
          <w:sz w:val="17"/>
          <w:szCs w:val="17"/>
          <w:color w:val="auto"/>
        </w:rPr>
        <w:t>. Given the machine learning associated with AI technology, including our solutions, we use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that is commonly employed in the industry referred to as human-in-the loop (HITL) to ensure that the desired level of accuracy in order taking is achieved. Our systems currently use a human agent (located offsite of the restaurant) to enter, review, validate and correct orders received by Presto Voice and make sure that restaurant guests receive accurate orders. Importantly, this human process also generates data that is used to train the NLU engine and improve its efficacy and accuracy over time, ensuring continued improvement to our technology. As Presto Voice evolves and becomes more educated, we expect that the level of human support in the process will continue to decrease, further improving our economics. We believe the human element of our solution is a competitive advantage as it improves order accuracy compared to competing solutions and allows the NLU to continuously learn.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are also limited circumstances when human intervention by the on-site restaurant staff is required to process a guest’s order, such as if the guest has a question about the menu, if the menu is very complex or if ambient noise is exceptional. Presto Voice currently achieves an 85% non-intervention rate on average, meaning that restaurant staff does not need to intervene in 85% of the orders placed (not including interactions that do not result in an order such as pick-ups from third party delivery services). We have achieved an approximately 95% non-intervention rate at certain locations.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Presto Voice is currently deployed in Del Taco, Carl’s Jr and Hardee’s, as well as various other restaurant brands under pilot. Prior to commercializing our own AI technology, we entered the voice activated drive-thru market by subcontracting with Hi Auto Ltd. (“Hi Auto”) in July 2021. Hi Auto’s AI solution powers Presto Voice at Checkers restaurants and is referred to externally as “Presto Voice powered by Hi Auto”. Checkers is currently our largest installed voice AI base. This arrangement allowed us to enter the market before our own AI technology was commercialized, to assess the strength of the voice market and to develop the sales and account management processes needed to capture market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that we have a number of competitive strengths that will enable us to grow our market position. Our competitive strengths include the following:</w:t>
      </w:r>
    </w:p>
    <w:p>
      <w:pPr>
        <w:spacing w:after="0" w:line="170" w:lineRule="exact"/>
        <w:rPr>
          <w:sz w:val="20"/>
          <w:szCs w:val="20"/>
          <w:color w:val="auto"/>
        </w:rPr>
      </w:pPr>
    </w:p>
    <w:p>
      <w:pPr>
        <w:jc w:val="both"/>
        <w:ind w:left="840" w:hanging="400"/>
        <w:spacing w:after="0" w:line="29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Industry-Leading Technology Platforms</w:t>
      </w:r>
      <w:r>
        <w:rPr>
          <w:rFonts w:ascii="Arial" w:cs="Arial" w:eastAsia="Arial" w:hAnsi="Arial"/>
          <w:sz w:val="16"/>
          <w:szCs w:val="16"/>
          <w:color w:val="auto"/>
        </w:rPr>
        <w:t>. We have developed proprietary technology that we believe comprehensively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addresses the challenges that restaurant operators are facing by improving order accuracy, reducing labor costs, increasing revenue and improving the guest experience. Our platforms integrate into a restaurant’s existing technology systems and do not require the restaurant operator to make major changes to its existing technology stack. Specifically, our platforms enable multiple back-end integrations and complex menu management, provide layers of PCI compliance and security and enterprise grade reliability, possess the ability to scale seamlessly and deploy quickly across multiple geographies, and are supported by customer success, support and operations teams that understand enterprise challenges.</w:t>
      </w:r>
    </w:p>
    <w:p>
      <w:pPr>
        <w:sectPr>
          <w:pgSz w:w="11900" w:h="16838" w:orient="portrait"/>
          <w:cols w:equalWidth="0" w:num="1">
            <w:col w:w="9920"/>
          </w:cols>
          <w:pgMar w:left="980" w:top="729"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8" w:name="page9"/>
    <w:bookmarkEnd w:id="8"/>
    <w:p>
      <w:pPr>
        <w:jc w:val="both"/>
        <w:ind w:left="840" w:hanging="400"/>
        <w:spacing w:after="0" w:line="271"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Technology-Human Interface</w:t>
      </w:r>
      <w:r>
        <w:rPr>
          <w:rFonts w:ascii="Arial" w:cs="Arial" w:eastAsia="Arial" w:hAnsi="Arial"/>
          <w:sz w:val="17"/>
          <w:szCs w:val="17"/>
          <w:color w:val="auto"/>
        </w:rPr>
        <w:t>. We believe that providing exceptional order accuracy is critical to Presto Voice’s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 and in growing our market share. Our technology-human interface delivers the levels of order accuracy and order delivery time required to operate a high-yield drive-thru business. Presto Voice’s HITL human oversight is located off-site to remove any logistical or technology complexities at the restaurant. This human element is integrated seamlessly into the technology element, ensuring that guests at the restaurant are unaware of the human oversight and experience a seamless order process. While we expect that the level of human oversight will decrease over time– as the technology learns and improves – in order to improve our cost structure, the redundancy provided by the human agents will continue to ensure high levels of accuracy and speedier delivery times.</w:t>
      </w:r>
    </w:p>
    <w:p>
      <w:pPr>
        <w:spacing w:after="0" w:line="97" w:lineRule="exact"/>
        <w:rPr>
          <w:rFonts w:ascii="Arial" w:cs="Arial" w:eastAsia="Arial" w:hAnsi="Arial"/>
          <w:sz w:val="17"/>
          <w:szCs w:val="17"/>
          <w:color w:val="auto"/>
        </w:rPr>
      </w:pPr>
    </w:p>
    <w:p>
      <w:pPr>
        <w:jc w:val="both"/>
        <w:ind w:left="840" w:hanging="400"/>
        <w:spacing w:after="0" w:line="275"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Proven Ability to Scale Our Platforms for Our Customers</w:t>
      </w:r>
      <w:r>
        <w:rPr>
          <w:rFonts w:ascii="Arial" w:cs="Arial" w:eastAsia="Arial" w:hAnsi="Arial"/>
          <w:sz w:val="17"/>
          <w:szCs w:val="17"/>
          <w:color w:val="auto"/>
        </w:rPr>
        <w:t>. Over the past 15 years, Presto has developed the robust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account management tools necessary to install, roll-out, integrate and educate restaurant operators and staff about its technology solutions on a large-scale basis and to service our customers following deployment. As of June 30, 2023, we have deployed over 277,000 Presto Touch tablets which has resulted in the development of this core competency which is readily transferable to our Presto Voice customers’ technology platforms.</w:t>
      </w:r>
    </w:p>
    <w:p>
      <w:pPr>
        <w:spacing w:after="0" w:line="172" w:lineRule="exact"/>
        <w:rPr>
          <w:rFonts w:ascii="Arial" w:cs="Arial" w:eastAsia="Arial" w:hAnsi="Arial"/>
          <w:sz w:val="17"/>
          <w:szCs w:val="17"/>
          <w:color w:val="auto"/>
        </w:rPr>
      </w:pPr>
    </w:p>
    <w:p>
      <w:pPr>
        <w:jc w:val="both"/>
        <w:ind w:left="840" w:hanging="400"/>
        <w:spacing w:after="0" w:line="298"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 Navigating the Complex and Diverse Ownership Models of Most QSR and Fast Casual Dining Restaurants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consist of a restaurant brand’s corporate owners and, in most cases, its franchisees. Navigating the sales and management of these diverse yet inter-related customers is one of Presto’s competitive advantages. Each of the corporate owners and franchisees have their own strategic and financial objectives. The cadence for selling into these organizations and then deploying our solutions varies by owner and requires experience to navigate.</w:t>
      </w:r>
    </w:p>
    <w:p>
      <w:pPr>
        <w:spacing w:after="0" w:line="157" w:lineRule="exact"/>
        <w:rPr>
          <w:rFonts w:ascii="Arial" w:cs="Arial" w:eastAsia="Arial" w:hAnsi="Arial"/>
          <w:sz w:val="16"/>
          <w:szCs w:val="16"/>
          <w:color w:val="auto"/>
        </w:rPr>
      </w:pPr>
    </w:p>
    <w:p>
      <w:pPr>
        <w:jc w:val="both"/>
        <w:ind w:left="840" w:hanging="400"/>
        <w:spacing w:after="0" w:line="271"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Business Model That is “Sticky”</w:t>
      </w:r>
      <w:r>
        <w:rPr>
          <w:rFonts w:ascii="Arial" w:cs="Arial" w:eastAsia="Arial" w:hAnsi="Arial"/>
          <w:sz w:val="17"/>
          <w:szCs w:val="17"/>
          <w:color w:val="auto"/>
        </w:rPr>
        <w:t>. The integration of our products into a large, complex organization results in a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that is “sticky”. We typically engage in pilot programs that range from three to 12 months with potential customers in a small number of locations to test and customize our solutions, including relating to restaurant-specific menus and POS systems, and to familiarize restaurant management with their use and capabilities. Following the pilot period, we typically enter into 12 to 36-month contracts with our customers. This multi-year relationship, as well as the “front of the house” or guest facing nature of our technology, as evidenced by the nature of our entertainment apps on Presto Touch, and consumer facing voice ordering capabilities of Presto Voice and increased adoption of our solutions by the restaurant staff and guests, creates a “sticky” relationship with high switching costs.</w:t>
      </w:r>
    </w:p>
    <w:p>
      <w:pPr>
        <w:spacing w:after="0" w:line="205" w:lineRule="exact"/>
        <w:rPr>
          <w:rFonts w:ascii="Arial" w:cs="Arial" w:eastAsia="Arial" w:hAnsi="Arial"/>
          <w:sz w:val="17"/>
          <w:szCs w:val="17"/>
          <w:color w:val="auto"/>
        </w:rPr>
      </w:pPr>
    </w:p>
    <w:p>
      <w:pPr>
        <w:ind w:left="840" w:hanging="400"/>
        <w:spacing w:after="0" w:line="283"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Experienced Management Team to Execute on Strategy. </w:t>
      </w:r>
      <w:r>
        <w:rPr>
          <w:rFonts w:ascii="Arial" w:cs="Arial" w:eastAsia="Arial" w:hAnsi="Arial"/>
          <w:sz w:val="16"/>
          <w:szCs w:val="16"/>
          <w:color w:val="auto"/>
        </w:rPr>
        <w:t>Our management team has a track record of delivering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results. Our Chief Executive Officer, Xavier Casanova, founded multiple successful enterprise software companies in Silicon Valley and has over 25 years of experience leading and scaling software startups such as Fireclick, Inc. and Liveclicker, Inc. Our President, Dan Mosher, has managed rapidly growing businesses for over 20 years and brings experience from companies such as Postmates Inc., Yahoo! Inc. and VeriSign Inc. prior to his role at Presto.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the following strategies to increase our revenues and achieve profitability:</w:t>
      </w:r>
    </w:p>
    <w:p>
      <w:pPr>
        <w:spacing w:after="0" w:line="225" w:lineRule="exact"/>
        <w:rPr>
          <w:sz w:val="20"/>
          <w:szCs w:val="20"/>
          <w:color w:val="auto"/>
        </w:rPr>
      </w:pPr>
    </w:p>
    <w:p>
      <w:pPr>
        <w:jc w:val="both"/>
        <w:ind w:left="980" w:hanging="324"/>
        <w:spacing w:after="0" w:line="27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Expand the Locations in which Our Solutions are Used</w:t>
      </w:r>
      <w:r>
        <w:rPr>
          <w:rFonts w:ascii="Arial" w:cs="Arial" w:eastAsia="Arial" w:hAnsi="Arial"/>
          <w:sz w:val="17"/>
          <w:szCs w:val="17"/>
          <w:color w:val="auto"/>
        </w:rPr>
        <w:t>. We are continuously working to expand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in which our solutions are used by rolling out Presto Voice to franchisee customers in the restaurant groups with which we have entered into master service agreements. As of September 30, 2023, those locations of franchisee customers with whom we have master service or pilot agreements and in which Presto Voice has not been installed represent an estimated annual revenue opportunity of approximately $17 million.</w:t>
      </w:r>
    </w:p>
    <w:p>
      <w:pPr>
        <w:spacing w:after="0" w:line="176" w:lineRule="exact"/>
        <w:rPr>
          <w:rFonts w:ascii="Arial" w:cs="Arial" w:eastAsia="Arial" w:hAnsi="Arial"/>
          <w:sz w:val="17"/>
          <w:szCs w:val="17"/>
          <w:color w:val="auto"/>
        </w:rPr>
      </w:pPr>
    </w:p>
    <w:p>
      <w:pPr>
        <w:jc w:val="both"/>
        <w:ind w:left="980" w:hanging="324"/>
        <w:spacing w:after="0" w:line="280"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Seek to Attract New Customers</w:t>
      </w:r>
      <w:r>
        <w:rPr>
          <w:rFonts w:ascii="Arial" w:cs="Arial" w:eastAsia="Arial" w:hAnsi="Arial"/>
          <w:sz w:val="17"/>
          <w:szCs w:val="17"/>
          <w:color w:val="auto"/>
        </w:rPr>
        <w:t>. To date, we have master services or pilot agreements with nine restaurant brands.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third quarter of 2022, we have signed several pilot agreements for Presto Voice. Certain of these pilot customers have more than several hundred locations each. Our goal is to sign new restaurant brands and convert pilot customers into broader customer relationships in the fiscal years 2024 and 2025. As of September 30, 2023, those locations of restaurant brands and franchisee customers with whom we have master service or pilot agreements and in which Presto Voice has not been installed represent an estimated annual revenue opportunity of over $100 million.</w:t>
      </w:r>
    </w:p>
    <w:p>
      <w:pPr>
        <w:spacing w:after="0" w:line="170"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Train and Develop Our Voice AI Technology to Improve Unit Economics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Orders taken by Presto Voice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sample data to train our NLU and ASR engines to improve their accuracy. Over time, and as the solution continues to learn and develop, the level of human oversight and intervention required from the human agent element of our interface is expected decrease. This will enable us to improve the unit economics of Presto Voice. Ultimately, we believe that Presto</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 w:name="page10"/>
    <w:bookmarkEnd w:id="9"/>
    <w:p>
      <w:pPr>
        <w:ind w:left="980" w:right="20"/>
        <w:spacing w:after="0" w:line="277" w:lineRule="auto"/>
        <w:rPr>
          <w:sz w:val="20"/>
          <w:szCs w:val="20"/>
          <w:color w:val="auto"/>
        </w:rPr>
      </w:pPr>
      <w:r>
        <w:rPr>
          <w:rFonts w:ascii="Arial" w:cs="Arial" w:eastAsia="Arial" w:hAnsi="Arial"/>
          <w:sz w:val="18"/>
          <w:szCs w:val="18"/>
          <w:color w:val="auto"/>
        </w:rPr>
        <w:t>Voice will require a substantially lower level of human interface even as we remain committed to maintaining high levels of order accuracy and reduced order delivery times.</w:t>
      </w:r>
    </w:p>
    <w:p>
      <w:pPr>
        <w:spacing w:after="0" w:line="170" w:lineRule="exact"/>
        <w:rPr>
          <w:sz w:val="20"/>
          <w:szCs w:val="20"/>
          <w:color w:val="auto"/>
        </w:rPr>
      </w:pPr>
    </w:p>
    <w:p>
      <w:pPr>
        <w:jc w:val="both"/>
        <w:ind w:left="980" w:hanging="324"/>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Maintain Relationships with Existing Customers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account management, project management and support teams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developing and maintaining robust relationships with our existing customers. For example, they conduct quarterly business reviews with our top customers to share insights and best-in-class industry observations and to assess a customer’s current and future needs. They support our customers through the on-boarding and implementation processes. We are committed to providing a differentiated experience for restaurant operators. Maintaining these relationships is critical both as a referral base for new customers as well as to ensure successful renewals of existing master services agreements and to pave the way for product upgrades and future product add-ons.</w:t>
      </w:r>
    </w:p>
    <w:p>
      <w:pPr>
        <w:spacing w:after="0" w:line="166" w:lineRule="exact"/>
        <w:rPr>
          <w:rFonts w:ascii="Arial" w:cs="Arial" w:eastAsia="Arial" w:hAnsi="Arial"/>
          <w:sz w:val="16"/>
          <w:szCs w:val="16"/>
          <w:color w:val="auto"/>
        </w:rPr>
      </w:pPr>
    </w:p>
    <w:p>
      <w:pPr>
        <w:jc w:val="both"/>
        <w:ind w:left="980" w:hanging="324"/>
        <w:spacing w:after="0" w:line="30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Implement On-Going Cost Improvement Programs</w:t>
      </w:r>
      <w:r>
        <w:rPr>
          <w:rFonts w:ascii="Arial" w:cs="Arial" w:eastAsia="Arial" w:hAnsi="Arial"/>
          <w:sz w:val="16"/>
          <w:szCs w:val="16"/>
          <w:color w:val="auto"/>
        </w:rPr>
        <w:t>. We have taken several steps during 2023 to operate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more efficiently including streamlining operations and reducing costs on a go-forward basis.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opportunity as set forth above is based on the number of locations of each restaurant brand or franchisee group, as applicable, at which Presto Voice is not installed and is based on the pricing contained in the relevant master service or pilot agreement for such customer. Revenue opportunity does not represent contractually committed revenue or backlog.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Presto’s customers include some of the most familiar restaurant names in the United States, including Carl’s Jr., Hardee’s, Del Taco and Checkers for Presto Voice and Applebee’s, Chili’s and Red Lobster for Presto Touch. Our potential customer base consists of the approximately 330,000 QSR and casual dining restaurants in the United States and Canada we have identified as our accessible market. These restaurants are owned by corporate parents or, in some circumstances, by their franchisees, each of which makes the decision to employ our solutions independently. For example, CKE Restaurants Holdings, Inc., or CKE, owns approximately 243 Carl’s Jr and Hardee’s locations while its franchisees own approximately 2,532 locations. Our ability to sell into and manage these diverse and complex relationships is one of Presto’s competitive advantages.</w:t>
      </w: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enter into services agreements with our customers ranging in length from 12 to 36 months, which provide visibility into our forward performance.</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For the years ended June 30, 2023 and 2022, our three largest customers (including, as applicable, the franchisees of such restaurants which are aggregated as a single customer for reporting purposes) generated an aggregate of approximately 94% and 93% of our revenue, respectively.</w:t>
      </w:r>
    </w:p>
    <w:p>
      <w:pPr>
        <w:spacing w:after="0" w:line="1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purchase and services agreement with our largest customer was executed in June 2019 and provided for the onboarding and initial sale of our Presto Touch solution. The agreement also provides the terms under which the customer may elect to purchase additional devices, as well as a revenue sharing arrangement for the provision of premium content to the customer’s guests. The purchase and services agreement had an initial term of three years and has been extended to June 2024.</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agreement with our second largest customer was executed in 2017. The agreement provided for the onboarding and initial sale of Presto Touch, along with a revenue sharing arrangement for the provision of premium content to the customer’s guests. The agreement had an initial term of 36 months and has been renewed through March 1, 2024. The agreement can be terminated by the customer with 30 days prior written notice at any time if there is not a statement of work (SOW) outstanding. If there is no SOW outstanding for 12 months, the services agreement automatically terminates.</w:t>
      </w:r>
    </w:p>
    <w:p>
      <w:pPr>
        <w:spacing w:after="0" w:line="12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8"/>
          <w:szCs w:val="18"/>
          <w:color w:val="auto"/>
        </w:rPr>
        <w:t>The service provider agreement with our third largest customer was executed in 2017 by the customer renewing a previous agreement with Presto made in 2013 for Presto Touch. The service provider agreement governs the ongoing relationship between us and the customer, as well as the franchisee agreements executed between us and each of the customer’s franchisees. In addition to governing the terms of further purchases of Presto Touch and a revenue sharing arrangement for the provision of premium content to the franchisees’ guests, the franchisee agreements require that the franchisees replace certain existing Presto Touch products with upgraded versions by way of purchasing the new equipment or leasing it. The term of the service provider agreement extends until each of the franchisee agreements has been terminated. The franchisee agreements are scheduled to terminate in December 2023 unless they are extended.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developed a robust sales and marketing process designed to navigate our complex and diverse customer base. Our sales and marketing effort is multi-faceted and consists of several phases. To generate demand, we have developed a library of focused marketing materials which, among other things, describe the benefits of Presto’s solutions, as well as a robust referral network, including many of our current customers. Once we identify prospective customers, we work with them to tailor appropriate pricing and packaging options intended to simplify product adoption and provide ease of use.</w:t>
      </w:r>
    </w:p>
    <w:p>
      <w:pPr>
        <w:spacing w:after="0" w:line="18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 general, our sales process starts with the corporate owner of the restaurant brand followed by our marketing efforts to its franchisees, as applicable. In addition, restaurant operators typically seek to test technologies before implementing them chain-wide. As a result, our sales cycle, from initial implementation of pilot programs, as described below, to signing a system-wide master services agreement (MSAs), can range from three to 15 months.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Once we have established that a prospective customer is interested in employing one of our solutions, we encourage them to engage in a pilot program with us in a limited number of their restaurants. These pilots enable the customer to test our solutions and allow us to customize our platforms and familiarize restaurant management with their use and capabilities. Our pilot programs typically range from three to 12 months. During the pilot test, we align with our customers on key KPIs and work to deliver consistent service and a compelling return on investment profile.</w:t>
      </w:r>
    </w:p>
    <w:p>
      <w:pPr>
        <w:spacing w:after="0" w:line="188"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Following the pilot period, we enter into MSAs with our customers of typically 12 to-36 months in duration. We execute these MSAs first with the corporate owner of the restaurant brand. This provides us with the opportunity to sell our solutions directly to their franchisees. We engage with key customer stakeholders and leverage our sales team to drive franchisee adoption, while at the same time rolling out the solution to the brand’s corporate-owned stores. Each of the corporate owner and their franchisees make independent adoption decisions. The signing of a corporate MSA does not ensure that the brand’s franchisees will adopt our solution.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developed and nurtured long-term relationships with our largest customers and maintain an ongoing relationship with them that includes technical support and conducting quarterly business reviews in order to build a pathway to successful usage of our solutions, future renewals and product upgrades. Presto deploys a team that trains our customers on our technology so that they can maximize its benefits.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technical team supports our customers through the onboarding process, including by providing employee training, device installation, procedures for troubleshooting and maintenance and advising on industry best practices, among other things. We are committed to providing a differentiated experience for restaurant operators. We offer customers the option of choosing between on-site, remote and self-guided implementation. Following onboarding, we offer our customers support through multiple channels, including chat, phone, web and in-person visits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Voice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hardware and components used in Presto Voice are off-the-shelf or widely available and are augmented by our proprietary technology.</w:t>
      </w:r>
    </w:p>
    <w:p>
      <w:pPr>
        <w:spacing w:after="0" w:line="17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July 2021, we entered into an agreement with Hi Auto, pursuant to which we use Hi Auto’s technology in our Voice AI solution. We refer externally to this solution as “Presto Voice powered by Hi Auto”. As of June 30, 2023, Checkers was the only customer deployed under this agreement. All subsequent deployments of Presto Voice have been powered by Presto’s proprietary Voice technology. Our agreement with Hi Auto terminates on July 28, 2024. Any customer or franchisee agreements that extend beyond the termination of our agreement with Hi Auto will remain in force through the term of the agreement with such customer or franchisee.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Touch</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We are in the process of seeking renewals from our largest customers that would include a shift to our next generation version of Presto Touch. The tablets for this version of Presto Touch are sourced pursuant to a Master Services Agreement pursuant to which the supplier develops and manufactures the tablets used in our Presto Touch product and provides technical and repair services for us. The</w:t>
      </w:r>
    </w:p>
    <w:p>
      <w:pPr>
        <w:sectPr>
          <w:pgSz w:w="11900" w:h="16838" w:orient="portrait"/>
          <w:cols w:equalWidth="0" w:num="1">
            <w:col w:w="9920"/>
          </w:cols>
          <w:pgMar w:left="980" w:top="729"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Master Services Agreement had an initial term of three years with automatic one-year renewal periods and, since the expiration of the original term in September 2022, has been automatically renewed for successive one-year periods. Any party may terminate the agreement upon 180 days’ notice or upon a material breach of the agreement if such breach is not cured within 60 days.</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event of a shortage or supply interruption from our suppliers, or if our inventory estimates are incorrect, we may not be able to develop alternative sources for these tablets quickly, cost-effectively,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new product development and research activities rely on our assessment and knowledge of the challenges faced by restaurant operators today and ones they may face in the future as determined through market and user research, feedback from our existing and potential customers and our deep understanding of the restaurant industry. Our R&amp;D efforts are multi-disciplinary, integrating our product management, engineering, analytics, data science, design and customer success teams.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R&amp;D team currently focuses on the development of Presto Voice. Our Presto Voice R&amp;D team operates in the following core disciplines: speech recognition, NLU, acoustic signal enhancement and restaurant systems integrations, including audio, POS and menu management. The Presto Voice R&amp;D team is focused on enhancing the metrics of the Presto Voice solution to lower unit costs, decrease human intervention and deliver better outcomes for customers, including increasing order accuracy. Our Touch R&amp;D team focuses on enhancements to the user interface, payment integrations, loyalty integrations, hardware improvements to the next generation device and ordering enhancements.</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develop our products in three primary research and development locations: San Carlos, California, Flower Mound, Texas and Toronto, Ontario, Canada.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markets in which we compete are competitive and rapidly evolving. Our platform solutions combine functionality from various product categories, and, as such, we compete with different providers. With respect to our Presto Touch solution, we primarily compete with OneDine LLC and TableTop Media, LLC d/b/a Ziosk. With respect to Presto Voice, we primarily compete with ConverseNow Technologies Inc., Alphabet Inc. (Google), Hi Auto, International Business Machines Corporation (IBM), OpenCity, Inc., Synq3 Restaurant Solutions, LLC, SoundHound AI, Inc. and Valyant AI, Inc.</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principal competitive factors in our market are the ability to provide an end-to-end software solution specifically designed to meet the existing and future technology needs of our customers, including:</w:t>
      </w:r>
    </w:p>
    <w:p>
      <w:pPr>
        <w:spacing w:after="0" w:line="170" w:lineRule="exact"/>
        <w:rPr>
          <w:sz w:val="20"/>
          <w:szCs w:val="20"/>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seamless partner technology integration;</w:t>
      </w:r>
    </w:p>
    <w:p>
      <w:pPr>
        <w:spacing w:after="0" w:line="225" w:lineRule="exact"/>
        <w:rPr>
          <w:rFonts w:ascii="Arial" w:cs="Arial" w:eastAsia="Arial" w:hAnsi="Arial"/>
          <w:sz w:val="18"/>
          <w:szCs w:val="18"/>
          <w:color w:val="auto"/>
        </w:rPr>
      </w:pPr>
    </w:p>
    <w:p>
      <w:pPr>
        <w:ind w:left="1120" w:right="20" w:hanging="31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including reliability, scalability and flexibility; order accuracy, improved delivery times and the ability to increase customer revenues;</w:t>
      </w:r>
    </w:p>
    <w:p>
      <w:pPr>
        <w:spacing w:after="0" w:line="170" w:lineRule="exact"/>
        <w:rPr>
          <w:rFonts w:ascii="Arial" w:cs="Arial" w:eastAsia="Arial" w:hAnsi="Arial"/>
          <w:sz w:val="18"/>
          <w:szCs w:val="18"/>
          <w:color w:val="auto"/>
        </w:rPr>
      </w:pPr>
    </w:p>
    <w:p>
      <w:pPr>
        <w:ind w:left="1180" w:hanging="37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efficiency of operations and use of restaurant staff;</w:t>
      </w:r>
    </w:p>
    <w:p>
      <w:pPr>
        <w:spacing w:after="0" w:line="225" w:lineRule="exact"/>
        <w:rPr>
          <w:rFonts w:ascii="Arial" w:cs="Arial" w:eastAsia="Arial" w:hAnsi="Arial"/>
          <w:sz w:val="18"/>
          <w:szCs w:val="18"/>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ease, reliability and speed of on-boarding, roll-out and use; and</w:t>
      </w:r>
    </w:p>
    <w:p>
      <w:pPr>
        <w:spacing w:after="0" w:line="225" w:lineRule="exact"/>
        <w:rPr>
          <w:rFonts w:ascii="Arial" w:cs="Arial" w:eastAsia="Arial" w:hAnsi="Arial"/>
          <w:sz w:val="18"/>
          <w:szCs w:val="18"/>
          <w:color w:val="auto"/>
        </w:rPr>
      </w:pPr>
    </w:p>
    <w:p>
      <w:pPr>
        <w:ind w:left="1120" w:hanging="31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fostering strong customer relationships, customer satisfaction, supplier reputation and brand recognition; including the ability to provide on-going customer, technology and platform support.</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expect new competition to emerge as the market continues to grow and evolve, especially from smaller emerging companies that could introduce new products.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information on risks relating to increased competition in our industry, see the section titled “</w:t>
      </w:r>
      <w:r>
        <w:rPr>
          <w:rFonts w:ascii="Arial" w:cs="Arial" w:eastAsia="Arial" w:hAnsi="Arial"/>
          <w:sz w:val="18"/>
          <w:szCs w:val="18"/>
          <w:i w:val="1"/>
          <w:iCs w:val="1"/>
          <w:color w:val="auto"/>
        </w:rPr>
        <w:t>Risk Factors —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Presto’s Competition, Sales and Marketing</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As of June 30, 2023, we had 137 full-time employees who are located in the United States, India and Canada and 149 contractors, consisting primarily of human agents supporting our HITL approach, who are primarily located in the Asia-Pacific region. Approximately two-third of our employees are in our research and development team.</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2" w:name="page13"/>
    <w:bookmarkEnd w:id="12"/>
    <w:p>
      <w:pPr>
        <w:jc w:val="both"/>
        <w:ind w:right="20" w:firstLine="432"/>
        <w:spacing w:after="0" w:line="277" w:lineRule="auto"/>
        <w:rPr>
          <w:sz w:val="20"/>
          <w:szCs w:val="20"/>
          <w:color w:val="auto"/>
        </w:rPr>
      </w:pPr>
      <w:r>
        <w:rPr>
          <w:rFonts w:ascii="Arial" w:cs="Arial" w:eastAsia="Arial" w:hAnsi="Arial"/>
          <w:sz w:val="18"/>
          <w:szCs w:val="18"/>
          <w:color w:val="auto"/>
        </w:rPr>
        <w:t>None of our employees are represented by a labor union. We have not experienced any employment-related work stoppages, and we consider relations with our employees to be good.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30, 2023, we had 11 registered domain names for websites that we use in our business, such as presto.com and other variations, three trademarks, and no registered patents or copyrights.</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require our employees, consultants, independent contractors and other third parties to enter into confidentiality and proprietary information and invention assignment agreements that assign to us any inventions, trade secrets, works of authorship, developments, processes, and other intellectual property generated by them on our behalf. In addition, we control and monitor access to our software, documentation, proprietary technology, and other confidential information. Further, we generally enter into confidentiality agreements with our customers and third-party partners.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including “</w:t>
      </w:r>
      <w:r>
        <w:rPr>
          <w:rFonts w:ascii="Arial" w:cs="Arial" w:eastAsia="Arial" w:hAnsi="Arial"/>
          <w:sz w:val="18"/>
          <w:szCs w:val="18"/>
          <w:i w:val="1"/>
          <w:iCs w:val="1"/>
          <w:color w:val="auto"/>
        </w:rPr>
        <w:t>Risk Factors — Risks Related to Presto’s 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w:t>
      </w:r>
      <w:r>
        <w:rPr>
          <w:rFonts w:ascii="Arial" w:cs="Arial" w:eastAsia="Arial" w:hAnsi="Arial"/>
          <w:sz w:val="18"/>
          <w:szCs w:val="18"/>
          <w:color w:val="auto"/>
        </w:rPr>
        <w:t>” for a description of the risks related to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the following types of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Certain aspects of our business and service areas are subject to U.S. federal, state, and local regulation. As more fully described below, some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Network and NACHA Rules</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Consumer Information Security</w:t>
      </w:r>
    </w:p>
    <w:p>
      <w:pPr>
        <w:spacing w:after="0" w:line="15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 2020, the California Consumer Privacy Act of 2018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Annual Report on Form 10-K, including matters addressed in the section entitled “Cautionary Statement Regarding Forward-Looking Statements and Risk Factors.”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Business and Business Development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limited operating history in a new and developing market makes it difficult to accurately forecast our future results and may make it difficult to evaluate our current business and future financial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should not place undue reliance on our revenue or key business metrics for any previous quarterly or annual period as indicative of our revenue, revenue growth, key business metrics, or key business metrics growth in future periods. Our revenue has fluctuated and recently declined compared to previous periods. Our revenue fluctuates and may continue to fluctuate as a result of a number of factors, including seasonality, the length of our sales and deployment cycles, our efforts to grow Presto Voice as a greater component of our revenues, the upcoming contractual renewal dates for Presto Touch, limited growth to date in the number of customers and their guests that utilize our platform, increasing competition, changing customer and guest behaviors, our failure to continue to capitalize on growth opportunities and the impact of regulatory requirements.</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have a limited operating history with our solutions, particularly Presto Voice. As a result, we have less experience with the related pricing models of the solution, including operator acceptance thereof, which makes it difficult to accurately assess our future prospects and forecast our future financial results.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should consider our future prospects in light of the challenges and uncertainties that we face, including: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 that it may not be possible to fully discern the trends that we are subject 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operate in a new and developing market with a rapidly changing competitive landscape;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we may be unable to accurately predict our revenue and operating expenses for new solutions that we release;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may not be able to evolve our solutions to keep up with market demand and/or to provide efficiency and cost effectiveness;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elements of our business strategy are new and subject to ongoing development.</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Our platforms are comprised of our Presto Touch and Presto Voice solutions. The market for our Presto Voice solution is relatively new and rapidly evolving. We anticipate that, in the future, Presto Voice will account for a larger portion of our revenues. It is possible customers may be reluctant to embrace technology and/or AI-based voice solutions. In addition, the technology and AI-based markets are rapidly evolving, and we may have limited insights into trends that may emerge. If the market for our Presto Voice solution does not develop, or if we do not keep up with market trends, our ability to grow our business could be limited and we may not be able to operate profitably.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success depends on increasing the number of franchisees of our existing restaurant customers that use our solutions and, in particular, Presto Voice, and the timing of the deployments of contracted locations.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enter into services agreements with restaurant customers that provide for the initial deployment of our solutions in owned locations and provide us with the opportunity to sell our solutions to franchisee customers within those groups. Most of our customers initially deploy our platforms in a subset of locations, and our restaurant customers’ franchisees, as applicable, have the option, but not the requirement, to deploy our solutions at their restaurant locations. Our ability to increase adoption of our solutions by our customers and to increase penetration of our existing customers’ locations, including those of their franchisees, will depend on a number of factors, including our customers’ satisfaction with our solutions, competition, pricing and our ability to demonstrate the value proposition of our solutions. In addition, our ability to increase the adoption of our solutions may be constrained by the nature of the technology that is currently deployed in the restaurant locations. Furthermore, our ability to rapidly install our solution on-site may be beyond our control as a result of our customer’s internal timing and strategic initiatives that may take precedence over the Presto solution deployment. In addition, the time required to implement on-site deployment may be further complicated by the composition of the drive -thru equipment on site, the version of the POS employed on-site and the receptivity of the restaurant’s staff to our solution. The adoption may also be constrained by the time frame necessary to demonstrate a provable return on investment for our solution.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currently generate the substantial majority of our revenue from three Presto touch customers, and the loss or decline in revenue from any of these customers, or the failure of such customers to renew their existing agreements, would harm our business, results of operations, and financial condition.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We have in the past, and we may in the future, lose one or more of our largest customers. Our largest customers have entered into contracts for our Touch products with initial terms that typically range from 12 to 36 months and have previously renewed their agreements. The current terms of these contracts expire and are up for renewal between December 31, 2023 and June 30, 2024. As a result, these customers may reduce or terminate their usage of our solutions, decide not to renew their agreements with us at our required pricing or use fewer of our solutions, which would adversely affect our business and reputation, and materially decrease our revenues.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sales cycles are long and unpredictable, and attracting new customers requires considerable investment of time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depends, in part, on our ability to attract additional restaurant operators to use our solutions, in particular, Presto Voice. The sales cycle for the adoption of our solutions typically lasts more than one year. The decision to adopt any of our solutions may require the approval of multiple technical and business decision makers, including senior executives and other personnel responsible for security, compliance, operations, finance and treasury, marketing and IT. Our initial engagement typically consists of a pilot program that ranges from three to 12 months and allows us and the operator to test and customize our solutions and familiarize restaurant management with their use and capabilities. We expend significant resources in generating leads and engaging with potential customers before they may agree to enter into a pilot program. Such customers often deploy our solutions on a limited pilot basis and require extensive education about our solutions including establishing return on investment profiles and significant customer support time, engage in protracted pricing negotiations and seek to secure development resources before they will commit to deploying our solutions at scale. Our ability to attract new customers depends on a number of factors, including the effectiveness of our sales team, our marketing efforts, referrals by existing customers, our pricing structure, the success of the pilot program, if implemented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may be adversely affected if we are unable to optimize the number of human agents required to operate our Presto Voice solution with our unit cost structure.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solutions that provide them the tools they need to enhance their business operations.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work to develop our proprietary Presto Voice solution began in 2020 with that technology first deployed to customers in 2022. Given the machine learning associated with all AI technology, including our solution, we use an approach which is commonly employed in the AI industry referred to as human-in-the loop (HITL) to ensure the desired level of accuracy in order taking is achieved. HITL enables an AI platform to keep adjusting its understanding for outputs that do not achieve a defined level of confidence or accuracy. As a result, our systems use a human agent (located offsite of the restaurant) to enter, review, validate and correct orders received by Presto Voice and make sure that restaurant guests receive accurate orders. We are continuing to develop Presto Voice so that we can reduce the role of these human agents in the use of our technology while still maintaining order accuracy and improved delivery times. Our latest innovations in AI technology, aimed at decreasing the degree of HITL, are currently being tested in select Del Taco, Carl’s Jr. and Hardee’s locations. Until a reduction in HITL is achieved and/or greater efficiencies are achieved with our human agents, expanding Presto Voice to a larger number of drive-thru locations would require expanding our human agent population and, as a result, the costs associated with Presto Voice would increase. The recruitment, training, monitoring and performance management of these human agents may become increasingly costly over time and, if not managed or costed appropriately, may result in a quality-of-service degradation or adversely affect profitability. We are currently close to profitable at the restaurant location level based on our current level of HITL and expect to achieve profitability at the restaurant location level in the near future with the advances described above. If we are unable to reduce the degree or cost of HITL or and/or achieve greater efficiencies with our human agents, our ability to achieve profitability of our Presto Voice solution would be adversely affected.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experience difficulties with software development that could delay or prevent the development, deployment, introduction, or implementation of new solutions and enhancements. Software development involves a significant amount of time, as it can take our developers months to update, code, and test new and upgraded products and solutions and integrate those products and solutions into our platforms. We must also continually update, test, certify, maintain, and enhance our software platforms. We may make significant investments in new solutions or enhancements that may not achieve expected returns. The continual improvement and enhancement of our platforms require significant investment, and we may not have the resources to make such investments.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our senior management team have impacted our organization’s focus and we are dependent on the continued services and performance of our current senior management team.’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future performance depends, in part, on the continued services and contributions of our senior management team and other key employees to execute our business plan, to continue to deploy our solutions to existing customers, and to identify and pursue new opportunities and innovations. In 2023, we experienced changes in our senior management team, including changes of our Chief Executive Officer and Chief Financial Officer. These changes, and the related transition of our new senior leadership team have, at times, impacted our organization’s focus on executing our business plans. We do not maintain key person life insurance policies on any of our employees. The loss of the services of one or more members of our senior management team or other key employees for any reason could adversely affect our business, financial condition, and operating results, and require significant amounts of time, training, and resources to find suitable replacements and integrate them within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recruit, retain, and develop qualified personnel is critical to our success and growth.</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including, in particular, expertise with respect to AI technologies and in identifying low-cost HITL solutions. In addition, we must develop, maintain and, as necessary, implement appropriate succession plans to ensure we have the necessary human resources capable of maintaining continuity in our business.</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market for qualified personnel is competitive, and we may not succeed in recruiting additional personnel at reasonable compensation or may fail to effectively replace current personnel who depart with qualified or effective successors. Our effort to retain and develop personnel may also result in significant additional expenses, which could adversely affect our profitability. In addition, job</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candidates and existing employees often consider the value of the equity awards they receive in connection with their employment. The trading price of our common stock has been volatile, which may make it difficult to attract and retain highly qualified employees.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Defects, errors or vulnerabilities in third party technology that is used in our solutions could harm our reputation and brand and adversely impact our business, financial condition, and results of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Third-party software that we incorporate into our solutions and our backend systems, hardware, or other technology systems, may be subject to defects, errors, or vulnerabilities. In particular, prior to developing our proprietary Voice AI platform, we entered the voice activated drive-thru market through an agreement with Hi Auto whose AI solution powers Presto Voice at Checkers. An outage or malfunction of this solution may adversely impact our customer relationship with Checkers. While Hi Auto is responsible for providing certain on-going services for its AI solution, any defects, errors, vulnerabilities or periods of non-operation could result in negative publicity, a loss of franchisee customers or loss of revenue, the incurrence of additional expense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pricing decisions and pricing models may adversely affect our ability to attract new customers and retain existing customers.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limited experience determining the optimal prices for our newest solutions, including Presto Voice. We have changed our pricing model from time to time and expect to do so in the future. It is possible that our new pricing models, or the pricing for any other solutions we may develop, are not optimal, which may result in our solutions not being profitable or not gaining market share. As competitors introduce new products or solutions that compete with ours, we may be unable to attract new customers at the same price or based on the same pricing models that we have used historically. Pricing decisions and pricing models may also impact the adoption or continued use of our solutions and negatively impact our overall revenue. Moreover, restaurant operators may be sensitive to price increases or to lower prices if offered by competitors. In the future, we may be required to change our pricing models by, among other things, increasing the cost of our solutions to our existing customers, which, if not accepted by our customers, could adversely affect our revenue, profitability, financial position and cash flows.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customer service and support is critical to maintaining our customer relationships and to attracting and onboarding new customers and growing our business. As a result, we have invested heavily in the quality and training of our customer success and technical support teams, along with the tools they use to provide these services. The number of our customers, including those participating in pilots, has grown significantly, which puts additional pressure on these teams. If we or our third-party service providers are unable to maintain a consistently high level of customer service, and to help our customers quickly resolve issues and provide effective ongoing support, we could harm our ability to retain existing customers and attract new customers and our reputation with existing or potential customers could suffer. Our ability to attract new customers and to renew agreements with existing customers is highly dependent on our reputation and on positive recommendations from our existing customers.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Changes to elements of our AI solutions could cause us to incur additional expenses and impact our product development program.</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field of AI is evolving rapidly. Some of the components of Presto Voice incorporate off-the-shelf AI technologies and services which may cease to exist or become prohibitively expensive. While there are many alternatives to virtually every component of Presto Voice, commercial or open source, we may have to re-invest and rebuild entire feature sets should a provider outprice their service or go out of business. For example, we currently use OpenAI GPT 3.5 and GPT 4 in some components of Presto Voice. OpenAI is known for discontinuing compatibility with older services to promote new versions. In the future, we may need to rewrite our OpenAI-dependent components to keep our cost of operation under control. If circumstances require that we do this, it may negatively affect the performance of the service, negatively impact the accuracy of our solution, and reduce our gross margins.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legal proceedings and government investigations which are costly and time-consuming to defend and may adversely affect our business, financial position, and results of operations.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subject to legal proceedings and claims and may become subject to additional claims, whether in the ordinary course of business or otherwise, such as claims brought by our customers, our partners, or third parties in connection with commercial disputes</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We are currently subject to investigations by the Securities and Exchange Commission and the Department of Justice which have resulted in significant costs and are not subject to insurance. See Note 8 to our financial statements for a discussion of the legal proceedings and investigation to which we are currently subject.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Presto’s Technology and Privacy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transmit and store personal information and other confidential information of our partners, our customers, and consumers, including payment information. Third-party applications integrated within our solutions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solutions, and, therefore, we do not control the substance of the content on our servers, which may include personal information. Additionally, we use third-party service providers and sub-processors to help us deliver services to customers and restaurant guests.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restaurant guests.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integrate with certain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and EMVco standards for the payment solutions.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solutions. In addition, if our security measures fail to protect credit card information adequately, we could be liable to our partners, our customers and restaurant guests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ectPr>
          <w:pgSz w:w="11900" w:h="16838" w:orient="portrait"/>
          <w:cols w:equalWidth="0" w:num="1">
            <w:col w:w="9920"/>
          </w:cols>
          <w:pgMar w:left="980" w:top="73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regulatory framework for privacy and security issues in the United States is rapidly evolving. Laws in all 50 states require us to provide notice to our restaurant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solutions and growth of our company.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Security breaches, denial of service attacks, or other hacking and phishing attacks on our systems or the systems with which our solutions integrate could harm our reputation or subject us to significant liability, and adversely affect our business and financial results.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operate in an industry which is prone to cyber-attacks. We have an established in-house security team which is responsible for reviewing and overseeing our cybersecurity program and bringing any cybersecurity risks to the attention of our management and the board of directors. Failure to prevent or mitigate security breaches and improper access to or disclosure of our data, our customers’ data, or their guests’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solutions also integrate with third-party applications and POS and management systems over which we exercise no control and security breaches of such third-party platforms could directly or indirectly result in a breach of our platform.</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security vulnerability in our platform or POS integration software could compromise our customers’ in-store networks, which could expose customer or guest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solutions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Any actual or perceived DDoS attack or security breach of our solutions,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9" w:name="page20"/>
    <w:bookmarkEnd w:id="19"/>
    <w:p>
      <w:pPr>
        <w:jc w:val="both"/>
        <w:spacing w:after="0" w:line="342" w:lineRule="auto"/>
        <w:rPr>
          <w:sz w:val="20"/>
          <w:szCs w:val="20"/>
          <w:color w:val="auto"/>
        </w:rPr>
      </w:pPr>
      <w:r>
        <w:rPr>
          <w:rFonts w:ascii="Arial" w:cs="Arial" w:eastAsia="Arial" w:hAnsi="Arial"/>
          <w:sz w:val="16"/>
          <w:szCs w:val="16"/>
          <w:color w:val="auto"/>
        </w:rPr>
        <w:t>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dependent upon customers continued and unimpeded access to the internet, and upon their willingness to use the internet for commerce.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solutions.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Capital Requirements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current liquidity resources raise substantial doubt about our ability to continue as a going concern and to comply with our debt covenants unless we raise additional capital to meet its obligations in the near term.</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As of June 30, 2023, we had an accumulated deficit of $235.3 million. We expect our losses to continue for the foreseeable future as we invest in enhancing our AI capabilities and continue to market and deploy our solutions with customers. Our cash and cash equivalents are not sufficient to fund operating expenses, currently anticipated expenditures and other obligations as they come due, and we require additional capital infusions to fund our ongoing operations. As a result, substantial doubt exists about our ability to continue as a going concern within one year after the issuance date of our financial statements for the year ended June 30, 2023. In addition, based on our current business plan and forecasts, without the injection of further capital, we anticipate being unable to comply with the minimum cash covenant contained in our credit facility in approximately mid-December 2023. Unless that default is waived or cured, our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efforts to generate revenues and/or reduce our expenditures may not be sufficient and may make it difficult for us to implement our business strategy.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taken and will continue to implement initiatives to operate our business more efficiently including streamlining operations and reducing costs on a go-forward basis. We are also seeking to drive revenue growth by continuing the successful deployment of our solutions and scaling of our business. These measures may not be sufficient to address our liquidity challenges and may adversely impact aspects of our business strategy. In particular,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The implementation of such a plan would significantly impact our business, reputation and revenues, and those impacts could have adverse consequences.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faced challenges complying with the covenants contained in our credit facility and, unless we can raise additional capital, may need additional waivers which may not be forthcoming.</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party to a credit agreement (as amended by the First Amendment, Second Amendment and Third Amendment thereto (each as defined below), and as it may be further amended, restated, supplemented or otherwise modified from time to time, the “Credit</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Agreement”) with Metropolitan Partners Group Administration, LLC (“Metropolitan”), the administrative, payment and collateral agent for Metropolitan Levered Partners Fund VII, LP, Metropolitan Partners Fund VII, LP, Metropolitan Offshore Partners Fund VII, LP and CEOF Holdings LP (collectively, the “Lenders”), pursuant to which such lenders extended us initial term loans, which we borrowed in full at the consummation of the Business Combination, having an aggregate original principal amount of $55 million (the “Initial Term Loans”), and which the Lenders agreed to extend by $3.0 million (the “Third Amendment Term Loans” and together with the Initial Term Loans, the “Term Loans”) pursuant to the terms, and subject to the conditions of the Third Amendment.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entered into a series of three amendments to the Credit Agreement to modify the covenants and to waive defaults. The effectiveness of the third and most recent amendment, entered into on October 10, 2023, is conditioned upon (1) evidence of a gross amount of additional equity investments of $3.0 million for which we have received a commitment from an affiliate of our existing shareholder, Cleveland Avenue, and which is expected to close on or around October 16, 2023, and (2) by no later than October 16, 2023, evidence that we has engaged the services of an investment bank reasonably acceptable to Metropolitan on terms reasonably acceptable to Metropolitan in connection with upcoming capital raises. Our existing defaults under the Credit Agreement will only be waived if those conditions, and other customary conditions, are met. However, as described above, we will still need to raise additional capital in the near term to continue to be in compliance with the covenants and such capital may not be available on reasonable terms or at all. The terms of any new or additional financing may be on terms that are more restrictive or less desirable to us. The terms of our outstanding debt restrict our current and future operations and could adversely affect our ability to finance our future operations or capital needs. In addition, complying with these covenants may make it more difficult for us to successfully execute our business strategy, invest in our growth strategy, and compete against companies who are not subject to such restrictions.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failure by us to comply with these covenants or the payment requirements specified in our financial instruments could result in an event of default under the Credit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will require us to engage in equity or debt financings to secure additional funds. Additional financing may not be available on terms favorable to us or at all. Rising inflation and interest rates caused disruption in the global financial markets, making it more challenging for younger companies in general and us in particular to raise capital. If adequate funds are not available on acceptable terms, we may be unable to continue to operate. If we incur additional debt, the debt holders would have rights senior to holders of common stock to make claims on our assets. If we issue additional equity securities, stockholders will experience dilution, and the new equity securities could have rights senior to those of our existing common stock. Our decision to issue securities in the future will depend on many considerations, including factors beyond our control such as market conditions, and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results may vary based on the impact of changes in the restaurant industry or the global economy on us or our customers. Our revenue growth and potential profitability depend on demand for business management software and solutions serving the restaurant industry. Historically, during economic downturns, there have been reductions in technology investments as well as pressure for extended billing terms and other financial concessions. If economic conditions deteriorate, our current and prospective customers may elect to decrease their technology budgets, which would limit our ability to grow our business and adversely affect our operating results.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These factors could include declining economies and the pace of economic recovery which can change consumer spending behaviors, low levels of consumer and business confidence typically associated with recessionary environments, high unemployment levels, which may result in decreased spending by consumers, budgetary concerns in the United States and other countries around the world, which could impact consumer confidence and spending, uncertainty and volatility in the performance of our customers’ businesses, customers or consumers decreasing spending for value-added services we market and sell, government actions, including the effect of laws and regulations and any related government stimulus and disruptions impacting global supply.</w:t>
      </w:r>
    </w:p>
    <w:p>
      <w:pPr>
        <w:spacing w:after="0" w:line="16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Our results of operations may fluctuate from quarter to quarter and if we fail to meet the expectations of securities analysts or investors with respect to our results of operations, our stock price and the value of your investment could decline.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we may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other risks described herein, factors that may affect our results of operations include:</w:t>
      </w:r>
    </w:p>
    <w:p>
      <w:pPr>
        <w:spacing w:after="0" w:line="225"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expand the locations in which our solutions are used;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customer purchases and deployments;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renewals of our agreements;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the amount and timing of payment for operating expenses;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low levels of consumer and business confidence typically associated with inflationary or recessionary environments;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elements, expenses associated with compliance;</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customers, or our partners; and</w:t>
      </w:r>
    </w:p>
    <w:p>
      <w:pPr>
        <w:spacing w:after="0" w:line="170"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modules and platform capabilities or third-party applications or POS or management systems with which our platform integrates.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Any of these and other factors, or the cumulative effect of some of these factors, may cause our results of operations to vary significantly.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our quarterly results of operations fall below the expectations of investors and securities analysts who follow our stock, the price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could decline substantially, and we could face costly lawsuits, including securities class action suits.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June 30, 2023, we had federal and state net operating losses (“NOLs”) for approximately $38.2 million and $58.2 million, respectively which begin to expire in 2029 if not utilized. We had federal NOLs for approximately $148.5 million which do not expire</w:t>
      </w:r>
      <w:r>
        <w:rPr>
          <w:rFonts w:ascii="Arial" w:cs="Arial" w:eastAsia="Arial" w:hAnsi="Arial"/>
          <w:sz w:val="19"/>
          <w:szCs w:val="19"/>
          <w:color w:val="auto"/>
        </w:rPr>
        <w:t>.</w:t>
      </w:r>
      <w:r>
        <w:rPr>
          <w:rFonts w:ascii="Arial" w:cs="Arial" w:eastAsia="Arial" w:hAnsi="Arial"/>
          <w:sz w:val="16"/>
          <w:szCs w:val="16"/>
          <w:color w:val="auto"/>
        </w:rPr>
        <w:t xml:space="preserve"> It is possible that we will not generate taxable income in time to use our NOLs before their expiration. Pursuant to Internal Revenue Code Sections 382 and 383, if a corporation undergoes an “change in control,” the corporation’s ability to use its pre-change NOLs and other tax attributes, including R&amp;D tax credits, to offset its post-change taxable income may be limited. In general, a “change in control” will occur if there is a cumulative change in our ownership by “5 percent stockholders” that exceeds 50</w:t>
      </w:r>
    </w:p>
    <w:p>
      <w:pPr>
        <w:sectPr>
          <w:pgSz w:w="11900" w:h="16838" w:orient="portrait"/>
          <w:cols w:equalWidth="0" w:num="1">
            <w:col w:w="9920"/>
          </w:cols>
          <w:pgMar w:left="980" w:top="733"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2" w:name="page23"/>
    <w:bookmarkEnd w:id="22"/>
    <w:p>
      <w:pPr>
        <w:jc w:val="both"/>
        <w:ind w:right="280"/>
        <w:spacing w:after="0" w:line="286" w:lineRule="auto"/>
        <w:rPr>
          <w:sz w:val="20"/>
          <w:szCs w:val="20"/>
          <w:color w:val="auto"/>
        </w:rPr>
      </w:pPr>
      <w:r>
        <w:rPr>
          <w:rFonts w:ascii="Arial" w:cs="Arial" w:eastAsia="Arial" w:hAnsi="Arial"/>
          <w:sz w:val="17"/>
          <w:szCs w:val="17"/>
          <w:color w:val="auto"/>
        </w:rPr>
        <w:t>percentage points over a rolling three-year period. Similar rules may also apply under state tax laws. As such, our ability to use NOLs and other tax attributes to reduce future taxable income may be subject to annual limitations due to ownership changes that may have occurred previously or that could occur in the future, including as a result of the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Tax Cuts and Jobs Act (the “Tax Act”), as amended by the Coronavirus Aid, Relief, and Economic Security Act (the “CARES Act”), allows for NOLs arising in taxable years beginning after December 31, 2017 and before January 1, 2021 to be carried back to each of the five taxable years preceding the tax year of such loss. NOLs arising in taxable years beginning after December 31, 2020 may not be carried back. Additionally, under the Tax Act, as modified by the CARES Act, NOLs may offset no more than 80% of current taxable income annually for taxable years beginning after December 31, 2020. These NOLs can be carried forward indefinitely. NOLs arising in taxable years ending before January 1, 2018 will continue to have a two-year carryback and twenty-year carryforward period.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balance of our valuation allowance offset our federal NOLs at June 30, 2023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For these reasons, we may not be able to realize a tax benefit from the use of our NOLs and tax credits.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Recent turmoil in the banking industry may negatively impact our ability to acquire financing on acceptable terms if at all, and worsening conditions or additional bank failures could result in a loss of deposits over federally insured levels.</w:t>
      </w:r>
    </w:p>
    <w:p>
      <w:pPr>
        <w:spacing w:after="0" w:line="1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and Signature Bank,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June 30,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restaurant technology industry is highly competitive. We may not be able to compete successfully against current and future competitors.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face competition in many aspects of our business, and we expect such competition to intensify in the future, as existing and new competitors introduce new, or enhance existing, solutions that are directly competitive with ours. Our Presto Touch and Presto Voice solutions combine functionality from numerous product categories, and we compete against providers in each of these categories. Our potential new or existing competitors may be able to develop solutions that are better received by customers or may be able to respond more quickly and effectively than we can to new or changing opportunities, technologies, regulations, or customer requirements. 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and/or solutions they control.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Mergers of or other strategic transactions by our competitors, our customers, or our partners could weaken our competitive position or reduce our revenue.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one or more of our competitors were to consolidate or partner with another one of our competitors, the change in landscape could adversely affect our ability to compete effectively. Our competitors may also establish or strengthen cooperative relationships with our third-party partners, thereby limiting our ability to promote our solution.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Partners and Other Third Parties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growth depends in part on reliance on third parties and our ability to integrate with third-party applications and software.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our solutions depends, in part, on our ability to integrate third-party applications, software, and other offerings into our platform. We anticipate that the growth of our business will continue to depend on third-party relationships including relationships with POS system providers, payment processors, loyalty providers, digital menu boards and other partners. Identifying, negotiating, and documenting relationships with third parties and integrating third-party content and technology requires significant time and resources, and third-party providers may choose to terminate their relationships with us, compete directly against us, enter into exclusive arrangements with our competitors, or make material changes to their businesses, solutions, or services that could be detrimental to our business.</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limit or restrict our access to their offerings. We may not be able to adapt to the data transfer requirements of third-party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third-party service providers we integrate with may not perform as expected under their agreements with our customers,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transaction revenue is partly dependent on our partners to develop and update third-party entertainment applications. The decisions of developers to remove their applications or change the terms of our commercial relationship could adversely impact our transaction revenue.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third-party developers to develop the entertainment applications that we host through Presto Touch. Accordingly, our business depends on our ability to promote, enter into and maintain successful commercial relationships that give us access to such entertainment applications. In general, we rely on standard terms of service with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maintain relationships with partners that give us continued access to third-party entertainment applications, if the terms and conditions of such commercial relationships become less favorable to us or if a developer decides to remove their entertainment applications, our transaction revenue would suffer.</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rely on our game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suffer.</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Payment transactions processed on our solutions may subject us to regulatory requirements and the rules of payment card networks, and other risks that could be costly and difficult to comply with or that could harm our business.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8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rely upon Amazon Web Services, Microsoft Azure and other infrastructure to operate our platform, and any disruption of or interference with our use of these providers would adversely affect our business, results of operations, and financial condition.</w:t>
      </w:r>
    </w:p>
    <w:p>
      <w:pPr>
        <w:spacing w:after="0" w:line="1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outsource substantial portions of our cloud infrastructure to Amazon Web Services, Microsoft Azure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infrastructure providers, which could negatively impact our revenue. We have experienced and expect that in the future we may continue to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becomes more complex and the usage of our platform increases. 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Certain estimates and information contained in this report are based on information from third-party sources, and we do not independently verify the accuracy or completeness of the data contained in such sources or the methodologies for collecting such data.</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estimates and information contained in this report, including general expectations concerning our industry and the market in which we operate, our market opportunity, and our market size, are based on information provided by or sourced from third parties. This information involves assumptions and limitations, and, although we believe the information from such third-party sources is reliable, we have not independently verified the accuracy or completeness of such information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example, market opportunity estimates included in this report are subject to significant uncertainty and are based on assumptions and estimates that may not prove to be accurate. Not every customer included in our market opportunity estimates will necessarily purchase any, or all, of our solutions, and some or many of those potential customers may choose to use solutions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report, our business could fail to grow for a variety of reasons, including competition, customer preferences and the other risks described in this report. Accordingly, the estimates of market opportunity and forecasts of market growth included in this report should not be taken as necessarily indicative of our future growth.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Government Regulation and Other Compliance Requirements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restaurant technology industry and the offering of solutions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not be able to respond quickly or effectively to regulatory, legislative, and other developments, and these changes may in turn impair our ability to offer existing or planned solutions and/or increase our cost of doing business. While we have and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ectPr>
          <w:pgSz w:w="11900" w:h="16838" w:orient="portrait"/>
          <w:cols w:equalWidth="0" w:num="1">
            <w:col w:w="9920"/>
          </w:cols>
          <w:pgMar w:left="980" w:top="733"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third party manufacturers and suppliers located outside of the United States, including in China, in connection with the manufacture of certain of our solutions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Intellectual Property</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2023 we had 11 registered domain names for websites that we use in our business, such as presto.com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solutions, impair the functionality of our solutions, delay introductions of new solutions, result in our substituting inferior or more costly technologies into our solutions, or harm our reputation or brand. In addition, we may be required to license additional technology from third parties to develop and market new solutions, and we may not be able to license that technology on commercially reasonable terms or at all. Our inability to license this technology could harm our ability to compete.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by third parties of intellectual property infringement, which, if successful could negatively impact operations and significantly increase costs.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solutions,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example, in February 2022, we were added as a co-defendant in a patent infringement lawsuit that was brought against Hi Auto by Valyant AI, Inc. in December 2021, alleging infringement of Valyant’s patent relating to a speech-based/natural language order process system. The claims against us relate to our subcontractor Hi Auto’s technology, which we use in the Presto Voice system for one of our customers. The lawsuit seeks to enjoin the co-defendants from continued alleged infringement and seeks unspecified statutory and other damages. See Note 8 to our financial statements for a discussion of the legal proceedings to which we are currently subject.</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such claims, regardless of merit, which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solutions,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use open-source software in our platform, which could negatively affect our ability to sell our services or subject us to litigation or other actions.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rely on open-source software in our proprietary platform and we expect to continue to rely on open-source software in our platform in the future. The terms of certain open-source licenses to which we are subject have not been interpreted by U.S., and there is a risk that these licenses could be construed in a manner that could impose unanticipated conditions or restrictions on our ability to commercialize our platforms. Moreover, we cannot ensure that we have not incorporated and are currently relying on additional open-source software in our platform in a manner that is inconsistent with the terms of the applicable license or our current policies and procedures. Although we employ open-source software license screening measures, if we were to combine our proprietary software platform with open-source software in a certain manner we could, under certain open-source licenses, be required to release the source code of our proprietary platform, which could allow our customers and competitors to freely use such software solutions without compensation to us. Additionally, we may from time-to-time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In addition to risks related to license requirements, use of certain open-source software can lead to greater risks than use of third-party commercial software, as open-source licensors generally do not provide warranties or controls on the origin of software. As a result, we and our customers could be subject to lawsuits by parties claiming ownership of what we believe to be open-source software. Some open-source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184"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registered domain names that we use in, or are related to, our business, most importantly www.presto.com. 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as Public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2023, December 31, 2022, and September 30,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The material weaknesses that we have identified are listed below.</w:t>
      </w:r>
    </w:p>
    <w:p>
      <w:pPr>
        <w:spacing w:after="0" w:line="171" w:lineRule="exact"/>
        <w:rPr>
          <w:sz w:val="20"/>
          <w:szCs w:val="20"/>
          <w:color w:val="auto"/>
        </w:rPr>
      </w:pPr>
    </w:p>
    <w:p>
      <w:pPr>
        <w:ind w:left="980" w:hanging="391"/>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jc w:val="both"/>
        <w:ind w:left="980" w:hanging="391"/>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65" w:lineRule="exact"/>
        <w:rPr>
          <w:rFonts w:ascii="Arial" w:cs="Arial" w:eastAsia="Arial" w:hAnsi="Arial"/>
          <w:sz w:val="17"/>
          <w:szCs w:val="17"/>
          <w:color w:val="auto"/>
        </w:rPr>
      </w:pPr>
    </w:p>
    <w:p>
      <w:pPr>
        <w:ind w:left="980" w:hanging="39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right="20" w:hanging="39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engaged a third-party firm to assist us with our execution of internal control plan as we are required to comply with Section 404 of the Sarbanes and Oxley Act of 2002. We have completed the design phase and are in the implementation stage of the plan to remediate the material weaknesses identified. Our plan includes the following actions that are currently in progress:</w:t>
      </w:r>
    </w:p>
    <w:p>
      <w:pPr>
        <w:spacing w:after="0" w:line="165" w:lineRule="exact"/>
        <w:rPr>
          <w:sz w:val="20"/>
          <w:szCs w:val="20"/>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 and designing formalized internal controls including policies over segregation of duties.</w:t>
      </w:r>
    </w:p>
    <w:p>
      <w:pPr>
        <w:spacing w:after="0" w:line="170" w:lineRule="exact"/>
        <w:rPr>
          <w:rFonts w:ascii="Arial" w:cs="Arial" w:eastAsia="Arial" w:hAnsi="Arial"/>
          <w:sz w:val="18"/>
          <w:szCs w:val="18"/>
          <w:color w:val="auto"/>
        </w:rPr>
      </w:pPr>
    </w:p>
    <w:p>
      <w:pPr>
        <w:jc w:val="both"/>
        <w:ind w:left="980" w:hanging="391"/>
        <w:spacing w:after="0" w:line="279"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controls to enhance our review of significant accounting transactions and other new technical accounting and financial reporting issues and preparing and reviewing accounting memoranda addressing these issues. We hired additional experienced accounting staff, including a Chief Accounting Officer and other financial reporting roles as a public company, and are required to comply with Section 404 of the Sarbanes Oxley Act of 2002.</w:t>
      </w:r>
    </w:p>
    <w:p>
      <w:pPr>
        <w:spacing w:after="0" w:line="171" w:lineRule="exact"/>
        <w:rPr>
          <w:rFonts w:ascii="Arial" w:cs="Arial" w:eastAsia="Arial" w:hAnsi="Arial"/>
          <w:sz w:val="17"/>
          <w:szCs w:val="17"/>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controls over our financial statement closing process including controls to enable an effective and timely review of account analyses and account reconciliations.</w:t>
      </w:r>
    </w:p>
    <w:p>
      <w:pPr>
        <w:spacing w:after="0" w:line="170" w:lineRule="exact"/>
        <w:rPr>
          <w:rFonts w:ascii="Arial" w:cs="Arial" w:eastAsia="Arial" w:hAnsi="Arial"/>
          <w:sz w:val="18"/>
          <w:szCs w:val="18"/>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cannot assure you that these measures will significantly improve or remediate the material weaknesses described above. The implementation of these remediation measures is in the testing stage and will require validation of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our independent registered public accounting firm are not required to perform an evaluation of our internal control over financial reporting for the year ending June 30, 2023 and are not required to perform such evaluation for the year ending June 30, 2022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ectPr>
          <w:pgSz w:w="11900" w:h="16838" w:orient="portrait"/>
          <w:cols w:equalWidth="0" w:num="1">
            <w:col w:w="9920"/>
          </w:cols>
          <w:pgMar w:left="980" w:top="73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w:t>
      </w:r>
    </w:p>
    <w:p>
      <w:pPr>
        <w:spacing w:after="0" w:line="1" w:lineRule="exact"/>
        <w:rPr>
          <w:sz w:val="20"/>
          <w:szCs w:val="20"/>
          <w:color w:val="auto"/>
        </w:rPr>
      </w:pPr>
    </w:p>
    <w:p>
      <w:pPr>
        <w:jc w:val="both"/>
        <w:ind w:firstLine="8"/>
        <w:spacing w:after="0" w:line="255"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and will continue to, incur significant costs as a result of operating as a public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increased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Relating to Our Common Stock and Warrants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Such provisions include the following:</w:t>
      </w:r>
    </w:p>
    <w:p>
      <w:pPr>
        <w:spacing w:after="0" w:line="170" w:lineRule="exact"/>
        <w:rPr>
          <w:sz w:val="20"/>
          <w:szCs w:val="20"/>
          <w:color w:val="auto"/>
        </w:rPr>
      </w:pPr>
    </w:p>
    <w:p>
      <w:pPr>
        <w:ind w:left="1140" w:hanging="389"/>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w:t>
      </w:r>
    </w:p>
    <w:p>
      <w:pPr>
        <w:spacing w:after="0" w:line="170" w:lineRule="exact"/>
        <w:rPr>
          <w:rFonts w:ascii="Arial" w:cs="Arial" w:eastAsia="Arial" w:hAnsi="Arial"/>
          <w:sz w:val="18"/>
          <w:szCs w:val="18"/>
          <w:color w:val="auto"/>
        </w:rPr>
      </w:pPr>
    </w:p>
    <w:p>
      <w:pPr>
        <w:jc w:val="both"/>
        <w:ind w:left="1140" w:right="20" w:hanging="389"/>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83" w:lineRule="exact"/>
        <w:rPr>
          <w:rFonts w:ascii="Arial" w:cs="Arial" w:eastAsia="Arial" w:hAnsi="Arial"/>
          <w:sz w:val="18"/>
          <w:szCs w:val="18"/>
          <w:color w:val="auto"/>
        </w:rPr>
      </w:pPr>
    </w:p>
    <w:p>
      <w:pPr>
        <w:jc w:val="both"/>
        <w:ind w:left="1140" w:hanging="389"/>
        <w:spacing w:after="0" w:line="31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148" w:lineRule="exact"/>
        <w:rPr>
          <w:rFonts w:ascii="Arial" w:cs="Arial" w:eastAsia="Arial" w:hAnsi="Arial"/>
          <w:sz w:val="16"/>
          <w:szCs w:val="16"/>
          <w:color w:val="auto"/>
        </w:rPr>
      </w:pPr>
    </w:p>
    <w:p>
      <w:pPr>
        <w:ind w:left="1140" w:right="20" w:hanging="389"/>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exclusive right of our Board to elect a director to fill a vacancy occurring in our Board for any cause, which prevents stockholders from being able to fill vacancies on our Board; and</w:t>
      </w:r>
    </w:p>
    <w:p>
      <w:pPr>
        <w:spacing w:after="0" w:line="170" w:lineRule="exact"/>
        <w:rPr>
          <w:rFonts w:ascii="Arial" w:cs="Arial" w:eastAsia="Arial" w:hAnsi="Arial"/>
          <w:sz w:val="18"/>
          <w:szCs w:val="18"/>
          <w:color w:val="auto"/>
        </w:rPr>
      </w:pPr>
    </w:p>
    <w:p>
      <w:pPr>
        <w:jc w:val="both"/>
        <w:ind w:left="1140" w:hanging="389"/>
        <w:spacing w:after="0" w:line="28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and other provisions in our Charter and Bylaws could make it more difficult for stockholders or potential acquirors to obtain control of our Board of directors or initiate actions that are opposed by the then-current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6"/>
          <w:szCs w:val="16"/>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Charter provides that the Court of Chancery of the State of Delaware is the exclusive forum for:</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as may be amended from time to time, our Charter or our Bylaws;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Alternatively, if a court were to find these provisions of our Charter inapplicable or unenforceable with respect to one or more of the specified types of actions or proceedings, we may incur additional costs associated with resolving such matters in other</w:t>
      </w:r>
    </w:p>
    <w:p>
      <w:pPr>
        <w:sectPr>
          <w:pgSz w:w="11900" w:h="16838" w:orient="portrait"/>
          <w:cols w:equalWidth="0" w:num="1">
            <w:col w:w="9920"/>
          </w:cols>
          <w:pgMar w:left="980" w:top="729"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jurisdictions, which could materially adversely affect our business, financial condition and results of operations and result in a diversion of the time and resources of our management and our Board.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in our Charter and Bylaws could make a merger, tender offer or proxy contest difficult, thereby depressing the trading price of our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in the foreseeable future, capital appreciation, if any, would be your sole source of gain.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 market for our securities may not continue, which would adversely affect the liquidity and price of its securities.</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 million)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8" w:lineRule="exact"/>
        <w:rPr>
          <w:sz w:val="20"/>
          <w:szCs w:val="20"/>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980" w:hanging="391"/>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operations. We would expect to obtain the capital required for acquisitions through a combination of additional issuances of equity, corporate indebtedness and/or cash from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trading market for our securities is influenced by the research and reports that industry or securities analysts may publish about us, our business, our market or our competitors. Most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 price of our Common Stock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8"/>
          <w:szCs w:val="18"/>
          <w:color w:val="auto"/>
        </w:rPr>
        <w:t>Our corporate headquarters are located at 985 Industrial Road, San Carlos, California 94070 and consist of approximately 4,300 square feet of office space under a lease that expires in January 2025. We also maintain additional offices in Flower Mound, Texas. As of April 2023, the lease for our additional office in Addison, Texas expired.</w:t>
      </w:r>
    </w:p>
    <w:p>
      <w:pPr>
        <w:spacing w:after="0" w:line="1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Discussion of legal matters is incorporated by reference from Part II, Item 8, Note 8, “Commitments and Contingencies,” of this document, and should be considered an integral part of Part I, Item 3,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5. Market for Common Equity, Related Stockholder Matters and Small Business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June 30, 2023, there were 170 holders of record of our common stock. The number of record holders may not be representative of the number of beneficial owners of our common stock, whose shares are held in street name by banks, brokers and other nominees.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sales of unregistered equity securities during the covered period were disclosed on a Current Report on Form 8-K or a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should be read in conjunction with Presto’s consolidated financial statements as of and for the years ended June 30, 2023 and 2022 and the related notes included in Part II, Item 8 of this Annual Report on Form 10-K. This discussion contains forward-looking statements, within the meaning of the safe harbor provisions of the Private Securities Litigation Reform Act of 1995, that involve risks and uncertainties. Presto’s actual results could differ materially from such forward-looking statements. Presto does not undertake to update, revise or correct any of the forward-looking information unless required to do so under the federal securities laws. Readers are cautioned that such forward-looking statements should be read in conjunction with Presto’s disclosures under the heading “Cautionary Statement Regarding Forward-Looking Statements and Risk Factors Summary” included in this report. Additionally, Presto’s historical results are not necessarily indicative of the results that may be expected in any future period. Amounts are presented in U.S. dollars.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this Annual Report on Form 10-K:</w:t>
      </w:r>
    </w:p>
    <w:p>
      <w:pPr>
        <w:spacing w:after="0" w:line="188"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6"/>
          <w:szCs w:val="16"/>
          <w:color w:val="auto"/>
        </w:rPr>
        <w:t>We provide enterprise grade AI and automation solutions to the restaurant technology industry. Our solutions are designed to decrease labor costs, improve staff productivity, increase revenue and enhance the guest experience. We offer our industry-leading AI solution</w:t>
      </w:r>
      <w:r>
        <w:rPr>
          <w:rFonts w:ascii="Arial" w:cs="Arial" w:eastAsia="Arial" w:hAnsi="Arial"/>
          <w:sz w:val="23"/>
          <w:szCs w:val="23"/>
          <w:u w:val="single" w:color="auto"/>
          <w:color w:val="0000EE"/>
          <w:vertAlign w:val="superscript"/>
        </w:rPr>
        <w:t>2</w:t>
      </w:r>
      <w:r>
        <w:rPr>
          <w:rFonts w:ascii="Arial" w:cs="Arial" w:eastAsia="Arial" w:hAnsi="Arial"/>
          <w:sz w:val="16"/>
          <w:szCs w:val="16"/>
          <w:color w:val="auto"/>
        </w:rPr>
        <w:t>, Presto Voice, to quick service restaurants (QSR) and our pay-at-table tablet solution, Presto Touch, to casual dining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Some of the most recognized restaurant names in the United States are among our customers, including Carl’s Jr. and Hardee’s, Del Taco and Checkers for Presto Voice and Applebee’s, Chili’s and Red Lobster for Presto Touch.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business is guided by the principles that our solutions should seamlessly and effortlessly increase revenue for restaurant operators, improve productivity of the restaurant staff and enhance the guest experience . These principles ensure that our focus remains aligned with the priorities of our customers and with our objective of being a leader in the restaurant technology market.</w:t>
      </w:r>
    </w:p>
    <w:p>
      <w:pPr>
        <w:spacing w:after="0" w:line="16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by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spacing w:after="0" w:line="16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Merger was accounted for as a reverse recapitalization in accordance with generally accepted accounting principles in the United States of America (“GAAP”).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evaluate our results using the key performance indicators set forth below. We use these metrics and related computations to evaluate our operational effectiveness and results of operations from period to period and to plan for near and long-term operating and strategic decisions. These key performance indicators should not be reviewed in isolation or considered as a substitute for our financial results as reported in accordance with GAAP. These measures may not be comparable to similarly-titled performance indicators used by other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Net Revenue Retention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use net revenue retention to evaluate the operational and financial performance of our Presto Touch solution. Net revenue retention compares our revenue associated with a set of active restaurant brands in a one-year period to the same set of restaurant brands in the prior year period. We calculate net revenue retention by dividing a particular period’s recurring revenue, including both Platform revenue and Transaction revenue (each as defined below), by the prior period’s recurring revenue from the same set of restaurant brands. Net revenue retention is an indicator of the propensity of our customers to continue working with to expand their relationship with us. We assess our net revenue retention on a rolling 12-month basis comparing year-over-year. For the year ended June 30, 2023, our net revenue retention was 85%, while for the year ended June 30, 2022, it was 102%. The decrease in the year ended June 30, 2023 was primarily due to contract terminations and renewals at lower rates.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net revenue retention is useful for investors because it provides a consistent comparison of customer results and growth across comparable periods within our core, established customer base, unaffected by the impact of new customers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Presto Voice Locations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number of Presto Voice locations represents the total number of locations in which Presto Voice is operational as of the last day of the relevant reporting period. It is a critical metric for us in evaluating the success in the adoption of Presto Voice. As of June 30, 2023 and September 30, 2023, we had 338 and 373 voice locations live, respectively, the substantial majority of which are Checkers locations. In addition, as of September 30, 2023, we had entered into contracts to install our Presto Voice solution in 95 additional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Expansion in the Number of Locations in which Our Solutions are Used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 and we track the number of locations in which Presto Voice is installed.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Relationships with Existing Customers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These customers have entered into contracts for our Presto Touch that expire and are up for renewal between December 31, 2023 and June 30, 2024. Renewal of these contracts is a key driver of our revenues in the near term. In addition,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of New Customers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there is a substantial opportunity to continue to grow our restaurant solutions across the casual dining and QSR sectors in the United States. Since the third quarter of 2022, we have signed several pilot agreements with new customers for Presto Voice. We hope to convert each of our pilot customers into broader customer relationships in the fiscal years 2024 and 2025. We believe that this will serve as a driver of revenue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Innovation of Our AI Technology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the machine learning associated with all AI technology, including our solution, we use an approach which is commonly employed in the AI industry referred to as human-in-the loop (HITL) to ensure the desired level of accuracy in order taking is achieved. We are currently close to profitable at the restaurant location level based on our current level of HITL and expect to achieve profitability at the restaurant location level in the near future with continued advances in our technology and its implementation. If we are unable to reduce the degree or cost of HITL or and/or achieve greater efficiencies with our human agents, our results of operations and business may be adversely affected.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Implementation of On-Going Cost Improvement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became a public company through deSPAC process on September 21, 2022 upon the consummation of the Business Combination and, as a result, are incurring costs related to, among other things, directors’ and officers’ liability insurance and audit, legal and other functions. We have taken several steps during 2023 to operate our business more efficiently including reducing costs and streamlining operations.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years ended June 30,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Revenue generated from Presto Voice was not material for the years ended June 30, 2023 and 2022.</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an agreement with Hi Auto, we remit a revenue share associated with our Presto Voice at Checkers locations.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64% to 68% of the gross billings to the restaurant operators for the years ended June 30, 2023 and 2022. Our revenue for the year ended June 30, 2023, from Checkers also reflects, as a reduction to transaction price, the fair value of the warrant issued to them. The impact of the fair value of the warrant in the year ended June 30, 2022 was immaterial. (See Note 2 of Part II, Item 8 of this Annual Report on Form 10-K for further details). We also pay Hi Auto a fee that is accounted for as cost of revenue which was $1.2 million for the year ended June 30, 2023.</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maintain an agreement with a legacy customer whereby we lease Presto Touch to that customer.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also generate revenue from professional services to a lesser extent,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ectPr>
          <w:pgSz w:w="11900" w:h="16838" w:orient="portrait"/>
          <w:cols w:equalWidth="0" w:num="1">
            <w:col w:w="9920"/>
          </w:cols>
          <w:pgMar w:left="980" w:top="733"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83% to 90% and 81% to 90% of premium gaming content revenue by customer brand for the years ended June 30, 2023 and 2022, respectively.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and will continue to implement measures to streamline operations and reduce costs on a go forward basis, including a realignment of personnel and other resources consistent with our strategic plans. We may nonetheless face increased legal expenses as we address litigation and government investigations.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consist primarily of employee-related costs associated with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increase 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consist primarily of expenses related to facilities,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Presto Touch hardware returned for repair or replacement using an RMA. While we have incurred RMA charges in the past, in the year ended June 30, 2022, the volume of repair charges was extremely unusual and very high due to a liquid ingress issue resulting from COVID-19 related actions by restaurant operators. Our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We provided repair and replacement of our hardware devices to all of our customers as a one-time only</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accommodation due to COVID-19. See “—</w:t>
      </w:r>
      <w:r>
        <w:rPr>
          <w:rFonts w:ascii="Arial" w:cs="Arial" w:eastAsia="Arial" w:hAnsi="Arial"/>
          <w:sz w:val="18"/>
          <w:szCs w:val="18"/>
          <w:i w:val="1"/>
          <w:iCs w:val="1"/>
          <w:color w:val="auto"/>
        </w:rPr>
        <w:t>Impact of COVID-19 on Our Results of Operations for the Year Ended June 30, 2022</w:t>
      </w:r>
      <w:r>
        <w:rPr>
          <w:rFonts w:ascii="Arial" w:cs="Arial" w:eastAsia="Arial" w:hAnsi="Arial"/>
          <w:sz w:val="18"/>
          <w:szCs w:val="18"/>
          <w:color w:val="auto"/>
        </w:rPr>
        <w:t>” below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income, net includes income of $2.0 million and $2.6 million due to the forgiveness of our PPP loans (as defined below) in the years ended June 30, 2023 and 2022, respectively.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year ended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primarily consists of interest incurred on our financing obligations and outstanding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Loss on extinguishment of debt and financial obligations consists of losses incurred related to the extinguishment of our term loans outstanding prior to the Merger during the year ended June 30, 2023 and the extinguishment of our financial obligation with third parties during the year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expenses,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financing and financial instrument expenses, net primarily consists of expense recognized related to the issuance of shares and the transfer of warrants upon termination of a convertible note agreement and associated legal fees, offset by the remeasurement of the liability related to the Unvested Sponsor Shares.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account for the arrangement related to the Unvested Sponsor Shares in accordance with ASC 815-40 as equity-linked instruments which are not indexed to the entity’s own stock and accordingly such instruments are liability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 benefits of positions not deemed to meet the “more-likely-than-not” threshold would be recorded as a tax expense in the current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amount recognized is subject to estimate and management judgment with respect to the likely outcome of each uncertain tax</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position. The amount that is ultimately sustained for an individual uncertain tax position or for all uncertain tax positions in the aggregate could differ from the amount that is initially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Results of Operations for the Year Ended June 30,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experienced two impacts from the initial onset of COVID-19 that resulted in significant charges to the statement of operations for the periods presented:</w:t>
      </w:r>
    </w:p>
    <w:p>
      <w:pPr>
        <w:spacing w:after="0" w:line="170" w:lineRule="exact"/>
        <w:rPr>
          <w:sz w:val="20"/>
          <w:szCs w:val="20"/>
          <w:color w:val="auto"/>
        </w:rPr>
      </w:pPr>
    </w:p>
    <w:p>
      <w:pPr>
        <w:jc w:val="both"/>
        <w:ind w:left="980" w:hanging="324"/>
        <w:spacing w:after="0" w:line="271"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Loss on Infrequent Product Repairs</w:t>
      </w:r>
      <w:r>
        <w:rPr>
          <w:rFonts w:ascii="Arial" w:cs="Arial" w:eastAsia="Arial" w:hAnsi="Arial"/>
          <w:sz w:val="17"/>
          <w:szCs w:val="17"/>
          <w:color w:val="auto"/>
        </w:rPr>
        <w:t>. During the COVID-19 pandemic, customers cleaned our Presto Touch devices with</w:t>
      </w:r>
      <w:r>
        <w:rPr>
          <w:rFonts w:ascii="Arial" w:cs="Arial" w:eastAsia="Arial" w:hAnsi="Arial"/>
          <w:sz w:val="17"/>
          <w:szCs w:val="17"/>
          <w:i w:val="1"/>
          <w:iCs w:val="1"/>
          <w:color w:val="auto"/>
        </w:rPr>
        <w:t xml:space="preserve"> </w:t>
      </w:r>
      <w:r>
        <w:rPr>
          <w:rFonts w:ascii="Arial" w:cs="Arial" w:eastAsia="Arial" w:hAnsi="Arial"/>
          <w:sz w:val="17"/>
          <w:szCs w:val="17"/>
          <w:color w:val="auto"/>
        </w:rPr>
        <w:t>highly invasive commercial disinfectant solutions which leaked into the hardware, causing significant damage to the devices and requiring repair or replacement. This resulted in a significant increase in RMA expenses compared to prior periods. As a result, we incurred $0.6 million of loss on infrequent product repairs related to this issue in the year ended June 30, 2022, which is presented as a separate line item on our consolidated statement of operations and comprehensive loss. There were no similar expenses incurred during the year ended June 30, 2023 related to the matter. These issues would typically not be covered by our standard warranty; however, as a sign of goodwill and for customer satisfaction, we incurred the repair and replacement expenses related to the liquid ingress issue.</w:t>
      </w:r>
    </w:p>
    <w:p>
      <w:pPr>
        <w:spacing w:after="0" w:line="178" w:lineRule="exact"/>
        <w:rPr>
          <w:rFonts w:ascii="Arial" w:cs="Arial" w:eastAsia="Arial" w:hAnsi="Arial"/>
          <w:sz w:val="17"/>
          <w:szCs w:val="17"/>
          <w:color w:val="auto"/>
        </w:rPr>
      </w:pPr>
    </w:p>
    <w:p>
      <w:pPr>
        <w:jc w:val="both"/>
        <w:ind w:left="980"/>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The expenses incurred were not honored by the manufacturer’s warranty under the RMA process. We have made claims to recover the costs incurred related to the repairs (as specified below) from the third-party subcontractor who manufactures the hardware. In June 2022, we received an arbitration decision in a dispute with our third-party subcontractor and were awarded approximately $11.3 million in damages related to our loss on infrequent product repairs and to cover our legal expenses </w:t>
      </w:r>
      <w:r>
        <w:rPr>
          <w:rFonts w:ascii="Arial" w:cs="Arial" w:eastAsia="Arial" w:hAnsi="Arial"/>
          <w:sz w:val="16"/>
          <w:szCs w:val="16"/>
          <w:color w:val="212529"/>
        </w:rPr>
        <w:t>This arbitration ruling was affirmed by the appellate court in the country of the arbitration ruling on March 6,</w:t>
      </w:r>
      <w:r>
        <w:rPr>
          <w:rFonts w:ascii="Arial" w:cs="Arial" w:eastAsia="Arial" w:hAnsi="Arial"/>
          <w:sz w:val="16"/>
          <w:szCs w:val="16"/>
          <w:color w:val="auto"/>
        </w:rPr>
        <w:t xml:space="preserve"> </w:t>
      </w:r>
      <w:r>
        <w:rPr>
          <w:rFonts w:ascii="Arial" w:cs="Arial" w:eastAsia="Arial" w:hAnsi="Arial"/>
          <w:sz w:val="16"/>
          <w:szCs w:val="16"/>
          <w:color w:val="212529"/>
        </w:rPr>
        <w:t>2023</w:t>
      </w:r>
      <w:r>
        <w:rPr>
          <w:rFonts w:ascii="Arial" w:cs="Arial" w:eastAsia="Arial" w:hAnsi="Arial"/>
          <w:sz w:val="16"/>
          <w:szCs w:val="16"/>
          <w:color w:val="000000"/>
        </w:rPr>
        <w:t>. The vendor appealed the ruling to the highest court in that country in May 2023 and the appeal is currently pending.</w:t>
      </w:r>
      <w:r>
        <w:rPr>
          <w:rFonts w:ascii="Arial" w:cs="Arial" w:eastAsia="Arial" w:hAnsi="Arial"/>
          <w:sz w:val="16"/>
          <w:szCs w:val="16"/>
          <w:color w:val="212529"/>
        </w:rPr>
        <w:t xml:space="preserve"> </w:t>
      </w:r>
      <w:r>
        <w:rPr>
          <w:rFonts w:ascii="Arial" w:cs="Arial" w:eastAsia="Arial" w:hAnsi="Arial"/>
          <w:sz w:val="16"/>
          <w:szCs w:val="16"/>
          <w:color w:val="000000"/>
        </w:rPr>
        <w:t>As a result, the award has not met the criteria to be considered realizable as of June 30, 2023 and, accordingly, we have not recognized any gain related to this settlement in our consolidated statement of operations and comprehensive loss.</w:t>
      </w:r>
    </w:p>
    <w:p>
      <w:pPr>
        <w:spacing w:after="0" w:line="165" w:lineRule="exact"/>
        <w:rPr>
          <w:rFonts w:ascii="Arial" w:cs="Arial" w:eastAsia="Arial" w:hAnsi="Arial"/>
          <w:sz w:val="17"/>
          <w:szCs w:val="17"/>
          <w:color w:val="auto"/>
        </w:rPr>
      </w:pPr>
    </w:p>
    <w:p>
      <w:pPr>
        <w:jc w:val="both"/>
        <w:ind w:left="980" w:hanging="324"/>
        <w:spacing w:after="0" w:line="25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Hardware Repair Expenses Related to COVID-19. </w:t>
      </w:r>
      <w:r>
        <w:rPr>
          <w:rFonts w:ascii="Arial" w:cs="Arial" w:eastAsia="Arial" w:hAnsi="Arial"/>
          <w:sz w:val="18"/>
          <w:szCs w:val="18"/>
          <w:color w:val="auto"/>
        </w:rPr>
        <w:t>In connection with the RMAs noted above, during the year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we incurred higher than usual repair expenses for one-time, infrequent product repairs to Presto Touch products that were not covered by our third-party subcontractor, who typically covers the costs. The increase in expenses was a result of a higher volume of repair requests due to customer issues arising from COVID-19 related complications and a desire on the part of customers to have us reboot and re-certify equipment coming out of COVID-19. During the year ended June 30, 2022, we incurred $1.1 million of hardware repair expenses related to COVID-19. The expenses incurred were not honored by the manufacturer’s warranty under the RMA process. There were no similar expenses incurred during the year ended June 30, 2023.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took several actions to mitigate the effects of the COVID-19 pandemic on our operations. In April 2020, we received a loan of approximately $2.6 million under the U.S. Small Business Administration Paycheck Protection Program (“PPP”), to assist with the economic hardships caused by the pandemic. In March 2021, we received a second loan of $2.0 million under the PPP. In August 2021, we were granted forgiveness of the first loan in an amount of approximately $2.6 million. In July 2022, we were granted forgiveness of the second loan in an amount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June 30, 2023 and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Platform</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13,235</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Platform</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impairment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infrequent product repairs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13,235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w w:val="98"/>
              </w:rPr>
              <w:t>12,900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26,135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revenue decreased 14% to $26.1 million for the year ended June 30, 2023, as compared to $30.4 million for the year ended June 30,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Platform revenue decreased 34% to $13.2 million for the year ended June 30, 2023, as compared to $20.1 million for the year ended June 30, 2022. The decrease is primarily attributable to contract terminations by certain franchisee customers of existing enterprise and small business customers. In addition, certain large customers renewed at lower pricing.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Transaction revenue increased 25% to $12.9 million for the year ended June 30, 2023, as compared to $10.3 million for the year ended June 30, 2022. This is due primarily to increases in pricing for our gaming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costs of revenue</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Cost of revenue decreased 14% to $25.6 million for the year ended June 30, 2023, as compared to $29.7 million for the year ended June 30,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Platform cost of revenue decreased 30% to $13.1 million for the year ended June 30, 2023, as compared to $18.7 million for the year ended June 30, 2022. The decrease was in line with the decrease in Platform revenue which impacted product deferred costs, installation and shipping costs during the year ended June 30, 2023, relative to the year ended June 30, 2022.</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Transaction cost of revenue increased 26% to $11.4 million for the year ended June 30, 2023, as compared to $9.0 million for the year ended June 30, 2022. The increase was primarily attributable to increases in the revenue share owed to restaurants as a result of the increase in pricing for our gaming fees.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impairment cost of revenue decreased 43% for the year ended June 30, 2023 to $1.2 million from $2.0 million during the year ended June 30, 2022. The decrease was primarily attributable to the return of leased tablets in the year ended June 30, 2022, which resulted in fewer tablets in use and being depreciated.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Operating expenses increased by 68% to $56.9 million for the year ended June 30, 2023, as compared to $33.8 million for the year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Research and development expenses increased 27% to $21.3 million for the year ended June 30, 2023, as compared to $16.8 million for the year ended June 30, 2022. The increase resulted primarily from an increase of $1.3 million in salaries and employee benefits expense due to an increase in headcount and bonuses to employees from the acquisition of CyborgOps, Inc. in the year ended June 30, 2022, an increase of $3.1 million in stock-based compensation as a result of a modification of performance based vesting conditions of restricted stock units that was waived and a $0.2 million increase in professional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33% to $8.8 million for the year ended June 30, 2023, as compared to $6.6 million for the year ended June 30, 2022. The increase resulted primarily from an increase in salaries and employee benefits expense of $1.4 million, as a result of an increase in headcount, a public relations fee paid upon the completion of the Merger of $0.3 million in the year ended June 30, 2023, and $0.5 million in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and administrative expenses increased 172% to $26.8 million for the year ended June 30, 2023, as compared to $9.8 million for the year ended June 30, 2022. The increase resulted primarily from an increase in stock-based compensation expense of $8.1 million, primarily due to award modifications for performance conditions on RSUs and related to key executive terminations and new employee grants, an increase in legal expense, accounting services expenses and temporary services expenses of $5.5 million which included $2.2 million for audit and tax services, $1.3 million in legal expenses, $1.5 million of ancillary professional services</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fees in preparation for the Merger and $0.5 million in recruiting fees; an increase in other costs of $3.3 million which included an increase in salaries and employee benefits expense of $0.9 million, bad debt expense of $0.8 million and directors and officers and cyber insurance of $1.0 million and $0.6 million in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had no loss on infrequent product repairs for the year ended June 30, 2023, as compared to $0.6 million for the year ended June 30, 2022. The one-time repair and replacement expenses incurred in the year ended June 30, 2022 related to damage caused to hardware caused by our customers’ use of extremely strong commercial disinfectant solutions to clean the hardware devices as a mandatory precaution protocol due to COVID-19 which did not recur in fiscal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9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10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   42,811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(20,528)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63,339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year ended June 30, 2023, the change in the fair value of warrants and convertible promissory notes was due to a gain of $42.8 million, as compared to a loss of $20.5 million in the year ended June 30, 2022.</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remeasurement gain recorded during the year ended June 30, 2023 was primarily driven by two factors. First, immediately prior to the closing of the Merger, the convertible notes and embedded warrants were remeasured to their then-fair value of $41.4 million, resulting in a gain on remeasurement of $48.3 million. Second, with the close of the Merger, we assumed $9.4 million of warrant liabilities associated with the legacy private warrants of VTAQ and issued additional warrants with a fair value of $0.8 million. As of June 30, 2023, all of our outstanding liability classified warrants were remeasured to fair value based on the June 30, 2023 stock price. As a result of the above, a $42.8 million gain on remeasurement was recorded for the year ended June 30, 2023. The primary factor affecting the change in fair value of the warrants was the assumption of the private warrants, the issuance of additional warrant shares, and the decrease in our stock price during the year ended June 30, 2023.</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June 30, 2022, the convertible notes and embedded warrants had a change in fair value resulting in a loss of $20.5 million, reflecting the increased stock price of the then-privately held entity. Such increases to the stock price were in contemplation of the anticipated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06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12,755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Interest expense increased 135% to $12.8 million for the year ended June 30, 2023, as compared to $5.4 million for the year ended June 30, 2022. The increase was due to us having higher interest-bearing term loan debt outstanding during the year ended June 30, 2023 as compared to the year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Loss on extinguishment of debt and financial obligations was $8.2 million for the year ended June 30, 2023 as compared to no loss for the year ended June 30, 2022. The increase is due to our loss on the extinguishment of our term loans outstanding prior to the Merger and extinguishment of certain financing obligations during year ended June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Expenses,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w w:val="91"/>
              </w:rPr>
              <w:t>$ (2,753)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33"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4" w:name="page45"/>
    <w:bookmarkEnd w:id="44"/>
    <w:p>
      <w:pPr>
        <w:jc w:val="both"/>
        <w:ind w:right="220" w:firstLine="648"/>
        <w:spacing w:after="0" w:line="263" w:lineRule="auto"/>
        <w:rPr>
          <w:sz w:val="20"/>
          <w:szCs w:val="20"/>
          <w:color w:val="auto"/>
        </w:rPr>
      </w:pPr>
      <w:r>
        <w:rPr>
          <w:rFonts w:ascii="Arial" w:cs="Arial" w:eastAsia="Arial" w:hAnsi="Arial"/>
          <w:sz w:val="18"/>
          <w:szCs w:val="18"/>
          <w:color w:val="auto"/>
        </w:rPr>
        <w:t>Other financing and financial instrument expenses, net was $2.8 million for the year ended June 30, 2023 due primarily to the $2.4 million of expense related to the issuance of shares and transfer of warrants upon termination of a convertible note agreement and $0.4 million of associated legal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2,812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84"/>
              </w:rPr>
              <w:t>$ 180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increased to $2.8 million for the year ended June 30, 2023, as compared to other income, net of $2.6 million for the year ended June 30, 2022. The amounts in both periods were primarily due to the forgiveness of our PPP loans during the years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 (benefit) for income taxes was not material in the years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10-K.</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management’s view. We believe that these measures provide an additional tool for investors to use in comparing our core financial performance over multiple periods with other companies in our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Gross Profit is calculated as gross profit adjusted to add back depreciation, and hardware repair expenses related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COVID.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use Adjusted Gross Profit to capture and evaluate our core operating performance and trends. We believe this metric is useful to us and our investors because it removes the impact of events that do not reflect our core operating performance, thereby providing consistency and direct comparability with our past financial performance and between fiscal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Hardware repair expenses related to COVID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Adjusted Gross Profit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expenses, net, deferred compensation and bonuses earned upon closing of the Merger, public relations fee due upon closing of the Merger, loss on infrequent product repairs, reduction in force, and hardware repair expenses related to COVID.</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5" w:name="page46"/>
    <w:bookmarkEnd w:id="45"/>
    <w:p>
      <w:pPr>
        <w:jc w:val="both"/>
        <w:ind w:firstLine="648"/>
        <w:spacing w:after="0" w:line="284" w:lineRule="auto"/>
        <w:rPr>
          <w:sz w:val="20"/>
          <w:szCs w:val="20"/>
          <w:color w:val="auto"/>
        </w:rPr>
      </w:pPr>
      <w:r>
        <w:rPr>
          <w:rFonts w:ascii="Arial" w:cs="Arial" w:eastAsia="Arial" w:hAnsi="Arial"/>
          <w:sz w:val="16"/>
          <w:szCs w:val="16"/>
          <w:color w:val="auto"/>
        </w:rPr>
        <w:t>We believe Adjusted EBITDA is useful for investors when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Earnout stock-based compensation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and bonuses earned upon closing of the Merger</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Public relations fee due upon closing of the Merger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Loss on infrequent product repairs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Reduction in force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Hardware repair expense related to COVID</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8" w:lineRule="exact"/>
        <w:rPr>
          <w:sz w:val="20"/>
          <w:szCs w:val="20"/>
          <w:color w:val="auto"/>
        </w:rPr>
      </w:pPr>
    </w:p>
    <w:p>
      <w:pPr>
        <w:ind w:left="660" w:right="180" w:hanging="328"/>
        <w:spacing w:after="0" w:line="273"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June 2022, we received an arbitration decision in a dispute with our third-party subcontractor and were awarded approximately $11.3 million in damages related to our loss on infrequent product repairs and to cover our legal expenses </w:t>
      </w:r>
      <w:r>
        <w:rPr>
          <w:rFonts w:ascii="Arial" w:cs="Arial" w:eastAsia="Arial" w:hAnsi="Arial"/>
          <w:sz w:val="17"/>
          <w:szCs w:val="17"/>
          <w:color w:val="212529"/>
        </w:rPr>
        <w:t>This</w:t>
      </w:r>
      <w:r>
        <w:rPr>
          <w:rFonts w:ascii="Arial" w:cs="Arial" w:eastAsia="Arial" w:hAnsi="Arial"/>
          <w:sz w:val="17"/>
          <w:szCs w:val="17"/>
          <w:color w:val="auto"/>
        </w:rPr>
        <w:t xml:space="preserve"> </w:t>
      </w:r>
      <w:r>
        <w:rPr>
          <w:rFonts w:ascii="Arial" w:cs="Arial" w:eastAsia="Arial" w:hAnsi="Arial"/>
          <w:sz w:val="17"/>
          <w:szCs w:val="17"/>
          <w:color w:val="212529"/>
        </w:rPr>
        <w:t>arbitration ruling was affirmed by the appellate court in the country of the arbitration ruling on March 6, 2023</w:t>
      </w:r>
      <w:r>
        <w:rPr>
          <w:rFonts w:ascii="Arial" w:cs="Arial" w:eastAsia="Arial" w:hAnsi="Arial"/>
          <w:sz w:val="17"/>
          <w:szCs w:val="17"/>
          <w:color w:val="000000"/>
        </w:rPr>
        <w:t>. The vendor</w:t>
      </w:r>
      <w:r>
        <w:rPr>
          <w:rFonts w:ascii="Arial" w:cs="Arial" w:eastAsia="Arial" w:hAnsi="Arial"/>
          <w:sz w:val="17"/>
          <w:szCs w:val="17"/>
          <w:color w:val="212529"/>
        </w:rPr>
        <w:t xml:space="preserve"> </w:t>
      </w:r>
      <w:r>
        <w:rPr>
          <w:rFonts w:ascii="Arial" w:cs="Arial" w:eastAsia="Arial" w:hAnsi="Arial"/>
          <w:sz w:val="17"/>
          <w:szCs w:val="17"/>
          <w:color w:val="000000"/>
        </w:rPr>
        <w:t>appealed the ruling to the highest court in that country in May 2023 and the appeal is currently pending. As a result, the award has not met the criteria to be considered realizable as of June 30, 2023 and, accordingly, we have not recognized any gain related to this settlement in our consolidated statement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and June 30, 2022, our principal sources of liquidity were cash and cash equivalents of $15.1 million and $3.0 million, respectively, which were held for working capital purposes. This excludes $10.0 million of restricted cash as of June 30, 2023.</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Since inception, we have financed our operations primarily through financing transactions such as the issuance of convertible promissory notes and loans, and sales of common stock and convertible preferred stock. We have incurred recurring operating losses</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6" w:name="page47"/>
    <w:bookmarkEnd w:id="46"/>
    <w:p>
      <w:pPr>
        <w:jc w:val="both"/>
        <w:spacing w:after="0" w:line="279" w:lineRule="auto"/>
        <w:rPr>
          <w:sz w:val="20"/>
          <w:szCs w:val="20"/>
          <w:color w:val="auto"/>
        </w:rPr>
      </w:pPr>
      <w:r>
        <w:rPr>
          <w:rFonts w:ascii="Arial" w:cs="Arial" w:eastAsia="Arial" w:hAnsi="Arial"/>
          <w:sz w:val="17"/>
          <w:szCs w:val="17"/>
          <w:color w:val="auto"/>
        </w:rPr>
        <w:t>since our inception, including operating losses of $56.4 million and $33.2 million for the years ended June 30, 2023 and 2022, respectively. As of June 30, 2023 and June 30, 2022, we had an accumulated deficit of $235.3 million and $200.8 million, respectively, and we expect to continue to generate operating losses for the near term. Cash from operations could also be affected by various risks and uncertainties including, but not limited to, the timing of cash collections from customers and other risks.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received cash of $49.8 million from the completion of the Merger, net cash of $13.7 million from the Credit Agreement and concurrent repayment of other debt obligations, and $9.5 million from the sale of common stock in a private placement in May 2023, additional capital infusions will be necessary in order to fund currently anticipated expenditures, and to meet our obligations as they come due.</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plans for additional financings are intended to mitigate the conditions or events that raise substantial doubt about our ability to continue as a going concern, however, as some aspects of the plans are outside of our control, we cannot ensure they will be effectively implemented.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year ended June 30, 2023, net cash used in operating activities decreased by 6%, to $44.5 million, as compared to $47.3 million for the year ended June 30,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June 30, 2023, net cash used in operating activities was $44.5 million. This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$34.5 million and a net use of cash from changes in operating assets and liabilities of $1.5 million and adjustments for non-cash gains,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of $8.5 million. The net use of cash from changes in operating assets and liabilities primarily relate to an increase in accounts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receivable of $0.3 million, an increase in prepaids and other current assets of $0.5 million, a decrease in accrued liabilities of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decrease in deferred revenue of $9.2 million. Such uses of cash were partially offset by a decrease in deferred costs of $9.1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decrease in accounts payable of $1.5 million. The non-cash adjustments primarily relate to gains associated with changes in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warrants and convertible promissory notes of $48.3 million and change in fair value of our liability-classified warrants of</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$5.5 million, forgiveness of our outstanding PPP loan of $2.0 million, and change in fair value of Unvested Sponsor Shares liability of $0.2 million, partially offset by loss on debt extinguishment of debt and financing obligations of $8.2 million, stock-based compensation expense of $8.7 million, paid in-kind interest expense of $5.5 million, share and warrant cost on termination of convertible note agreement of $2.4 million, earnout share stock-based compensation expense of $4.9 million, amortization of debt discount and debt issuance costs of $3.4 million, depreciation, amortization and impairment of $1.7 million, contra-revenue of $1.2 million, and non-cash lease expense of $0.3 million.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June 30, 2022, net cash used in operating activities was $47.3 million. This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$56.3 million and a net use of cash from changes in operating assets and liabilities of $14.3 million partially offset by adjustments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charges of $23.3 million. The net use of cash from changes in operating assets and liabilities primarily relate to decreases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of $14.9 million, vendor financing facility of $6.8 million, accounts payable of $3.3 million and accrued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$3.6 million, partially offset by decreases in deferred costs of $11.4 million and decreases in inventories of $2.5 million. The non-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cash adjustments primarily relate to change in fair value of convertible promissory notes of $18.9 million, change in fair value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liability-classified warrants of $1.6 million, depreciation, amortization and impairment of $2.4 million, 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of $1.9 million and amortization of debt discounts of $1.2 million partially offset by forgiveness of one of our PPP loans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$2.6 million.</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 ended June 30, 2023, net cash used in investing activities increased to $7.9 million, as compared to $2.2 million for the year ended June 30, 2022.</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year ended June 30, 2023, cash used in investing activities primarily consisted of cash outflows for capitalized software of $5.6 million and a cash outflow for an investment in non-affiliate of $2.0 million.</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For the fiscal year ended June 30, 2022, cash used in investing activities was $2.2 million which primarily consisted of cash outflows for capitalized software of $1.8 million and cash paid for the purchase of property and equipment of $0.3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year ended June 30, 2023, net cash provided by financing activities increased to $74.6 million, as compared to $15.6 million cash provided by financing activities for the year ended June 30, 2022.</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year ended June 30, 2023, cash provided by financing activities was $74.6 million, which consisted primarily of proceeds from the issuance of term loans of $60.3 million, contributions from the Merger and PIPE financing, net of transaction costs, of $49.8 million, and proceeds from the issuance of common stock of $9.8 million, partially offset by repayment of term loans of $33.0 million, penalties and other costs on extinguishment of debt of $6.2 million, payment of deferred transactions costs of $1.9 million, and principal payments of financing obligations of $4.6 million.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June 30, 2022, cash provided by financing activities was $15.6 million, which consisted primarily of proceeds from term loans of $12.6 million, from the issuance of convertible promissory notes of $8.2 million, proceeds from the exercise of common stock options of $0.1 million, partially offset by principal payments of financing obligations of $2.4 million, payment of debt issuance costs of $1.3 million, and payment of deferred transactions costs of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and June 30, 2022, the Company’s financing obligations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27, 2021, we entered into an investment arrangement to enable an outside investor to invest in our future receivables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investor to mutually agree to roll forward our borrowings as they come due.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investor, we may continue rolling forward the receivable financing facility.</w:t>
      </w:r>
    </w:p>
    <w:p>
      <w:pPr>
        <w:spacing w:after="0" w:line="187"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On April 14, 2023, we entered into an amended and restated investment arrangement to amend the periodic payment amounts under the investment agreement for which we evaluated under ASC 470-60, “Troubled Debt Restructurings by Debtors.” Due to indicators of financial difficulty for us at this date, and the lenders granting concession resulting in the effective borrowing rate under</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8" w:name="page49"/>
    <w:bookmarkEnd w:id="48"/>
    <w:p>
      <w:pPr>
        <w:ind w:right="20"/>
        <w:spacing w:after="0" w:line="257" w:lineRule="auto"/>
        <w:rPr>
          <w:sz w:val="20"/>
          <w:szCs w:val="20"/>
          <w:color w:val="auto"/>
        </w:rPr>
      </w:pPr>
      <w:r>
        <w:rPr>
          <w:rFonts w:ascii="Arial" w:cs="Arial" w:eastAsia="Arial" w:hAnsi="Arial"/>
          <w:sz w:val="18"/>
          <w:szCs w:val="18"/>
          <w:color w:val="auto"/>
        </w:rPr>
        <w:t>the amended agreement being less than the effective borrowing rate under the previous agreement. the amendments were accounted for as a troubled debt restructuring. We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20, 2023, we entered into a second consolidated and amended and restated investment arrangement with the aforementioned investor to amend the periodic payment amounts to be made under the investment arrangement. The amended arrangement calls for monthly payments of principal and interest totaling an aggregate of $1.5 million and $3.0 million in fiscal years 2024 and 2025, respectively. This arrangement amended the amended and restated investment arrangement we entered into on April 15, 2023, which amended the payment due dates and periodic payment amounts to be made under the investment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Beginning in 2019, we entered into equipment financing facilities with third-party financing partners to finance certain tablet purchases. The arrangements generally have terms ranging from 3 to 5 years and interest rates ranging from 8% to 14%. We then lease the tablets to our customer through operating leases with 4-year terms.</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fiscal year 2023, due to our liquidity position and other commitments, we postponed certain payments on certain equipment financing facilities, which resulted in us defaulting on the arrangements. We have remedied the matter via the following repayment agreements. On November 4, 2022, we executed an amendment on one of our equipment financing facilities to defer non-payments, which increased the monthly payments due for the remaining term of the arrangement. On November 21, 2022, we executed an amendment with one of our third-party financing partners, under which we repaid one of the arrangements by making a cash disbursement of $0.4 million, of which extinguished all obligations and resulted in $0.3 million being recorded as a loss on extinguishment of debt and financial obligations on the consolidated statement of operations and comprehensive loss. As a result of the amendment executed on November 4, 2022 and early termination executed on November 21, 2022, the default on payments due as described above has been waived and we are in compliance as of June 30, 2023. The balance is included in financing obligations, current as of June 30, 2023.</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fiscal year 2022, we postponed the required monthly payments from April 2022 through September 2022 on certain equipment financing facilities. Non-payment under the arrangements permits the financing partner to declare the amounts owed under the arrangement due and payable and exercise their right to secure the tablets under lease. As such, we reclassified all of our obligations under these arrangements that are in default as short-term within financing obligations, current as of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and June 30, 2022, our outstanding debt, net of debt discounts,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(115,106)</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Arial" w:cs="Arial" w:eastAsia="Arial" w:hAnsi="Arial"/>
                <w:sz w:val="18"/>
                <w:szCs w:val="18"/>
                <w:color w:val="auto"/>
              </w:rPr>
              <w:t>Total debt, noncurrent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term loans having an aggregate original principal amount of $55.0 million (the “Initial Term Loans” and which the Lenders have agreed to extend by $3.0 million (the “Third Amendment Term Loans” and together with the Initial Term Loans, the “Term Loans”) .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for further details on</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the aforementioned warrants. We also pay a debt monitoring fee under the Credit Agreement of $0.1 million per quarter which is recorded as interest expense in the consolidated statement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2023, we entered into a First Amendment to the Credit Agreement (the “First Amendment”) pursuant to which certain covenants of the Credit Agreement were amended. In connection with the First Amendment, we entered into the Amended and Restated Fee Letter (the “Fee Letter”) with Metropolitan, pursuant to which we paid an amendment fee equal to $0.2 million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We recorded an additional debt discount of $0.8 million which represents the amendment fee plus the fair value of the warrants and recorded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Amendment and Related Private Placement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22, 2023, we entered into a Second Amendment to the Credit Agreement (the “Second Amendment”) pursuant to which (1) certain covenants of the Credit Agreement were amended and (2) the Lenders agreed to the exchange of an aggregate of $1.0 million of accrued and previously capitalized interest for warrants to purchase 500,000 shares of Common Stock at an exercise price of $0.01 per share (the “Second Amendment Conversion Warrants”). The effectiveness of the Second Amendment was conditioned, in part, upon evidence of a gross amount of additional equity investments of $9.0 million, to be used for working capital purposes, of which we received $9.5 million upon closing of the Private Placement (see Note 9 to the consolidated financial statements). The warrants are classified as liabilities. See Note 10 for further details.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effectiveness of the Second Amendment and in consideration for Metropolitan’s entering into the Second Amendment, we entered into the Second Amended and Restated Fee Letter (the “Second Fee Letter”) with Metropolitan, pursuant to which we issued warrants to purchase 2,000,000 shares of Common Stock, with an exercise price of $0.01 per share (the “Second Amendment Fee Warrants” and, together with the Second Amendment Conversion Warrants, the “Second Amendment Warrants”), to the Lenders as an amendment fee (See Note 10).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Second Amendment Warrants may be exercised for cash or a net exercise at any time on or before the date that is the five-year anniversary of the date of the issuance of the Second Amendment Warrants; </w:t>
      </w:r>
      <w:r>
        <w:rPr>
          <w:rFonts w:ascii="Arial" w:cs="Arial" w:eastAsia="Arial" w:hAnsi="Arial"/>
          <w:sz w:val="18"/>
          <w:szCs w:val="18"/>
          <w:i w:val="1"/>
          <w:iCs w:val="1"/>
          <w:color w:val="auto"/>
        </w:rPr>
        <w:t>provided</w:t>
      </w:r>
      <w:r>
        <w:rPr>
          <w:rFonts w:ascii="Arial" w:cs="Arial" w:eastAsia="Arial" w:hAnsi="Arial"/>
          <w:sz w:val="18"/>
          <w:szCs w:val="18"/>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issuance of the Second Amendment Warrants, we entered into a customary registration right for the shares of Common Stock issuable upon exercise of the Second Amendment Warrants noted above which was declared effective by the SEC on July 6,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Amendment and Related Private Placement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October 10, 2023, we entered into a Third Amendment to the Credit Agreement (the “Third Amendment”) pursuant to which (1) lenders agreed to extend the Third Amendment Term Loans, (2) certain covenants of the Credit Agreement were amended or removed (including the removal of a covenant in respect of a maximum net leverage ratio of 1.20 to 1.00), (3) the Lenders agreed to waive existing defaults under the Credit Facility, and (4) the Lenders agreed to the exchange of an aggregate of $6.0 million of accrued and previously capitalized interest for warrants to purchase 3,000,000 shares of Common Stock at an exercise price of $0.01 per share (the “Third Amendment Conversion Warrants”). The effectiveness of the Third Amendment is conditioned, in part, upon (1) evidence of a gross amount of additional equity investments of $3.0 million, to be used for working capital purposes (which the Company expects to receive upon the closing of the private placement with an affiliate of our existing shareholder, Cleveland Avenue, described below), (2) the Company hiring a chief financial officer reasonably satisfactory to the Agent, which the Company and the Agent have agreed will be satisfied with the appointment of Mr. Nathan Cook, consultant, as Interim Chief Financial Officer following the filing of this Form 10-K,</w:t>
      </w:r>
    </w:p>
    <w:p>
      <w:pPr>
        <w:spacing w:after="0" w:line="5" w:lineRule="exact"/>
        <w:rPr>
          <w:sz w:val="20"/>
          <w:szCs w:val="20"/>
          <w:color w:val="auto"/>
        </w:rPr>
      </w:pPr>
    </w:p>
    <w:p>
      <w:pPr>
        <w:ind w:right="20" w:firstLine="8"/>
        <w:spacing w:after="0" w:line="260" w:lineRule="auto"/>
        <w:tabs>
          <w:tab w:leader="none" w:pos="2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no later than October 16, 2023, evidence that we have engaged the services of an investment bank reasonably acceptable to Metropolitan on terms reasonably acceptable to Metropolitan in connection with upcoming capital raises.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Concurrent with the Third Amendment, we entered into a Securities Purchase Agreement (“Purchase Agreement”) with Presto CA LLC, an affiliate of Cleveland Avenue, pursuant to which we agreed to sell an aggregate of 1,500,000 newly issued shares of common stock at a purchase price of $2.00 per share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us to issue additional shares of</w:t>
      </w:r>
    </w:p>
    <w:p>
      <w:pPr>
        <w:sectPr>
          <w:pgSz w:w="11900" w:h="16838" w:orient="portrait"/>
          <w:cols w:equalWidth="0" w:num="1">
            <w:col w:w="9920"/>
          </w:cols>
          <w:pgMar w:left="980" w:top="733"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common stock to the purchaser, upon the terms and subject to the conditions contained in the Purchase Agreement. The transaction is expected to close on or around October 16, 2023.</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effectiveness of the Third Amendment and in consideration for Metropolitan’s entering into the Third Amendment, we entered into the Third Amended and Restated Fee Letter (the “Third Fee Letter”) with Metropolitan, pursuant to which we issued warrants to purchase 25,000 shares of Common Stock, with an exercise price of $0.01 per share (the “Third Amendment Fee Warrants” and, together with the Third Amendment Conversion Warrants, the “Third Amendment Warrants”), to the Lenders as an amendment fee.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Third Amendment Warrants may be exercised for cash or a net exercise at any time on or before the date that is the five year anniversary of the date of the issuance of the Second Amendment Warrants; </w:t>
      </w:r>
      <w:r>
        <w:rPr>
          <w:rFonts w:ascii="Arial" w:cs="Arial" w:eastAsia="Arial" w:hAnsi="Arial"/>
          <w:sz w:val="18"/>
          <w:szCs w:val="18"/>
          <w:i w:val="1"/>
          <w:iCs w:val="1"/>
          <w:color w:val="auto"/>
        </w:rPr>
        <w:t>provided</w:t>
      </w:r>
      <w:r>
        <w:rPr>
          <w:rFonts w:ascii="Arial" w:cs="Arial" w:eastAsia="Arial" w:hAnsi="Arial"/>
          <w:sz w:val="18"/>
          <w:szCs w:val="18"/>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 and Interest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Term Loans were borrowed in full at closing. Amounts outstanding under the Credit Agreement will incur interest at the rate of 15% per annum. The amendments to the Credit Agreement provide that, with respect to interest accruing for the interest periods ending September 30,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June 30, 2023, we recorded PIK interest expense amounts of $5.4 million, which have been reflected as an increase to the outstanding debt balance. Further, during the year ended June 30, 2023, we recorded interest expense associated with the amortization of debt discounts in the amount $2.2 million. Accordingly at June 30, 2023, the term loans, noncurrent balance of $50.6 million reflects $55.0 million of principal and $5.4 million PIK interest accrual, as reduced by unamortized debt issuance costs of $9.8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Prepayment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Loans may be prepaid by us; however, any voluntary or mandatory prepayment made prior to March 21, 2024, the 18-month anniversary of the initial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Covenants and Waivers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must comply with certain financial covenants as set forth in the Credit Agreement,</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Minimum Unrestricted Cash</w:t>
      </w:r>
      <w:r>
        <w:rPr>
          <w:rFonts w:ascii="Arial" w:cs="Arial" w:eastAsia="Arial" w:hAnsi="Arial"/>
          <w:sz w:val="18"/>
          <w:szCs w:val="18"/>
          <w:color w:val="auto"/>
        </w:rPr>
        <w:t>. We must maintain $10.0 million in separate and blocked cash collateral account.</w:t>
      </w:r>
    </w:p>
    <w:p>
      <w:pPr>
        <w:spacing w:after="0" w:line="225"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Net Adjusted Decrease in Operating Cash. </w:t>
      </w:r>
      <w:r>
        <w:rPr>
          <w:rFonts w:ascii="Arial" w:cs="Arial" w:eastAsia="Arial" w:hAnsi="Arial"/>
          <w:sz w:val="18"/>
          <w:szCs w:val="18"/>
          <w:color w:val="auto"/>
        </w:rPr>
        <w:t>Subject to certain excluded payments, the decrease in our operating cash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exceed an agreed amount for each rolling three-month period, subject to certain customary operating fluctuations and adjustments. The amount is set at $10.7 million for October 2023, $11.4 million for November 2023 and $10.3 million for December 2023, and declines after that date.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Without an injection of further capital, we anticipate being unable to comply with the minimum unrestricted cash covenant in approximately mid-December 2023.</w:t>
      </w:r>
    </w:p>
    <w:p>
      <w:pPr>
        <w:spacing w:after="0" w:line="17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have also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51" w:name="page52"/>
    <w:bookmarkEnd w:id="51"/>
    <w:p>
      <w:pPr>
        <w:ind w:right="20" w:firstLine="648"/>
        <w:spacing w:after="0" w:line="293" w:lineRule="auto"/>
        <w:rPr>
          <w:sz w:val="20"/>
          <w:szCs w:val="20"/>
          <w:color w:val="auto"/>
        </w:rPr>
      </w:pPr>
      <w:r>
        <w:rPr>
          <w:rFonts w:ascii="Arial" w:cs="Arial" w:eastAsia="Arial" w:hAnsi="Arial"/>
          <w:sz w:val="16"/>
          <w:szCs w:val="16"/>
          <w:color w:val="auto"/>
        </w:rPr>
        <w:t>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spacing w:after="0" w:line="16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of March 31, 2023, we obtained a waiver in the First Amendment noted above, of the minimum cash covenant for February 28, 2023 and March 31, 2023, the historic net leverage ratio for the period from February 28, 2023 through May 31, 2023 and any default occurring from the Chief Executive Officer separation from the Board of Directors. Upon the effectiveness of the Third Amendment, we will obtain waivers of the historic net leverage ratio for the period from May 31, 2023 through June 30, 2023, our failure to make timely payments on July 1, 2023 and various reporting obligations that were not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consolidated statement of operations and comprehensive loss for the year ended June 30, 2023.</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year ended June 30, 2022 we issued the July 2021 notes for $0.5 million of convertible promissory notes and issued the February 2022 notes for $25.7 million and repaid the June 2021 notes for $20.0 million with the February 2022 notes. During the year ended June 30, 2022, we recorded a gain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21, 2022, in connection with the entry into the Credit Agreement,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consolidated statement of operations and comprehensive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March 11, 2022, we entered into a loan agreement (the “Lago Loan”) with Lago Innovation Fund I &amp; II, LLC, which provided us with $12.6 million, bears interest at the greater of 12% plus the greater of 1% or 30-day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depending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Part II, Item 8 of this Annual Report on Form 10-K for further details.</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2" w:name="page53"/>
    <w:bookmarkEnd w:id="52"/>
    <w:p>
      <w:pPr>
        <w:ind w:right="80" w:firstLine="648"/>
        <w:spacing w:after="0" w:line="301" w:lineRule="auto"/>
        <w:rPr>
          <w:sz w:val="20"/>
          <w:szCs w:val="20"/>
          <w:color w:val="auto"/>
        </w:rPr>
      </w:pPr>
      <w:r>
        <w:rPr>
          <w:rFonts w:ascii="Arial" w:cs="Arial" w:eastAsia="Arial" w:hAnsi="Arial"/>
          <w:sz w:val="16"/>
          <w:szCs w:val="16"/>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consolidated statement of operations and comprehensive loss.</w:t>
      </w:r>
    </w:p>
    <w:p>
      <w:pPr>
        <w:spacing w:after="0" w:line="15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entry into the Credit Agreement (defined above) on September 21, 2022, we repaid all outstanding loans by making a cash disbursement of $22.4 million, of which $17.8 million was repayment of principal and $0.1 million was payment of payable in-kind interest. Further, $4.4 million of cash was paid related to prepayment and other penalties.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178"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During the year ended June 30, 2022 we received forgiveness for the first PPP loan of $2.6 million and recognized as other income, net. In July 2022, we were granted forgiveness of the second loan in an amount of approximately $2.0 million, which was recognized as other income, net on the consolidated statement of operations and comprehensive loss for the year ended June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June 30, 2023 and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year ended June 30, 2023, as part of our private placement that closed in May 2023, we received $3.0 million of proceeds in exchange for newly issued common stock of Presto from Cleveland Avenue, LLC, an entity which holds a greater than 10% interest in Presto, and for which an officer of Cleveland Avenue, LLC, Keith Kravcik, is a member of the Company’s board of directors, and therefore is a related party.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certain convertible promissory notes and embedded warrants held by entities in which Krishna Gupta and Ilya Golubovich, each of which are members of our board of directors, are officers and in which they have a financial interest in the entity (“Affiliated Entities”). As of June 30, 2022, $9.6 million of our convertible promissory notes and embedded warrants balance was due to the Affiliated Entities, all of which was due within 12 months. The convertible notes and embedded warrants converted into shares of common stock during the year ended June 30, 2023. Refer to Note 7 for further details of Part II, Item 8 of this Annual Report on Form 10-K for further details.</w:t>
      </w:r>
    </w:p>
    <w:p>
      <w:pPr>
        <w:spacing w:after="0" w:line="19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During the year ended June 30, 2023, we received an equity investment of $1.0 million from Schechter Private Capital Fund I, LLC – Series V ("Schechter") which held a significant portion of our convertible debt on the date of the investment in exchange for 133,333 shares of our common stock. Refer to Note 9 of Part II, Item 8 of this Annual Report on Form 10-K for further details.</w:t>
      </w:r>
    </w:p>
    <w:p>
      <w:pPr>
        <w:spacing w:after="0" w:line="1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during the year ended June 30, 2023 we granted 1,200,000 of RSUs to Krishna Gupta director and former interim CEO of Presto with a grant date fair value of $4.56 per restricted stock unit. See Note 11 of Part II, Item 8 of this Annual Report on Form 10-K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the fair value of certain financial instruments which includes warrant liabilities. Other estimates and judgments are related to revenue recognition, collectability of accounts receivable, the useful lives of property and equipment and intangible assets, inventory valuation, valuation of deferred tax assets and liabilities, valuation assumptions utilized in calculating the estimated value of stock-based compensation, valuation of warrants, earnout and Unvested Sponsor Shares arrangements, valuation of investments in non-affiliates, and impairment of long-lived assets. Actual results may</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3" w:name="page54"/>
    <w:bookmarkEnd w:id="53"/>
    <w:p>
      <w:pPr>
        <w:ind w:right="720"/>
        <w:spacing w:after="0" w:line="277" w:lineRule="auto"/>
        <w:rPr>
          <w:sz w:val="20"/>
          <w:szCs w:val="20"/>
          <w:color w:val="auto"/>
        </w:rPr>
      </w:pPr>
      <w:r>
        <w:rPr>
          <w:rFonts w:ascii="Arial" w:cs="Arial" w:eastAsia="Arial" w:hAnsi="Arial"/>
          <w:sz w:val="18"/>
          <w:szCs w:val="18"/>
          <w:color w:val="auto"/>
        </w:rPr>
        <w:t>differ from these estimates. To the extent that there are differences between our estimates and actual results, our future financial statement presentation, financial condition, results of operations, and cash flows will be affected.</w:t>
      </w:r>
    </w:p>
    <w:p>
      <w:pPr>
        <w:spacing w:after="0" w:line="170"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years ended June 30,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5" w:lineRule="exact"/>
        <w:rPr>
          <w:sz w:val="20"/>
          <w:szCs w:val="20"/>
          <w:color w:val="auto"/>
        </w:rPr>
      </w:pPr>
    </w:p>
    <w:p>
      <w:pPr>
        <w:ind w:left="980" w:right="40" w:hanging="324"/>
        <w:spacing w:after="0" w:line="25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In connection with our Presto Touch solution,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94" w:lineRule="exact"/>
        <w:rPr>
          <w:rFonts w:ascii="Arial" w:cs="Arial" w:eastAsia="Arial" w:hAnsi="Arial"/>
          <w:sz w:val="18"/>
          <w:szCs w:val="18"/>
          <w:color w:val="auto"/>
        </w:rPr>
      </w:pPr>
    </w:p>
    <w:p>
      <w:pPr>
        <w:ind w:left="980" w:right="80" w:hanging="324"/>
        <w:spacing w:after="0" w:line="271"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8" w:lineRule="exact"/>
        <w:rPr>
          <w:rFonts w:ascii="Arial" w:cs="Arial" w:eastAsia="Arial" w:hAnsi="Arial"/>
          <w:sz w:val="17"/>
          <w:szCs w:val="17"/>
          <w:color w:val="auto"/>
        </w:rPr>
      </w:pPr>
    </w:p>
    <w:p>
      <w:pPr>
        <w:ind w:left="980" w:right="120"/>
        <w:spacing w:after="0" w:line="259" w:lineRule="auto"/>
        <w:rPr>
          <w:rFonts w:ascii="Arial" w:cs="Arial" w:eastAsia="Arial" w:hAnsi="Arial"/>
          <w:sz w:val="17"/>
          <w:szCs w:val="17"/>
          <w:color w:val="auto"/>
        </w:rPr>
      </w:pPr>
      <w:r>
        <w:rPr>
          <w:rFonts w:ascii="Arial" w:cs="Arial" w:eastAsia="Arial" w:hAnsi="Arial"/>
          <w:sz w:val="18"/>
          <w:szCs w:val="18"/>
          <w:color w:val="auto"/>
        </w:rPr>
        <w:t>We identified the following performance obligations: for the MSAs and license agreements, 1) sales or leases of hardware, SaaS and maintenance are one combined performance obligation for the Presto Touch product, and 2) providing premium content, or gaming, is a single performance obligation for the gaming agreements. Professional services were insignificant during the years ended June 30, 2023 and 2022.</w:t>
      </w:r>
    </w:p>
    <w:p>
      <w:pPr>
        <w:spacing w:after="0" w:line="186" w:lineRule="exact"/>
        <w:rPr>
          <w:rFonts w:ascii="Arial" w:cs="Arial" w:eastAsia="Arial" w:hAnsi="Arial"/>
          <w:sz w:val="17"/>
          <w:szCs w:val="17"/>
          <w:color w:val="auto"/>
        </w:rPr>
      </w:pPr>
    </w:p>
    <w:p>
      <w:pPr>
        <w:ind w:left="980" w:right="120"/>
        <w:spacing w:after="0" w:line="311" w:lineRule="auto"/>
        <w:rPr>
          <w:rFonts w:ascii="Arial" w:cs="Arial" w:eastAsia="Arial" w:hAnsi="Arial"/>
          <w:sz w:val="17"/>
          <w:szCs w:val="17"/>
          <w:color w:val="auto"/>
        </w:rPr>
      </w:pPr>
      <w:r>
        <w:rPr>
          <w:rFonts w:ascii="Arial" w:cs="Arial" w:eastAsia="Arial" w:hAnsi="Arial"/>
          <w:sz w:val="16"/>
          <w:szCs w:val="16"/>
          <w:color w:val="auto"/>
        </w:rPr>
        <w:t>Our Presto Touch solution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48" w:lineRule="exact"/>
        <w:rPr>
          <w:rFonts w:ascii="Arial" w:cs="Arial" w:eastAsia="Arial" w:hAnsi="Arial"/>
          <w:sz w:val="17"/>
          <w:szCs w:val="17"/>
          <w:color w:val="auto"/>
        </w:rPr>
      </w:pPr>
    </w:p>
    <w:p>
      <w:pPr>
        <w:ind w:left="980" w:right="60"/>
        <w:spacing w:after="0" w:line="272" w:lineRule="auto"/>
        <w:rPr>
          <w:rFonts w:ascii="Arial" w:cs="Arial" w:eastAsia="Arial" w:hAnsi="Arial"/>
          <w:sz w:val="17"/>
          <w:szCs w:val="17"/>
          <w:color w:val="auto"/>
        </w:rPr>
      </w:pPr>
      <w:r>
        <w:rPr>
          <w:rFonts w:ascii="Arial" w:cs="Arial" w:eastAsia="Arial" w:hAnsi="Arial"/>
          <w:sz w:val="17"/>
          <w:szCs w:val="17"/>
          <w:color w:val="auto"/>
        </w:rPr>
        <w:t>When we enter into gaming agreements, our Presto Touch product includes the capability of providing entertainment services,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guest.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77" w:lineRule="exact"/>
        <w:rPr>
          <w:rFonts w:ascii="Arial" w:cs="Arial" w:eastAsia="Arial" w:hAnsi="Arial"/>
          <w:sz w:val="17"/>
          <w:szCs w:val="17"/>
          <w:color w:val="auto"/>
        </w:rPr>
      </w:pPr>
    </w:p>
    <w:p>
      <w:pPr>
        <w:ind w:left="980" w:right="40" w:hanging="324"/>
        <w:spacing w:after="0" w:line="30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 a price per store location or number of Presto Touch solutions provided. The transaction price is generally a fixed fee, with a portion due upfront upon signing of the contract and the remainder due upon installation of the Presto Touch solutions. The transaction price for transaction revenue is a fixed fee</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4" w:name="page55"/>
    <w:bookmarkEnd w:id="54"/>
    <w:p>
      <w:pPr>
        <w:ind w:left="980" w:right="260"/>
        <w:spacing w:after="0" w:line="342" w:lineRule="auto"/>
        <w:rPr>
          <w:sz w:val="20"/>
          <w:szCs w:val="20"/>
          <w:color w:val="auto"/>
        </w:rPr>
      </w:pPr>
      <w:r>
        <w:rPr>
          <w:rFonts w:ascii="Arial" w:cs="Arial" w:eastAsia="Arial" w:hAnsi="Arial"/>
          <w:sz w:val="16"/>
          <w:szCs w:val="16"/>
          <w:color w:val="auto"/>
        </w:rPr>
        <w:t>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sz w:val="20"/>
          <w:szCs w:val="20"/>
          <w:color w:val="auto"/>
        </w:rPr>
      </w:pPr>
    </w:p>
    <w:p>
      <w:pPr>
        <w:ind w:left="980" w:right="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23" w:lineRule="exact"/>
        <w:rPr>
          <w:rFonts w:ascii="Arial" w:cs="Arial" w:eastAsia="Arial" w:hAnsi="Arial"/>
          <w:sz w:val="16"/>
          <w:szCs w:val="16"/>
          <w:color w:val="auto"/>
        </w:rPr>
      </w:pPr>
    </w:p>
    <w:p>
      <w:pPr>
        <w:ind w:left="980" w:right="6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 — As the customer simultaneously receives and consumes the benefits provided by us through continuous access to our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the year ended June 30, 2023. The fair value of our common stock underlying the awards granted in fiscal year 2022 and up to the close of the Merger had been determined by the Board of Directors (the “Board”) of the Company with input from management and third-party valuation specialists, as there was no public market for our common stock. The Board determined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 other factors.</w:t>
      </w:r>
    </w:p>
    <w:p>
      <w:pPr>
        <w:spacing w:after="0" w:line="16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The earnout shares are equity classified since they do not meet the liability classification criteria outlined in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are under ASC 815-40 are both (i) indexed to the Company’s own shares and (ii)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117"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57"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62"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spacing w:after="0" w:line="14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5" w:name="page56"/>
    <w:bookmarkEnd w:id="55"/>
    <w:p>
      <w:pPr>
        <w:ind w:right="140"/>
        <w:spacing w:after="0" w:line="259" w:lineRule="auto"/>
        <w:rPr>
          <w:sz w:val="20"/>
          <w:szCs w:val="20"/>
          <w:color w:val="auto"/>
        </w:rPr>
      </w:pPr>
      <w:r>
        <w:rPr>
          <w:rFonts w:ascii="Arial" w:cs="Arial" w:eastAsia="Arial" w:hAnsi="Arial"/>
          <w:sz w:val="18"/>
          <w:szCs w:val="18"/>
          <w:color w:val="auto"/>
        </w:rPr>
        <w:t>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the change in fair value of warrants and convertible promissory notes in the consolidated statement of operations and comprehensive loss.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fair value of the Unvested Sponsor Share liability was determined using a Monte Carlo valuation model, which requires estimates including the expected volatility of our common stock. The expected annual volatility of our common stock was estimated to be 76.2% and 70.4% as of the Merger date and June 30, 2023, respectively, based on the historical volatility of comparable publicly traded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w:t>
      </w:r>
      <w:r>
        <w:rPr>
          <w:rFonts w:ascii="Arial" w:cs="Arial" w:eastAsia="Arial" w:hAnsi="Arial"/>
          <w:sz w:val="17"/>
          <w:szCs w:val="17"/>
          <w:color w:val="auto"/>
        </w:rPr>
        <w:t xml:space="preserve"> </w:t>
      </w:r>
      <w:r>
        <w:rPr>
          <w:rFonts w:ascii="Arial" w:cs="Arial" w:eastAsia="Arial" w:hAnsi="Arial"/>
          <w:sz w:val="17"/>
          <w:szCs w:val="17"/>
          <w:i w:val="1"/>
          <w:iCs w:val="1"/>
          <w:color w:val="auto"/>
        </w:rPr>
        <w:t>Adopted</w:t>
      </w:r>
      <w:r>
        <w:rPr>
          <w:rFonts w:ascii="Arial" w:cs="Arial" w:eastAsia="Arial" w:hAnsi="Arial"/>
          <w:sz w:val="17"/>
          <w:szCs w:val="17"/>
          <w:color w:val="auto"/>
        </w:rPr>
        <w:t>” in Note 1 of Part II, Item 8 of this Annual Report on Form 10-K for recently adopted accounting pronouncements and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pronouncements not yet adopted as of the filing date of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cash equivalents and restricted cash.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are exposed to credit risk on accounts receivable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733" w:right="10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6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2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2"/>
                <w:szCs w:val="12"/>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Customer B</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25 %</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15 %</w:t>
            </w:r>
          </w:p>
        </w:tc>
      </w:tr>
      <w:tr>
        <w:trPr>
          <w:trHeight w:val="224"/>
        </w:trPr>
        <w:tc>
          <w:tcPr>
            <w:tcW w:w="7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accounts receivable as of June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6"/>
              </w:rPr>
              <w:t>As of June 30,</w:t>
            </w:r>
          </w:p>
        </w:tc>
        <w:tc>
          <w:tcPr>
            <w:tcW w:w="1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6"/>
              </w:rPr>
              <w:t>As of June 30,</w:t>
            </w:r>
          </w:p>
        </w:tc>
      </w:tr>
      <w:tr>
        <w:trPr>
          <w:trHeight w:val="171"/>
        </w:trPr>
        <w:tc>
          <w:tcPr>
            <w:tcW w:w="7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Customer B</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4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are exposed to vendor concentration risk as we purchase our next generation version of Presto Touch tablets and other equipment from one supplier. Our operating results could be adversely affected in the event that the vendor increases their prices or incurs disruptions in its supply of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Financial instruments that potentially expose us to concentrations of credit risk consist principally of cash and cash equivalents on deposit with financial institutions, the balances of which frequently exceed federally insured limits. If any of the financial institutions with whom we do business were to be placed into receivership, we may be unable to access the cash we have on deposit with such institutions. If we are unable to access our cash, cash equivalents, or restricted cash, as needed, our financial position and ability to operate our business could be adversely affected. The Company has $24.6 million in deposits in excess of the FDIC limits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the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80" w:type="dxa"/>
            <w:vAlign w:val="bottom"/>
            <w:tcBorders>
              <w:top w:val="single" w:sz="8" w:color="CDD4E9"/>
            </w:tcBorders>
            <w:gridSpan w:val="7"/>
            <w:shd w:val="clear" w:color="auto" w:fill="CCEEFF"/>
          </w:tcPr>
          <w:p>
            <w:pPr>
              <w:spacing w:after="0" w:line="169" w:lineRule="exact"/>
              <w:rPr>
                <w:sz w:val="20"/>
                <w:szCs w:val="20"/>
                <w:color w:val="auto"/>
              </w:rPr>
            </w:pPr>
            <w:r>
              <w:rPr>
                <w:rFonts w:ascii="Arial" w:cs="Arial" w:eastAsia="Arial" w:hAnsi="Arial"/>
                <w:sz w:val="18"/>
                <w:szCs w:val="18"/>
                <w:color w:val="0000EE"/>
                <w:w w:val="98"/>
              </w:rPr>
              <w:t xml:space="preserve">Report of Independent Registered Public Accounting Firm </w:t>
            </w:r>
            <w:r>
              <w:rPr>
                <w:rFonts w:ascii="Arial" w:cs="Arial" w:eastAsia="Arial" w:hAnsi="Arial"/>
                <w:sz w:val="18"/>
                <w:szCs w:val="18"/>
                <w:color w:val="000000"/>
                <w:w w:val="98"/>
              </w:rPr>
              <w:t>(</w:t>
            </w:r>
            <w:r>
              <w:rPr>
                <w:rFonts w:ascii="Arial" w:cs="Arial" w:eastAsia="Arial" w:hAnsi="Arial"/>
                <w:sz w:val="16"/>
                <w:szCs w:val="16"/>
                <w:color w:val="000000"/>
                <w:w w:val="98"/>
              </w:rPr>
              <w:t>Moss Adams LLP, San Francisco , California, PCAOB ID: 659</w:t>
            </w:r>
            <w:r>
              <w:rPr>
                <w:rFonts w:ascii="Arial" w:cs="Arial" w:eastAsia="Arial" w:hAnsi="Arial"/>
                <w:sz w:val="18"/>
                <w:szCs w:val="18"/>
                <w:color w:val="000000"/>
                <w:w w:val="98"/>
              </w:rPr>
              <w:t>)</w:t>
            </w:r>
          </w:p>
        </w:tc>
        <w:tc>
          <w:tcPr>
            <w:tcW w:w="840" w:type="dxa"/>
            <w:vAlign w:val="bottom"/>
            <w:tcBorders>
              <w:top w:val="single" w:sz="8" w:color="CDD4E9"/>
            </w:tcBorders>
            <w:shd w:val="clear" w:color="auto" w:fill="CCEEFF"/>
          </w:tcPr>
          <w:p>
            <w:pPr>
              <w:jc w:val="right"/>
              <w:ind w:right="70"/>
              <w:spacing w:after="0" w:line="169" w:lineRule="exact"/>
              <w:rPr>
                <w:sz w:val="20"/>
                <w:szCs w:val="20"/>
                <w:color w:val="auto"/>
              </w:rPr>
            </w:pPr>
            <w:r>
              <w:rPr>
                <w:rFonts w:ascii="Arial" w:cs="Arial" w:eastAsia="Arial" w:hAnsi="Arial"/>
                <w:sz w:val="18"/>
                <w:szCs w:val="18"/>
                <w:color w:val="auto"/>
              </w:rPr>
              <w:t>2</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CCEEFF"/>
            </w:tcBorders>
            <w:shd w:val="clear" w:color="auto" w:fill="CDD4E9"/>
          </w:tcPr>
          <w:p>
            <w:pPr>
              <w:spacing w:after="0"/>
              <w:rPr>
                <w:sz w:val="18"/>
                <w:szCs w:val="18"/>
                <w:color w:val="auto"/>
              </w:rPr>
            </w:pPr>
          </w:p>
        </w:tc>
        <w:tc>
          <w:tcPr>
            <w:tcW w:w="1860" w:type="dxa"/>
            <w:vAlign w:val="bottom"/>
            <w:tcBorders>
              <w:top w:val="single" w:sz="8" w:color="CCEEFF"/>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 as of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CCEEFF"/>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 and Comprehensive Loss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4</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0000EE"/>
            </w:tcBorders>
            <w:shd w:val="clear" w:color="auto" w:fill="CDD4E9"/>
          </w:tcPr>
          <w:p>
            <w:pPr>
              <w:spacing w:after="0"/>
              <w:rPr>
                <w:sz w:val="18"/>
                <w:szCs w:val="18"/>
                <w:color w:val="auto"/>
              </w:rPr>
            </w:pPr>
          </w:p>
        </w:tc>
        <w:tc>
          <w:tcPr>
            <w:tcW w:w="1120" w:type="dxa"/>
            <w:vAlign w:val="bottom"/>
            <w:tcBorders>
              <w:top w:val="single" w:sz="8" w:color="0000EE"/>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Stockholders’ Deficit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0000EE"/>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6</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75"/>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7</w:t>
            </w:r>
          </w:p>
        </w:tc>
      </w:tr>
      <w:tr>
        <w:trPr>
          <w:trHeight w:val="21"/>
        </w:trPr>
        <w:tc>
          <w:tcPr>
            <w:tcW w:w="3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-1370965</wp:posOffset>
            </wp:positionV>
            <wp:extent cx="629221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-1096645</wp:posOffset>
            </wp:positionV>
            <wp:extent cx="629221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-822325</wp:posOffset>
            </wp:positionV>
            <wp:extent cx="629221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-548005</wp:posOffset>
            </wp:positionV>
            <wp:extent cx="629221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-273685</wp:posOffset>
            </wp:positionV>
            <wp:extent cx="629221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45"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Presto Automation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w:t>
      </w:r>
      <w:r>
        <w:rPr>
          <w:rFonts w:ascii="Arial" w:cs="Arial" w:eastAsia="Arial" w:hAnsi="Arial"/>
          <w:sz w:val="18"/>
          <w:szCs w:val="18"/>
          <w:i w:val="1"/>
          <w:iCs w:val="1"/>
          <w:color w:val="auto"/>
        </w:rPr>
        <w:t>s</w:t>
      </w:r>
      <w:r>
        <w:rPr>
          <w:rFonts w:ascii="Arial" w:cs="Arial" w:eastAsia="Arial" w:hAnsi="Arial"/>
          <w:sz w:val="18"/>
          <w:szCs w:val="18"/>
          <w:color w:val="auto"/>
        </w:rPr>
        <w:t xml:space="preserve"> of Presto Automation Inc. (the “Company”) as of June 30, 2023 and 2022, the related consolidated statements of operations and comprehensive loss, stockholders’ deficit, and cash flows for the year</w:t>
      </w:r>
      <w:r>
        <w:rPr>
          <w:rFonts w:ascii="Arial" w:cs="Arial" w:eastAsia="Arial" w:hAnsi="Arial"/>
          <w:sz w:val="18"/>
          <w:szCs w:val="18"/>
          <w:i w:val="1"/>
          <w:iCs w:val="1"/>
          <w:color w:val="auto"/>
        </w:rPr>
        <w:t>s</w:t>
      </w:r>
      <w:r>
        <w:rPr>
          <w:rFonts w:ascii="Arial" w:cs="Arial" w:eastAsia="Arial" w:hAnsi="Arial"/>
          <w:sz w:val="18"/>
          <w:szCs w:val="18"/>
          <w:color w:val="auto"/>
        </w:rPr>
        <w:t xml:space="preserve"> then ended, and the related notes (collectively referred to as the “consolidated financial statements”). In our opinion, the consolidated financial statements present fairly, in all material respects, the consolidated financial position of the Company as of June 30, 2023 and 2022, and the consolidated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2023 due to the adoption of Accounting Standards Codification Topic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w:t>
      </w:r>
      <w:r>
        <w:rPr>
          <w:rFonts w:ascii="Arial" w:cs="Arial" w:eastAsia="Arial" w:hAnsi="Arial"/>
          <w:sz w:val="18"/>
          <w:szCs w:val="18"/>
          <w:i w:val="1"/>
          <w:iCs w:val="1"/>
          <w:color w:val="auto"/>
        </w:rPr>
        <w:t>s</w:t>
      </w:r>
      <w:r>
        <w:rPr>
          <w:rFonts w:ascii="Arial" w:cs="Arial" w:eastAsia="Arial" w:hAnsi="Arial"/>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w:t>
      </w:r>
      <w:r>
        <w:rPr>
          <w:rFonts w:ascii="Arial" w:cs="Arial" w:eastAsia="Arial" w:hAnsi="Arial"/>
          <w:sz w:val="18"/>
          <w:szCs w:val="18"/>
          <w:i w:val="1"/>
          <w:iCs w:val="1"/>
          <w:color w:val="auto"/>
        </w:rPr>
        <w:t>s</w:t>
      </w:r>
      <w:r>
        <w:rPr>
          <w:rFonts w:ascii="Arial" w:cs="Arial" w:eastAsia="Arial" w:hAnsi="Arial"/>
          <w:sz w:val="18"/>
          <w:szCs w:val="18"/>
          <w:color w:val="auto"/>
        </w:rPr>
        <w:t xml:space="preserve">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w:t>
      </w:r>
      <w:r>
        <w:rPr>
          <w:rFonts w:ascii="Arial" w:cs="Arial" w:eastAsia="Arial" w:hAnsi="Arial"/>
          <w:sz w:val="17"/>
          <w:szCs w:val="17"/>
          <w:i w:val="1"/>
          <w:iCs w:val="1"/>
          <w:color w:val="auto"/>
        </w:rPr>
        <w:t>s</w:t>
      </w:r>
      <w:r>
        <w:rPr>
          <w:rFonts w:ascii="Arial" w:cs="Arial" w:eastAsia="Arial" w:hAnsi="Arial"/>
          <w:sz w:val="17"/>
          <w:szCs w:val="17"/>
          <w:color w:val="auto"/>
        </w:rPr>
        <w:t xml:space="preserve">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ectPr>
          <w:pgSz w:w="11900" w:h="16838" w:orient="portrait"/>
          <w:cols w:equalWidth="0" w:num="1">
            <w:col w:w="9880"/>
          </w:cols>
          <w:pgMar w:left="980" w:top="7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729" w:right="10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receivable, net of allowance for doubtful accounts of $746 and $353, respectively</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costs,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707</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31,066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14,554</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Deferred costs, net of current portion</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2,842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non-affiliate</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Deferred transaction costs</w:t>
            </w:r>
          </w:p>
        </w:tc>
        <w:tc>
          <w:tcPr>
            <w:tcW w:w="22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5,765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10,528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4,226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936</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46,687</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4,319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6,215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Financing obligations,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Term loans, current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50,639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25,443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 promissory notes and embedded warrants, current</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89,663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Deferred revenue, current</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10,532</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61,213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146,609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Financing obligations, net of current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PPP loans</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Warrant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25,867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4,149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91,914</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152,995</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(Refer to Note 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Stockholders’ deficit:</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stock, $0.0001 par value–1,500,000 shares authorized as of June 30, 2023 and June 30, 2022,</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respectively; no shares issued and outstanding as of June 30, 2023 and June 30, 2022 respectively</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00" w:type="dxa"/>
            <w:vAlign w:val="bottom"/>
          </w:tcPr>
          <w:p>
            <w:pPr>
              <w:spacing w:after="0" w:line="130" w:lineRule="exact"/>
              <w:rPr>
                <w:sz w:val="20"/>
                <w:szCs w:val="20"/>
                <w:color w:val="auto"/>
              </w:rPr>
            </w:pPr>
            <w:r>
              <w:rPr>
                <w:rFonts w:ascii="Arial" w:cs="Arial" w:eastAsia="Arial" w:hAnsi="Arial"/>
                <w:sz w:val="14"/>
                <w:szCs w:val="14"/>
                <w:color w:val="auto"/>
                <w:w w:val="96"/>
              </w:rPr>
              <w:t>Common stock, $0.0001 par value–180,000,000 shares authorized as of June 30, 2023 and June 30, 2022, and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20" w:type="dxa"/>
            <w:vAlign w:val="bottom"/>
            <w:gridSpan w:val="2"/>
          </w:tcPr>
          <w:p>
            <w:pPr>
              <w:spacing w:after="0"/>
              <w:rPr>
                <w:sz w:val="20"/>
                <w:szCs w:val="20"/>
                <w:color w:val="auto"/>
              </w:rPr>
            </w:pPr>
            <w:r>
              <w:rPr>
                <w:rFonts w:ascii="Arial" w:cs="Arial" w:eastAsia="Arial" w:hAnsi="Arial"/>
                <w:sz w:val="14"/>
                <w:szCs w:val="14"/>
                <w:color w:val="auto"/>
                <w:w w:val="96"/>
              </w:rPr>
              <w:t>57,180,531 and 27,974,439 shares issued and outstanding as of June 30, 2023 and June 30, 2022, respectively</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190,031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78,321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(235,263)</w:t>
            </w:r>
          </w:p>
        </w:tc>
        <w:tc>
          <w:tcPr>
            <w:tcW w:w="24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(200,783)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stockholders’ deficit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(45,227)</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 and stockholders’ deficit</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46,687</w:t>
            </w:r>
          </w:p>
        </w:tc>
        <w:tc>
          <w:tcPr>
            <w:tcW w:w="30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w:t>
      </w:r>
    </w:p>
    <w:p>
      <w:pPr>
        <w:ind w:left="82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13,235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impairment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on extinguishment of debt and financing obligations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(8,179)</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stockholders, basic and diluted</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46,499,850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27,268,887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Convertible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36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6,196,257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(28,343,420)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21,778,182</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27,974,439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w w:val="96"/>
              </w:rPr>
              <w:t>Issuance of common stock upon exercise of stock 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955,062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 value of issued warrants on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w w:val="97"/>
              </w:rPr>
              <w:t>Issuance of common stock upon net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136,681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commons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4,903,833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vesting of restricted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stock units (Note 11)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1,115,673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Cancellation of restricted stock awards in connection with</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 CyborgOps acquisition (refer to Note 14)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(256,891)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Issuance of shares and transfer of warrants upon</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termination of convertible note agreement (Note 9)</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323,968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Conversion of convertible notes into common stock (Note</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8,147,938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41,392</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Warrants issued with Credit Agreement (Note 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liability classified warrants to equity</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Contribution by shareholder in conjunction with Credit</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Agreement (Note 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Merger and PIPE Financing (Note 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13,879,828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35,737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35,738</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(34,480)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(34,480)</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2023</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57,180,531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190,031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6"/>
              </w:rPr>
              <w:t>Convertible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5,132,354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9"/>
        </w:trPr>
        <w:tc>
          <w:tcPr>
            <w:tcW w:w="36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(28,343,420)</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21,980,406</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27,112,760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9"/>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w w:val="98"/>
              </w:rPr>
              <w:t>Issuance of common stock upon exercise of stock options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259,915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Fair value of newly issued common stock warrants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for CyborgOps acquisition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601,764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(56,314)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(56,314)</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27,974,439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Year ended</w:t>
      </w:r>
    </w:p>
    <w:p>
      <w:pPr>
        <w:ind w:left="7820"/>
        <w:spacing w:after="0" w:line="223" w:lineRule="auto"/>
        <w:rPr>
          <w:sz w:val="20"/>
          <w:szCs w:val="20"/>
          <w:color w:val="auto"/>
        </w:rPr>
      </w:pPr>
      <w:r>
        <w:rPr>
          <w:rFonts w:ascii="Arial" w:cs="Arial" w:eastAsia="Arial" w:hAnsi="Arial"/>
          <w:sz w:val="13"/>
          <w:szCs w:val="13"/>
          <w:b w:val="1"/>
          <w:bCs w:val="1"/>
          <w:color w:val="auto"/>
        </w:rPr>
        <w:t>June 30,</w:t>
      </w:r>
    </w:p>
    <w:tbl>
      <w:tblPr>
        <w:tblLayout w:type="fixed"/>
        <w:tblInd w:w="0" w:type="dxa"/>
        <w:tblCellMar>
          <w:top w:w="0" w:type="dxa"/>
          <w:left w:w="0" w:type="dxa"/>
          <w:bottom w:w="0" w:type="dxa"/>
          <w:right w:w="0" w:type="dxa"/>
        </w:tblCellMar>
      </w:tblPr>
      <w:tr>
        <w:trPr>
          <w:trHeight w:val="129"/>
        </w:trPr>
        <w:tc>
          <w:tcPr>
            <w:tcW w:w="5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4"/>
              <w:spacing w:after="0" w:line="129" w:lineRule="exact"/>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680" w:type="dxa"/>
            <w:vAlign w:val="bottom"/>
            <w:gridSpan w:val="2"/>
            <w:shd w:val="clear" w:color="auto" w:fill="CCEEFF"/>
          </w:tcPr>
          <w:p>
            <w:pPr>
              <w:jc w:val="right"/>
              <w:ind w:right="76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(34,480)</w:t>
            </w:r>
          </w:p>
        </w:tc>
        <w:tc>
          <w:tcPr>
            <w:tcW w:w="6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(56,314)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amortization and impairment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8,699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1,947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Earnout share stock-based compensation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Contra-revenue associated with warrant agreement (Refer to Note 2)</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1,242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Noncash expense attributable to fair value liabilities assumed in Merger</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Change in fair value of liability classified warrants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5,459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1,597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warrants and convertible promissory notes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(48,271)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18,932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3,426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1,215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taxes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Loss on extinguishment of debt and financing obligations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8,179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Paid-in-kind interest expense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Share and warrant cost on termination of convertible note agreement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2,412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Forgiveness of PPP Loan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Other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unvested sponsor shares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Noncash lease expense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Loss on disposal off property and equipment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 net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Inventories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2,451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costs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9,060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11,361</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1,073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long-term assets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1,508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(3,322)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Vendor financing facility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(6,792)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Accrued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(1,970)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(3,562)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revenue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(9,186)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Other long-term liabilities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(341)</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(201)</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used in operating activities</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(44,532)</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 of property and equipment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Payments relating to capitalized software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(5,638)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(1,798)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Investment in non-affiliate</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(7,892)</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(2,213)</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exercise of common stock options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579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the issuance of term loans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60,250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12,600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debt issuance costs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(294)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(1,287)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Repayment of term loans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(32,980)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penalties and other costs on extinguishment of debt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(6,228)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issuance of convertible promissory notes and embedded warrants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8,150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issuance of financing obligations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Principal payments of financing obligations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(4,573)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(2,376)</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issuance of common stock</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9,846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Contributions from Merger and PIPE financing, net of transaction costs and other payments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49,840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Payments of deferred transaction costs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(1,890)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(1,577)</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provided by financing activities</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74,550</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15,620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increase (decrease) in cash, cash equivalents and restricted cash</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22,126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(33,892)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Cash, cash equivalents and restricted cash at beginning of period</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3,017</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36,909</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Cash, cash equivalents and restricted cash at end of period</w:t>
            </w:r>
          </w:p>
        </w:tc>
        <w:tc>
          <w:tcPr>
            <w:tcW w:w="8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25,143</w:t>
            </w:r>
          </w:p>
        </w:tc>
        <w:tc>
          <w:tcPr>
            <w:tcW w:w="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3"/>
                <w:szCs w:val="13"/>
                <w:color w:val="auto"/>
              </w:rPr>
              <w:t>Reconciliation of cash, cash equivalents and restricted cash:</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Restricted cash</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cash, cash equivalents and restricted cash</w:t>
            </w:r>
          </w:p>
        </w:tc>
        <w:tc>
          <w:tcPr>
            <w:tcW w:w="8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25,143</w:t>
            </w:r>
          </w:p>
        </w:tc>
        <w:tc>
          <w:tcPr>
            <w:tcW w:w="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5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Capitalization of stock-based compensation expense to capitalized software</w:t>
            </w:r>
          </w:p>
        </w:tc>
        <w:tc>
          <w:tcPr>
            <w:tcW w:w="1680" w:type="dxa"/>
            <w:vAlign w:val="bottom"/>
            <w:gridSpan w:val="2"/>
          </w:tcPr>
          <w:p>
            <w:pPr>
              <w:jc w:val="right"/>
              <w:ind w:right="764"/>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1,041</w:t>
            </w:r>
          </w:p>
        </w:tc>
        <w:tc>
          <w:tcPr>
            <w:tcW w:w="6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713</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Common stock issued in CyborgOps acquisition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1,104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consideration - CyborgOps acquisition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Deferred transaction costs recorded in accounts payable and accrued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4,188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contribution from shareholder in conjunction with Credit Agreement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Issuance of warrants in conjunction with Credit Agreement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8,934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 in conjunction with Lago Term Loan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1,118</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Convertible note conversion to common stock</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41,392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Reclassification of warrants from liabilities to equity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Recognition of liability classified warrants upon Merger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9,388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Recognition of Unvested Founder Shares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Forgiveness of PPP Loan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2,599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 of use asset in exchange for operating lease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Cancellation of June 2021 Note and related accrued interest, with issuance of February 2022 Note</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20,663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r>
        <w:rPr>
          <w:rFonts w:ascii="Arial" w:cs="Arial" w:eastAsia="Arial" w:hAnsi="Arial"/>
          <w:sz w:val="14"/>
          <w:szCs w:val="14"/>
          <w:b w:val="1"/>
          <w:bCs w:val="1"/>
          <w:i w:val="1"/>
          <w:iCs w:val="1"/>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42" w:right="9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is the developer of enterprise grade AI and automation solutions to the restaurant technology industry that are designed to decrease labor costs, improve staff productivity, increase revenue and enhance the guest experience. The Company offers an AI solution (“Presto Voice”) to quick service restaurants (QSR) and a pay-at-table tablet solution (“Presto Touch”) to casual dining chains. Presto Voice can complete complex orders, including large orders with multiple menu modifications and add-ons with limited on-site restaurant staff intervention. Some of the most recognized restaurant names in the United States are among the Company’s customers including Carl’s Jr., Hardee’s, Del Taco and Checkers for Presto Voice and Applebee’s, Chili’s and Red Lobster for Presto Touch.</w:t>
      </w:r>
    </w:p>
    <w:p>
      <w:pPr>
        <w:spacing w:after="0" w:line="16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Following the Company’s founding in 2008, the Company initially focused exclusively on Presto Touch. As of June 30, 2023, the Company had shipped over 277,000 Presto Touch tablets to three of the largest casual dining chains in the United States. While Presto Touch has accounted for substantially all of the Company’s historical revenues, the Company believes that Presto Voice will contribute an increasing portion of its revenues in the future. Presto Voice addresses the pressing needs of restaurant operators by improving order accuracy, reducing labor costs and increasing revenue through menu upselling, while also providing guests with an improved drive-thru experience. The Company believes its solutions help restaurant operators address their business challenges with compelling end-to-end solutions that seamlessly integrate into a restaurant’s existing technology stacks.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fiscal year ends on June 30. References to fiscal 2023 or year 2023, for example, refer to the fiscal year ended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ectPr>
          <w:pgSz w:w="11900" w:h="16838" w:orient="portrait"/>
          <w:cols w:equalWidth="0" w:num="1">
            <w:col w:w="9920"/>
          </w:cols>
          <w:pgMar w:left="980" w:top="729" w:right="99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Proceeds and PIPE investment</w:t>
      </w:r>
    </w:p>
    <w:p>
      <w:pPr>
        <w:spacing w:after="0" w:line="225"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Following the closing of the Ventoux’s initial public offering on December 30, 2020, $151.5 million was placed in a trust account, (the “Trust”), from which various redemptions of amounts in the Trust were made up until the date of the Merger. On the closing date of the Merger, $9.5 million of unredeemed funds were released to Ventoux from the Trust.</w:t>
      </w:r>
    </w:p>
    <w:p>
      <w:pPr>
        <w:spacing w:after="0" w:line="1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the execution of the Merger, Ventoux entered into separate subscriptions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Upon consummation of the Merger, Presto received approximately $49.8 million from the Trust and PIPE, net of transaction costs and other payments as set forth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 Cash</w:t>
            </w: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Cash—PIPE investment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55,400</w:t>
            </w:r>
          </w:p>
        </w:tc>
      </w:tr>
      <w:tr>
        <w:trPr>
          <w:trHeight w:val="216"/>
        </w:trPr>
        <w:tc>
          <w:tcPr>
            <w:tcW w:w="8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transaction costs and other payments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r>
      <w:tr>
        <w:trPr>
          <w:trHeight w:val="209"/>
        </w:trPr>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80" w:lineRule="exact"/>
        <w:rPr>
          <w:sz w:val="20"/>
          <w:szCs w:val="20"/>
          <w:color w:val="auto"/>
        </w:rPr>
      </w:pPr>
    </w:p>
    <w:p>
      <w:pPr>
        <w:jc w:val="both"/>
        <w:ind w:left="340" w:right="200" w:hanging="332"/>
        <w:spacing w:after="0" w:line="28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w:t>
      </w:r>
    </w:p>
    <w:p>
      <w:pPr>
        <w:spacing w:after="0" w:line="2" w:lineRule="exact"/>
        <w:rPr>
          <w:rFonts w:ascii="Arial" w:cs="Arial" w:eastAsia="Arial" w:hAnsi="Arial"/>
          <w:sz w:val="16"/>
          <w:szCs w:val="16"/>
          <w:color w:val="auto"/>
        </w:rPr>
      </w:pPr>
    </w:p>
    <w:p>
      <w:pPr>
        <w:ind w:left="340" w:right="140"/>
        <w:spacing w:after="0" w:line="253" w:lineRule="auto"/>
        <w:rPr>
          <w:rFonts w:ascii="Arial" w:cs="Arial" w:eastAsia="Arial" w:hAnsi="Arial"/>
          <w:sz w:val="16"/>
          <w:szCs w:val="16"/>
          <w:color w:val="auto"/>
        </w:rPr>
      </w:pPr>
      <w:r>
        <w:rPr>
          <w:rFonts w:ascii="Arial" w:cs="Arial" w:eastAsia="Arial" w:hAnsi="Arial"/>
          <w:sz w:val="18"/>
          <w:szCs w:val="18"/>
          <w:color w:val="auto"/>
        </w:rPr>
        <w:t>Legacy Presto also incurred $2.1 million in transaction costs which were paid via the issuance of 260,000 Company shares. Further in conjunction with the Merger, Legacy Presto incurred $3.2 million in transaction costs which were either paid prior to or after the Merger. As of June 30, 2023, all of the transaction costs incurred by Legacy Presto have been fully paid. Accordingly, in total Legacy Presto incurred transaction costs amounting to $10.4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warrants, stock options and RSUs) of Legacy Presto were canceled and converted using the Exchange Ratio with the holders receiving equivalent outstanding equity awards (including warrants, stock options and RSUs) in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84" w:lineRule="exact"/>
        <w:rPr>
          <w:sz w:val="20"/>
          <w:szCs w:val="20"/>
          <w:color w:val="auto"/>
        </w:rPr>
      </w:pPr>
    </w:p>
    <w:p>
      <w:pPr>
        <w:ind w:left="980" w:right="140" w:hanging="324"/>
        <w:spacing w:after="0" w:line="31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7,500,000 shares, if, during the period from and after the closing of the Merger until the third anniversary of the closing of the Merger, the Volume Weighted Average Price (“</w:t>
      </w:r>
      <w:r>
        <w:rPr>
          <w:rFonts w:ascii="Arial" w:cs="Arial" w:eastAsia="Arial" w:hAnsi="Arial"/>
          <w:sz w:val="16"/>
          <w:szCs w:val="16"/>
          <w:b w:val="1"/>
          <w:bCs w:val="1"/>
          <w:color w:val="auto"/>
        </w:rPr>
        <w:t>VWAP</w:t>
      </w:r>
      <w:r>
        <w:rPr>
          <w:rFonts w:ascii="Arial" w:cs="Arial" w:eastAsia="Arial" w:hAnsi="Arial"/>
          <w:sz w:val="16"/>
          <w:szCs w:val="16"/>
          <w:color w:val="auto"/>
        </w:rPr>
        <w:t>” as defined in the Agreement and Plan of Merger among Ventoux CCM Acquisition Corp., as Acquiror, Ventoux Merger Sub I Inc. as First Merger Sub., Ventoux Merger Sub II</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5" w:name="page66"/>
    <w:bookmarkEnd w:id="65"/>
    <w:p>
      <w:pPr>
        <w:ind w:left="980" w:right="220"/>
        <w:spacing w:after="0" w:line="263" w:lineRule="auto"/>
        <w:rPr>
          <w:sz w:val="20"/>
          <w:szCs w:val="20"/>
          <w:color w:val="auto"/>
        </w:rPr>
      </w:pPr>
      <w:r>
        <w:rPr>
          <w:rFonts w:ascii="Arial" w:cs="Arial" w:eastAsia="Arial" w:hAnsi="Arial"/>
          <w:sz w:val="18"/>
          <w:szCs w:val="18"/>
          <w:color w:val="auto"/>
        </w:rPr>
        <w:t>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184" w:lineRule="exact"/>
        <w:rPr>
          <w:sz w:val="20"/>
          <w:szCs w:val="20"/>
          <w:color w:val="auto"/>
        </w:rPr>
      </w:pPr>
    </w:p>
    <w:p>
      <w:pPr>
        <w:ind w:left="980" w:right="20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earnout shares are equity classified since they do not meet the liability classification criteria outlined in ASC</w:t>
      </w:r>
    </w:p>
    <w:p>
      <w:pPr>
        <w:spacing w:after="0" w:line="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and are accounted for under ASC 718. During the period from the date of the Merger through June 30, 2023, the Company recorded stock-based compensation expense associated with earnouts in the amount of $4.9 million to equity award holders who held awards associated with the Company’s equity incentive plan and to common stock holders who are current employees and directors, of which $3.2 million, $1.3 million, and $0.4 million are recorded within general and administrative, research and development and sales and marketing expenses, respectively, on the consolidated statement of operations and comprehensive loss. There was no expense associated with the earnout shares in the year ended June 30, 2022.</w:t>
      </w:r>
    </w:p>
    <w:p>
      <w:pPr>
        <w:spacing w:after="0" w:line="17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June 30, 2023, unrecognized stock-based compensation expense is $7.3 million which is expected to be recognized over a weighted-average period of 1.3 years. Stock-based compensation for awards with a performance-based vesting condition that was previously deemed not probable to occur, was modified during the year ended June 30, 2023 to waive the performance condition which resulted in an immaterial recognition of expense. As of June 30, 2023, 602,978 earnout shares held by current employees and directors were forfeited. The earnout shares given to common stockholders who are not current employees and directors and warrant holders have been recorded with equal and offsetting effects on additional paid-in capital on its consolidated balance sheet. As of June 30, 2023, all of the earnout shares remain unissued as the conditions to issuance have not been achieved.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Sponsor Share Arrangement with Sponsors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the Closing, 444,500 shares held by the Sponsors (the “Unvested Sponsor Shares”) became subject to the following vesting and forfeiture provisions:</w:t>
      </w:r>
    </w:p>
    <w:p>
      <w:pPr>
        <w:spacing w:after="0" w:line="170" w:lineRule="exact"/>
        <w:rPr>
          <w:sz w:val="20"/>
          <w:szCs w:val="20"/>
          <w:color w:val="auto"/>
        </w:rPr>
      </w:pPr>
    </w:p>
    <w:p>
      <w:pPr>
        <w:ind w:left="980" w:right="2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25% of such Unvested Sponsor Shares owned by the Sponsors vest at such time as a $12.00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next 25% of such Unvested Sponsor Shares owned by the Sponsors vests at such time as a $15.00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next 25% of such Unvested Sponsor Shares owned by the Sponsors vest at such time as a $20.00 Stock Price Level is achieved on or before the date that is five years after the Closing Date,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remaining 25% of such Unvested Sponsor Shares owned by the Sponsors shall vest at such time as a $25.00 Stock Price Level is achieved on or before the date that is five years after the Closing Date.</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“Stock Price Level” is considered achieved when the VWAP of the common stock is greater than or equal to the applicable threshold for any 40 consecutive trading days within a 60-trading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June 30, 2023, all of the Unvested Sponsor Shares remain unvested as the vesting conditions have not been achieved.</w:t>
      </w:r>
    </w:p>
    <w:p>
      <w:pPr>
        <w:spacing w:after="0" w:line="16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period from the closing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66" w:name="page67"/>
    <w:bookmarkEnd w:id="66"/>
    <w:p>
      <w:pPr>
        <w:jc w:val="both"/>
        <w:ind w:right="20"/>
        <w:spacing w:after="0" w:line="308" w:lineRule="auto"/>
        <w:rPr>
          <w:sz w:val="20"/>
          <w:szCs w:val="20"/>
          <w:color w:val="auto"/>
        </w:rPr>
      </w:pPr>
      <w:r>
        <w:rPr>
          <w:rFonts w:ascii="Arial" w:cs="Arial" w:eastAsia="Arial" w:hAnsi="Arial"/>
          <w:sz w:val="17"/>
          <w:szCs w:val="17"/>
          <w:color w:val="auto"/>
        </w:rPr>
        <w:t>the Merger until June 30, 2023 the Company recorded a gain on remeasurement of $0.2 million, which is included in change in fair value of warrants and convertible promissory notes in the consolidated statement of operations and comprehensive loss.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The Merger is accounted for as a reverse recapitalization in accordance with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Under the guidance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Ventoux was treated as the “acquired” company for financial reporting purposes. This determination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consolidated financial statements represents the accounts of Presto and its wholly-owned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8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Total net liabilities of Ventoux assumed by the Company were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CyborgOps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consequence to the closing of the Merger, bonus and deferred consideration amounts owed to certain founding members of CyborgOps Inc. (“CyborgOps”), the entity to which the Company entered into an asset purchase agreement with on May 23, 2022 (refer to Note 14), became due and payable resulting in an expense of $1.3 million, of which $1.2 million and $0.1 million have been recorded within research and development and sales and marketing expenses, respectively, in the consolidated statement of operations and comprehensive loss for year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6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financial statements of issuers who are required to comply with the effective dates for new or revised accounting standards based on public company effective dates.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Company is subject to a number of risks common to emerging, technology-based companies, including a limited operating history, dependence on key individuals, the need to expand the number of its customers, long sales cycles, competition from alternative products and larger companies, the need for additional financing to fund future operations, and the need to reduce the number of human agents required for Presto Voice.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customers. In April 2020, the Company received a loan of approximately $2.6 million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year ended June 30,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The commercial cleaning products solution leaked into the hardware causing significant damage to the devices and requiring replacement of such devices. To prevent disruption to customers’ businesses, the Company incurred losses on infrequent customer repairs related to the issue of $0.6 million for the year ended June 30, 2022. The Company has an outstanding claim to recover the costs from its third-party subcontractor who manufactures the hardware, for which the Company received a favorable arbitrator ruling in June 2022. Refer to Note 8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June 30, 2023 the Company’s principal sources of liquidity were cash and cash equivalents of $15.1 which were held for working capital purposes. This excludes $10.0 million of restricted cash as of June 30, 2023.</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$56.4 million for the year ended June 30, 2023. As of June 30, 2023 the Company had an accumulated deficit of $235.3 million. The Company expects to generate operating and net losses for the near term. Cash from operations could also be affected by various risks and uncertainties, including, but not limited to, timing of cash collections from customers and other risks.</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While the Company received net cash of $49.8 million from the completion of the Merger, raised net cash proceeds of $13.7 million from the issuance of new debt net of the payment of certain legacy debt obligations and received $9.5 million from the sale of common stock in a May 31, 2023 private placement (the “Private Placement”), additional capital infusions will be necessary in order to fund operating expenses, currently anticipated expenditures, and other obligations as they come due. The Company’s future capital requirements will depend on many factors, including the revenue growth rate, the success of future product development, and the timing and extent of spending to support further sales and marketing and research and development efforts.</w:t>
      </w:r>
    </w:p>
    <w:p>
      <w:pPr>
        <w:spacing w:after="0" w:line="1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intends to mitigate the conditions or events that raise substantial doubt about the Company’s ability to continue as a going concern, however as the plans are outside of management’s control, the Company cannot ensure they will be effectively implemented. The Company cannot be sure that any additional financing will be available on acceptable terms, if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consolidated financial statements have been prepared on a going concern basis, which contemplates the realization of assets and satisfaction of liabilities in the normal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8" w:name="page69"/>
    <w:bookmarkEnd w:id="68"/>
    <w:p>
      <w:pPr>
        <w:ind w:right="20"/>
        <w:spacing w:after="0" w:line="277" w:lineRule="auto"/>
        <w:rPr>
          <w:sz w:val="20"/>
          <w:szCs w:val="20"/>
          <w:color w:val="auto"/>
        </w:rPr>
      </w:pPr>
      <w:r>
        <w:rPr>
          <w:rFonts w:ascii="Arial" w:cs="Arial" w:eastAsia="Arial" w:hAnsi="Arial"/>
          <w:sz w:val="18"/>
          <w:szCs w:val="18"/>
          <w:color w:val="auto"/>
        </w:rPr>
        <w:t>maintains deposits, it may lose timely access to its funds and incur losses to the extent its deposits exceed amounts insured by the Federal Deposit Insurance Corporation, as described below.</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three largest restaurant brands (including, as applicable, the franchisees of such restaurants aggregated as a single customer for reporting purposes) accounted for more than 10% of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Year ended June 30,</w:t>
            </w:r>
          </w:p>
        </w:tc>
      </w:tr>
      <w:tr>
        <w:trPr>
          <w:trHeight w:val="171"/>
        </w:trPr>
        <w:tc>
          <w:tcPr>
            <w:tcW w:w="7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Customer B</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19 %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4"/>
        </w:trPr>
        <w:tc>
          <w:tcPr>
            <w:tcW w:w="76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restaurant brands (including, as applicable, the franchisees of such restaurants aggregated as a single customer for reporting purposes) accounted for more than 10% of accounts receivable: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6"/>
              </w:rPr>
              <w:t>As of June 30,</w:t>
            </w: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8"/>
              </w:rPr>
              <w:t>As of June 30,</w:t>
            </w:r>
          </w:p>
        </w:tc>
      </w:tr>
      <w:tr>
        <w:trPr>
          <w:trHeight w:val="171"/>
        </w:trPr>
        <w:tc>
          <w:tcPr>
            <w:tcW w:w="7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Customer B</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5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is exposed to vendor concentration risk as it purchases its next generation version of Presto Touch tablets and other equipment from one supplier. The Company’s operating results could be adversely affected in the event that the vendor increases its prices or incurs disruptions in its supply of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the Company may be unable to access the funds it has on deposit with such institutions. If the Company is unable to access its cash and cash equivalents and restricted cash as needed, the Company’s financial position and ability to operate its business could be adversely affected. The Company had $24.6 million in deposits in excess of the FDIC limits at June 30,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considers all highly liquid financial instruments purchased with original maturities of three months or less to be cash equivalents. As of June 30, 2023 and 2022, cash and cash equivalents consist of cash and money market funds held in financial institutions.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Restricted cash consists primarily of cash that is required to be held as collateral pursuant to the Company’s Credit Agreement (refer to Note 7). Any cash that is legally restricted from use is classified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in other current assets in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accounts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change in fair value of warrants and convertible promissory notes in the consolidated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Allowance for Doubtful Accounts</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2023 and 2022 was $0.7 million and $0.4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are amortized on a straight-line basis over their estimated useful lives, which is generally 4 years. Software development costs include costs to develop software to be used to meet internal needs and applications used to deliver its services. Refer to Note 4 for further details of the developed technology. The Company accounts for its internal use software in accordance with the guidance in Accounting Standard Codification (“ASC”) 350-40, Internal-Use Software.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$6.7 million and $1.8 million, respectively, for the years ended June 30, 2023, and 2022.</w:t>
      </w:r>
    </w:p>
    <w:p>
      <w:pPr>
        <w:sectPr>
          <w:pgSz w:w="11900" w:h="16838" w:orient="portrait"/>
          <w:cols w:equalWidth="0" w:num="1">
            <w:col w:w="9900"/>
          </w:cols>
          <w:pgMar w:left="980" w:top="976"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76" w:right="10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Property and equipment, net, are stated at cost, less accumulated depreciation. Substantially all of the Company’s property and equipment is comprised of Presto Touch tablets which are leased to customers. Property and equipment, net also includes equipment and software for general employee use. Depreciation is recognized using the straight-line method over the estimated useful lives of the respective assets, which is four years for Presto Touch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Presto Touch tablets classified as property and equipment, net, the Company has historically entered into equipment financing facilities to finance the tablets while transferring ownership of the tablets to the financing partner. The Company accounts for these as property and equipment with a corresponding financing obligation, as the Company retains substantially all of the benefits and risks of ownership of the property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2023 and 2022, the Company recorded nil and $0.6 million, respectively, in write offs related to the impairment of tablets. Refer to Note 4 for further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8"/>
          <w:szCs w:val="18"/>
          <w:b w:val="1"/>
          <w:bCs w:val="1"/>
          <w:color w:val="auto"/>
        </w:rPr>
        <w:t>CODM</w:t>
      </w:r>
      <w:r>
        <w:rPr>
          <w:rFonts w:ascii="Arial" w:cs="Arial" w:eastAsia="Arial" w:hAnsi="Arial"/>
          <w:sz w:val="18"/>
          <w:szCs w:val="18"/>
          <w:color w:val="auto"/>
        </w:rPr>
        <w:t>”) in deciding how to allocate resources and in assessing performance. The Company’s CODM was the Chief Executive Officer and the Chief Financial Officer through March 2023 then subsequently upon the departure of the Chief Executive Officer, the CODM comprised a team of the Interim Chief Executive Officer, the President and the Chief Operating Officer, who reviews financial information presented on a consolidated basis for purposes of allocating resources and evaluating financial performance. As such, the Company’s operations constitute a single operating segment and one reportable segment.</w:t>
      </w:r>
    </w:p>
    <w:p>
      <w:pPr>
        <w:spacing w:after="0" w:line="19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 has operations in the United States, Canada and subsequent to June 30, 2023, in India. The Company earns substantially all of its revenue in the United States and all of its long-lived assets are held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71" w:name="page72"/>
    <w:bookmarkEnd w:id="71"/>
    <w:p>
      <w:pPr>
        <w:ind w:right="60" w:firstLine="648"/>
        <w:spacing w:after="0" w:line="259"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on July 1, 2022, using the modified retrospective approach. Upon adoption, the Company recorded a right of use asset (“ROU”) and an operating lease liability. The operating lease ROU asset represents the Company’s right to use the underlying asset for the lease term and the lease liability represents the Company’s obligation to make lease payments arising from the lease.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Company’s operating lease ROU asset is measured based on the corresponding operating lease liability adjusted for</w:t>
      </w:r>
    </w:p>
    <w:p>
      <w:pPr>
        <w:spacing w:after="0" w:line="23" w:lineRule="exact"/>
        <w:rPr>
          <w:sz w:val="20"/>
          <w:szCs w:val="20"/>
          <w:color w:val="auto"/>
        </w:rPr>
      </w:pPr>
    </w:p>
    <w:p>
      <w:pPr>
        <w:ind w:right="60" w:firstLine="8"/>
        <w:spacing w:after="0" w:line="252"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lease expense from these leases is recognized on a straight-line basis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years ended June 30, 2023 and 2022, the Company derived its revenues from two revenue streams: (1) sales and leases of the Presto Touch and Presto Voice solutions and leases of the Presto Touch solution, which includes hardware, hardware accessories, software and customer support and maintenance (“</w:t>
      </w:r>
      <w:r>
        <w:rPr>
          <w:rFonts w:ascii="Arial" w:cs="Arial" w:eastAsia="Arial" w:hAnsi="Arial"/>
          <w:sz w:val="18"/>
          <w:szCs w:val="18"/>
          <w:b w:val="1"/>
          <w:bCs w:val="1"/>
          <w:color w:val="auto"/>
        </w:rPr>
        <w:t>Platform revenue</w:t>
      </w:r>
      <w:r>
        <w:rPr>
          <w:rFonts w:ascii="Arial" w:cs="Arial" w:eastAsia="Arial" w:hAnsi="Arial"/>
          <w:sz w:val="18"/>
          <w:szCs w:val="18"/>
          <w:color w:val="auto"/>
        </w:rPr>
        <w:t>”), and (2) Premium Content (gaming) and other revenue, which includes professional services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Platform revenue stream is generated from fees charged to customers for access to the Company’s Presto Touch and Presto Voice solutions, which are recognized ratably over the life of the contract. Part of the total contract value is due upon execution of the contract, and the remainder is due monthly over the term of the contract. Revenue from the Presto Touch related to continuous access to the Company’s SaaS platform, is satisfied ratably over the contract period as the service is provided. The master service agreements with customers are generally for a term ranging from 12 to 36 months. Amounts invoiced in excess of revenue recognized are recorded as deferred revenue. Revenue generated from the Presto Voice was not material for the years ended June 30, 2023 and 2022.</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68% of the gross billings to the restaurant operators for the years ended June 30, 2023 and 2022. Revenue for the year ended June 30, 2023 from Checkers also reflects, as a reduction to transaction price, the fair value of the warrant issued to them (refer to Note 2). The impact of the fair value of the warrant in 2022 was immaterial. The Company also pay Hi Auto a fee that is accounted for as cost of revenue which was $1.2 million for the year ended June 30, 2023.</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also maintains an agreement with a legacy customer whereby it leases Presto Touch to that customer.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jc w:val="both"/>
        <w:ind w:left="980" w:hanging="324"/>
        <w:spacing w:after="0" w:line="29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in connection with the Presto Touch solution, the Company enters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p>
      <w:pPr>
        <w:spacing w:after="0" w:line="166" w:lineRule="exact"/>
        <w:rPr>
          <w:rFonts w:ascii="Arial" w:cs="Arial" w:eastAsia="Arial" w:hAnsi="Arial"/>
          <w:sz w:val="16"/>
          <w:szCs w:val="16"/>
          <w:color w:val="auto"/>
        </w:rPr>
      </w:pPr>
    </w:p>
    <w:p>
      <w:pPr>
        <w:jc w:val="both"/>
        <w:ind w:left="980" w:hanging="324"/>
        <w:spacing w:after="0" w:line="29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5" w:lineRule="exact"/>
        <w:rPr>
          <w:sz w:val="20"/>
          <w:szCs w:val="20"/>
          <w:color w:val="auto"/>
        </w:rPr>
      </w:pPr>
    </w:p>
    <w:p>
      <w:pPr>
        <w:ind w:left="980" w:right="20"/>
        <w:spacing w:after="0" w:line="291" w:lineRule="auto"/>
        <w:rPr>
          <w:sz w:val="20"/>
          <w:szCs w:val="20"/>
          <w:color w:val="auto"/>
        </w:rPr>
      </w:pPr>
      <w:r>
        <w:rPr>
          <w:rFonts w:ascii="Arial" w:cs="Arial" w:eastAsia="Arial" w:hAnsi="Arial"/>
          <w:sz w:val="16"/>
          <w:szCs w:val="16"/>
          <w:color w:val="auto"/>
        </w:rPr>
        <w:t>The Company identified the following performance obligations: (1) for the MSAs and license agreements, sales or leases of hardware, software-as-a-service (“</w:t>
      </w:r>
      <w:r>
        <w:rPr>
          <w:rFonts w:ascii="Arial" w:cs="Arial" w:eastAsia="Arial" w:hAnsi="Arial"/>
          <w:sz w:val="16"/>
          <w:szCs w:val="16"/>
          <w:b w:val="1"/>
          <w:bCs w:val="1"/>
          <w:color w:val="auto"/>
        </w:rPr>
        <w:t>SaaS</w:t>
      </w:r>
      <w:r>
        <w:rPr>
          <w:rFonts w:ascii="Arial" w:cs="Arial" w:eastAsia="Arial" w:hAnsi="Arial"/>
          <w:sz w:val="16"/>
          <w:szCs w:val="16"/>
          <w:color w:val="auto"/>
        </w:rPr>
        <w:t>”) and maintenance is one combined performance obligation (“</w:t>
      </w:r>
      <w:r>
        <w:rPr>
          <w:rFonts w:ascii="Arial" w:cs="Arial" w:eastAsia="Arial" w:hAnsi="Arial"/>
          <w:sz w:val="16"/>
          <w:szCs w:val="16"/>
          <w:b w:val="1"/>
          <w:bCs w:val="1"/>
          <w:color w:val="auto"/>
        </w:rPr>
        <w:t>Presto Touch</w:t>
      </w:r>
      <w:r>
        <w:rPr>
          <w:rFonts w:ascii="Arial" w:cs="Arial" w:eastAsia="Arial" w:hAnsi="Arial"/>
          <w:sz w:val="16"/>
          <w:szCs w:val="16"/>
          <w:color w:val="auto"/>
        </w:rPr>
        <w:t>”) and</w:t>
      </w:r>
    </w:p>
    <w:p>
      <w:pPr>
        <w:ind w:left="980" w:right="20"/>
        <w:spacing w:after="0" w:line="260"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gaming agreements, the provision premium content, or gaming. Professional services were insignificant during the years ended June 30, 2023 and 2022.</w:t>
      </w:r>
    </w:p>
    <w:p>
      <w:pPr>
        <w:spacing w:after="0" w:line="18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Presto Touch is considered a single performance obligation because each element of the Presto Touch solution is interdependent and cannot function independently. The software and hardware for the Presto Touch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spacing w:after="0" w:line="177" w:lineRule="exact"/>
        <w:rPr>
          <w:sz w:val="20"/>
          <w:szCs w:val="20"/>
          <w:color w:val="auto"/>
        </w:rPr>
      </w:pPr>
    </w:p>
    <w:p>
      <w:pPr>
        <w:jc w:val="both"/>
        <w:ind w:left="980" w:hanging="324"/>
        <w:spacing w:after="0" w:line="272"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Determination of the transaction price — the Company’s MSAs stipulate the terms and conditions of providing the Presto Touch solution and separate license agreements dictate the transaction price and typically outline as a price per store location or price per number of Presto Touch devices used. The transaction price is generally a fixed fee, with a portion due upfront upon signing of the contract and the remainder due upon installation of the Presto Touch solution.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77"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 As the Presto Touch solution is one combined performance obligation, no reallocation of the contract price is required. The Company’s premium content contract is comprised of one performance obligation and does not require reallocation of the contract price.</w:t>
      </w:r>
    </w:p>
    <w:p>
      <w:pPr>
        <w:spacing w:after="0" w:line="165"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Costs Capitalized to Obtain Revenue Contracts</w:t>
      </w:r>
    </w:p>
    <w:p>
      <w:pPr>
        <w:spacing w:after="0" w:line="225" w:lineRule="exact"/>
        <w:rPr>
          <w:sz w:val="20"/>
          <w:szCs w:val="20"/>
          <w:color w:val="auto"/>
        </w:rPr>
      </w:pPr>
    </w:p>
    <w:p>
      <w:pPr>
        <w:jc w:val="both"/>
        <w:ind w:right="620" w:firstLine="648"/>
        <w:spacing w:after="0" w:line="342" w:lineRule="auto"/>
        <w:rPr>
          <w:sz w:val="20"/>
          <w:szCs w:val="20"/>
          <w:color w:val="auto"/>
        </w:rPr>
      </w:pPr>
      <w:r>
        <w:rPr>
          <w:rFonts w:ascii="Arial" w:cs="Arial" w:eastAsia="Arial" w:hAnsi="Arial"/>
          <w:sz w:val="16"/>
          <w:szCs w:val="16"/>
          <w:color w:val="auto"/>
        </w:rPr>
        <w:t>Sales commissions and associated payroll taxes paid to internal sales personnel that are incremental costs resulting from obtaining a non-cancellable contract with a customer are capitalized and recognized over the estimated customer life, if material.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Incremental costs incurred to obtain a contract were immaterial during the years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 and Deferred Costs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solution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Cost of Revenue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and Presto Voice solutions. Shipping/freight costs consist of all costs to transport equipment to restaurants. Installation costs consists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also incurs costs to refurbish and repair its Presto Touch tablets. These costs are expensed in the period in which they are incurred. As the costs are expected to be linear, they, therefore, will match with the timing of revenue recognition over time. In connection with these costs, the Company also accrues a liability at each reporting period for expected repair costs for customer tablets currently in the Company’s return merchandise authorization (“RMA”) process as of the reporting period, which gets charged to platform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Cost of Revenue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Transaction cost of revenue consists primarily of the portion of the fees collected from guests that are paid to the restaurant as part of the revenue share agreement with each restaurant. As the Company bears the primary responsibility of the platform, the Company is the principal in the premium content transactions and restaurants act as the agent, whereby the Company records the restaurant portion of the revenue share as cost of revenue. The commissions paid to restaurants under the Company’s revenue share agreement range on average between 83% to 90% and 81% to 90% of premium gaming content revenue by customer brand for the years ended June 30, 2023 and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Impairment Cost of Revenue</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color w:val="auto"/>
        </w:rPr>
        <w:t>Research and development expenses consist primarily of employee-related costs associated with maintenance and the development of the Company’s solutions, and expenses associated with the use of third-party software directly related to the preliminary development and maintenance of the Company’s solutions and services, as well as allocated overhead. These costs are expensed as incurred as they do not meet the requirements for capitalization.</w:t>
      </w:r>
    </w:p>
    <w:p>
      <w:pPr>
        <w:sectPr>
          <w:pgSz w:w="11900" w:h="16838" w:orient="portrait"/>
          <w:cols w:equalWidth="0" w:num="1">
            <w:col w:w="9920"/>
          </w:cols>
          <w:pgMar w:left="980" w:top="733"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4" w:name="page75"/>
    <w:bookmarkEnd w:id="74"/>
    <w:p>
      <w:pPr>
        <w:jc w:val="both"/>
        <w:ind w:right="500" w:firstLine="648"/>
        <w:spacing w:after="0" w:line="263" w:lineRule="auto"/>
        <w:rPr>
          <w:sz w:val="20"/>
          <w:szCs w:val="20"/>
          <w:color w:val="auto"/>
        </w:rPr>
      </w:pPr>
      <w:r>
        <w:rPr>
          <w:rFonts w:ascii="Arial" w:cs="Arial" w:eastAsia="Arial" w:hAnsi="Arial"/>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Presto Touch hardware returned for repair or replacement using an RMA. While the Company has incurred RMA charges in the past, in the year ended June 30, 2022, the volume of repair charges was extremely unusual and very high due to a liquid ingress issue resulting from COVID-19 related actions by restaurant operators. The Company’s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The Company provided repair and replacement of its hardware devices to all of its customers as a one-time only offer due to COVID-19. Expenses for the years ended June 30, 2023 and 2022 were nil and $0.6 million in losses, respectively, on infrequent product repairs. See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Company’s advertising and promotional costs are expensed as incurred. Advertising costs were $75 thousand and $36 thousand for the years ended June 30, 2023 and 2022, respectively, and are included in sales and marketing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The Company computes net loss per share, or earnings per share (“EPS”), following ASC Topic 260, Earnings per Share. 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Company’s potentially dilutive securities, which include stock options and RSUs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spacing w:after="0" w:line="18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Diluted EPS, when presented for net income, represents the dilutive effect on a per-share basis from the potential exercise of options and or warrants; the potentially dilutive effect of options or warrants are computed using the treasury stock method. Securities that that have a potentially anti-dilutive effect (i.e., those that increase income per share or decrease loss per share) are excluded from diluted EPS calculation.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has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fiscal year 2023. The fair value of the Company’s common stock underlying the awards granted in fiscal year 2022 and up to the close of the Merger had been determined by the Board of Directors of the Company (the “Board”) with input from management and third-party valuation specialists, as there was no public market for the Company’s common stock. The Board determined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w:t>
      </w:r>
    </w:p>
    <w:p>
      <w:pPr>
        <w:spacing w:after="0" w:line="18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5" w:name="page76"/>
    <w:bookmarkEnd w:id="75"/>
    <w:p>
      <w:pPr>
        <w:ind w:right="280"/>
        <w:spacing w:after="0" w:line="263" w:lineRule="auto"/>
        <w:rPr>
          <w:sz w:val="20"/>
          <w:szCs w:val="20"/>
          <w:color w:val="auto"/>
        </w:rPr>
      </w:pPr>
      <w:r>
        <w:rPr>
          <w:rFonts w:ascii="Arial" w:cs="Arial" w:eastAsia="Arial" w:hAnsi="Arial"/>
          <w:sz w:val="18"/>
          <w:szCs w:val="18"/>
          <w:color w:val="auto"/>
        </w:rPr>
        <w:t>straight-line basis over the requisite service period of the awards, which is generally four to five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earnout shares are equity classified. The initial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sponsors a 401(k) defined contribution plan covering eligible employees who elect to participate. The plan does not provide for any Company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 and sales tax</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Shipping and handling costs are classified as a component of cost of revenue. Fees charged to customers for shipping and handling are recorded as revenue.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Sales tax collected from customers and remitted to taxing authorities is excluded from revenue and is included in accrued liabilities on the Company’s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records interest and penalties related to income tax matters in income tax expense. As of June 30, 2023 and 2022, the Company has no accrued interest and penalties related to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6"/>
          <w:szCs w:val="16"/>
          <w:i w:val="1"/>
          <w:iCs w:val="1"/>
          <w:color w:val="auto"/>
        </w:rPr>
        <w:t>Leases</w:t>
      </w:r>
      <w:r>
        <w:rPr>
          <w:rFonts w:ascii="Arial" w:cs="Arial" w:eastAsia="Arial" w:hAnsi="Arial"/>
          <w:sz w:val="16"/>
          <w:szCs w:val="16"/>
          <w:color w:val="auto"/>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6" w:name="page77"/>
    <w:bookmarkEnd w:id="76"/>
    <w:p>
      <w:pPr>
        <w:ind w:right="600"/>
        <w:spacing w:after="0" w:line="277" w:lineRule="auto"/>
        <w:rPr>
          <w:sz w:val="20"/>
          <w:szCs w:val="20"/>
          <w:color w:val="auto"/>
        </w:rPr>
      </w:pPr>
      <w:r>
        <w:rPr>
          <w:rFonts w:ascii="Arial" w:cs="Arial" w:eastAsia="Arial" w:hAnsi="Arial"/>
          <w:sz w:val="18"/>
          <w:szCs w:val="18"/>
          <w:color w:val="auto"/>
        </w:rPr>
        <w:t>existing leases. The Company did not elect the practical expedient to use hindsight in determining the lease term and in assessing impairment of ROU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adoption of the new standard resulted in the recognition of an operating lease ROU asset and operating lease liability</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of $0.5 million and $0.5 million, respectively, as of July 1, 2022. There was no cumulative impact of transition to retained earnings as of the adoption date. The standard did not impact the accompanying consolidated statements of operations and comprehensive loss and the accompanying consolidated statements of cash flows.</w:t>
      </w:r>
    </w:p>
    <w:p>
      <w:pPr>
        <w:spacing w:after="0" w:line="19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which simplifies the accounting for income taxes by eliminating some exceptions to the general approach in ASC 740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cost and complexity of its application. Most amendments within this guidance are required to be applied on a prospective basis, while certain amendments must be applied on a retrospective or modified retrospective basis. The Company adopted this guidance on July 1, 2022 and it did not have a material impact at the time of adoption on the Company’s consolidated financial statements.</w:t>
      </w:r>
    </w:p>
    <w:p>
      <w:pPr>
        <w:spacing w:after="0" w:line="16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Liabilities from Contracts with Customers, </w:t>
      </w:r>
      <w:r>
        <w:rPr>
          <w:rFonts w:ascii="Arial" w:cs="Arial" w:eastAsia="Arial" w:hAnsi="Arial"/>
          <w:sz w:val="17"/>
          <w:szCs w:val="17"/>
          <w:color w:val="auto"/>
        </w:rPr>
        <w:t>which requires an acquirer to recognize and measure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in a business combination in accordance with ASC 606. The Company adopted this guidance on July 1, 2022 and it did not have a material impact at the time of adoption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 (Topic 326)</w:t>
      </w:r>
      <w:r>
        <w:rPr>
          <w:rFonts w:ascii="Arial" w:cs="Arial" w:eastAsia="Arial" w:hAnsi="Arial"/>
          <w:sz w:val="17"/>
          <w:szCs w:val="17"/>
          <w:color w:val="auto"/>
        </w:rPr>
        <w:t>, which requires an entity to utilize a new impairment model known as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August 2020, the FASB issued ASU 2020 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which simplifies the accounting for convertible debt and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$0.7 million, $0.5 million and $0.4 million as of June 30, 2023, June 30, 2022 and July 1, 2021, respectively. The beginning balance of accounts receivable as of July 1, 2021 was $1.2 million. The amount of contract assets including deferred costs, in the consolidated balance sheets was $2.4 million, $11.3 million and $21.9 million, as of June 30, 2023 and 2022, and July 1, 2021, respectively.</w:t>
      </w:r>
    </w:p>
    <w:p>
      <w:pPr>
        <w:spacing w:after="0" w:line="16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36"/>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693"/>
        <w:spacing w:after="0" w:line="263" w:lineRule="auto"/>
        <w:rPr>
          <w:sz w:val="20"/>
          <w:szCs w:val="20"/>
          <w:color w:val="auto"/>
        </w:rPr>
      </w:pPr>
      <w:r>
        <w:rPr>
          <w:rFonts w:ascii="Arial" w:cs="Arial" w:eastAsia="Arial" w:hAnsi="Arial"/>
          <w:sz w:val="18"/>
          <w:szCs w:val="18"/>
          <w:color w:val="auto"/>
        </w:rPr>
        <w:t>As of June 30, 2023, approximately $4.3 million of revenue is expected to be recognized from remaining performance obligations for customer contracts. The Company expects to recognize revenue on approximately $4.0 million of these remaining performance obligations over the next 12 months with the balance recognized thereafter.</w:t>
      </w:r>
    </w:p>
    <w:p>
      <w:pPr>
        <w:spacing w:after="0" w:line="18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On July 29, 2019, the Company entered into an arrangement with Customer A whereby the Company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June 30, 2023 and June 30, 2022, the Company had incurred $0 and $0.2 million of accrued interest expense,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marketing development payment and related accrued interest to be made to the customer and $2.0 million in handheld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provided to the customer under a previous contract. Through the settlement agreement, the Company agreed to provide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alternative installation and replacement services with a value of $2.0 million and cover expenses on behalf of the customer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 ingress issue resulting from COVID-19 of $3.3 million. The liquid ingress issue was a result of the Company’s devices failure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use of extremely strong commercial disinfectant solutions by the Company’s customers to clean the hardware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devices as a mandatory precaution protocol due to COVID-19. In return, the customer agreed to reduce the payment to be made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to $3.2 million, waive the related accrued interest of $0.8 million and no longer request a refund on a $2.0 million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had previously made for handheld services. Subsequently, $0.2 million interest expense was recognized against the prepaid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and $3.2 million was recognized as a reduction to accounts payable for the payment of the outstanding marketing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in October 2021. Revenue relating to the installation and replacement services provided as a part of the contract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$0.5 million and $1.2 million for the year ended June 30, 2023 and 2022, respectively. The Company will continue to offset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based on the original $5.0 million marketing development fund.</w:t>
      </w:r>
    </w:p>
    <w:p>
      <w:pPr>
        <w:spacing w:after="0" w:line="211" w:lineRule="exact"/>
        <w:rPr>
          <w:sz w:val="20"/>
          <w:szCs w:val="20"/>
          <w:color w:val="auto"/>
        </w:rPr>
      </w:pPr>
    </w:p>
    <w:p>
      <w:pPr>
        <w:jc w:val="both"/>
        <w:ind w:right="180" w:firstLine="648"/>
        <w:spacing w:after="0" w:line="296"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being recorded as contra-revenue over the term of the customer arrangement, with the corresponding credit to additional paid-in capital. Contra-revenue recognized related to the warrant was $1.2 million for the year ended June 30, 2023. Contra-revenue recognized related to the warrant was not material for the year ended June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 Platform</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8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revenue share paid to the Company’s hardware and software vendor under the Company’s AI Platform revenue share agreement ranged from 64% - 68% of the gross billings to the customer for the year ended June 30,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commissions paid to restaurants under the Company’s gaming revenue share agreements ranged between 83% to 90% and 81% to 90% premium content revenue by customer brand for the year ended June 30, 2023 and 2022, respectively.</w:t>
      </w:r>
    </w:p>
    <w:p>
      <w:pPr>
        <w:sectPr>
          <w:pgSz w:w="11900" w:h="16838" w:orient="portrait"/>
          <w:cols w:equalWidth="0" w:num="1">
            <w:col w:w="9920"/>
          </w:cols>
          <w:pgMar w:left="980" w:top="733"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years ended June 30, 2023 and 2022.</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years ended June 30, 2023 and 2022, $2.0 million and $2.3 million of revenue was from leasing arrangements or with predominant leasing components,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all financial instruments measured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As of June 30, 2023</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Unvested Sponsor Shares liability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 liabilities</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As of June 30,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Convertible promissory notes and embedded warrants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Total financial liabilities</w:t>
            </w:r>
          </w:p>
        </w:tc>
        <w:tc>
          <w:tcPr>
            <w:tcW w:w="1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Unvested Sponsor Share Liability</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fair value of the Unvested Sponsor Shares liability was determined by the Company using a Monte Carlo valuation model, which requires significant estimates including the expected volatility of the common stock of the Company based on the historical volatility of comparable publicly traded companies and the risk-free rate.</w:t>
      </w:r>
    </w:p>
    <w:p>
      <w:pPr>
        <w:spacing w:after="0" w:line="184"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Company estimated the fair value of the Unvested Sponsor Share liability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 of June 30, 2023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Merger Date</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and Other Information Related to Convertible Promissory Notes and Embedded Warrants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79" w:name="page80"/>
    <w:bookmarkEnd w:id="79"/>
    <w:p>
      <w:pPr>
        <w:ind w:right="20"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87"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June 30, 2022</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440" w:type="dxa"/>
            <w:vAlign w:val="bottom"/>
            <w:gridSpan w:val="2"/>
          </w:tcPr>
          <w:p>
            <w:pPr>
              <w:jc w:val="right"/>
              <w:ind w:right="610"/>
              <w:spacing w:after="0" w:line="119" w:lineRule="exact"/>
              <w:rPr>
                <w:sz w:val="20"/>
                <w:szCs w:val="20"/>
                <w:color w:val="auto"/>
              </w:rPr>
            </w:pPr>
            <w:r>
              <w:rPr>
                <w:rFonts w:ascii="Arial" w:cs="Arial" w:eastAsia="Arial" w:hAnsi="Arial"/>
                <w:sz w:val="13"/>
                <w:szCs w:val="13"/>
                <w:b w:val="1"/>
                <w:bCs w:val="1"/>
                <w:color w:val="auto"/>
              </w:rPr>
              <w:t>Next</w:t>
            </w:r>
          </w:p>
        </w:tc>
        <w:tc>
          <w:tcPr>
            <w:tcW w:w="1400" w:type="dxa"/>
            <w:vAlign w:val="bottom"/>
            <w:gridSpan w:val="2"/>
          </w:tcPr>
          <w:p>
            <w:pPr>
              <w:jc w:val="right"/>
              <w:ind w:right="590"/>
              <w:spacing w:after="0" w:line="119" w:lineRule="exact"/>
              <w:rPr>
                <w:sz w:val="20"/>
                <w:szCs w:val="20"/>
                <w:color w:val="auto"/>
              </w:rPr>
            </w:pPr>
            <w:r>
              <w:rPr>
                <w:rFonts w:ascii="Arial" w:cs="Arial" w:eastAsia="Arial" w:hAnsi="Arial"/>
                <w:sz w:val="13"/>
                <w:szCs w:val="13"/>
                <w:b w:val="1"/>
                <w:bCs w:val="1"/>
                <w:color w:val="auto"/>
              </w:rPr>
              <w:t>Next</w:t>
            </w:r>
          </w:p>
        </w:tc>
        <w:tc>
          <w:tcPr>
            <w:tcW w:w="880" w:type="dxa"/>
            <w:vAlign w:val="bottom"/>
            <w:gridSpan w:val="2"/>
          </w:tcPr>
          <w:p>
            <w:pPr>
              <w:jc w:val="right"/>
              <w:ind w:right="170"/>
              <w:spacing w:after="0" w:line="119" w:lineRule="exact"/>
              <w:rPr>
                <w:sz w:val="20"/>
                <w:szCs w:val="20"/>
                <w:color w:val="auto"/>
              </w:rPr>
            </w:pPr>
            <w:r>
              <w:rPr>
                <w:rFonts w:ascii="Arial" w:cs="Arial" w:eastAsia="Arial" w:hAnsi="Arial"/>
                <w:sz w:val="13"/>
                <w:szCs w:val="13"/>
                <w:b w:val="1"/>
                <w:bCs w:val="1"/>
                <w:color w:val="auto"/>
                <w:w w:val="95"/>
              </w:rPr>
              <w:t>Change in</w:t>
            </w:r>
          </w:p>
        </w:tc>
        <w:tc>
          <w:tcPr>
            <w:tcW w:w="920" w:type="dxa"/>
            <w:vAlign w:val="bottom"/>
            <w:gridSpan w:val="2"/>
          </w:tcPr>
          <w:p>
            <w:pPr>
              <w:jc w:val="right"/>
              <w:ind w:right="210"/>
              <w:spacing w:after="0" w:line="119" w:lineRule="exact"/>
              <w:rPr>
                <w:sz w:val="20"/>
                <w:szCs w:val="20"/>
                <w:color w:val="auto"/>
              </w:rPr>
            </w:pPr>
            <w:r>
              <w:rPr>
                <w:rFonts w:ascii="Arial" w:cs="Arial" w:eastAsia="Arial" w:hAnsi="Arial"/>
                <w:sz w:val="13"/>
                <w:szCs w:val="13"/>
                <w:b w:val="1"/>
                <w:bCs w:val="1"/>
                <w:color w:val="auto"/>
              </w:rPr>
              <w:t>Maturity</w:t>
            </w: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Default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4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4"/>
              </w:rPr>
              <w:t>Financing - Private</w:t>
            </w:r>
          </w:p>
        </w:tc>
        <w:tc>
          <w:tcPr>
            <w:tcW w:w="14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2"/>
              </w:rPr>
              <w:t>Financing - Public</w:t>
            </w: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Control</w:t>
            </w: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Date</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a summary of the cumulative difference between the carrying amount and the fair value of Level 3 convertible promissory notes and embedded warrants for which the fair value option was elected: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and for the Year Ended June 30, 2022</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1"/>
              <w:spacing w:after="0" w:line="147"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 Earnings to Date</w:t>
            </w: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outstanding convertible promissory notes and embedded warrants as of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Warrants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fair value of the warrant liabilities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4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Rollforward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changes in the fair value of the Company’s Level 3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Sponsor</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w w:val="93"/>
              </w:rPr>
              <w:t>Recognition of warrants and unvested sponsor shares liabilities assumed upon Merger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warrant liabilities and convertible promissory notes</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8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33" w:right="9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Sponsor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Company’s investments without readily determinable fair values, the investment is adjusted if any impairments or observable price changes are identified, which is considered fair value.</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has determined that impairment indicators exist for its property and equipment, so the fair value of the property and equipment was compared to its carrying value (refer to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The fair value was calculated using a discounted cash flow model determined using “Level 3” inputs, due to the lack of relevant observable market data over fair value inputs.</w:t>
      </w:r>
    </w:p>
    <w:p>
      <w:pPr>
        <w:spacing w:after="0" w:line="1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4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allowance for doubtful accounts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beginning of year - June 30, 2021</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end of year - June 30, 2022</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doubtful accounts, end of year - June 30, 2023</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0"/>
        </w:trPr>
        <w:tc>
          <w:tcPr>
            <w:tcW w:w="632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1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880"/>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981" w:right="99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Non-Affiliates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2022, the Company entered into a simple agreement for future equity (SAFE) with a non-affiliated entity, with the Company making a $2.0 million investment in the entity. The non-affiliated entity is a closely held early-stage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19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and possesses no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 whereby the investment is measured at cost less any impairment recorded or adjustments for observable price changes. During the year ended June 30, 2023, no impairments or observable price changes were identified or recorded. The Company considers the cost of the investment to be the maximum exposure to loss as a result of its involvement with the non-affiliated entity. The Company has no plans at this time for further investment or other form of financial support.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49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Computer equipment</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4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right="20" w:firstLine="648"/>
        <w:spacing w:after="0" w:line="259" w:lineRule="auto"/>
        <w:rPr>
          <w:sz w:val="20"/>
          <w:szCs w:val="20"/>
          <w:color w:val="auto"/>
        </w:rPr>
      </w:pPr>
      <w:r>
        <w:rPr>
          <w:rFonts w:ascii="Arial" w:cs="Arial" w:eastAsia="Arial" w:hAnsi="Arial"/>
          <w:sz w:val="18"/>
          <w:szCs w:val="18"/>
          <w:color w:val="auto"/>
        </w:rPr>
        <w:t>Depreciation expense was $1.3 million and $1.6 million for the years ended June 30, 2023 and 2022, respectively, of which $1.2 million and $1.5 million, respectively, was related to capital leased equipment and was recorded in cost of revenue in the Company’s consolidated statement of operations and comprehensive loss. The remainder of depreciation expense was recorded in operating expenses for the years ended June 30, 2023 and 2022.</w:t>
      </w:r>
    </w:p>
    <w:p>
      <w:pPr>
        <w:spacing w:after="0" w:line="18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year ended June 30, 2022, the Company recognized a loss on impairment of $0.6 million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2" w:name="page83"/>
    <w:bookmarkEnd w:id="82"/>
    <w:p>
      <w:pPr>
        <w:ind w:right="260"/>
        <w:spacing w:after="0" w:line="277" w:lineRule="auto"/>
        <w:rPr>
          <w:sz w:val="20"/>
          <w:szCs w:val="20"/>
          <w:color w:val="auto"/>
        </w:rPr>
      </w:pPr>
      <w:r>
        <w:rPr>
          <w:rFonts w:ascii="Arial" w:cs="Arial" w:eastAsia="Arial" w:hAnsi="Arial"/>
          <w:sz w:val="18"/>
          <w:szCs w:val="18"/>
          <w:color w:val="auto"/>
        </w:rPr>
        <w:t>in the extent the property and equipment were being used. The Company evaluated the recoverability of the assets and concluded they were not recoverable. There was no impairment charge in the year ended June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495"/>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Computer equipment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5"/>
          </w:tcPr>
          <w:p>
            <w:pPr>
              <w:jc w:val="center"/>
              <w:spacing w:after="0" w:line="201" w:lineRule="exact"/>
              <w:rPr>
                <w:sz w:val="20"/>
                <w:szCs w:val="20"/>
                <w:color w:val="auto"/>
              </w:rPr>
            </w:pPr>
            <w:r>
              <w:rPr>
                <w:rFonts w:ascii="Arial" w:cs="Arial" w:eastAsia="Arial" w:hAnsi="Arial"/>
                <w:sz w:val="18"/>
                <w:szCs w:val="18"/>
                <w:color w:val="auto"/>
                <w:w w:val="90"/>
              </w:rPr>
              <w:t>Shorter of estimated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92"/>
              </w:rPr>
              <w:t>useful life or remaining</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85"/>
              </w:rPr>
              <w:t>lease term</w:t>
            </w:r>
          </w:p>
        </w:tc>
        <w:tc>
          <w:tcPr>
            <w:tcW w:w="0" w:type="dxa"/>
            <w:vAlign w:val="bottom"/>
          </w:tcPr>
          <w:p>
            <w:pPr>
              <w:spacing w:after="0"/>
              <w:rPr>
                <w:sz w:val="1"/>
                <w:szCs w:val="1"/>
                <w:color w:val="auto"/>
              </w:rPr>
            </w:pPr>
          </w:p>
        </w:tc>
      </w:tr>
      <w:tr>
        <w:trPr>
          <w:trHeight w:val="28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660"/>
              <w:spacing w:after="0"/>
              <w:rPr>
                <w:sz w:val="20"/>
                <w:szCs w:val="20"/>
                <w:color w:val="auto"/>
              </w:rPr>
            </w:pPr>
            <w:r>
              <w:rPr>
                <w:rFonts w:ascii="Arial" w:cs="Arial" w:eastAsia="Arial" w:hAnsi="Arial"/>
                <w:sz w:val="18"/>
                <w:szCs w:val="18"/>
                <w:color w:val="auto"/>
              </w:rPr>
              <w:t>Intangible assets, net consisted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gross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62"/>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Amortization expense of intangible assets was $0.3 million and $0.1 for the years ended June 30, 2023 and 2022, respectively. Within capitalized software as of June 30, 2023 and 2022, $9.4 million and $2.8 million are in-process capitalized software costs, respectively, and accordingly, the amortization of such costs is excluded from the table below. During the year ended June 30, 2022, the Company recognized a loss on impairment of $0.1 million related to its capitalized software in cost of revenue in the Company’s consolidated statement of operations and comprehensive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660"/>
              <w:spacing w:after="0"/>
              <w:rPr>
                <w:sz w:val="20"/>
                <w:szCs w:val="20"/>
                <w:color w:val="auto"/>
              </w:rPr>
            </w:pPr>
            <w:r>
              <w:rPr>
                <w:rFonts w:ascii="Arial" w:cs="Arial" w:eastAsia="Arial" w:hAnsi="Arial"/>
                <w:sz w:val="18"/>
                <w:szCs w:val="18"/>
                <w:color w:val="auto"/>
                <w:w w:val="98"/>
              </w:rPr>
              <w:t>Total future amortization expense for intangible assets was estimated as follows: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7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0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vacation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repair cost (Refer to Note 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33"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Unvested Sponsor Shares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9"/>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June 30, 2023, the Company recorded a ROU asset of $0.5 million within other long-term assets on the consolidated balance sheet. As of June 30, 2023, the Company also recorded operating lease liabilities of $0.5 million, of which $0.4 million and $0.1 million were included in accrued liabilities and other long-term liabilities, respectively, on the consolidated balance sheet. The Company adopted ASC 842 on July 1, 2022, and accordingly, no amounts were recorded for ROU assets or operating lease liabilities as of June 30, 2022. Refer to Note 1 for further details.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year ended June 30, 2023, the Company recorded operating lease costs of $0.4 million. The operating lease costs for the year ended June 30, 2023 included variable operating lease costs of less than $0.1.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information related to the Company’s operating lease was as follows for the year ended June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 (1)</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4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years</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36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 includes $0.5 million related to the adoption of ASC 842 for existing operating leases on July 1, 2022, and $0.3 million related to the Company entering into a new non-cancellable operating lease agreement during the year ended June 30, 2023.</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Future minimum lease payments under the Company’s non-cancellable operating leases with an initial lease term in excess of one year subsequent to June 30, 2023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As of June 30,</w:t>
            </w:r>
          </w:p>
        </w:tc>
      </w:tr>
      <w:tr>
        <w:trPr>
          <w:trHeight w:val="228"/>
        </w:trPr>
        <w:tc>
          <w:tcPr>
            <w:tcW w:w="624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lease payments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future minimum lease payments</w:t>
            </w:r>
          </w:p>
        </w:tc>
        <w:tc>
          <w:tcPr>
            <w:tcW w:w="2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0"/>
        </w:trPr>
        <w:tc>
          <w:tcPr>
            <w:tcW w:w="6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Under the previous lease accounting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aggregate future minimum lease payments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non-cancellable operating leases, as of June 30, 2022, was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As of June 30,</w:t>
            </w:r>
          </w:p>
        </w:tc>
      </w:tr>
      <w:tr>
        <w:trPr>
          <w:trHeight w:val="228"/>
        </w:trPr>
        <w:tc>
          <w:tcPr>
            <w:tcW w:w="87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 ended June 30, 2023 and 2022 was $0.5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6. Financing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financing obligations, net of discounts,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51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r>
      <w:tr>
        <w:trPr>
          <w:trHeight w:val="21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financing obligations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financing obligations, noncurrent</w:t>
            </w: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right="220" w:firstLine="648"/>
        <w:spacing w:after="0" w:line="269" w:lineRule="auto"/>
        <w:rPr>
          <w:sz w:val="20"/>
          <w:szCs w:val="20"/>
          <w:color w:val="auto"/>
        </w:rPr>
      </w:pPr>
      <w:r>
        <w:rPr>
          <w:rFonts w:ascii="Arial" w:cs="Arial" w:eastAsia="Arial" w:hAnsi="Arial"/>
          <w:sz w:val="17"/>
          <w:szCs w:val="17"/>
          <w:color w:val="auto"/>
        </w:rPr>
        <w:t>On April 27, 2021, the Company entered into an investment arrangement to enable an outside investor to invest in the Company’s future receivables, in exchange for an upfront payment. Through this arrangement, the Company obtained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investor to mutually agree to roll forward the Company’s borrowings as they come due.</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investor, the Company may continue rolling forward the receivable financing facility.</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April 14, 2023, the Company entered into an amended and restated investment arrangement to amend the periodic payment amounts under the investment agreement for which the Company evaluated under ASC 470-60, “Troubled Debt Restructurings by Debtors.” Due to indicators of financial difficulty for the Company at this date, and the lenders granting concession resulting in the effective borrowing rate under the amended agreement being less than the effective borrowing rate under the previous agreement, the amendments were accounted for as a troubled debt restructuring. The Company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June 20, 2023, the Company entered into a second consolidated and amended and restated investment arrangement to amend the periodic payment amounts to be made under the investment agreement. The Company did not pay or provide any consideration in exchange for this amendment. The amended arrangement calls for monthly payments of principal and interest totaling an aggregate of $1.5 million and $3.0 million in fiscal years 2024 and 2025, respectively. This arrangement amended the amended and restated investment arrangement the Company entered into on April 14, 2023, which amended the payment due dates and periodic payment amounts to be made under the investment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Beginning in 2019, the Company entered into equipment financing facilities with third-party financing partners to finance certain tablet purchases. The arrangements generally have terms ranging from three – five years and interest rates ranging from 8%-14%. The Company then leases the tablets to one of its customers through operating leases with 4-year terms.</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During the year ended June 30, 2023, due to the Company’s liquidity position and other commitments, the Company postponed certain payments on certain equipment financing facilities, which resulted in the Company defaulting on the arrangement. The Company remedied the matter with the following repayment agreements. On November 4, 2022, the Company executed an amendment with one of its equipment financing facilities to defer the non-payments, which increased the monthly payments due for the remaining term of the arrangement. On November 21, 2022, the Company entered into an agreement to terminate one of its equipment financing facilities early and repaid the arrangement by making a cash disbursement of $0.4 million, which extinguished all obligations and resulted in $0.3 million being recorded as a loss on extinguishment of debt and financial obligations on the consolidated statement of operations and comprehensive loss. As a result of the amendment executed on November 4, 2022 and early</w:t>
      </w:r>
    </w:p>
    <w:p>
      <w:pPr>
        <w:sectPr>
          <w:pgSz w:w="11900" w:h="16838" w:orient="portrait"/>
          <w:cols w:equalWidth="0" w:num="1">
            <w:col w:w="9920"/>
          </w:cols>
          <w:pgMar w:left="980" w:top="729"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85" w:name="page86"/>
    <w:bookmarkEnd w:id="85"/>
    <w:p>
      <w:pPr>
        <w:ind w:right="440"/>
        <w:spacing w:after="0" w:line="342" w:lineRule="auto"/>
        <w:rPr>
          <w:sz w:val="20"/>
          <w:szCs w:val="20"/>
          <w:color w:val="auto"/>
        </w:rPr>
      </w:pPr>
      <w:r>
        <w:rPr>
          <w:rFonts w:ascii="Arial" w:cs="Arial" w:eastAsia="Arial" w:hAnsi="Arial"/>
          <w:sz w:val="16"/>
          <w:szCs w:val="16"/>
          <w:color w:val="auto"/>
        </w:rPr>
        <w:t>termination executed on November 21, 2022, the default on payments due as described above was waived and the Company is in compliance as of June 30, 2023. The obligations under these arrangements are in financing obligations, current as of June 30, 2023.</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fiscal year 2022, the Company defaulted on certain equipment financing facilities due to non-payment of rent. Default under the arrangements permits the financing partner to declare the amounts owed under the arrangement due and payable and exercise its right to secure the tablets under lease. As a result, the Company reclassified all of its obligations under these arrangements that were in default as short-term within financing obligations, current as of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net of debt discounts,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47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Credit Agreement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PPP Loan</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117,106</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current</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(115,106)</w:t>
            </w:r>
          </w:p>
        </w:tc>
      </w:tr>
      <w:tr>
        <w:trPr>
          <w:trHeight w:val="209"/>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 noncurrent</w:t>
            </w:r>
          </w:p>
        </w:tc>
        <w:tc>
          <w:tcPr>
            <w:tcW w:w="2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0"/>
        </w:trPr>
        <w:tc>
          <w:tcPr>
            <w:tcW w:w="4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On September 21, 2022, in connection with the consummation of the Merger, the Company entered into a Credit Agreement (the “Credit Agreement”) with the subsidiary guarantors party thereto, Metropolitan Partners Group Administration, LLC (“Metropolitan”), as administrative, payment and collateral agent (the “Agent”), the lenders (“Lenders”) and other parties party thereto, pursuant to which the Lenders extended term loans having an aggregate original principal amount of $55.0 million (the “Term Loans”). The Term Loans were borrowed in full on September 21, 2022. In conjunction with the initial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warrants.</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This was extended by three months in the First Amendment to the Credit Agreement described below. With respect to interest accruing after the 12-month anniversary of the closing date, but before the 18-month anniversary of the closing date, the Company may elect for 50% of the interest payment to be capitalized as PIK Interest on a monthly basis. Refer to Note 16 for details on revisions to the Credit Agreement. The Term Loans mature on March 21, 2025.</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Term Loans may be prepaid by the Company; however, any voluntary or mandatory prepayment made prior to the 18-month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6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condition to entering into the Credit Agreement, the Sponsors agreed to transfer 600,000 Presto. shares to the Lender. The share transfer by the Sponsor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discount of $2.8 million in the consolidated balance sheet with an offsetting increase to additional paid-in capital for the contribution.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 million in conjunction with the signing of the Credit Agreement which were recorded as a debt discount.</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6" w:name="page87"/>
    <w:bookmarkEnd w:id="86"/>
    <w:p>
      <w:pPr>
        <w:ind w:firstLine="648"/>
        <w:spacing w:after="0" w:line="254" w:lineRule="auto"/>
        <w:rPr>
          <w:sz w:val="20"/>
          <w:szCs w:val="20"/>
          <w:color w:val="auto"/>
        </w:rPr>
      </w:pPr>
      <w:r>
        <w:rPr>
          <w:rFonts w:ascii="Arial" w:cs="Arial" w:eastAsia="Arial" w:hAnsi="Arial"/>
          <w:sz w:val="18"/>
          <w:szCs w:val="18"/>
          <w:color w:val="auto"/>
        </w:rPr>
        <w:t>In March 2023, the Company entered into the First Amendment to the Credit Agreement (the “First Amendment”) in which the parties amended certain covenants and payment provisions of the Credit Agreement. In connection with the First Amendment, the Company entered into the Amended and Restated Fee Letter (the “Fee Letter”) with Metropolitan, for which the Company paid an amendment fee equal to $0.2 million and granted warrants to purchase 400,000 shares of common stock of the Company with an exercise price of $0.01 per share (the “First Amendment Warrants”) to the Lenders. The First Amendment Warrants met the criteria for classification as liabilities. The Company recorded a debt discount of $0.8 million which represents the amendment fee plus the fair value of the First Amendment Warrants. Refer to Note 10.</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the Company obtained a waiver, pursuant to the First Amendment, of the minimum cash covenant for February 28, 2023 and March 31, 2023, the net leverage ratio for the period from February 28, 2023 through May 31, 2023 and any default occurring from the Company’s failure to notify the Lenders of the separation of the Company’s chief executive officer from the Board in March 2023.</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22, 2023, the Company entered into the Second Amendment to Credit Agreement (the “Second Amendment”) pursuant to which certain covenants in the Credit Agreement, as previously amended in the First Amendment and the Lenders agreed to the exchange of an aggregate of $1.0 million of accrued and previously capitalized interest for warrants to purchase 500,000 shares of the Company’s Common Stock at an exercise price of $0.01 per share (the “Second Amendment Conversion Warrants”). The effectiveness of the Second Amendment was conditioned, in part, upon evidence of a gross amount of additional equity investments of $9.0 million, to be used for working capital purposes, which the Company received upon closing of the Private Placement.</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effectiveness of the Second Amendment and in consideration for the Lenders entering into the Second Amendment, the Company entered into the Second Amended and Restated Fee Letter (the “Second Fee Letter”) with the Agent, pursuant to which the Company issued warrants to purchase 2,000,000 shares of the Company’s Common Stock, with an exercise price of $0.01 per share (the “Second Amendment Fee Warrants” and, together with the Second Amendment Conversion Warrants, the “Second Amendment Warrants”), to the Lenders as an amendment fee. The Second Amendment Warrants met the criteria for classification as liabilities. The Company recorded a debt discount of $5.2 million which represents the amendment fee plus the fair value of the Second Amendment Warrants. Refer to Note 10.</w:t>
      </w:r>
    </w:p>
    <w:p>
      <w:pPr>
        <w:spacing w:after="0" w:line="19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During the year ended June 30, 2023, the Company recorded PIK interest expense amounts of $5.4 million, which has been reflected as an increase to the outstanding debt balance. Further, during the year ended June 30, 2023, the Company recorded interest expense associated with the amortization of debt discounts of $2.2 million. Accordingly, as at June 30, 2023, the term loans, noncurrent balance of $50.6 million reflects $55.0 million of principal and $5.4 million of PIK interest accrual, reduced by $9.8 million of unamortized debt issuance costs. The Company also pays a debt monitoring fee under the Credit Agreement of $0.1 million per quarter which is recorded as interest expense in the consolidated statement of operations and comprehensive loss. The Company had no outstanding amounts related to the Credit Agreement as of June 30, 2022.</w:t>
      </w:r>
    </w:p>
    <w:p>
      <w:pPr>
        <w:spacing w:after="0" w:line="17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The Company must comply with certain financial covenants as set forth in the Credit Agreement, including a minimum cash covenant and maximum net leverage ratio of 1.20 to 1.00. The net leverage ratio covenant was removed subsequent to the end of fiscal year ended June 30, 2023. Refer to Note 16 for further details.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The amendments to the covenants in the Credit Agreement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 The Company was not in compliance with the maximum net leverage ratio and other instances of default occurred as of June 30, 2023 and subsequent to year end. Refer to Note 16 for further details of the Lender’s waiver of the instances of non-compliance. Further, since the Company cannot be certain it will be in compliance with all covenants in the next twelve months if additional financing is not secured, the Company has classified the balance of the Credit Agreement, as amended, as current on the consolidated balance sheet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connection with the Second Amendment, the Company issued the second amendment metropolitan warrants (the “Second Amendment Warrants”). The Second Amendment Warrants may be exercised for cash or a net exercise at any time on or before the date that is the five year anniversary of the date of the issuance of the Second Amendment Warrants;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affect the exercise of any portion of the warrant where the effect is the holder, together with its affiliates would beneficially own in excess of 4.99% of the Common Stock outstanding immediately after giving effect to such exercise.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issuance of the Second Amendment Warrants, the Company entered into a customary registration right for the shares of Common Stock issuable upon exercise of the Second Amendment Warrants for which the Registration Statement was declared effective by the SEC on July 6,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June 30, 2022, the Company had convertible notes outstanding to various investors, all of which were accounted for under the fair value option. As of June 30 2022, the fair value of such convertible promissory notes was $89.7 million. In conjunction with the Merger, all convertible promissory notes were converted into shares of the Company’s Common Stock. Further, also on the date of the Merger, certain convertible notes which were issued with warrants also had the related warrants converted into shares of Common Stock. As a consequence of the note and warrant conversion, 8,147,938 shares of Common Stock were issued. Immediately prior to conversion, the convertible promissory notes were remeasured to the-then fair value of $41.4 million, resulting in a gain on remeasurement of $48.3 million which was recorded within change in fair value of warrants and convertible promissory notes on the consolidated statement of operations and comprehensive loss for the year ended June 30, 2023. As a consequence of the conversion, $41.4 million was reclassified into additional paid-in capital.</w:t>
      </w:r>
    </w:p>
    <w:p>
      <w:pPr>
        <w:spacing w:after="0" w:line="181" w:lineRule="exact"/>
        <w:rPr>
          <w:sz w:val="20"/>
          <w:szCs w:val="20"/>
          <w:color w:val="auto"/>
        </w:rPr>
      </w:pPr>
    </w:p>
    <w:p>
      <w:pPr>
        <w:ind w:right="20" w:firstLine="738"/>
        <w:spacing w:after="0" w:line="275" w:lineRule="auto"/>
        <w:rPr>
          <w:sz w:val="20"/>
          <w:szCs w:val="20"/>
          <w:color w:val="auto"/>
        </w:rPr>
      </w:pPr>
      <w:r>
        <w:rPr>
          <w:rFonts w:ascii="Arial" w:cs="Arial" w:eastAsia="Arial" w:hAnsi="Arial"/>
          <w:sz w:val="17"/>
          <w:szCs w:val="17"/>
          <w:color w:val="auto"/>
        </w:rPr>
        <w:t>During the year ended June 30, 2022 the Company issued the convertible promissory notes for $0.5 million in July 2021 and $25.7 million in February 2022. The convertible promissory notes issued in February 2022 repaid convertible promissory notes issued in June 2021 for $20.0 million. During the year ended June 30, 2022, the Company recorded a loss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9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September 21, 2022, in connection with the entry into the Credit Agreement,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consolidated statement of operations and comprehensive loss for the year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 million, bears interest at the greater of 12% plus the greater of 1% or 30-day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the Company’s Common Stock in connection with the Lago Loan. Refer to Note 10 for further details.</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8" w:name="page89"/>
    <w:bookmarkEnd w:id="88"/>
    <w:p>
      <w:pPr>
        <w:ind w:right="20" w:firstLine="648"/>
        <w:spacing w:after="0" w:line="255" w:lineRule="auto"/>
        <w:rPr>
          <w:sz w:val="20"/>
          <w:szCs w:val="20"/>
          <w:color w:val="auto"/>
        </w:rPr>
      </w:pPr>
      <w:r>
        <w:rPr>
          <w:rFonts w:ascii="Arial" w:cs="Arial" w:eastAsia="Arial" w:hAnsi="Arial"/>
          <w:sz w:val="18"/>
          <w:szCs w:val="18"/>
          <w:color w:val="auto"/>
        </w:rPr>
        <w:t>On August 4, 2022, the Company amended the Lago Loan which provided the Company with $5.3 million. Further, as part of the amendment to the Lago Loan, the Company issued an additional 169,310 warrants to purchase Common Stock in connection with the additional tranche. Refer to Note 10 for further details. The warrants met the criteria for liability classification and are valued at $0.4 million at June 30, 2023. The Company determined that the amendment with the lender should be accounted for as an extinguishment and recorded as a loss on extinguishment of debt and financial obligations of $6.0 million on its consolidated statement of operations and comprehensive loss for the year ended June 30, 2023.</w:t>
      </w:r>
    </w:p>
    <w:p>
      <w:pPr>
        <w:spacing w:after="0" w:line="19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entry into the Credit Agreement (described above) on September 21, 2022, the Company repaid all outstanding loans by making a cash disbursement of $22.4 million, of which $17.9 million was repayment of principal and $0.1 million was payment of payable in-kind interest. Further, $4.4 million of cash was paid related to prepayment and other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April 2020, the Company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No collateral or personal guarantees were required for the loan. The PPP loans would bear an interest rate of 1% and a maturity of two years for the first loan and five years for the second loan. The Company’s accounting policy provides that if the loans are forgiven, the forgiven loan balance will be recognized as income in the period of forgiveness. During the year ended June 30, 2022, the Company received forgiveness of the first PPP loan of $2.6 million and recognized income on forgiveness within other income, net. During the year ended June 30, 2023, the Company received forgiveness of the second PPP loan of $2.0 million and recognized income on forgiveness within other income, net.</w:t>
      </w:r>
    </w:p>
    <w:p>
      <w:pPr>
        <w:spacing w:after="0" w:line="2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principal payments on debt including interest payments elected to be capitalized as PIK Interest for the Company’s fiscal years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As of June 30,</w:t>
            </w:r>
          </w:p>
        </w:tc>
      </w:tr>
      <w:tr>
        <w:trPr>
          <w:trHeight w:val="215"/>
        </w:trPr>
        <w:tc>
          <w:tcPr>
            <w:tcW w:w="8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60,448</w:t>
            </w:r>
          </w:p>
        </w:tc>
      </w:tr>
      <w:tr>
        <w:trPr>
          <w:trHeight w:val="210"/>
        </w:trPr>
        <w:tc>
          <w:tcPr>
            <w:tcW w:w="8520" w:type="dxa"/>
            <w:vAlign w:val="bottom"/>
          </w:tcPr>
          <w:p>
            <w:pPr>
              <w:spacing w:after="0"/>
              <w:rPr>
                <w:sz w:val="20"/>
                <w:szCs w:val="20"/>
                <w:color w:val="auto"/>
              </w:rPr>
            </w:pPr>
            <w:r>
              <w:rPr>
                <w:rFonts w:ascii="Arial" w:cs="Arial" w:eastAsia="Arial" w:hAnsi="Arial"/>
                <w:sz w:val="18"/>
                <w:szCs w:val="18"/>
                <w:color w:val="auto"/>
              </w:rPr>
              <w:t>Total future payments on debt obligations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60,448</w:t>
            </w: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 ended June 30, 2023 and 2022, the Company has incurred costs to refurbish Presto Touch tablets of $1.5 million and $3.0 million, respectively, recorded in cost of Platform revenue in the Company’s consolidated statements of operations and comprehensive loss. In connection with the service level agreements, the Company has recorded $0.4 million and $0.7 million in accrued liabilities in the consolidated balance sheets as of June 30, 2023 and June 30, 2022, respectively, for expected repair costs for Presto Touch tablets currently in the Company’s RMA process.</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9" w:name="page90"/>
    <w:bookmarkEnd w:id="89"/>
    <w:p>
      <w:pPr>
        <w:ind w:right="300"/>
        <w:spacing w:after="0" w:line="277" w:lineRule="auto"/>
        <w:rPr>
          <w:sz w:val="20"/>
          <w:szCs w:val="20"/>
          <w:color w:val="auto"/>
        </w:rPr>
      </w:pPr>
      <w:r>
        <w:rPr>
          <w:rFonts w:ascii="Arial" w:cs="Arial" w:eastAsia="Arial" w:hAnsi="Arial"/>
          <w:sz w:val="18"/>
          <w:szCs w:val="18"/>
          <w:color w:val="auto"/>
        </w:rPr>
        <w:t>any other company or enterprise at the Company’s request. The Company maintains director and officer insurance coverage that may enable the Company to recover a portion of any future amounts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year ended June 30, 2022, the Company continued to experience higher than normal hardware returns for repair or replacement using an RMA.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that leaked into the hardware causing significant damage to the devices and requiring replacement of such devices.</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standard warranty the Company provides covers regular wear and tear and does not cover any damage caused by mishandling of the product. However, given the nature of issues, the Company, in order to prevent disruption to the Company’s customers’ businesses, incurred approximately $0.6 million of repair and replacement expenses related to this issue during the year ended June 30, 2022. The Company provided repair and replacement of its hardware devices to all of its customers as a one-time only accommodation due to COVID-19. The Company has also made a claim to recover the costs from its third-party subcontractor who manufactures the hardware.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below. The Company incurred no repair and replacement expenses related to this issue in the year ended June 30,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spacing w:after="0" w:line="18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U.S. District Court for the district of Delaware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17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June 30, 2023. As a result, the Company has not recognized any gain related to this settlement in its consolidated statement of operations and comprehensive loss.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July 2023, the Company and certain of its current and former executive officers received notices of preservation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subpoenas from the staff of the U.S. Securities and Exchange Commission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w:t>
      </w:r>
    </w:p>
    <w:p>
      <w:pPr>
        <w:sectPr>
          <w:pgSz w:w="11900" w:h="16838" w:orient="portrait"/>
          <w:cols w:equalWidth="0" w:num="1">
            <w:col w:w="9900"/>
          </w:cols>
          <w:pgMar w:left="980" w:top="733"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type w:val="continuous"/>
        </w:sectPr>
      </w:pPr>
    </w:p>
    <w:bookmarkStart w:id="90" w:name="page91"/>
    <w:bookmarkEnd w:id="90"/>
    <w:p>
      <w:pPr>
        <w:ind w:right="100"/>
        <w:spacing w:after="0" w:line="277" w:lineRule="auto"/>
        <w:rPr>
          <w:sz w:val="20"/>
          <w:szCs w:val="20"/>
          <w:color w:val="auto"/>
        </w:rPr>
      </w:pPr>
      <w:r>
        <w:rPr>
          <w:rFonts w:ascii="Arial" w:cs="Arial" w:eastAsia="Arial" w:hAnsi="Arial"/>
          <w:sz w:val="18"/>
          <w:szCs w:val="18"/>
          <w:color w:val="auto"/>
        </w:rPr>
        <w:t>unable to assess whether any material loss is reasonably possible as a result of these investigations or estimate the range of any potential loss.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year 2023, the Company received a legal demand with certain former employees who were part of its May</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2022 acquisition of Cyborg Ops, Inc. The demand relates to the basis of their change in employment status and whether certain unvested equity in the amount of 256,891 restricted stock awards, which were forfeited and cancelled upon their departure in accordance with the terms of their employment contracts, warranted full and accelerated vestiture upon their last date of employment with the Company. The Company maintains that it is not probable that there is a financial obligation related to this matter nor can the Company estimate any reasonable possible loss at this time, accordingly the Company has not recorded a charge for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22, 2023, the Company entered into a securities purchase agreement, pursuant to which the Company agreed to sell an aggregate of 4,760,500 newly issued shares of the Company’s Common Stock, at a purchase price of $2.00 per share for an aggregate purchase price of approximately $9.5 million. The investors include existing shareholders of the Company and new investors.</w:t>
      </w:r>
    </w:p>
    <w:p>
      <w:pPr>
        <w:spacing w:after="0" w:line="14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On September 15, 2022, the Company (then Legacy Presto), received an equity investment of $1.0 million from an investor in exchange for 133,333 shares in the Company Common Stock. Further, such investor held a significant portion of outstanding convertible notes on the date the investment was made. The Company recorded the proceeds received as an increase to additional paid-in capital.</w:t>
      </w:r>
    </w:p>
    <w:p>
      <w:pPr>
        <w:spacing w:after="0" w:line="14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termination fee valued at $1.6 million recorded within other financing and financial instrument (costs) income, net on the consolidated statement of operations and comprehensive loss, with an offsetting increase to additional paid-in capital. The Company also agreed to pay certain expenses of Silver Rock in the amount of $0.5 million which is recorded within other financing and financial instrument (costs) income, net on the consolidated statement of operations and comprehensive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other financing cost of $0.8 million within other financing and financial instrument (costs) income, net on the consolidated statement of operations and comprehensive loss with an offsetting increase to additional paid-in capital for the contribution.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44" w:lineRule="exact"/>
        <w:rPr>
          <w:sz w:val="20"/>
          <w:szCs w:val="20"/>
          <w:color w:val="auto"/>
        </w:rPr>
      </w:pPr>
    </w:p>
    <w:p>
      <w:pPr>
        <w:jc w:val="both"/>
        <w:ind w:right="100" w:firstLine="432"/>
        <w:spacing w:after="0" w:line="266" w:lineRule="auto"/>
        <w:rPr>
          <w:sz w:val="20"/>
          <w:szCs w:val="20"/>
          <w:color w:val="auto"/>
        </w:rPr>
      </w:pPr>
      <w:r>
        <w:rPr>
          <w:rFonts w:ascii="Arial" w:cs="Arial" w:eastAsia="Arial" w:hAnsi="Arial"/>
          <w:sz w:val="18"/>
          <w:szCs w:val="18"/>
          <w:color w:val="auto"/>
        </w:rPr>
        <w:t>Prior to the retroactive impact of the recapitalization, the summary of the Convertible Preferred Stock outstanding and other related information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r>
      <w:tr>
        <w:trPr>
          <w:trHeight w:val="210"/>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r>
      <w:tr>
        <w:trPr>
          <w:trHeight w:val="229"/>
        </w:trPr>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Original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Issuable</w:t>
            </w:r>
          </w:p>
        </w:tc>
      </w:tr>
      <w:tr>
        <w:trPr>
          <w:trHeight w:val="229"/>
        </w:trPr>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2"/>
              </w:rPr>
              <w:t>Issue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940" w:type="dxa"/>
            <w:vAlign w:val="bottom"/>
          </w:tcPr>
          <w:p>
            <w:pPr>
              <w:jc w:val="right"/>
              <w:ind w:right="152"/>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Liquidation</w:t>
            </w:r>
          </w:p>
        </w:tc>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Upon</w:t>
            </w:r>
          </w:p>
        </w:tc>
      </w:tr>
      <w:tr>
        <w:trPr>
          <w:trHeight w:val="233"/>
        </w:trPr>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Authorized</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Preference</w:t>
            </w:r>
          </w:p>
        </w:tc>
        <w:tc>
          <w:tcPr>
            <w:tcW w:w="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Conversion</w:t>
            </w:r>
          </w:p>
        </w:tc>
      </w:tr>
      <w:tr>
        <w:trPr>
          <w:trHeight w:val="213"/>
        </w:trPr>
        <w:tc>
          <w:tcPr>
            <w:tcW w:w="2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Series A</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$ 0.3017</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9,410,799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AA-1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9.3597</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1,131,190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1,024,349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1,024,349</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AA-2</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169,083</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B</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0.9959</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10,364,829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10,364,829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10,364,829</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B-1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0.6711</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4,619,282</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3,026,634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1,513,316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1,513,316</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C-1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5.2864</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2,030,761</w:t>
            </w:r>
          </w:p>
        </w:tc>
      </w:tr>
      <w:tr>
        <w:trPr>
          <w:trHeight w:val="209"/>
        </w:trPr>
        <w:tc>
          <w:tcPr>
            <w:tcW w:w="2640" w:type="dxa"/>
            <w:vAlign w:val="bottom"/>
          </w:tcPr>
          <w:p>
            <w:pPr>
              <w:ind w:left="12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30,752,578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28,343,420</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46,564</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46,908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$ 28,343,420</w:t>
            </w:r>
          </w:p>
        </w:tc>
      </w:tr>
      <w:tr>
        <w:trPr>
          <w:trHeight w:val="20"/>
        </w:trPr>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color w:val="auto"/>
        </w:rPr>
        <w:t>As any liquidation event must first be approved by the Board, which is controlled by the Company and its Common Stockholders, the convertible Preferred Stock is classified as permanent equity in the Company’s consolidated balance sheet as of June 30, 2022. The rights, preferences, privileges, restrictions, and other matters relating to the Preferred Stock are set forth in the Company’s Amended and Restated Certificate of Incorporation dated May 24, 2022, as amended, and are summarized as follows:</w:t>
      </w:r>
    </w:p>
    <w:p>
      <w:pPr>
        <w:spacing w:after="0" w:line="104" w:lineRule="exact"/>
        <w:rPr>
          <w:sz w:val="20"/>
          <w:szCs w:val="20"/>
          <w:color w:val="auto"/>
        </w:rPr>
      </w:pPr>
    </w:p>
    <w:p>
      <w:pPr>
        <w:jc w:val="both"/>
        <w:ind w:right="100" w:firstLine="432"/>
        <w:spacing w:after="0" w:line="296"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 Holders of Series A Convertible Preferred Stock, Series B Convertible Preferred Stock, Series B-1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Series C Convertible Preferred Stock, and Series C-1 Convertible Preferred Stock (collectively, the “Senior Preferred Stock”), were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80" w:lineRule="exact"/>
        <w:rPr>
          <w:sz w:val="20"/>
          <w:szCs w:val="20"/>
          <w:color w:val="auto"/>
        </w:rPr>
      </w:pPr>
    </w:p>
    <w:p>
      <w:pPr>
        <w:jc w:val="both"/>
        <w:ind w:right="100" w:firstLine="432"/>
        <w:spacing w:after="0" w:line="255" w:lineRule="auto"/>
        <w:rPr>
          <w:sz w:val="20"/>
          <w:szCs w:val="20"/>
          <w:color w:val="auto"/>
        </w:rPr>
      </w:pPr>
      <w:r>
        <w:rPr>
          <w:rFonts w:ascii="Arial" w:cs="Arial" w:eastAsia="Arial" w:hAnsi="Arial"/>
          <w:sz w:val="18"/>
          <w:szCs w:val="18"/>
          <w:color w:val="auto"/>
        </w:rPr>
        <w:t>After the holders of the Senior Preferred Stock would have received full dividend preference, dividends could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could be declared and paid to all holders of Series AA-2 Convertible Preferred Stock, in preference to the holders of the Company’s Common Stock, at a rate of $0.2657 per share per annum.</w:t>
      </w:r>
    </w:p>
    <w:p>
      <w:pPr>
        <w:spacing w:after="0" w:line="125" w:lineRule="exact"/>
        <w:rPr>
          <w:sz w:val="20"/>
          <w:szCs w:val="20"/>
          <w:color w:val="auto"/>
        </w:rPr>
      </w:pPr>
    </w:p>
    <w:p>
      <w:pPr>
        <w:jc w:val="both"/>
        <w:ind w:right="100" w:firstLine="432"/>
        <w:spacing w:after="0" w:line="301" w:lineRule="auto"/>
        <w:rPr>
          <w:sz w:val="20"/>
          <w:szCs w:val="20"/>
          <w:color w:val="auto"/>
        </w:rPr>
      </w:pPr>
      <w:r>
        <w:rPr>
          <w:rFonts w:ascii="Arial" w:cs="Arial" w:eastAsia="Arial" w:hAnsi="Arial"/>
          <w:sz w:val="16"/>
          <w:szCs w:val="16"/>
          <w:color w:val="auto"/>
        </w:rPr>
        <w:t>If, after dividends in the full preferential amount were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9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Dividends were payable only when, and if, declared by the Board and are non-cumulative. As of June 30, 2023 and 2022, no dividends have been declared or paid by the Company.</w:t>
      </w:r>
    </w:p>
    <w:p>
      <w:pPr>
        <w:spacing w:after="0" w:line="89"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event (as defined in the restated certificate of incorporation),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ectPr>
          <w:pgSz w:w="11900" w:h="16838" w:orient="portrait"/>
          <w:cols w:equalWidth="0" w:num="1">
            <w:col w:w="10020"/>
          </w:cols>
          <w:pgMar w:left="980" w:top="733" w:right="8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20"/>
          </w:cols>
          <w:pgMar w:left="980" w:top="733" w:right="899" w:bottom="1440" w:gutter="0" w:footer="0" w:header="0"/>
          <w:type w:val="continuous"/>
        </w:sectPr>
      </w:pPr>
    </w:p>
    <w:bookmarkStart w:id="92" w:name="page93"/>
    <w:bookmarkEnd w:id="92"/>
    <w:p>
      <w:pPr>
        <w:jc w:val="both"/>
        <w:ind w:firstLine="432"/>
        <w:spacing w:after="0" w:line="269" w:lineRule="auto"/>
        <w:rPr>
          <w:sz w:val="20"/>
          <w:szCs w:val="20"/>
          <w:color w:val="auto"/>
        </w:rPr>
      </w:pPr>
      <w:r>
        <w:rPr>
          <w:rFonts w:ascii="Arial" w:cs="Arial" w:eastAsia="Arial" w:hAnsi="Arial"/>
          <w:sz w:val="17"/>
          <w:szCs w:val="17"/>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0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Each share of a series of convertible preferred stock are convertible into common stock at the option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ectPr>
          <w:pgSz w:w="11900" w:h="16838" w:orient="portrait"/>
          <w:cols w:equalWidth="0" w:num="1">
            <w:col w:w="9920"/>
          </w:cols>
          <w:pgMar w:left="980" w:top="733"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3" w:name="page94"/>
    <w:bookmarkEnd w:id="93"/>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convertible preferred stock are entitled to vote equal to the number of whole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into which the shares of convertible preferred stock are convertible. Holders of convertible preferred stock vote together with the holders of common stock as a single class on an as-converted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p>
      <w:pPr>
        <w:spacing w:after="0" w:line="23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As of</w:t>
      </w:r>
    </w:p>
    <w:p>
      <w:pPr>
        <w:ind w:left="8740"/>
        <w:spacing w:after="0" w:line="226" w:lineRule="auto"/>
        <w:rPr>
          <w:sz w:val="20"/>
          <w:szCs w:val="20"/>
          <w:color w:val="auto"/>
        </w:rPr>
      </w:pPr>
      <w:r>
        <w:rPr>
          <w:rFonts w:ascii="Arial" w:cs="Arial" w:eastAsia="Arial" w:hAnsi="Arial"/>
          <w:sz w:val="14"/>
          <w:szCs w:val="14"/>
          <w:b w:val="1"/>
          <w:bCs w:val="1"/>
          <w:color w:val="auto"/>
        </w:rPr>
        <w:t>June 30,</w:t>
      </w:r>
    </w:p>
    <w:p>
      <w:pPr>
        <w:ind w:left="88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Warrants to purchase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awards available for future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6"/>
          <w:szCs w:val="16"/>
          <w:color w:val="auto"/>
        </w:rPr>
        <w:t>21,315,453</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14,462,348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1,085,462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14,397,022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51,260,285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46355</wp:posOffset>
            </wp:positionV>
            <wp:extent cx="11487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320" w:space="720"/>
            <w:col w:w="880"/>
          </w:cols>
          <w:pgMar w:left="980" w:top="733" w:right="999" w:bottom="1440" w:gutter="0" w:footer="0" w:header="0"/>
          <w:type w:val="continuous"/>
        </w:sectPr>
      </w:pPr>
    </w:p>
    <w:p>
      <w:pPr>
        <w:spacing w:after="0" w:line="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Since inception, the Company has issued warrants in conjunction with various financings, as well as certain customers. The Company accounts for its warrants in accordance with ASC 480 and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June 30, 2023, the Company engaged in various warrant transactions:</w:t>
      </w:r>
    </w:p>
    <w:p>
      <w:pPr>
        <w:spacing w:after="0" w:line="225" w:lineRule="exact"/>
        <w:rPr>
          <w:sz w:val="20"/>
          <w:szCs w:val="20"/>
          <w:color w:val="auto"/>
        </w:rPr>
      </w:pPr>
    </w:p>
    <w:p>
      <w:pPr>
        <w:ind w:left="980" w:right="1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169,310 warrants to purchase Common Stock in conjunction with an amendment to the warrant agreement with Lago Loan, such amendment occurring in August 2022.</w:t>
      </w:r>
    </w:p>
    <w:p>
      <w:pPr>
        <w:spacing w:after="0" w:line="8"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of Common Shares to the holder.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at the Merger date of 1,500,000 warrants to the Lenders to the Credit Agreement.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Merger, the Company assumed 8,625,000 public warrants and 6,125,000 private warrants.</w:t>
      </w:r>
    </w:p>
    <w:p>
      <w:pPr>
        <w:spacing w:after="0" w:line="63"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on the Merger date into equity in the amount of $0.8 million.</w:t>
      </w:r>
    </w:p>
    <w:p>
      <w:pPr>
        <w:spacing w:after="0" w:line="8"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Subsequent to the Merger the Company has issued warrants associated with changes to the Company’s Credit Agreement. Refer to Note 7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tables represent the warrants on Common Stock outstanding: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As of June 30, 2023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Number of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Term (years)</w:t>
            </w: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Classification</w:t>
            </w: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2026</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2028</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2"/>
              </w:rPr>
              <w:t>[E]</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[F]</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2026</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2027</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January 2031</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294,725</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8"/>
              </w:rPr>
              <w:t>[B]</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2032</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374,912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[I]</w:t>
            </w: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6,125,000</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[J]</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2028</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5"/>
              </w:rPr>
              <w:t>[G]</w:t>
            </w: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2028</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9"/>
              </w:rPr>
              <w:t>[H]</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09"/>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21,315,453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As of June 30,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40" w:type="dxa"/>
            <w:vAlign w:val="bottom"/>
          </w:tcPr>
          <w:p>
            <w:pPr>
              <w:spacing w:after="0"/>
              <w:rPr>
                <w:sz w:val="12"/>
                <w:szCs w:val="12"/>
                <w:color w:val="auto"/>
              </w:rPr>
            </w:pPr>
          </w:p>
        </w:tc>
        <w:tc>
          <w:tcPr>
            <w:tcW w:w="10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8"/>
              </w:rPr>
              <w:t>Exercise Price</w:t>
            </w:r>
          </w:p>
        </w:tc>
        <w:tc>
          <w:tcPr>
            <w:tcW w:w="1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Number of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Term (years)</w:t>
            </w:r>
          </w:p>
        </w:tc>
        <w:tc>
          <w:tcPr>
            <w:tcW w:w="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Classification</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5"/>
              </w:rPr>
              <w:t>[C]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2,575,190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[E]</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294,725</w:t>
            </w:r>
          </w:p>
        </w:tc>
        <w:tc>
          <w:tcPr>
            <w:tcW w:w="2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8"/>
              </w:rPr>
              <w:t>[B]</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205,602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4,713,303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or one year after the effective date of a registration statement for an initial public offering should one occur.</w:t>
      </w:r>
    </w:p>
    <w:p>
      <w:pPr>
        <w:spacing w:after="0" w:line="8" w:lineRule="exact"/>
        <w:rPr>
          <w:rFonts w:ascii="Arial" w:cs="Arial" w:eastAsia="Arial" w:hAnsi="Arial"/>
          <w:sz w:val="18"/>
          <w:szCs w:val="18"/>
          <w:color w:val="auto"/>
        </w:rPr>
      </w:pPr>
    </w:p>
    <w:p>
      <w:pPr>
        <w:ind w:left="660" w:right="60" w:hanging="652"/>
        <w:spacing w:after="0" w:line="255" w:lineRule="auto"/>
        <w:tabs>
          <w:tab w:leader="none" w:pos="2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June 30, 2023 and June 30, 2022. Warrant will also expire at the earliest of 10 years from the issuance date of March 5, 2021 or a consummation of an acquisition in which the sole consideration is cash or marketable securities.</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Warrants expire 5 years from the effective date of a registration statement for an initial public offering should one occur.</w:t>
      </w:r>
    </w:p>
    <w:p>
      <w:pPr>
        <w:spacing w:after="0" w:line="74" w:lineRule="exact"/>
        <w:rPr>
          <w:rFonts w:ascii="Arial" w:cs="Arial" w:eastAsia="Arial" w:hAnsi="Arial"/>
          <w:sz w:val="17"/>
          <w:szCs w:val="17"/>
          <w:color w:val="auto"/>
        </w:rPr>
      </w:pPr>
    </w:p>
    <w:p>
      <w:pPr>
        <w:ind w:left="660" w:right="60" w:hanging="652"/>
        <w:spacing w:after="0" w:line="25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Warrants are exercisable after the conversion of the related convertible notes and will expire, if not exercised, at the earliest of a public liquidity event, the effective date of a registration statement for an initial public offering should one occur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5" w:name="page96"/>
    <w:bookmarkEnd w:id="95"/>
    <w:p>
      <w:pPr>
        <w:ind w:left="660" w:right="60" w:hanging="652"/>
        <w:spacing w:after="0" w:line="275" w:lineRule="auto"/>
        <w:tabs>
          <w:tab w:leader="none" w:pos="28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Warrants were issued in October 2021 and are exercisable into Common Stock contingent on rollouts of the Company’s products and services to the warrant holder. The number of shares of Common Stock represents the maximum number of shares to be issued to the warrant holder of 404,961, of which 66,396 and 321,943 remained contingent as of June 30, 2023 and June 30, 2022, respectively. Expense related to the cost of these warrants is being recognized as a reduction to revenue in the Company’s consolidated statements of operations and comprehensive loss.</w:t>
      </w:r>
    </w:p>
    <w:p>
      <w:pPr>
        <w:spacing w:after="0" w:line="14" w:lineRule="exact"/>
        <w:rPr>
          <w:rFonts w:ascii="Arial" w:cs="Arial" w:eastAsia="Arial" w:hAnsi="Arial"/>
          <w:sz w:val="17"/>
          <w:szCs w:val="17"/>
          <w:color w:val="auto"/>
        </w:rPr>
      </w:pPr>
    </w:p>
    <w:p>
      <w:pPr>
        <w:ind w:left="660" w:right="200" w:hanging="652"/>
        <w:spacing w:after="0" w:line="298" w:lineRule="auto"/>
        <w:tabs>
          <w:tab w:leader="none" w:pos="2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Warrants will expire at the earliest of 10 years from the issuance date of March 11, 2016, a consummation of an acquisition or one year after the effective date of a registration statement for an initial public offering, if one should occur.</w:t>
      </w:r>
    </w:p>
    <w:p>
      <w:pPr>
        <w:ind w:left="660" w:hanging="652"/>
        <w:spacing w:after="0" w:line="255" w:lineRule="auto"/>
        <w:tabs>
          <w:tab w:leader="none" w:pos="3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30" w:lineRule="exact"/>
        <w:rPr>
          <w:rFonts w:ascii="Arial" w:cs="Arial" w:eastAsia="Arial" w:hAnsi="Arial"/>
          <w:sz w:val="18"/>
          <w:szCs w:val="18"/>
          <w:color w:val="auto"/>
        </w:rPr>
      </w:pPr>
    </w:p>
    <w:p>
      <w:pPr>
        <w:ind w:left="660" w:right="60" w:hanging="652"/>
        <w:spacing w:after="0" w:line="269" w:lineRule="auto"/>
        <w:tabs>
          <w:tab w:leader="none" w:pos="3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 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23" w:lineRule="exact"/>
        <w:rPr>
          <w:rFonts w:ascii="Arial" w:cs="Arial" w:eastAsia="Arial" w:hAnsi="Arial"/>
          <w:sz w:val="17"/>
          <w:szCs w:val="17"/>
          <w:color w:val="auto"/>
        </w:rPr>
      </w:pPr>
    </w:p>
    <w:p>
      <w:pPr>
        <w:ind w:left="660" w:right="80" w:hanging="652"/>
        <w:spacing w:after="0" w:line="272" w:lineRule="auto"/>
        <w:tabs>
          <w:tab w:leader="none" w:pos="23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Represents 17,250,000 public warrants, assumed as part of the Merger, that are exercisable for one-half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twenty (20) trading days within a thirty (30) trading day period ending on the third business day prior to the date on which notice of redemption is given within a 30-trading day period ending on the third business day prior to the notice of redemption.</w:t>
      </w:r>
    </w:p>
    <w:p>
      <w:pPr>
        <w:spacing w:after="0" w:line="15" w:lineRule="exact"/>
        <w:rPr>
          <w:rFonts w:ascii="Arial" w:cs="Arial" w:eastAsia="Arial" w:hAnsi="Arial"/>
          <w:sz w:val="17"/>
          <w:szCs w:val="17"/>
          <w:color w:val="auto"/>
        </w:rPr>
      </w:pPr>
    </w:p>
    <w:p>
      <w:pPr>
        <w:ind w:left="660" w:hanging="652"/>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Prior to the Merger, the Company utilized the 2018 equity incentive plan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Effective with the Merger, the Board adopted the 2022 Incentive Award Plan (the “2022 Plan”). As of June 30, 2023, the number of shares of Common Stock reserved for future issuance under the 2022 Plan was 1,085,462 The Board may grant incentive and non-statutory stock options and RSUs to employees, outside directors, investors and consultants at an exercise price of not less than 100% of the fair market value, as determined by the Board, at the date of grant. Awards generally vest ratably over periods determined by the Board, generally four or 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2023 and February 2023, the Company granted an aggregate of 1,037,125 and 2,721,486 RSUs, respectively, to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employees, consultants and directors with service-based vesting conditions with a weighted average grant date fair value of $3.43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$3.58, respectively, per RSU, based on the closing stock price on the date of grant. The awards vest ratably over five years for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one to three years for directors. As of June 30, 2023, $10.2 million of stock-based compensation related to these RSUs remains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unrecognized, which is expected to time-vest over a remaining weighted-average period of 4.7 years.</w:t>
      </w:r>
    </w:p>
    <w:p>
      <w:pPr>
        <w:spacing w:after="0" w:line="211"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In September 2022, the Company granted 1,200,000 RSUs to a director, appointed to Interim CEO of the Company in March 2023, with a grant date fair value of $4.56 per RSU. The RSUs vest in the following tranches, subject to the continuous service through each applicable vesting date: 33.33% of the RSUs vested on September 30, 2022, 56.67% of the RSUs has, and shall continue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6" w:name="page97"/>
    <w:bookmarkEnd w:id="96"/>
    <w:p>
      <w:pPr>
        <w:ind w:right="20"/>
        <w:spacing w:after="0" w:line="255" w:lineRule="auto"/>
        <w:rPr>
          <w:sz w:val="20"/>
          <w:szCs w:val="20"/>
          <w:color w:val="auto"/>
        </w:rPr>
      </w:pPr>
      <w:r>
        <w:rPr>
          <w:rFonts w:ascii="Arial" w:cs="Arial" w:eastAsia="Arial" w:hAnsi="Arial"/>
          <w:sz w:val="18"/>
          <w:szCs w:val="18"/>
          <w:color w:val="auto"/>
        </w:rPr>
        <w:t>to, vest in equal monthly installments on the last day of each month during the subsequent 23-month period, and the remaining 10% shall vest upon the third anniversary of the vesting commencement date. The Company recorded compensation expense during the year ended June 30, 2023 related to the RSUs of $3.0 million. As of June 30, 2023, $2.4 million of stock-based compensation related to the RSU remains unrecognized, which is expected to be recognized over a remaining weighted-average period of 1.4 years. The RSUs time-based vesting would accelerate upon an acquisition of the Company. A deSPAC does not meet the definition of an acquisition as defined in the 2018 Plan.</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approved a modification of the awards to waive the performance condition in consideration of consummating the deSPAC. The Company recorded compensation expense of $1.1 million during the year ended June 30, 2023 related to these RSUs as achievement of the performance-based vesting condition was waived and a cumulative catch-up adjustment was recorded. As of June 30, 2023, $2.5 million of stock-based compensation related to these RSUs remains unrecognized, which is expected to time-vest over a remaining weighted-average period of 3.97 years.</w:t>
      </w:r>
    </w:p>
    <w:p>
      <w:pPr>
        <w:spacing w:after="0" w:line="16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has 300,376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for the 300,376 performance-based options was satisfied in connection with a public liquidity event effective with the closing of the Merger. The Company recognized a modification expense to accelerate the service-based vesting condition associated with these options upon termination of the executive’s employment, which is included in the modification expense noted below.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 recorded $1.2 million in additional stock-based compensation expense due to modifications of individual stock option and RSU awards for certain executives upon termination from the Company for accelerated vesting and extension of award exercise periods in the year ending June 30, 2023.</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summary of the equity incentive plan activity is shown collectively for the 2022 Plan, the 2018 Plan and the 2008 Plan presented on an as converted basis to reflect the impact of the retroactive application of the recapitalization using the Exchange Ratio: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r>
      <w:tr>
        <w:trPr>
          <w:trHeight w:val="148"/>
        </w:trPr>
        <w:tc>
          <w:tcPr>
            <w:tcW w:w="5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r>
      <w:tr>
        <w:trPr>
          <w:trHeight w:val="171"/>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 (years)</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13,845,291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(2,631,676)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Balance – beginning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11,213,615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(955,062)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 and expired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–June 30, 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9,901,703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0.72</w:t>
            </w:r>
          </w:p>
        </w:tc>
        <w:tc>
          <w:tcPr>
            <w:tcW w:w="1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4.40</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June 30, 2023</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9,901,703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$ 44,698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940" w:type="dxa"/>
            <w:vAlign w:val="bottom"/>
          </w:tcPr>
          <w:p>
            <w:pPr>
              <w:jc w:val="right"/>
              <w:spacing w:after="0"/>
              <w:rPr>
                <w:sz w:val="20"/>
                <w:szCs w:val="20"/>
                <w:color w:val="auto"/>
              </w:rPr>
            </w:pPr>
            <w:r>
              <w:rPr>
                <w:rFonts w:ascii="Arial" w:cs="Arial" w:eastAsia="Arial" w:hAnsi="Arial"/>
                <w:sz w:val="18"/>
                <w:szCs w:val="18"/>
                <w:color w:val="auto"/>
              </w:rPr>
              <w:t>9,134,330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42,449</w:t>
            </w:r>
          </w:p>
        </w:tc>
      </w:tr>
    </w:tbl>
    <w:p>
      <w:pPr>
        <w:spacing w:after="0" w:line="18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aggregate intrinsic value of options exercised during fiscal years 2023 and 2022 was $4.4 million and $1.9 million, respectively. The weighted average grant date fair value of granted options during fiscal years 2023 and 2022 were zero and $1.19,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97" w:name="page98"/>
    <w:bookmarkEnd w:id="97"/>
    <w:p>
      <w:pPr>
        <w:ind w:right="240" w:firstLine="648"/>
        <w:spacing w:after="0" w:line="308" w:lineRule="auto"/>
        <w:rPr>
          <w:sz w:val="20"/>
          <w:szCs w:val="20"/>
          <w:color w:val="auto"/>
        </w:rPr>
      </w:pPr>
      <w:r>
        <w:rPr>
          <w:rFonts w:ascii="Arial" w:cs="Arial" w:eastAsia="Arial" w:hAnsi="Arial"/>
          <w:sz w:val="17"/>
          <w:szCs w:val="17"/>
          <w:color w:val="auto"/>
        </w:rPr>
        <w:t>The following is a summary of the equity incentive plan RSU activity for the 2022 Plan and the 2018 Plan presented on an as converted basis to reflect the impact of the retroactive application of the recapitalization using the Exchange Ratio: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0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Awards Outstanding</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Grant Date Fair Value</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unvested balance –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5,795,240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3.58</w:t>
            </w:r>
          </w:p>
        </w:tc>
      </w:tr>
      <w:tr>
        <w:trPr>
          <w:trHeight w:val="209"/>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4,560,645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Assumptions used in Estimating Option Fair Value and Stock-Based Compensation Expense</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estimated the fair values of each option awarded on the date of grant using the Black-Scholes-Merton option pricing model utilizing the assumptions noted below.</w:t>
      </w:r>
    </w:p>
    <w:p>
      <w:pPr>
        <w:spacing w:after="0" w:line="103" w:lineRule="exact"/>
        <w:rPr>
          <w:sz w:val="20"/>
          <w:szCs w:val="20"/>
          <w:color w:val="auto"/>
        </w:rPr>
      </w:pPr>
    </w:p>
    <w:p>
      <w:pPr>
        <w:jc w:val="both"/>
        <w:ind w:left="880" w:hanging="440"/>
        <w:spacing w:after="0" w:line="263" w:lineRule="auto"/>
        <w:tabs>
          <w:tab w:leader="none" w:pos="1046"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 was calculated using the average of the published interest rates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Treasury zero-coupon issues with maturities that approximate the expected term. The dividend yield assumption is zero as the Company has no history of, nor plans to distribute, dividend payments.</w:t>
      </w:r>
    </w:p>
    <w:p>
      <w:pPr>
        <w:spacing w:after="0" w:line="116" w:lineRule="exact"/>
        <w:rPr>
          <w:rFonts w:ascii="Arial" w:cs="Arial" w:eastAsia="Arial" w:hAnsi="Arial"/>
          <w:sz w:val="18"/>
          <w:szCs w:val="18"/>
          <w:color w:val="auto"/>
        </w:rPr>
      </w:pPr>
    </w:p>
    <w:p>
      <w:pPr>
        <w:jc w:val="both"/>
        <w:ind w:left="880" w:hanging="440"/>
        <w:spacing w:after="0" w:line="259" w:lineRule="auto"/>
        <w:tabs>
          <w:tab w:leader="none" w:pos="911"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 </w:t>
      </w:r>
      <w:r>
        <w:rPr>
          <w:rFonts w:ascii="Arial" w:cs="Arial" w:eastAsia="Arial" w:hAnsi="Arial"/>
          <w:sz w:val="18"/>
          <w:szCs w:val="18"/>
          <w:color w:val="auto"/>
        </w:rPr>
        <w:t>The expected term of the options is based on the average period the stock options are expected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05" w:lineRule="exact"/>
        <w:rPr>
          <w:rFonts w:ascii="Arial" w:cs="Arial" w:eastAsia="Arial" w:hAnsi="Arial"/>
          <w:sz w:val="18"/>
          <w:szCs w:val="18"/>
          <w:color w:val="auto"/>
        </w:rPr>
      </w:pPr>
    </w:p>
    <w:p>
      <w:pPr>
        <w:jc w:val="both"/>
        <w:ind w:left="880" w:hanging="440"/>
        <w:spacing w:after="0" w:line="342" w:lineRule="auto"/>
        <w:tabs>
          <w:tab w:leader="none" w:pos="1087"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volatility — </w:t>
      </w:r>
      <w:r>
        <w:rPr>
          <w:rFonts w:ascii="Arial" w:cs="Arial" w:eastAsia="Arial" w:hAnsi="Arial"/>
          <w:sz w:val="16"/>
          <w:szCs w:val="16"/>
          <w:color w:val="auto"/>
        </w:rPr>
        <w:t>The expected stock price volatility for the Company’s stock was determined by examining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volatilities of the Company’s industry peers as the Company did not have any trading history of its Common Stock.</w:t>
      </w:r>
    </w:p>
    <w:p>
      <w:pPr>
        <w:spacing w:after="0" w:line="56" w:lineRule="exact"/>
        <w:rPr>
          <w:rFonts w:ascii="Arial" w:cs="Arial" w:eastAsia="Arial" w:hAnsi="Arial"/>
          <w:sz w:val="16"/>
          <w:szCs w:val="16"/>
          <w:color w:val="auto"/>
        </w:rPr>
      </w:pPr>
    </w:p>
    <w:p>
      <w:pPr>
        <w:ind w:left="880" w:right="20" w:hanging="440"/>
        <w:spacing w:after="0" w:line="277" w:lineRule="auto"/>
        <w:tabs>
          <w:tab w:leader="none" w:pos="898"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 </w:t>
      </w:r>
      <w:r>
        <w:rPr>
          <w:rFonts w:ascii="Arial" w:cs="Arial" w:eastAsia="Arial" w:hAnsi="Arial"/>
          <w:sz w:val="18"/>
          <w:szCs w:val="18"/>
          <w:color w:val="auto"/>
        </w:rPr>
        <w:t>The dividend yield assumption is zero as the Company has no history of, nor plans to distribute,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payments.</w:t>
      </w:r>
    </w:p>
    <w:p>
      <w:pPr>
        <w:spacing w:after="0" w:line="10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1"/>
              </w:rPr>
              <w:t>As of</w:t>
            </w:r>
          </w:p>
        </w:tc>
        <w:tc>
          <w:tcPr>
            <w:tcW w:w="13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As of</w:t>
            </w:r>
          </w:p>
        </w:tc>
      </w:tr>
      <w:tr>
        <w:trPr>
          <w:trHeight w:val="148"/>
        </w:trPr>
        <w:tc>
          <w:tcPr>
            <w:tcW w:w="7440" w:type="dxa"/>
            <w:vAlign w:val="bottom"/>
          </w:tcPr>
          <w:p>
            <w:pPr>
              <w:spacing w:after="0"/>
              <w:rPr>
                <w:sz w:val="12"/>
                <w:szCs w:val="12"/>
                <w:color w:val="auto"/>
              </w:rPr>
            </w:pPr>
          </w:p>
        </w:tc>
        <w:tc>
          <w:tcPr>
            <w:tcW w:w="11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June 30,</w:t>
            </w:r>
          </w:p>
        </w:tc>
        <w:tc>
          <w:tcPr>
            <w:tcW w:w="1360" w:type="dxa"/>
            <w:vAlign w:val="bottom"/>
            <w:gridSpan w:val="2"/>
          </w:tcPr>
          <w:p>
            <w:pPr>
              <w:jc w:val="right"/>
              <w:ind w:right="35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7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1.06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720" w:type="dxa"/>
            <w:vAlign w:val="bottom"/>
          </w:tcPr>
          <w:p>
            <w:pPr>
              <w:ind w:left="40"/>
              <w:spacing w:after="0"/>
              <w:rPr>
                <w:sz w:val="20"/>
                <w:szCs w:val="20"/>
                <w:color w:val="auto"/>
              </w:rPr>
            </w:pPr>
            <w:r>
              <w:rPr>
                <w:rFonts w:ascii="Arial" w:cs="Arial" w:eastAsia="Arial" w:hAnsi="Arial"/>
                <w:sz w:val="18"/>
                <w:szCs w:val="18"/>
                <w:color w:val="auto"/>
              </w:rPr>
              <w:t>- 6.51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- 46.15%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20" w:type="dxa"/>
            <w:vAlign w:val="bottom"/>
          </w:tcPr>
          <w:p>
            <w:pPr>
              <w:jc w:val="right"/>
              <w:ind w:right="450"/>
              <w:spacing w:after="0"/>
              <w:rPr>
                <w:sz w:val="20"/>
                <w:szCs w:val="20"/>
                <w:color w:val="auto"/>
              </w:rPr>
            </w:pPr>
            <w:r>
              <w:rPr>
                <w:rFonts w:ascii="Arial" w:cs="Arial" w:eastAsia="Arial" w:hAnsi="Arial"/>
                <w:sz w:val="18"/>
                <w:szCs w:val="18"/>
                <w:color w:val="auto"/>
                <w:w w:val="88"/>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as well as expense associated with earnout shares noted below, by function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Stock-based compensation allocated to cost of goods sold was not material for the years ended June 30, 2023 and 2022. The weighted-average grant date fair value of options vested during the years ended June 30, 2023 and 2022 was $1.48 and $1.05, respectively. As of June 30, 2023, the unrecognized stock-based compensation expense related to outstanding unvested stock options was $1.7 million which is expected to be recognized over a weighted-average period of 2.02 years.</w:t>
      </w:r>
    </w:p>
    <w:p>
      <w:pPr>
        <w:sectPr>
          <w:pgSz w:w="11900" w:h="16838" w:orient="portrait"/>
          <w:cols w:equalWidth="0" w:num="1">
            <w:col w:w="9920"/>
          </w:cols>
          <w:pgMar w:left="980" w:top="733"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8" w:name="page99"/>
    <w:bookmarkEnd w:id="98"/>
    <w:p>
      <w:pPr>
        <w:ind w:right="100" w:firstLine="648"/>
        <w:spacing w:after="0" w:line="301" w:lineRule="auto"/>
        <w:rPr>
          <w:sz w:val="20"/>
          <w:szCs w:val="20"/>
          <w:color w:val="auto"/>
        </w:rPr>
      </w:pPr>
      <w:r>
        <w:rPr>
          <w:rFonts w:ascii="Arial" w:cs="Arial" w:eastAsia="Arial" w:hAnsi="Arial"/>
          <w:sz w:val="16"/>
          <w:szCs w:val="16"/>
          <w:color w:val="auto"/>
        </w:rPr>
        <w:t>During the year ended June 30, 2023 the Company recorded $4.9 million of stock-based compensation expense associated with earnout shares granted to holders of Common Stock held by current employees and directors and holders of options and RSUs. No amounts were recorded during the year ended June 30, 2022 associated with earnout shares. Refer to Note 1 for further discussion of compensation recorded related to earnout shares granted to holders of Common Stock, options and RSUs.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Effective with the closing of the Merger, the Company adopted and employee stock purchase plan (“ESPP”). There was no activity under the plan during the year ended June 30, 2023, as the Company has not yet conducted any offerings pursuant to the ESPP.</w:t>
      </w:r>
    </w:p>
    <w:p>
      <w:pPr>
        <w:spacing w:after="0" w:line="12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ESPP allows eligible employees to purchase shares of the Company’s Common Stock at a discount through payroll deductions of up to 15% of their eligible compensation, subject to any plan limitations, during designated 6-month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the acquisition of CyborgOps (refer to Note 14), the Company issued 475,638 shares of Common Stock to employees of CyborgOps who had continued employment with the Company, which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years ended June 30, 2023 and 2022, the Company recognized $0.9 million and $0.1 million of stock-based compensation expense related to these equity awards, respectively. In May 2023, the Company forfeited 256,891 unvested shares related to employees who were no longer employed with the Company. As of June 30, 2023, unrecognized stock-based compensation expense associated with these equity awards, as adjusted for terminations, was $1.0 million, as adjusted for terminations, which is expected to be recognized over a weighted-average period of 2.87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subject to U.S. federal, state, and local corporate income taxes.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loss before taxes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before taxes</w:t>
            </w: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jc w:val="right"/>
              <w:ind w:right="730"/>
              <w:spacing w:after="0"/>
              <w:rPr>
                <w:sz w:val="20"/>
                <w:szCs w:val="20"/>
                <w:color w:val="auto"/>
              </w:rPr>
            </w:pPr>
            <w:r>
              <w:rPr>
                <w:rFonts w:ascii="Arial" w:cs="Arial" w:eastAsia="Arial" w:hAnsi="Arial"/>
                <w:sz w:val="18"/>
                <w:szCs w:val="18"/>
                <w:color w:val="auto"/>
              </w:rPr>
              <w:t>Income tax (benefit) provision was comprised of the following:</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gridSpan w:val="2"/>
          </w:tcPr>
          <w:p>
            <w:pPr>
              <w:spacing w:after="0"/>
              <w:rPr>
                <w:sz w:val="20"/>
                <w:szCs w:val="20"/>
                <w:color w:val="auto"/>
              </w:rPr>
            </w:pPr>
            <w:r>
              <w:rPr>
                <w:rFonts w:ascii="Arial" w:cs="Arial" w:eastAsia="Arial" w:hAnsi="Arial"/>
                <w:sz w:val="18"/>
                <w:szCs w:val="18"/>
                <w:color w:val="auto"/>
              </w:rPr>
              <w:t>Total current tax provision</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 deferred tax (benefit) provision</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(benefit) provision</w:t>
            </w:r>
          </w:p>
        </w:tc>
        <w:tc>
          <w:tcPr>
            <w:tcW w:w="94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871"/>
        </w:trPr>
        <w:tc>
          <w:tcPr>
            <w:tcW w:w="6040" w:type="dxa"/>
            <w:vAlign w:val="bottom"/>
            <w:gridSpan w:val="2"/>
          </w:tcPr>
          <w:p>
            <w:pPr>
              <w:jc w:val="right"/>
              <w:ind w:right="890"/>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33" w:right="99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The Company’s effective income tax rate reconciliation is composed of the following for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and foreign rate differential</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fair value of warrants and convertible notes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640"/>
              <w:spacing w:after="0"/>
              <w:rPr>
                <w:sz w:val="20"/>
                <w:szCs w:val="20"/>
                <w:color w:val="auto"/>
              </w:rPr>
            </w:pPr>
            <w:r>
              <w:rPr>
                <w:rFonts w:ascii="Arial" w:cs="Arial" w:eastAsia="Arial" w:hAnsi="Arial"/>
                <w:sz w:val="18"/>
                <w:szCs w:val="18"/>
                <w:color w:val="auto"/>
                <w:w w:val="98"/>
              </w:rPr>
              <w:t>The components of net deferred tax assets are as follows (in thousands):</w:t>
            </w: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56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Research and Development</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Non deductible interest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Accruals and reserves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valuation allowance</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liabilities</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Net deferred tax assets</w:t>
            </w:r>
          </w:p>
        </w:tc>
        <w:tc>
          <w:tcPr>
            <w:tcW w:w="5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8"/>
          <w:szCs w:val="18"/>
          <w:b w:val="1"/>
          <w:bCs w:val="1"/>
          <w:color w:val="auto"/>
        </w:rPr>
        <w:t>NOL</w:t>
      </w:r>
      <w:r>
        <w:rPr>
          <w:rFonts w:ascii="Arial" w:cs="Arial" w:eastAsia="Arial" w:hAnsi="Arial"/>
          <w:sz w:val="18"/>
          <w:szCs w:val="18"/>
          <w:color w:val="auto"/>
        </w:rPr>
        <w:t>”) and tax credits carryforwards, the Company will need to generate sufficient future taxable income in each respective jurisdiction.</w:t>
      </w:r>
    </w:p>
    <w:p>
      <w:pPr>
        <w:spacing w:after="0" w:line="33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2023, the Company had federal and state NOLs for approximately $38.2 million and $58.2 million, respectively, which begin to expire in 2029 if not utilized. The Company had federal NOLs for approximately $148.5 million which do not expire. The use of the NOLs may be subject to certain limitations under Section 382 of the Internal Revenue Code of 1986 (the “Code”) and similar state tax law. As of June 30, 2023, the Company had research and development tax credit carryforwards of approximately $5.7 million and $5.3 million for federal and state tax purposes, respectively. The federal credits begin to expire in 2029 and the state tax credits do not expire.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00" w:name="page101"/>
    <w:bookmarkEnd w:id="100"/>
    <w:p>
      <w:pPr>
        <w:jc w:val="both"/>
        <w:ind w:firstLine="432"/>
        <w:spacing w:after="0" w:line="286" w:lineRule="auto"/>
        <w:rPr>
          <w:sz w:val="20"/>
          <w:szCs w:val="20"/>
          <w:color w:val="auto"/>
        </w:rPr>
      </w:pPr>
      <w:r>
        <w:rPr>
          <w:rFonts w:ascii="Arial" w:cs="Arial" w:eastAsia="Arial" w:hAnsi="Arial"/>
          <w:sz w:val="17"/>
          <w:szCs w:val="17"/>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amount of gross unrecognized tax benefits was $5.5 million as of June 30, 2023, of which none would affect the effective tax rate if recognized because such recognition would result in an increase in the deferred tax assets with a corresponding increase in the valuation allowance, therefore having no impact. The aggregate changes in the balance of gross unrecognized tax benefits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209"/>
        </w:trPr>
        <w:tc>
          <w:tcPr>
            <w:tcW w:w="518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Decrease related to prior period tax positions</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related to current year tax positions</w:t>
            </w:r>
          </w:p>
        </w:tc>
        <w:tc>
          <w:tcPr>
            <w:tcW w:w="18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80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r>
    </w:tbl>
    <w:p>
      <w:pPr>
        <w:spacing w:after="0" w:line="3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2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(56,314)</w:t>
            </w:r>
          </w:p>
        </w:tc>
      </w:tr>
      <w:tr>
        <w:trPr>
          <w:trHeight w:val="216"/>
        </w:trPr>
        <w:tc>
          <w:tcPr>
            <w:tcW w:w="7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46,499,850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27,268,887</w:t>
            </w:r>
          </w:p>
        </w:tc>
        <w:tc>
          <w:tcPr>
            <w:tcW w:w="220" w:type="dxa"/>
            <w:vAlign w:val="bottom"/>
            <w:shd w:val="clear" w:color="auto" w:fill="CCEEFF"/>
          </w:tcPr>
          <w:p>
            <w:pPr>
              <w:spacing w:after="0"/>
              <w:rPr>
                <w:sz w:val="20"/>
                <w:szCs w:val="20"/>
                <w:color w:val="auto"/>
              </w:rPr>
            </w:pPr>
          </w:p>
        </w:tc>
      </w:tr>
      <w:tr>
        <w:trPr>
          <w:trHeight w:val="224"/>
        </w:trPr>
        <w:tc>
          <w:tcPr>
            <w:tcW w:w="71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potential shares of Common Stock that were excluded from the computation of diluted net loss per share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Stockholders for the periods presented because including them would have been antidilutive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56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14,462,348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Convertible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5,827,990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21,050,077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4,658,865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subject to vesting - CyborgOps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103,814</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475,638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Total potential shares of common stock excluded from the computation of diluted net loss per</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35,616,239</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22,530,583</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excluded 14,397,022 earnout shares from the calculation of diluted EPS for the year ended June 30, 2023 as they are subject to market conditions for which the necessary conditions have not been satisfied.</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1" w:name="page102"/>
    <w:bookmarkEnd w:id="101"/>
    <w:p>
      <w:pPr>
        <w:ind w:right="340" w:firstLine="648"/>
        <w:spacing w:after="0" w:line="263" w:lineRule="auto"/>
        <w:rPr>
          <w:sz w:val="20"/>
          <w:szCs w:val="20"/>
          <w:color w:val="auto"/>
        </w:rPr>
      </w:pPr>
      <w:r>
        <w:rPr>
          <w:rFonts w:ascii="Arial" w:cs="Arial" w:eastAsia="Arial" w:hAnsi="Arial"/>
          <w:sz w:val="18"/>
          <w:szCs w:val="18"/>
          <w:color w:val="auto"/>
        </w:rPr>
        <w:t>The Company excluded 300,376 options from the calculation of diluted EPS for the year ended June 30, 2022. These equity awards were excluded from the calculation of diluted EPS as they are subject to performance conditions for which the necessary conditions were not satisfied as of June 30,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CyborgOps Acquisition</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May 23, 2022, the Company entered into an Asset Purchase Agreement (“Asset Purchase Agreement”) with CyborgOps, a provider of artificial intelligence-based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Company’s technology, including acquiring CyborgOps’ assembled workforce to assist in such development. Pursuant to the Asset Purchase Agreement, the stockholders of CyborgOps were entitled to receive up to $6.8 million in total consideration, consisting of 601,764 shares of the Company’s Common Stock valued at $8.75 per share and $1.5 million in cash consideration, consisting of $0.1 million in cash paid upon closing and a $1.4 million promissory note. The promissory note had interest at 5% and required monthly payments of $50 thousand, consisting of interest and principal payments, beginning in June 2022. All of the unpaid principal and accrued interest was paid off at the close of the Merger.</w:t>
      </w:r>
    </w:p>
    <w:p>
      <w:pPr>
        <w:spacing w:after="0" w:line="10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Of the $6.8 million total consideration, $2.2 million was accounted for as consideration transferred, consisting of $0.2 million in cash paid upon closing, $1.0 million deferred cash consideration and $1.1 million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(refer to Note 11). In fiscal year 2023, 256,891 of the awards were cancelled due to the termination of the employees by the Company. The promissory note was accounted for as post-acquisition compensation expense due to certain cancellation and forgiveness provisions based on continuing employment requirements of certain employees, who were also the primary owners of CyborgOps. The continuing employment conditions were not met, however the loan was paid off in fiscal 2023 at the time of the Merger.</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 million (refer to Note 4), $0.2 million deferred tax liability and goodwill of $1.2 million.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The Company incurred approximately $0.2 million in acquisition-related costs, which were expensed as incurred in general and administrative in the Company’s consolidated statement of operations and comprehensive loss.</w:t>
      </w:r>
    </w:p>
    <w:p>
      <w:pPr>
        <w:spacing w:after="0" w:line="31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June 30, 2023, as part of the Company’s private placement that closed in May 2023, the Company received $3.0 million of proceeds in exchange for 1,500,000 newly issued shares of Common Stock of the Company from Cleveland Avenue, LLC, an entity which holds a greater than 10% interest in the Company, and therefore is a related party. A board member of the Company also is an officer of Cleveland Avenue, LLC.</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2022, the Company had $9.6 million of convertible promissory notes and embedded warrants with entities in which a member of the Company’s board of directors is an officer and has a financial interest (“affiliated entities”) and were classified as a current liability on the consolidated balance sheet at that time. The convertible promissory notes and embedded warrants due to a related party were converted into shares of Common Stock in the Company during the year ended June 30, 2023. As of June 30, 2023, the Company has no convertible promissory notes and embedded warrants balance due to a related party. Refer to Note 7 for further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49" w:right="999" w:bottom="1440" w:gutter="0" w:footer="0" w:header="0"/>
        </w:sectPr>
      </w:pPr>
    </w:p>
    <w:bookmarkStart w:id="102" w:name="page103"/>
    <w:bookmarkEnd w:id="102"/>
    <w:p>
      <w:pPr>
        <w:ind w:right="160" w:firstLine="648"/>
        <w:spacing w:after="0" w:line="263" w:lineRule="auto"/>
        <w:rPr>
          <w:sz w:val="20"/>
          <w:szCs w:val="20"/>
          <w:color w:val="auto"/>
        </w:rPr>
      </w:pPr>
      <w:r>
        <w:rPr>
          <w:rFonts w:ascii="Arial" w:cs="Arial" w:eastAsia="Arial" w:hAnsi="Arial"/>
          <w:sz w:val="18"/>
          <w:szCs w:val="18"/>
          <w:color w:val="auto"/>
        </w:rPr>
        <w:t>During the year ended June 30, 2023, the Company received an equity investment of $1.0 million from an investor who held a significant portion of the Company’s convertible promissory notes at the time of the investment in exchange for 133,133 shares in the Company. Refer to Note 9 for further details.</w:t>
      </w:r>
    </w:p>
    <w:p>
      <w:pPr>
        <w:spacing w:after="0" w:line="18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Additionally, during the year ended June 30, 2023, the Company granted 1,200,000 of RSUs to a director of the Company who was appointed Interim CEO in March 2023, with a grant date fair value of $4.56 per RSU. Refer to Note 11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Amendment to Credit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10, 2023, the Company entered into a Third Amendment to Credit Agreement (the “Third Amendment”) with Metropolitan, the administrative, payment and collateral agent for Lenders, pursuant to which the parties amended certain covenants of the existing credit agreement, dated as of September 21, 2022 and as amended on March 31, 2023 and May 22, 2023 (the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 purchase price of $0.01 per share (the “Third Amendment Conversion Warrants”). The effectiveness of the Third Amendment is conditioned, in part, (1) upon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and expected to close on or around October 16, 2023 (see below), and (2) the Company hiring a chief financial officer reasonably satisfactory to Metropolitan, which the Company and Metropolitan have agreed will be satisfied with the appointment of Mr. Nathan Cook, consultant, as Interim Chief Financial Officer following the filing of the Company’s annual report on Form 10-K, and (3) evidence that the Company has engaged the services of an investment bank reasonably acceptable to Metropolitan on terms reasonably acceptable to Metropolitan to provide capital markets advisory services in connection with upcoming capital raises.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Upon the effectiveness of the Third Amendment, the Company will obtain waivers of all previous financial covenant breaches. Further, the Third Amendment also eliminates all financial covenants with the exception of two which are a minimum cash collateral balance of $10.0 million and the “cash burn” covenant. The definition of this covenant was also revised to allow for the exclusion of certain expenses from the calculation, including severance and certain outside professional fee expenses. New agreed upon “cash burn” covenant levels were also agreed upon. Subject to certain excluded payments, the decrease in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 Without an injection of further capital, the Company anticipates being unable to comply with the minimum unrestricted cash covenant in approximately mid-December 2023.</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Amended and Restated Fee Letter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10, 2023, Presto, in connection with the Third Amendment and in consideration for Metropolitan’s entering into the Third Amendment, entered into the Third Amended and Restated Fee Letter (the “Third Amendment Fee”) with Metropolitan, pursuant to which the Company paid an amendment fee equal to $100 thousand and granted warrants to purchase 25,000 shares of Common Stock, par value $0.0001 per share of the Company, with an exercise price of $0.01 per share (the “Third Amendment Fee Warrants”) and, together with the Third Amendment Conversion Warrants, the “Third Amendment Warrants”), to Metropolitan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2023, in accordance with the terms of the Third Amendment and the Third Amendment Fee Letter, the Company executed the Third Amendment Warrants to Purchase Common Stock with each of the Metropolitan Entities. The Third Amendment Warrants were granted in connection with Metropolitan entering into the Third Amendment and the Third Amendment Fee Letter and contain similar terms as the First Amendment Warrants and Second Amendment Warrants. See Note 10.</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10, 2023, in connection with the Third Amendment, certain holders of the Company’s Common Stock entered into lock-up agreements with the Company agreeing not to transfer their shares until December 23, 2024. These shareholders included Presto CA LLC, entities affiliated with REMUS Capital and Romulus Capital, entities affiliated with I2BF Global Ventures and various other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10, 2023, the Company entered into a Securities Purchase Agreement (the “Purchase Agreement”) with the Purchaser, pursuant to which the Company agreed to sell an aggregate of 1,500,000 newly issued shares of the Company’s common stock, $ 0.0001 par value per share (the “Common Stock”), at a purchase price of $2.00 per share (the “Private Placement”)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Private Placement is expected to close on or around October 16,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10, 2023, in connection with the terms of the Third Amendment, the Company entered into the Registration Rights Agreement (the “Registration Rights Agreement”) with the Purchaser, pursuant to which Presto agreed to provide customary registration rights to the Purchaser with respect to the shares of Common Stock issuable pursuant to the Purchase Agreement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 and Interim CFO Appointment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30, 2023, Krishna Gupta tendered his resignation as interim Chief Executive Officer of the Company effective immediately. Mr. Gupta remains a director and Chairman of the Board.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August 1, 2023, the Board appointed Xavier Casanova to serve as Chief Executive Officer. Mr. Casanova, 47, has served as Chief Operating Officer of the Company since March 2023. He previously served as Chief Product Officer of Presto since July 2022.</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 2023, the Board appointed Stanley Mbugua to serve as Interim Chief Financial Officer. Mr. Mbugua has served as Chief Accounting Officer of the Company since March 2023, a role in which he will remain while serving as Interim Chief Financial Officer.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in the process of finalizing the compensation and terms of separation of the Company with Mr. Gupta and determining potential changes to the compensation arrangements for Mr. Casanova and Mbugua.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year ended June 30,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June 30,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ectPr>
          <w:pgSz w:w="11900" w:h="16838" w:orient="portrait"/>
          <w:cols w:equalWidth="0" w:num="1">
            <w:col w:w="9920"/>
          </w:cols>
          <w:pgMar w:left="980" w:top="733"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4" w:name="page105"/>
    <w:bookmarkEnd w:id="104"/>
    <w:p>
      <w:pPr>
        <w:ind w:right="220" w:firstLine="648"/>
        <w:spacing w:after="0" w:line="259" w:lineRule="auto"/>
        <w:rPr>
          <w:sz w:val="20"/>
          <w:szCs w:val="20"/>
          <w:color w:val="auto"/>
        </w:rPr>
      </w:pPr>
      <w:r>
        <w:rPr>
          <w:rFonts w:ascii="Arial" w:cs="Arial" w:eastAsia="Arial" w:hAnsi="Arial"/>
          <w:sz w:val="18"/>
          <w:szCs w:val="18"/>
          <w:color w:val="auto"/>
        </w:rPr>
        <w:t>Notwithstanding the identified material weaknesses, management, including our principal executive officer and principal financial officer, believes the consolidated financial information included in this Annual Report on Form 10-K fairly represent in all material respects our financial condition, results of operations and cash flows at and for the periods presented in accordance with U.S.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w:t>
      </w:r>
    </w:p>
    <w:p>
      <w:pPr>
        <w:spacing w:after="0" w:line="24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disclosed elsewhere in this Annual Report on Form 10-K, we completed the Business Combination on September 21, 2022. Prior to the Business Combination, VTAQ was a special purpose acquisition corporation. As a result, the design of the Company’s public company internal control over financial reporting post-Business Combination has required and will continue to require significant time and resources from our management and other personnel. Therefore, management was unable, without deploying an unreasonable level of resources, to conduct an assessment of the Company’s internal control over financial reporting as of June 30, 2023. Therefore, the Company is excluding management’s report on internal control over financial reporting pursuant to Section 215.02 of the SEC’s Regulation S-K Compliance and Disclosure Interpretations.</w:t>
      </w:r>
    </w:p>
    <w:p>
      <w:pPr>
        <w:spacing w:after="0" w:line="245"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Despite the fact that our management was unable to make a full assessment of the effectiveness of our internal control over financial reporting, in the course of preparing our financial statements as of and for the year ended June 30, 2023, management identified certain deficiencies in our internal control over financial reporting that management believes to be a material weaknesses.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Specifically, we identified four material weaknesses. The material weaknesses that we have identified are listed below.</w:t>
      </w:r>
    </w:p>
    <w:p>
      <w:pPr>
        <w:spacing w:after="0" w:line="225" w:lineRule="exact"/>
        <w:rPr>
          <w:sz w:val="20"/>
          <w:szCs w:val="20"/>
          <w:color w:val="auto"/>
        </w:rPr>
      </w:pPr>
    </w:p>
    <w:p>
      <w:pPr>
        <w:ind w:left="980"/>
        <w:spacing w:after="0" w:line="308" w:lineRule="auto"/>
        <w:tabs>
          <w:tab w:leader="none" w:pos="12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ind w:left="980" w:right="240"/>
        <w:spacing w:after="0" w:line="311" w:lineRule="auto"/>
        <w:tabs>
          <w:tab w:leader="none" w:pos="12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48" w:lineRule="exact"/>
        <w:rPr>
          <w:rFonts w:ascii="Arial" w:cs="Arial" w:eastAsia="Arial" w:hAnsi="Arial"/>
          <w:sz w:val="16"/>
          <w:szCs w:val="16"/>
          <w:color w:val="auto"/>
        </w:rPr>
      </w:pPr>
    </w:p>
    <w:p>
      <w:pPr>
        <w:ind w:left="980"/>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right="440"/>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4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or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29"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have engaged a third-party firm to assist us with our development and execution of an internal control plan as we are required to comply with Section 404 of the Sarbanes and Oxley Act of 2002. We have completed the design phase and are in the</w:t>
      </w:r>
    </w:p>
    <w:p>
      <w:pPr>
        <w:sectPr>
          <w:pgSz w:w="11900" w:h="16838" w:orient="portrait"/>
          <w:cols w:equalWidth="0" w:num="1">
            <w:col w:w="9860"/>
          </w:cols>
          <w:pgMar w:left="980" w:top="733" w:right="105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733" w:right="1059" w:bottom="1440" w:gutter="0" w:footer="0" w:header="0"/>
          <w:type w:val="continuous"/>
        </w:sectPr>
      </w:pPr>
    </w:p>
    <w:bookmarkStart w:id="105" w:name="page106"/>
    <w:bookmarkEnd w:id="105"/>
    <w:p>
      <w:pPr>
        <w:ind w:right="100"/>
        <w:spacing w:after="0" w:line="277" w:lineRule="auto"/>
        <w:rPr>
          <w:sz w:val="20"/>
          <w:szCs w:val="20"/>
          <w:color w:val="auto"/>
        </w:rPr>
      </w:pPr>
      <w:r>
        <w:rPr>
          <w:rFonts w:ascii="Arial" w:cs="Arial" w:eastAsia="Arial" w:hAnsi="Arial"/>
          <w:sz w:val="18"/>
          <w:szCs w:val="18"/>
          <w:color w:val="auto"/>
        </w:rPr>
        <w:t>testing stage of implementation of the plan to remediate the material weaknesses identified. Our plan includes the following actions that are currently in progress:</w:t>
      </w:r>
    </w:p>
    <w:p>
      <w:pPr>
        <w:spacing w:after="0" w:line="8" w:lineRule="exact"/>
        <w:rPr>
          <w:sz w:val="20"/>
          <w:szCs w:val="20"/>
          <w:color w:val="auto"/>
        </w:rPr>
      </w:pPr>
    </w:p>
    <w:p>
      <w:pPr>
        <w:ind w:left="980" w:right="24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us and designing formalized internal controls including policies over segregation of duties.</w:t>
      </w:r>
    </w:p>
    <w:p>
      <w:pPr>
        <w:spacing w:after="0" w:line="8" w:lineRule="exact"/>
        <w:rPr>
          <w:rFonts w:ascii="Arial" w:cs="Arial" w:eastAsia="Arial" w:hAnsi="Arial"/>
          <w:sz w:val="18"/>
          <w:szCs w:val="18"/>
          <w:color w:val="auto"/>
        </w:rPr>
      </w:pPr>
    </w:p>
    <w:p>
      <w:pPr>
        <w:jc w:val="both"/>
        <w:ind w:left="980"/>
        <w:spacing w:after="0" w:line="299"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Hired additional experienced accounting staff, including a Chief Accounting Officer and financial reporting roles as we transition to being a public company and are required to comply with Section 404 of the Sarbanes Oxley Act of 2002.</w:t>
      </w:r>
    </w:p>
    <w:p>
      <w:pPr>
        <w:spacing w:after="0" w:line="1" w:lineRule="exact"/>
        <w:rPr>
          <w:rFonts w:ascii="Arial" w:cs="Arial" w:eastAsia="Arial" w:hAnsi="Arial"/>
          <w:sz w:val="16"/>
          <w:szCs w:val="16"/>
          <w:color w:val="auto"/>
        </w:rPr>
      </w:pPr>
    </w:p>
    <w:p>
      <w:pPr>
        <w:ind w:left="980" w:right="2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controls over our financial statement closing process including controls to enable an effective and timely review of account analyses and account reconciliations.</w:t>
      </w:r>
    </w:p>
    <w:p>
      <w:pPr>
        <w:spacing w:after="0" w:line="8" w:lineRule="exact"/>
        <w:rPr>
          <w:rFonts w:ascii="Arial" w:cs="Arial" w:eastAsia="Arial" w:hAnsi="Arial"/>
          <w:sz w:val="18"/>
          <w:szCs w:val="18"/>
          <w:color w:val="auto"/>
        </w:rPr>
      </w:pPr>
    </w:p>
    <w:p>
      <w:pPr>
        <w:ind w:left="980" w:right="44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 as soon as reasonably practicable. As we continue to evaluate our controls, we will make the necessary changes to improve the organization’s demonstration of commitment to attract, develop and retain competent individuals in alignment with objectives. We believe these actions will be sufficient to remediate the identified material weakness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106" w:name="page107"/>
    <w:bookmarkEnd w:id="106"/>
    <w:p>
      <w:pPr>
        <w:ind w:left="49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definitive proxy statement for our 2023 Annual Meeting of Stockholders (the “Proxy Statement”) and is incorporated herein by reference.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will be set forth in the Proxy Statement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furnished as an exhibit to this Annual Report on Form 10-K.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74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86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Merger Agreement, dated as of November 10, 2021, by and among VTAQ, Ventoux Merger Sub I, Ventoux Merger Sub</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II and Legacy Presto (incorporated by reference to Exhibit 2.1 to the Current Report on Form 8-K filed on November 10,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2021).</w:t>
              </w:r>
            </w:hyperlink>
          </w:p>
        </w:tc>
        <w:tc>
          <w:tcPr>
            <w:tcW w:w="2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8260" w:type="dxa"/>
            <w:vAlign w:val="bottom"/>
            <w:tcBorders>
              <w:bottom w:val="single" w:sz="8" w:color="0000EE"/>
            </w:tcBorders>
            <w:gridSpan w:val="17"/>
          </w:tcPr>
          <w:p>
            <w:pPr>
              <w:spacing w:after="0" w:line="17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Amendment No. 1 to Merger Agreement, dated as of April 1, 2022, by and among VTAQ, Ventoux Merger Sub I,</w:t>
              </w:r>
            </w:hyperlink>
          </w:p>
        </w:tc>
        <w:tc>
          <w:tcPr>
            <w:tcW w:w="4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April 4,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6"/>
              </w:rPr>
            </w:pPr>
            <w:hyperlink r:id="rId135">
              <w:r>
                <w:rPr>
                  <w:rFonts w:ascii="Arial" w:cs="Arial" w:eastAsia="Arial" w:hAnsi="Arial"/>
                  <w:sz w:val="18"/>
                  <w:szCs w:val="18"/>
                  <w:color w:val="0000EE"/>
                  <w:w w:val="96"/>
                </w:rPr>
                <w:t>Amendment No. 2 to Merger Agreement, dated as of July 25, 2022, by and among VTAQ, Ventoux Merger Sub 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July 26,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8720" w:type="dxa"/>
            <w:vAlign w:val="bottom"/>
            <w:tcBorders>
              <w:bottom w:val="single" w:sz="8" w:color="0000EE"/>
            </w:tcBorders>
            <w:gridSpan w:val="24"/>
          </w:tcPr>
          <w:p>
            <w:pPr>
              <w:spacing w:after="0" w:line="17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Second Amended &amp; Restated Certificate of Incorporation (incorporated by reference to Exhibit 3.1 to the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Bylaws of Presto Automation Inc. (incorporated by reference to Exhibit 3.2 to the Current Report on Form 8-K filed on</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September 27, 2022).</w:t>
              </w:r>
            </w:hyperlink>
          </w:p>
        </w:tc>
        <w:tc>
          <w:tcPr>
            <w:tcW w:w="704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8740" w:type="dxa"/>
            <w:vAlign w:val="bottom"/>
            <w:gridSpan w:val="25"/>
          </w:tcPr>
          <w:p>
            <w:pPr>
              <w:spacing w:after="0"/>
              <w:rPr>
                <w:sz w:val="20"/>
                <w:szCs w:val="20"/>
                <w:color w:val="auto"/>
              </w:rPr>
            </w:pPr>
            <w:r>
              <w:rPr>
                <w:rFonts w:ascii="Arial" w:cs="Arial" w:eastAsia="Arial" w:hAnsi="Arial"/>
                <w:sz w:val="18"/>
                <w:szCs w:val="18"/>
                <w:color w:val="auto"/>
              </w:rPr>
              <w:t>Description of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Credit Agreement, dated as of September 21, 2022, by and among New Presto, Surviving Corporation,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6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Partners Group Administration, LLC, as administrative, payment and collateral agent, and the lenders from time-to-time</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party thereto (incorporated by reference to Exhibit 10.1 to the Current Report on Form 8-K filed on September 27,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2022).</w:t>
              </w:r>
            </w:hyperlink>
          </w:p>
        </w:tc>
        <w:tc>
          <w:tcPr>
            <w:tcW w:w="2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8740" w:type="dxa"/>
            <w:vAlign w:val="bottom"/>
            <w:gridSpan w:val="25"/>
          </w:tcPr>
          <w:p>
            <w:pPr>
              <w:spacing w:after="0" w:line="17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Amended &amp; Restated Registration Rights Agreement dated as of September 21, 2022, by and among New Presto,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Sponsors, Cleveland Avenue, VTAQ’s officers and directors, Metropolitan and certain Legacy Presto stockholders</w:t>
              </w:r>
            </w:hyperlink>
          </w:p>
        </w:tc>
        <w:tc>
          <w:tcPr>
            <w:tcW w:w="320" w:type="dxa"/>
            <w:vAlign w:val="bottom"/>
            <w:tcBorders>
              <w:top w:val="single" w:sz="8" w:color="0000EE"/>
            </w:tcBorders>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(incorporated by reference to Exhibit 10.2 to the Current Report 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Amended &amp; Restated Warrant Agreement dated as of September 21, 2022, by and among, New Presto, the Sponsors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60" w:type="dxa"/>
            <w:vAlign w:val="bottom"/>
            <w:tcBorders>
              <w:top w:val="single" w:sz="8" w:color="0000EE"/>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Continental Stock Transfer &amp; Trust Company (incorporated by reference to Exhibit 10.3 to the Current Report on</w:t>
              </w:r>
            </w:hyperlink>
          </w:p>
        </w:tc>
        <w:tc>
          <w:tcPr>
            <w:tcW w:w="420" w:type="dxa"/>
            <w:vAlign w:val="bottom"/>
            <w:tcBorders>
              <w:top w:val="single" w:sz="8" w:color="0000EE"/>
              <w:bottom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Form 8-K filed on September 27, 2022).</w:t>
              </w:r>
            </w:hyperlink>
          </w:p>
        </w:tc>
        <w:tc>
          <w:tcPr>
            <w:tcW w:w="582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8740" w:type="dxa"/>
            <w:vAlign w:val="bottom"/>
            <w:gridSpan w:val="25"/>
          </w:tcPr>
          <w:p>
            <w:pPr>
              <w:spacing w:after="0" w:line="17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Governance Agreement, dated as of September 21, 2022 by and among, New Presto and certain of its affiliates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98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(incorporated by reference to Exhibit 10.4 to the Current Report on Form 8-K filed on September 27, 2022).</w:t>
              </w:r>
            </w:hyperlink>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864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Form of Indemnification Agreement (incorporated by reference to Exhibit 10.5 to the Current Report on Form 8-K filed</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on September 27, 2022).</w:t>
              </w:r>
            </w:hyperlink>
          </w:p>
        </w:tc>
        <w:tc>
          <w:tcPr>
            <w:tcW w:w="696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Presto Automation Inc. 2008 Stock Incentive Plan (incorporated by reference to Exhibit 10.6 to the Form S-1 filed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87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Presto Automation Inc. 2018 Equity Incentive Plan (incorporated by reference to Exhibit 10.7 to the Form S-1/A filed on</w:t>
              </w:r>
            </w:hyperlink>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December 16,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Presto Automation Inc. 2022 Incentive Award Plan (incorporated by reference to Exhibit 10.6 to the Current Report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Form 8-K filed on September 27,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Presto Automation Inc. 2022 Employee Stock Purchase Plan (incorporated by reference to Exhibit 10.7 to the Current</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68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Report on Form 8-K filed on September 27, 2022).</w:t>
              </w:r>
            </w:hyperlink>
          </w:p>
        </w:tc>
        <w:tc>
          <w:tcPr>
            <w:tcW w:w="4900" w:type="dxa"/>
            <w:vAlign w:val="bottom"/>
            <w:tcBorders>
              <w:top w:val="single" w:sz="8" w:color="0000EE"/>
              <w:bottom w:val="single" w:sz="8" w:color="CCEEFF"/>
              <w:right w:val="single" w:sz="8" w:color="CCEEFF"/>
            </w:tcBorders>
            <w:gridSpan w:val="8"/>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8740" w:type="dxa"/>
            <w:vAlign w:val="bottom"/>
            <w:gridSpan w:val="25"/>
          </w:tcPr>
          <w:p>
            <w:pPr>
              <w:spacing w:after="0" w:line="17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Amended &amp; Restated Cleveland Avenue Subscription Agreement, dated as of July 25, 2022, by and between VTAQ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6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Presto CA, LLC (incorporated by reference to Exhibit 10.2 to the Current Report on Form 8-K filed on July 26, 2022).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Form of Amended &amp; Restated Equity Subscription Agreement (incorporated by reference to Exhibit 10.3 to the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862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Report on Form 8-K filed on July 26, 2022).</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Offer Letter of Employment, dated as of February 23, 2021, by and between Dan Mosher and Presto Automation Inc.</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(incorporated by reference to Exhibit 10.12 to the Form S-1 filed on 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3"/>
                <w:szCs w:val="13"/>
                <w:color w:val="auto"/>
              </w:rPr>
              <w:t>10.13+</w:t>
            </w:r>
            <w:r>
              <w:rPr>
                <w:rFonts w:ascii="Arial" w:cs="Arial" w:eastAsia="Arial" w:hAnsi="Arial"/>
                <w:sz w:val="20"/>
                <w:szCs w:val="20"/>
                <w:color w:val="auto"/>
                <w:vertAlign w:val="superscript"/>
              </w:rPr>
              <w:t>Ù</w:t>
            </w:r>
          </w:p>
        </w:tc>
        <w:tc>
          <w:tcPr>
            <w:tcW w:w="8580" w:type="dxa"/>
            <w:vAlign w:val="bottom"/>
            <w:tcBorders>
              <w:bottom w:val="single" w:sz="8" w:color="0000EE"/>
              <w:right w:val="single" w:sz="8" w:color="CCEEFF"/>
            </w:tcBorders>
            <w:gridSpan w:val="18"/>
            <w:shd w:val="clear" w:color="auto" w:fill="CCEEFF"/>
          </w:tcPr>
          <w:p>
            <w:pPr>
              <w:spacing w:after="0" w:line="17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Offer Letter of Employment, dated as of August 19, 2019, by and between Ashish Gupta and Presto Automation Inc.</w:t>
              </w:r>
            </w:hyperlink>
          </w:p>
        </w:tc>
        <w:tc>
          <w:tcPr>
            <w:tcW w:w="16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(incorporated by reference to Exhibit 10.13 to the Form S-1 filed on 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816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Consulting Agreement between Presto Automation Inc. and Ashish Gupta, dated March 4, 2023 (incorporated by</w:t>
              </w:r>
            </w:hyperlink>
          </w:p>
        </w:tc>
        <w:tc>
          <w:tcPr>
            <w:tcW w:w="5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reference to Exhibit 10.1 to the Current Report on Form 8-K filed on March 7, 2023)</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8740" w:type="dxa"/>
            <w:vAlign w:val="bottom"/>
            <w:gridSpan w:val="25"/>
          </w:tcPr>
          <w:p>
            <w:pPr>
              <w:spacing w:after="0" w:line="17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Waiver and First Amendment to Credit Agreement, dated March 31, 2023, by and among Presto Automation Inc., E La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Carte, LLC, Metropolitan Partners Group Administration, LLC and certain lenders party thereto (incorporated by</w:t>
              </w:r>
            </w:hyperlink>
          </w:p>
        </w:tc>
        <w:tc>
          <w:tcPr>
            <w:tcW w:w="420" w:type="dxa"/>
            <w:vAlign w:val="bottom"/>
            <w:tcBorders>
              <w:top w:val="single" w:sz="8" w:color="0000EE"/>
            </w:tcBorders>
            <w:gridSpan w:val="2"/>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reference to Exhibit 10.1 to the Current Report on Form 8-K filed on April 6, 2023).</w:t>
              </w:r>
            </w:hyperlink>
          </w:p>
        </w:tc>
        <w:tc>
          <w:tcPr>
            <w:tcW w:w="2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29"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Amended and Restated Fee Letter, dated March 31, 2023, by and among Presto Automation Inc., E La Carte,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Metropolitan Partners Group Administration LLC and certain lenders party thereto (incorporated by reference to Exhibit</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the Current Report on Form 8-K filed on April 6, 2023).</w:t>
              </w:r>
            </w:hyperlink>
          </w:p>
        </w:tc>
        <w:tc>
          <w:tcPr>
            <w:tcW w:w="414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340" w:type="dxa"/>
            <w:vAlign w:val="bottom"/>
          </w:tcPr>
          <w:p>
            <w:pPr>
              <w:spacing w:after="0"/>
              <w:rPr>
                <w:sz w:val="15"/>
                <w:szCs w:val="15"/>
                <w:color w:val="auto"/>
              </w:rPr>
            </w:pPr>
          </w:p>
        </w:tc>
        <w:tc>
          <w:tcPr>
            <w:tcW w:w="854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Levered Partners Fund VII, LP (incorporated by reference to Exhibit 10.3 to the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April 6,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34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Partners Fund VII, LP (incorporated by reference to Exhibit 10.4 to the Current Report on Form 8-K filed on April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2023).</w:t>
              </w:r>
            </w:hyperlink>
          </w:p>
        </w:tc>
        <w:tc>
          <w:tcPr>
            <w:tcW w:w="4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10.19</w:t>
            </w:r>
          </w:p>
        </w:tc>
        <w:tc>
          <w:tcPr>
            <w:tcW w:w="340" w:type="dxa"/>
            <w:vAlign w:val="bottom"/>
          </w:tcPr>
          <w:p>
            <w:pPr>
              <w:spacing w:after="0"/>
              <w:rPr>
                <w:sz w:val="15"/>
                <w:szCs w:val="15"/>
                <w:color w:val="auto"/>
              </w:rPr>
            </w:pPr>
          </w:p>
        </w:tc>
        <w:tc>
          <w:tcPr>
            <w:tcW w:w="854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Offshore Partners Fund VII, LP (incorporated by reference to Exhibit 10.5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April 6, 2023).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Warrant to Purchase Common Stock, dated March 31, 2023, by and between Presto Automation Inc. and CEOF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Holdings, LP (incorporated by reference to Exhibit 10.6 to the Current Report on Form 8-K filed on April 6, 2023).</w:t>
              </w:r>
            </w:hyperlink>
          </w:p>
        </w:tc>
        <w:tc>
          <w:tcPr>
            <w:tcW w:w="360" w:type="dxa"/>
            <w:vAlign w:val="bottom"/>
            <w:tcBorders>
              <w:left w:val="single" w:sz="8" w:color="CCEEFF"/>
              <w:bottom w:val="single" w:sz="8" w:color="CCEEFF"/>
            </w:tcBorders>
            <w:gridSpan w:val="1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10.21</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listed therein (incorporated by reference to Exhibit 10.7 to the Current Report on Form 8-K filed on April 6, 2023).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3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Amendment to Consulting Agreement, dated May 3, 2023, by and between Presto Automation Inc. and Ashish Gupta</w:t>
              </w:r>
            </w:hyperlink>
          </w:p>
        </w:tc>
        <w:tc>
          <w:tcPr>
            <w:tcW w:w="26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(incorporated by reference to Exhibit 10.1 to the Current Report on Form 8-K filed on May 10,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10.23†</w:t>
            </w:r>
          </w:p>
        </w:tc>
        <w:tc>
          <w:tcPr>
            <w:tcW w:w="340" w:type="dxa"/>
            <w:vAlign w:val="bottom"/>
          </w:tcPr>
          <w:p>
            <w:pPr>
              <w:spacing w:after="0"/>
              <w:rPr>
                <w:sz w:val="15"/>
                <w:szCs w:val="15"/>
                <w:color w:val="auto"/>
              </w:rPr>
            </w:pP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Form of Securities Purchase Agreement, dated May 22, 2023, by an among Presto Automation Inc. and each purchaser</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listed in the signature page thereto (incorporated by reference to Exhibit 10.1 to the Current Report on Form 8-K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3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Form of Registration Rights Agreement, dated as of May 22, 2023, by and among Presto Automation Inc. and certain</w:t>
              </w:r>
            </w:hyperlink>
          </w:p>
        </w:tc>
        <w:tc>
          <w:tcPr>
            <w:tcW w:w="280" w:type="dxa"/>
            <w:vAlign w:val="bottom"/>
            <w:tcBorders>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persons listed therein (incorporated by reference to Exhibit 10.2 to the Current Report on Form 8-K filed on May 22,</w:t>
              </w:r>
            </w:hyperlink>
          </w:p>
        </w:tc>
        <w:tc>
          <w:tcPr>
            <w:tcW w:w="360" w:type="dxa"/>
            <w:vAlign w:val="bottom"/>
            <w:tcBorders>
              <w:left w:val="single" w:sz="8" w:color="CCEEFF"/>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2023).</w:t>
              </w:r>
            </w:hyperlink>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10.25</w:t>
            </w:r>
          </w:p>
        </w:tc>
        <w:tc>
          <w:tcPr>
            <w:tcW w:w="340" w:type="dxa"/>
            <w:vAlign w:val="bottom"/>
          </w:tcPr>
          <w:p>
            <w:pPr>
              <w:spacing w:after="0"/>
              <w:rPr>
                <w:sz w:val="15"/>
                <w:szCs w:val="15"/>
                <w:color w:val="auto"/>
              </w:rPr>
            </w:pPr>
          </w:p>
        </w:tc>
        <w:tc>
          <w:tcPr>
            <w:tcW w:w="838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Second Amendment to Credit Agreement, dated as of May 22, 2023, by and among E la Carte, LLC (f/k/a Ventoux</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Merger Sub II LLC), Presto Automation Inc., the lenders party thereto and Metropolitan Partners Group Administration,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LLC (incorporated by reference to Exhibit 10.3 to the Current Report on Form 8-K filed on 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340" w:type="dxa"/>
            <w:vAlign w:val="bottom"/>
            <w:tcBorders>
              <w:bottom w:val="single" w:sz="8" w:color="CCEEFF"/>
            </w:tcBorders>
            <w:shd w:val="clear" w:color="auto" w:fill="CCEEFF"/>
          </w:tcPr>
          <w:p>
            <w:pPr>
              <w:spacing w:after="0"/>
              <w:rPr>
                <w:sz w:val="15"/>
                <w:szCs w:val="15"/>
                <w:color w:val="auto"/>
              </w:rPr>
            </w:pPr>
          </w:p>
        </w:tc>
        <w:tc>
          <w:tcPr>
            <w:tcW w:w="83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Amended and Restated Fee Letter, dated May 22, 2023, by and among E la Carte, LLC (f/k/a Ventoux Merger Sub II</w:t>
              </w:r>
            </w:hyperlink>
          </w:p>
        </w:tc>
        <w:tc>
          <w:tcPr>
            <w:tcW w:w="360" w:type="dxa"/>
            <w:vAlign w:val="bottom"/>
            <w:tcBorders>
              <w:left w:val="single" w:sz="8" w:color="CCEEFF"/>
              <w:bottom w:val="single" w:sz="8" w:color="CCEEFF"/>
            </w:tcBorders>
            <w:gridSpan w:val="1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LLC), Presto Automation Inc. and Metropolitan Partners Group Administration LLC (incorporated by reference to</w:t>
              </w:r>
            </w:hyperlink>
          </w:p>
        </w:tc>
        <w:tc>
          <w:tcPr>
            <w:tcW w:w="360" w:type="dxa"/>
            <w:vAlign w:val="bottom"/>
            <w:tcBorders>
              <w:left w:val="single" w:sz="8" w:color="CCEEFF"/>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Exhibit 10.4 to the Current Report on Form 8-K filed on May 22, 2023).</w:t>
              </w:r>
            </w:hyperlink>
          </w:p>
        </w:tc>
        <w:tc>
          <w:tcPr>
            <w:tcW w:w="3520" w:type="dxa"/>
            <w:vAlign w:val="bottom"/>
            <w:tcBorders>
              <w:bottom w:val="single" w:sz="8" w:color="CCEEFF"/>
            </w:tcBorders>
            <w:gridSpan w:val="1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10.27</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Levered Partners Fund VII, LP (incorporated by reference to Exhibit 10.5 to the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5"/>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Partners Fund VII, LP (incorporated by reference to Exhibit 10.6 to the Current Report on Form 8-K filed on May 22,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2023).</w:t>
              </w:r>
            </w:hyperlink>
          </w:p>
        </w:tc>
        <w:tc>
          <w:tcPr>
            <w:tcW w:w="4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0000EE"/>
              <w:lef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10.29</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Offshore Partners Fund VII, LP (incorporated by reference to Exhibit 10.7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May 22, 2023).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10.30</w:t>
            </w:r>
          </w:p>
        </w:tc>
        <w:tc>
          <w:tcPr>
            <w:tcW w:w="34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Warrant to Purchase Common Stock, dated May 22, 2023, by and between Presto Automation Inc. and CEOF Holdings,</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LP (incorporated by reference to Exhibit 10.8 to the Current Report on Form 8-K filed on May 22,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10.31</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listed therein (incorporated by reference to Exhibit 10.7 to the Current Report on Form 8-K filed on April 6, 2023).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EEFF"/>
          </w:tcPr>
          <w:p>
            <w:pPr>
              <w:spacing w:after="0"/>
              <w:rPr>
                <w:sz w:val="18"/>
                <w:szCs w:val="18"/>
                <w:color w:val="auto"/>
              </w:rPr>
            </w:pPr>
          </w:p>
        </w:tc>
        <w:tc>
          <w:tcPr>
            <w:tcW w:w="874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Offer of Employment, Daniel Mosher, dated May 12,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rPr>
              <w:t>Offer of Employment, Xavier Casanova, dated April 25,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Letter from Withum Smith+Brown, PC (incorporated by reference to Exhibit 16.1 to the Current Report on Form 8-K</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filed on November 2, 2022).</w:t>
              </w:r>
            </w:hyperlink>
          </w:p>
        </w:tc>
        <w:tc>
          <w:tcPr>
            <w:tcW w:w="640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21.1*</w:t>
            </w:r>
          </w:p>
        </w:tc>
        <w:tc>
          <w:tcPr>
            <w:tcW w:w="340" w:type="dxa"/>
            <w:vAlign w:val="bottom"/>
          </w:tcPr>
          <w:p>
            <w:pPr>
              <w:spacing w:after="0"/>
              <w:rPr>
                <w:sz w:val="17"/>
                <w:szCs w:val="17"/>
                <w:color w:val="auto"/>
              </w:rPr>
            </w:pPr>
          </w:p>
        </w:tc>
        <w:tc>
          <w:tcPr>
            <w:tcW w:w="8740" w:type="dxa"/>
            <w:vAlign w:val="bottom"/>
            <w:gridSpan w:val="23"/>
          </w:tcPr>
          <w:p>
            <w:pPr>
              <w:spacing w:after="0" w:line="201" w:lineRule="exact"/>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0"/>
                <w:szCs w:val="20"/>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rPr>
              <w:t>Consent of Moss Adams, LLP.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Power of Attorney (included on signature page of this Annual Report on Form 10-K)</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0000EE"/>
            </w:tcBorders>
            <w:shd w:val="clear" w:color="auto" w:fill="CCEEFF"/>
          </w:tcPr>
          <w:p>
            <w:pPr>
              <w:spacing w:after="0"/>
              <w:rPr>
                <w:sz w:val="20"/>
                <w:szCs w:val="20"/>
                <w:color w:val="auto"/>
              </w:rPr>
            </w:pPr>
          </w:p>
        </w:tc>
        <w:tc>
          <w:tcPr>
            <w:tcW w:w="25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lef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7"/>
                <w:szCs w:val="17"/>
                <w:color w:val="auto"/>
              </w:rPr>
            </w:pPr>
          </w:p>
        </w:tc>
        <w:tc>
          <w:tcPr>
            <w:tcW w:w="8740" w:type="dxa"/>
            <w:vAlign w:val="bottom"/>
            <w:gridSpan w:val="23"/>
          </w:tcPr>
          <w:p>
            <w:pPr>
              <w:spacing w:after="0" w:line="201" w:lineRule="exact"/>
              <w:rPr>
                <w:sz w:val="20"/>
                <w:szCs w:val="20"/>
                <w:color w:val="auto"/>
              </w:rPr>
            </w:pPr>
            <w:r>
              <w:rPr>
                <w:rFonts w:ascii="Arial" w:cs="Arial" w:eastAsia="Arial" w:hAnsi="Arial"/>
                <w:sz w:val="18"/>
                <w:szCs w:val="18"/>
                <w:color w:val="auto"/>
                <w:w w:val="93"/>
              </w:rPr>
              <w:t>Certification of Chief Executive Officer (Principal Executive Officer) Pursuant to Rules 13a-14(a) and 15d-14(a) under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w w:val="99"/>
              </w:rPr>
              <w:t>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201" w:lineRule="exact"/>
              <w:rPr>
                <w:sz w:val="20"/>
                <w:szCs w:val="20"/>
                <w:color w:val="auto"/>
              </w:rPr>
            </w:pPr>
            <w:r>
              <w:rPr>
                <w:rFonts w:ascii="Arial" w:cs="Arial" w:eastAsia="Arial" w:hAnsi="Arial"/>
                <w:sz w:val="18"/>
                <w:szCs w:val="18"/>
                <w:color w:val="auto"/>
                <w:w w:val="95"/>
              </w:rPr>
              <w:t>Certification of Chief Financial Officer (Principal Financial and Accounting Officer) Pursuant to Rules 13a-14(a)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740" w:type="dxa"/>
            <w:vAlign w:val="bottom"/>
            <w:gridSpan w:val="23"/>
            <w:shd w:val="clear" w:color="auto" w:fill="CCEEFF"/>
          </w:tcPr>
          <w:p>
            <w:pPr>
              <w:spacing w:after="0"/>
              <w:rPr>
                <w:sz w:val="20"/>
                <w:szCs w:val="20"/>
                <w:color w:val="auto"/>
              </w:rPr>
            </w:pPr>
            <w:r>
              <w:rPr>
                <w:rFonts w:ascii="Arial" w:cs="Arial" w:eastAsia="Arial" w:hAnsi="Arial"/>
                <w:sz w:val="18"/>
                <w:szCs w:val="18"/>
                <w:color w:val="auto"/>
                <w:w w:val="91"/>
              </w:rPr>
              <w:t>15d-14(a)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2002.</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6"/>
          </w:tcPr>
          <w:p>
            <w:pPr>
              <w:jc w:val="right"/>
              <w:ind w:right="720"/>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16" w:right="9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8940" w:type="dxa"/>
            <w:vAlign w:val="bottom"/>
          </w:tcPr>
          <w:p>
            <w:pPr>
              <w:ind w:left="200"/>
              <w:spacing w:after="0"/>
              <w:rPr>
                <w:sz w:val="20"/>
                <w:szCs w:val="20"/>
                <w:color w:val="auto"/>
              </w:rPr>
            </w:pPr>
            <w:r>
              <w:rPr>
                <w:rFonts w:ascii="Arial" w:cs="Arial" w:eastAsia="Arial" w:hAnsi="Arial"/>
                <w:sz w:val="18"/>
                <w:szCs w:val="18"/>
                <w:color w:val="auto"/>
                <w:w w:val="94"/>
              </w:rPr>
              <w:t>Certification of Chief Executive Officer (Principal Executive Officer) Pursuant to 18 U.S.C. Section 1350, as Adopted</w:t>
            </w:r>
          </w:p>
        </w:tc>
      </w:tr>
      <w:tr>
        <w:trPr>
          <w:trHeight w:val="230"/>
        </w:trPr>
        <w:tc>
          <w:tcPr>
            <w:tcW w:w="98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32.2**</w:t>
            </w:r>
          </w:p>
        </w:tc>
        <w:tc>
          <w:tcPr>
            <w:tcW w:w="8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Certification of Chief Financial Officer (Principal Financial and Accounting Officer) Pursuant to 18 U.S.C. Section</w:t>
            </w:r>
          </w:p>
        </w:tc>
      </w:tr>
      <w:tr>
        <w:trPr>
          <w:trHeight w:val="230"/>
        </w:trPr>
        <w:tc>
          <w:tcPr>
            <w:tcW w:w="980" w:type="dxa"/>
            <w:vAlign w:val="bottom"/>
            <w:shd w:val="clear" w:color="auto" w:fill="CCEEFF"/>
          </w:tcPr>
          <w:p>
            <w:pPr>
              <w:spacing w:after="0"/>
              <w:rPr>
                <w:sz w:val="20"/>
                <w:szCs w:val="20"/>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8940" w:type="dxa"/>
            <w:vAlign w:val="bottom"/>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46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of compensatory plan or arrangement.</w:t>
      </w:r>
    </w:p>
    <w:p>
      <w:pPr>
        <w:spacing w:after="0" w:line="230" w:lineRule="exact"/>
        <w:rPr>
          <w:sz w:val="20"/>
          <w:szCs w:val="20"/>
          <w:color w:val="auto"/>
        </w:rPr>
      </w:pPr>
    </w:p>
    <w:p>
      <w:pPr>
        <w:jc w:val="both"/>
        <w:ind w:left="440" w:hanging="432"/>
        <w:spacing w:after="0" w:line="278" w:lineRule="auto"/>
        <w:tabs>
          <w:tab w:leader="none" w:pos="4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39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2023</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Xavier Cassanova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Name:Xavier Cassanova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Name:Stanley Mbugua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729" w:right="11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Xavier Casanova and Stanley Mbugua,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by the following persons on behalf of the registrant and in the capacities on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Signature</w:t>
            </w:r>
          </w:p>
        </w:tc>
        <w:tc>
          <w:tcPr>
            <w:tcW w:w="5640" w:type="dxa"/>
            <w:vAlign w:val="bottom"/>
            <w:tcBorders>
              <w:top w:val="single" w:sz="8" w:color="auto"/>
            </w:tcBorders>
          </w:tcPr>
          <w:p>
            <w:pPr>
              <w:ind w:left="3340"/>
              <w:spacing w:after="0"/>
              <w:rPr>
                <w:sz w:val="20"/>
                <w:szCs w:val="20"/>
                <w:color w:val="auto"/>
              </w:rPr>
            </w:pPr>
            <w:r>
              <w:rPr>
                <w:rFonts w:ascii="Arial" w:cs="Arial" w:eastAsia="Arial" w:hAnsi="Arial"/>
                <w:sz w:val="16"/>
                <w:szCs w:val="16"/>
                <w:b w:val="1"/>
                <w:bCs w:val="1"/>
                <w:color w:val="auto"/>
              </w:rPr>
              <w:t>Title</w:t>
            </w:r>
          </w:p>
        </w:tc>
        <w:tc>
          <w:tcPr>
            <w:tcW w:w="2180" w:type="dxa"/>
            <w:vAlign w:val="bottom"/>
            <w:tcBorders>
              <w:top w:val="single" w:sz="8" w:color="auto"/>
            </w:tcBorders>
          </w:tcPr>
          <w:p>
            <w:pPr>
              <w:ind w:left="1080"/>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22"/>
                <w:szCs w:val="22"/>
                <w:color w:val="auto"/>
              </w:rPr>
            </w:pPr>
          </w:p>
        </w:tc>
      </w:tr>
      <w:tr>
        <w:trPr>
          <w:trHeight w:val="46"/>
        </w:trPr>
        <w:tc>
          <w:tcPr>
            <w:tcW w:w="2000" w:type="dxa"/>
            <w:vAlign w:val="bottom"/>
            <w:tcBorders>
              <w:bottom w:val="single" w:sz="8" w:color="auto"/>
            </w:tcBorders>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357"/>
        </w:trPr>
        <w:tc>
          <w:tcPr>
            <w:tcW w:w="2000" w:type="dxa"/>
            <w:vAlign w:val="bottom"/>
          </w:tcPr>
          <w:p>
            <w:pPr>
              <w:spacing w:after="0"/>
              <w:rPr>
                <w:sz w:val="24"/>
                <w:szCs w:val="24"/>
                <w:color w:val="auto"/>
              </w:rPr>
            </w:pPr>
          </w:p>
        </w:tc>
        <w:tc>
          <w:tcPr>
            <w:tcW w:w="564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230"/>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Xavier Casanova</w:t>
            </w:r>
          </w:p>
        </w:tc>
        <w:tc>
          <w:tcPr>
            <w:tcW w:w="5640" w:type="dxa"/>
            <w:vAlign w:val="bottom"/>
          </w:tcPr>
          <w:p>
            <w:pPr>
              <w:ind w:left="1080"/>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Xavier Casanova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2000" w:type="dxa"/>
            <w:vAlign w:val="bottom"/>
          </w:tcPr>
          <w:p>
            <w:pPr>
              <w:spacing w:after="0"/>
              <w:rPr>
                <w:sz w:val="24"/>
                <w:szCs w:val="24"/>
                <w:color w:val="auto"/>
              </w:rPr>
            </w:pPr>
          </w:p>
        </w:tc>
        <w:tc>
          <w:tcPr>
            <w:tcW w:w="5640" w:type="dxa"/>
            <w:vAlign w:val="bottom"/>
          </w:tcPr>
          <w:p>
            <w:pPr>
              <w:ind w:left="1080"/>
              <w:spacing w:after="0"/>
              <w:rPr>
                <w:sz w:val="20"/>
                <w:szCs w:val="20"/>
                <w:color w:val="auto"/>
              </w:rPr>
            </w:pPr>
            <w:r>
              <w:rPr>
                <w:rFonts w:ascii="Arial" w:cs="Arial" w:eastAsia="Arial" w:hAnsi="Arial"/>
                <w:sz w:val="18"/>
                <w:szCs w:val="18"/>
                <w:color w:val="auto"/>
              </w:rPr>
              <w:t>Interim Chief Financial Officer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230"/>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Stanley Mbugua</w:t>
            </w:r>
          </w:p>
        </w:tc>
        <w:tc>
          <w:tcPr>
            <w:tcW w:w="5640" w:type="dxa"/>
            <w:vAlign w:val="bottom"/>
          </w:tcPr>
          <w:p>
            <w:pPr>
              <w:ind w:left="1080"/>
              <w:spacing w:after="0"/>
              <w:rPr>
                <w:sz w:val="20"/>
                <w:szCs w:val="20"/>
                <w:color w:val="auto"/>
              </w:rPr>
            </w:pPr>
            <w:r>
              <w:rPr>
                <w:rFonts w:ascii="Arial" w:cs="Arial" w:eastAsia="Arial" w:hAnsi="Arial"/>
                <w:sz w:val="18"/>
                <w:szCs w:val="18"/>
                <w:color w:val="auto"/>
              </w:rPr>
              <w:t>(Principal Financial Officer and Chief Accounting Officer)</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Stanley Mbugua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Krishna Gupta</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Krishna Gupta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Ilya Golubovich</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8"/>
                <w:szCs w:val="18"/>
                <w:color w:val="auto"/>
              </w:rPr>
              <w:t>Ilya Golubovich</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Keith Kravcik</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Keith Kravcik</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Scott Raskin</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Scott Raskin</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Gail Zauder</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Gail Zauder</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Edward Scheetz</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4"/>
        </w:trPr>
        <w:tc>
          <w:tcPr>
            <w:tcW w:w="2000" w:type="dxa"/>
            <w:vAlign w:val="bottom"/>
          </w:tcPr>
          <w:p>
            <w:pPr>
              <w:spacing w:after="0"/>
              <w:rPr>
                <w:sz w:val="20"/>
                <w:szCs w:val="20"/>
                <w:color w:val="auto"/>
              </w:rPr>
            </w:pPr>
            <w:r>
              <w:rPr>
                <w:rFonts w:ascii="Arial" w:cs="Arial" w:eastAsia="Arial" w:hAnsi="Arial"/>
                <w:sz w:val="18"/>
                <w:szCs w:val="18"/>
                <w:color w:val="auto"/>
              </w:rPr>
              <w:t>Edward Scheetz</w:t>
            </w:r>
          </w:p>
        </w:tc>
        <w:tc>
          <w:tcPr>
            <w:tcW w:w="5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04"/>
        </w:trPr>
        <w:tc>
          <w:tcPr>
            <w:tcW w:w="2000" w:type="dxa"/>
            <w:vAlign w:val="bottom"/>
          </w:tcPr>
          <w:p>
            <w:pPr>
              <w:spacing w:after="0"/>
              <w:rPr>
                <w:sz w:val="24"/>
                <w:szCs w:val="24"/>
                <w:color w:val="auto"/>
              </w:rPr>
            </w:pPr>
          </w:p>
        </w:tc>
        <w:tc>
          <w:tcPr>
            <w:tcW w:w="5640" w:type="dxa"/>
            <w:vAlign w:val="bottom"/>
          </w:tcPr>
          <w:p>
            <w:pPr>
              <w:ind w:left="2880"/>
              <w:spacing w:after="0"/>
              <w:rPr>
                <w:sz w:val="20"/>
                <w:szCs w:val="20"/>
                <w:color w:val="auto"/>
              </w:rPr>
            </w:pPr>
            <w:r>
              <w:rPr>
                <w:rFonts w:ascii="Arial" w:cs="Arial" w:eastAsia="Arial" w:hAnsi="Arial"/>
                <w:sz w:val="18"/>
                <w:szCs w:val="18"/>
                <w:color w:val="auto"/>
              </w:rPr>
              <w:t>55</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2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72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upperLetter"/>
      <w:start w:val="3"/>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upperLetter"/>
      <w:start w:val="1"/>
    </w:lvl>
  </w:abstractNum>
  <w:abstractNum w:abstractNumId="37">
    <w:nsid w:val="153EA438"/>
    <w:multiLevelType w:val="hybridMultilevel"/>
    <w:lvl w:ilvl="0">
      <w:lvlJc w:val="left"/>
      <w:lvlText w:val="[%1]"/>
      <w:numFmt w:val="upperLetter"/>
      <w:start w:val="5"/>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Ù"/>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3"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33" Type="http://schemas.openxmlformats.org/officeDocument/2006/relationships/hyperlink" Target="https://www.sec.gov/Archives/edgar/data/1822145/000121390021058217/ea150262ex2-1_ventouxccm.htm" TargetMode="External"/><Relationship Id="rId134" Type="http://schemas.openxmlformats.org/officeDocument/2006/relationships/hyperlink" Target="https://www.sec.gov/Archives/edgar/data/1822145/000121390022017828/ea157923ex2-1_ventoux.htm" TargetMode="External"/><Relationship Id="rId135" Type="http://schemas.openxmlformats.org/officeDocument/2006/relationships/hyperlink" Target="https://www.sec.gov/Archives/edgar/data/1822145/000121390022041523/ea163294ex2-1_ventoux.htm" TargetMode="External"/><Relationship Id="rId136" Type="http://schemas.openxmlformats.org/officeDocument/2006/relationships/hyperlink" Target="https://www.sec.gov/Archives/edgar/data/1822145/000121390022059478/ea166244ex3-1_prestoauto.htm" TargetMode="External"/><Relationship Id="rId137" Type="http://schemas.openxmlformats.org/officeDocument/2006/relationships/hyperlink" Target="https://www.sec.gov/Archives/edgar/data/1822145/000121390022059478/ea166244ex3-2_prestoauto.htm" TargetMode="External"/><Relationship Id="rId138" Type="http://schemas.openxmlformats.org/officeDocument/2006/relationships/hyperlink" Target="http://www.sec.gov/Archives/edgar/data/1822145/000121390022059478/ea166244ex10-1_prestoauto.htm" TargetMode="External"/><Relationship Id="rId139" Type="http://schemas.openxmlformats.org/officeDocument/2006/relationships/hyperlink" Target="http://www.sec.gov/Archives/edgar/data/1822145/000121390022059478/ea166244ex10-2_prestoauto.htm" TargetMode="External"/><Relationship Id="rId140" Type="http://schemas.openxmlformats.org/officeDocument/2006/relationships/hyperlink" Target="http://www.sec.gov/Archives/edgar/data/1822145/000121390022059478/ea166244ex10-3_prestoauto.htm" TargetMode="External"/><Relationship Id="rId141" Type="http://schemas.openxmlformats.org/officeDocument/2006/relationships/hyperlink" Target="http://www.sec.gov/Archives/edgar/data/1822145/000121390022059478/ea166244ex10-4_prestoauto.htm" TargetMode="External"/><Relationship Id="rId142" Type="http://schemas.openxmlformats.org/officeDocument/2006/relationships/hyperlink" Target="http://www.sec.gov/Archives/edgar/data/1822145/000121390022059478/ea166244ex10-5_prestoauto.htm" TargetMode="External"/><Relationship Id="rId143" Type="http://schemas.openxmlformats.org/officeDocument/2006/relationships/hyperlink" Target="http://www.sec.gov/Archives/edgar/data/1822145/000121390022065582/fs12022ex10-6_presto.htm" TargetMode="External"/><Relationship Id="rId144" Type="http://schemas.openxmlformats.org/officeDocument/2006/relationships/hyperlink" Target="http://www.sec.gov/Archives/edgar/data/1822145/000121390022065582/fs12022ex10-7_presto.htm" TargetMode="External"/><Relationship Id="rId145" Type="http://schemas.openxmlformats.org/officeDocument/2006/relationships/hyperlink" Target="http://www.sec.gov/Archives/edgar/data/1822145/000121390022059478/ea166244ex10-6_prestoauto.htm" TargetMode="External"/><Relationship Id="rId146" Type="http://schemas.openxmlformats.org/officeDocument/2006/relationships/hyperlink" Target="http://www.sec.gov/Archives/edgar/data/1822145/000121390022059478/ea166244ex10-7_prestoauto.htm" TargetMode="External"/><Relationship Id="rId147" Type="http://schemas.openxmlformats.org/officeDocument/2006/relationships/hyperlink" Target="http://www.sec.gov/Archives/edgar/data/1822145/000121390022041523/ea163294ex10-2_ventoux.htm" TargetMode="External"/><Relationship Id="rId148" Type="http://schemas.openxmlformats.org/officeDocument/2006/relationships/hyperlink" Target="http://www.sec.gov/Archives/edgar/data/1822145/000121390022041523/ea163294ex10-3_ventoux.htm" TargetMode="External"/><Relationship Id="rId149" Type="http://schemas.openxmlformats.org/officeDocument/2006/relationships/hyperlink" Target="http://www.sec.gov/Archives/edgar/data/1822145/000121390022065582/fs12022ex10-12_presto.htm" TargetMode="External"/><Relationship Id="rId150" Type="http://schemas.openxmlformats.org/officeDocument/2006/relationships/hyperlink" Target="http://www.sec.gov/Archives/edgar/data/1822145/000121390022065582/fs12022ex10-13_presto.htm" TargetMode="External"/><Relationship Id="rId151" Type="http://schemas.openxmlformats.org/officeDocument/2006/relationships/hyperlink" Target="https://www.sec.gov/Archives/edgar/data/1822145/000155837023003048/prst-20230304xex10d1.htm" TargetMode="External"/><Relationship Id="rId152" Type="http://schemas.openxmlformats.org/officeDocument/2006/relationships/hyperlink" Target="https://www.sec.gov/Archives/edgar/data/1822145/000155837023005593/prst-20230331xex10d1.htm" TargetMode="External"/><Relationship Id="rId154" Type="http://schemas.openxmlformats.org/officeDocument/2006/relationships/hyperlink" Target="https://www.sec.gov/Archives/edgar/data/1822145/000155837023005593/prst-20230331xex10d2.htm" TargetMode="External"/><Relationship Id="rId155" Type="http://schemas.openxmlformats.org/officeDocument/2006/relationships/hyperlink" Target="https://www.sec.gov/Archives/edgar/data/1822145/000155837023005593/prst-20230331xex10d3.htm" TargetMode="External"/><Relationship Id="rId156" Type="http://schemas.openxmlformats.org/officeDocument/2006/relationships/hyperlink" Target="https://www.sec.gov/Archives/edgar/data/1822145/000155837023005593/prst-20230331xex10d4.htm" TargetMode="External"/><Relationship Id="rId157" Type="http://schemas.openxmlformats.org/officeDocument/2006/relationships/hyperlink" Target="https://www.sec.gov/Archives/edgar/data/1822145/000155837023005593/prst-20230331xex10d5.htm" TargetMode="External"/><Relationship Id="rId158" Type="http://schemas.openxmlformats.org/officeDocument/2006/relationships/hyperlink" Target="https://www.sec.gov/Archives/edgar/data/1822145/000155837023005593/prst-20230331xex10d6.htm" TargetMode="External"/><Relationship Id="rId159" Type="http://schemas.openxmlformats.org/officeDocument/2006/relationships/hyperlink" Target="https://www.sec.gov/Archives/edgar/data/1822145/000155837023005593/prst-20230331xex10d7.htm" TargetMode="External"/><Relationship Id="rId160" Type="http://schemas.openxmlformats.org/officeDocument/2006/relationships/hyperlink" Target="http://www.sec.gov/Archives/edgar/data/1822145/000110465923057853/tm2315172d1_ex10-1.htm" TargetMode="External"/><Relationship Id="rId161" Type="http://schemas.openxmlformats.org/officeDocument/2006/relationships/hyperlink" Target="http://www.sec.gov/Archives/edgar/data/1822145/000121390023041754/ea179025ex10-1_prestoauto.htm" TargetMode="External"/><Relationship Id="rId162" Type="http://schemas.openxmlformats.org/officeDocument/2006/relationships/hyperlink" Target="http://www.sec.gov/Archives/edgar/data/1822145/000121390023041754/ea179025ex10-2_prestoauto.htm" TargetMode="External"/><Relationship Id="rId163" Type="http://schemas.openxmlformats.org/officeDocument/2006/relationships/hyperlink" Target="http://www.sec.gov/Archives/edgar/data/1822145/000121390023041754/ea179025ex10-3_prestoauto.htm" TargetMode="External"/><Relationship Id="rId164" Type="http://schemas.openxmlformats.org/officeDocument/2006/relationships/hyperlink" Target="http://www.sec.gov/Archives/edgar/data/1822145/000121390023041754/ea179025ex10-4_prestoauto.htm" TargetMode="External"/><Relationship Id="rId165" Type="http://schemas.openxmlformats.org/officeDocument/2006/relationships/hyperlink" Target="http://www.sec.gov/Archives/edgar/data/1822145/000121390023041754/ea179025ex10-5_prestoauto.htm" TargetMode="External"/><Relationship Id="rId166" Type="http://schemas.openxmlformats.org/officeDocument/2006/relationships/hyperlink" Target="http://www.sec.gov/Archives/edgar/data/1822145/000121390023041754/ea179025ex10-6_prestoauto.htm" TargetMode="External"/><Relationship Id="rId167" Type="http://schemas.openxmlformats.org/officeDocument/2006/relationships/hyperlink" Target="http://www.sec.gov/Archives/edgar/data/1822145/000121390023041754/ea179025ex10-7_prestoauto.htm" TargetMode="External"/><Relationship Id="rId168" Type="http://schemas.openxmlformats.org/officeDocument/2006/relationships/hyperlink" Target="http://www.sec.gov/Archives/edgar/data/1822145/000121390023041754/ea179025ex10-8_prestoauto.htm" TargetMode="External"/><Relationship Id="rId169" Type="http://schemas.openxmlformats.org/officeDocument/2006/relationships/hyperlink" Target="http://www.sec.gov/Archives/edgar/data/1822145/000155837023005593/prst-20230331xex10d7.htm" TargetMode="External"/><Relationship Id="rId170" Type="http://schemas.openxmlformats.org/officeDocument/2006/relationships/hyperlink" Target="https://www.sec.gov/Archives/edgar/data/1822145/000121390022068735/ea167911ex16-1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2023-10-11T15:55:10Z</dcterms:created>
  <dcterms:modified xsi:type="dcterms:W3CDTF">2023-10-11T15:55:10Z</dcterms:modified>
</cp:coreProperties>
</file>