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Ventoux CCM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44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0"/>
              </w:rPr>
              <w:t>001-39830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84-2968594</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1 East Putnam Avenue, Floor 4</w:t>
            </w:r>
          </w:p>
        </w:tc>
        <w:tc>
          <w:tcPr>
            <w:tcW w:w="27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2"/>
              </w:rPr>
              <w:t>Greenwich, CT 06830</w:t>
            </w:r>
          </w:p>
        </w:tc>
        <w:tc>
          <w:tcPr>
            <w:tcW w:w="276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(Address of principal executive office) (zip code)</w:t>
            </w:r>
          </w:p>
        </w:tc>
        <w:tc>
          <w:tcPr>
            <w:tcW w:w="27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5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Registrant’s telephone number, including area code: (646) 465-9000</w:t>
            </w:r>
          </w:p>
        </w:tc>
        <w:tc>
          <w:tcPr>
            <w:tcW w:w="276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N/A</w:t>
            </w:r>
          </w:p>
        </w:tc>
        <w:tc>
          <w:tcPr>
            <w:tcW w:w="27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29"/>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87"/>
              </w:rPr>
              <w:t>Warrants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VTAQW</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22"/>
        </w:trPr>
        <w:tc>
          <w:tcPr>
            <w:tcW w:w="3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Rights</w:t>
            </w:r>
          </w:p>
        </w:tc>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VTAQR</w:t>
            </w:r>
          </w:p>
        </w:tc>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680" w:type="dxa"/>
            <w:vAlign w:val="bottom"/>
          </w:tcPr>
          <w:p>
            <w:pPr>
              <w:jc w:val="center"/>
              <w:spacing w:after="0"/>
              <w:rPr>
                <w:sz w:val="20"/>
                <w:szCs w:val="20"/>
                <w:color w:val="auto"/>
              </w:rPr>
            </w:pPr>
            <w:r>
              <w:rPr>
                <w:rFonts w:ascii="Arial" w:cs="Arial" w:eastAsia="Arial" w:hAnsi="Arial"/>
                <w:sz w:val="18"/>
                <w:szCs w:val="18"/>
                <w:color w:val="auto"/>
                <w:w w:val="97"/>
              </w:rPr>
              <w:t>Units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6"/>
              </w:rPr>
              <w:t>VTAQU</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 Entry into a Material Definitive Agreement.</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16, 2022, in connection with its special meeting of stockholders held on June 16, 2022 (the “Special Meeting”), Ventoux CCM Acquisition Corp. (the “Company”) and Continental Stock Transfer &amp; Trust Company (the “Trustee”) entered into Amendment No. 1 to the Investment Management Trust Agreement (the “Trust Amendment”), which amends the Investment Management Trust Agreement entered into by the Company and the Trustee on December 23, 2020 (the “Trust Agreement”), to (i) extend the date on which the Trustee must liquidate the trust account established in connection with the Company’s initial public offering that was consummated on December 30, 2020 (the “IPO”) if the Company has not completed its initial business combination from June 30, 2022 to September 30, 2022, and (ii) allow the Company, without another stockholder vote, to elect to extend such date by an additional three months, from September 30, 2022 to December 30, 2022. The foregoing description of the Trust Amendment does not purport to be complete and is qualified in its entirety by the terms and conditions of the Trust Amendment, a copy of which is attached hereto as Exhibit 10.1 and 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16, 2022, the Company held the Special Meeting, at which holders of 15,921,915 shares of common stock were present virtually or by proxy, representing 73.84% of the voting power of the 21,562,500 shares of the Company’s issued and outstanding shares of common stock entitled to vote at the Special Meeting at the close of business on April 27, 2022, which was the record date (the “Record Date”) for the Special Meeting (stockholders of record as of the close of business on the Record Date are referred to herein as “Stockholders”). A summary of the voting results at the Special Meeting for each of the proposals is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p>
    <w:p>
      <w:pPr>
        <w:spacing w:after="0" w:line="22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Stockholders approved the proposal to amend the Company’s amended and restated certificate of incorporation to (i) extend the date by which the Company has to consummate a business combination for three months, from June 30, 2022 to September 30, 2022 and (ii) allow the Company, without another stockholder vote, to elect to extend the date to consummate a business combination for an additional three months after June 30, 2022, from September 30, 2022 to December 30, 2022 (the “Charter Amendment Proposal”) The voting results for such proposal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15,895,333</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24,227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2,355</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the date hereof, to effectuate the approval of the Charter Amendment Proposal, the Company filed with the Secretary of State of the State of Delaware the Certificate of Amendment to the Amended and Restated Certificate of Incorporation of the Company, a copy of which is attached hereto as Exhibit 3.1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Stockholders approved the proposal to amend the Trust Agreement (the “Trust Amendment”) to extend the date on which the Trustee must liquidate the trust account established in connection with the IPO if the Company has not completed its initial business combination from June 30, 2022 to September 30, 2022, or until December 30, 2022 if the Company elects to extend by an additional three months pursuant to the Amendment to the Amended and Restated Certificate of Incorporation (the “Trust Amendment Proposal”). The voting results for such proposal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15,894,083</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25,227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2,605</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is incorporated by reference in this item to the extent required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Proposal 3</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Stockholders approved the proposal to adjourn the Special Meeting to a later date or dates, if necessary or appropriate, to permit further solicitation and vote of proxies if, based upon the tabulated vote at the time of the Special Meeting, there are not sufficient votes to approve the Charter Amendment Proposal and/or the Trust Amendment Proposal. The voting results for such proposal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15,891,821</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28,364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1,730</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7.01. Regulation FD Disclosure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Special Meeting, stockholders holding 15,994,982 shares of common stock elected to and tendered their stock for redemption. In connection thereto, the Company will pay to redeeming shareholders approximately $10.20 per share, or $163,148,816.40 in the aggregate. Following the redemption, the Company will have 5,567,518 shares of common stock outstanding, which consists of 1,255,018 shares sold in the Company’s IPO and 4,312,500 privately placed founder shares. Following the redemption, the Company will have approximately $12.8 million held in its trust account for the benefit of non-redeeming public shareholders.</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information in this Item 7.01 is furnished and shall not be deemed “filed” for purposes of Section 18 of the Securities Exchange Act of 1934, as amended (“Exchange Act”), or otherwise subject to the liabilities of that section, and shall not be deemed incorporated by reference into any filing under the Securities Act of 1933, as amended, or the Exchange Act, regardless of any general incorporation language in such filings. This Current Report on Form 8-K will not be deemed an admission as to the materiality of any information of the information contained in this Item 7.01.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2"/>
                <w:szCs w:val="22"/>
                <w:color w:val="auto"/>
              </w:rPr>
            </w:pPr>
          </w:p>
        </w:tc>
        <w:tc>
          <w:tcPr>
            <w:tcW w:w="3160" w:type="dxa"/>
            <w:vAlign w:val="bottom"/>
            <w:tcBorders>
              <w:bottom w:val="single" w:sz="8" w:color="auto"/>
            </w:tcBorders>
          </w:tcPr>
          <w:p>
            <w:pPr>
              <w:spacing w:after="0"/>
              <w:rPr>
                <w:sz w:val="22"/>
                <w:szCs w:val="22"/>
                <w:color w:val="auto"/>
              </w:rPr>
            </w:pPr>
          </w:p>
        </w:tc>
        <w:tc>
          <w:tcPr>
            <w:tcW w:w="684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6"/>
                <w:szCs w:val="16"/>
                <w:color w:val="auto"/>
              </w:rPr>
            </w:pPr>
          </w:p>
        </w:tc>
        <w:tc>
          <w:tcPr>
            <w:tcW w:w="10000" w:type="dxa"/>
            <w:vAlign w:val="bottom"/>
            <w:tcBorders>
              <w:top w:val="single" w:sz="8" w:color="auto"/>
            </w:tcBorders>
            <w:gridSpan w:val="4"/>
            <w:shd w:val="clear" w:color="auto" w:fill="CCEEFF"/>
          </w:tcPr>
          <w:p>
            <w:pPr>
              <w:ind w:left="20"/>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Certificate of Amendment to the Amended and Restated Certificate of Incorporation</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2920" w:type="dxa"/>
            <w:vAlign w:val="bottom"/>
            <w:tcBorders>
              <w:top w:val="single" w:sz="8" w:color="0000EE"/>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EE"/>
            </w:tcBorders>
            <w:gridSpan w:val="3"/>
            <w:shd w:val="clear" w:color="auto" w:fill="CCEEFF"/>
          </w:tcPr>
          <w:p>
            <w:pPr>
              <w:ind w:left="20"/>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Amendment No. 1 to the Investment Management Trust Agreement, dated as of June 16, 2022, between the Company and Continental</w:t>
              </w:r>
            </w:hyperlink>
          </w:p>
        </w:tc>
        <w:tc>
          <w:tcPr>
            <w:tcW w:w="30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4"/>
            <w:shd w:val="clear" w:color="auto" w:fill="CCEEFF"/>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Stock Transfer &amp; Trust Company, as trustee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580" w:right="4220" w:hanging="5572"/>
        <w:spacing w:after="0" w:line="778"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June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Ed Scheetz</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right="160" w:firstLine="360"/>
        <w:spacing w:after="0" w:line="282" w:lineRule="auto"/>
        <w:rPr>
          <w:sz w:val="20"/>
          <w:szCs w:val="20"/>
          <w:color w:val="auto"/>
        </w:rPr>
      </w:pPr>
      <w:r>
        <w:rPr>
          <w:rFonts w:ascii="Arial" w:cs="Arial" w:eastAsia="Arial" w:hAnsi="Arial"/>
          <w:sz w:val="18"/>
          <w:szCs w:val="18"/>
          <w:b w:val="1"/>
          <w:bCs w:val="1"/>
          <w:color w:val="auto"/>
        </w:rPr>
        <w:t xml:space="preserve">VENTOUX CCM ACQUISITION CORP. </w:t>
      </w:r>
      <w:r>
        <w:rPr>
          <w:rFonts w:ascii="Arial" w:cs="Arial" w:eastAsia="Arial" w:hAnsi="Arial"/>
          <w:sz w:val="18"/>
          <w:szCs w:val="18"/>
          <w:color w:val="auto"/>
        </w:rPr>
        <w:t>(the “Corporation”), a corporation organized and existing under the laws of the State of Delaware, does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certify as follows:</w:t>
      </w:r>
    </w:p>
    <w:p>
      <w:pPr>
        <w:spacing w:after="0" w:line="166" w:lineRule="exact"/>
        <w:rPr>
          <w:sz w:val="20"/>
          <w:szCs w:val="20"/>
          <w:color w:val="auto"/>
        </w:rPr>
      </w:pPr>
    </w:p>
    <w:p>
      <w:pPr>
        <w:ind w:left="720" w:right="180" w:hanging="361"/>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Ventoux CCM Acquisition Corp. The Corporation’s Certificate of Incorporation was filed in the office of the Secretary of State of the State of Delaware on July 10, 2019 (the “Original Certificate”). An Amended and Restated Certificate of Incorporation was filed in the office of the Secretary of State of the State of Delaware on December 23, 2020 (the “Amended and Restated Certificate of Incorporation”).</w:t>
      </w:r>
    </w:p>
    <w:p>
      <w:pPr>
        <w:spacing w:after="0" w:line="186" w:lineRule="exact"/>
        <w:rPr>
          <w:rFonts w:ascii="Arial" w:cs="Arial" w:eastAsia="Arial" w:hAnsi="Arial"/>
          <w:sz w:val="18"/>
          <w:szCs w:val="18"/>
          <w:color w:val="auto"/>
        </w:rPr>
      </w:pPr>
    </w:p>
    <w:p>
      <w:pPr>
        <w:ind w:left="720" w:right="40" w:hanging="361"/>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 of Incorporation of the Corporation.</w:t>
      </w:r>
    </w:p>
    <w:p>
      <w:pPr>
        <w:spacing w:after="0" w:line="170" w:lineRule="exact"/>
        <w:rPr>
          <w:rFonts w:ascii="Arial" w:cs="Arial" w:eastAsia="Arial" w:hAnsi="Arial"/>
          <w:sz w:val="18"/>
          <w:szCs w:val="18"/>
          <w:color w:val="auto"/>
        </w:rPr>
      </w:pPr>
    </w:p>
    <w:p>
      <w:pPr>
        <w:jc w:val="both"/>
        <w:ind w:left="720" w:right="100" w:hanging="361"/>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was duly adopted by the affirmative vote of the holders of a majority of the stock entitled to vote at a meeting of stockholders in accordance with the provisions of Section 242 of the General Corporation Law of the State of Delaware (the “DGCL”).</w:t>
      </w:r>
    </w:p>
    <w:p>
      <w:pPr>
        <w:spacing w:after="0" w:line="183" w:lineRule="exact"/>
        <w:rPr>
          <w:rFonts w:ascii="Arial" w:cs="Arial" w:eastAsia="Arial" w:hAnsi="Arial"/>
          <w:sz w:val="18"/>
          <w:szCs w:val="18"/>
          <w:color w:val="auto"/>
        </w:rPr>
      </w:pPr>
    </w:p>
    <w:p>
      <w:pPr>
        <w:ind w:left="720" w:hanging="36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Section (E) of Article SIXTH is hereby amended and restated to read in full as follows:</w:t>
      </w:r>
    </w:p>
    <w:p>
      <w:pPr>
        <w:spacing w:after="0" w:line="225" w:lineRule="exact"/>
        <w:rPr>
          <w:sz w:val="20"/>
          <w:szCs w:val="20"/>
          <w:color w:val="auto"/>
        </w:rPr>
      </w:pPr>
    </w:p>
    <w:p>
      <w:pPr>
        <w:ind w:left="720" w:right="80" w:hanging="361"/>
        <w:spacing w:after="0" w:line="28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that the Corporation does not consummate the Business Combination by (i) 21 months from the consummation of the IPO or (ii) up to 24 months from the consummation of the IPO if the Corporation elects to extend the amount of time to complete the Business Combination by an additional 3 months in accordance with the Amended and Restated Investment Management Trust Agreement between the Corporation and Continental Stock Transfer &amp; Trust Company (in either case, such date being referred to as the “Termination Date”), the Corporation shall</w:t>
      </w:r>
    </w:p>
    <w:p>
      <w:pPr>
        <w:spacing w:after="0" w:line="1" w:lineRule="exact"/>
        <w:rPr>
          <w:rFonts w:ascii="Arial" w:cs="Arial" w:eastAsia="Arial" w:hAnsi="Arial"/>
          <w:sz w:val="16"/>
          <w:szCs w:val="16"/>
          <w:color w:val="auto"/>
        </w:rPr>
      </w:pPr>
    </w:p>
    <w:p>
      <w:pPr>
        <w:ind w:left="720" w:right="120" w:hanging="10"/>
        <w:spacing w:after="0" w:line="281" w:lineRule="auto"/>
        <w:tabs>
          <w:tab w:leader="none" w:pos="935" w:val="left"/>
        </w:tabs>
        <w:numPr>
          <w:ilvl w:val="1"/>
          <w:numId w:val="4"/>
        </w:numPr>
        <w:rPr>
          <w:rFonts w:ascii="Arial" w:cs="Arial" w:eastAsia="Arial" w:hAnsi="Arial"/>
          <w:sz w:val="16"/>
          <w:szCs w:val="16"/>
          <w:color w:val="auto"/>
        </w:rPr>
      </w:pPr>
      <w:r>
        <w:rPr>
          <w:rFonts w:ascii="Arial" w:cs="Arial" w:eastAsia="Arial" w:hAnsi="Arial"/>
          <w:sz w:val="16"/>
          <w:szCs w:val="16"/>
          <w:color w:val="auto"/>
        </w:rPr>
        <w:t>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w:t>
      </w:r>
    </w:p>
    <w:p>
      <w:pPr>
        <w:spacing w:after="0" w:line="4" w:lineRule="exact"/>
        <w:rPr>
          <w:rFonts w:ascii="Arial" w:cs="Arial" w:eastAsia="Arial" w:hAnsi="Arial"/>
          <w:sz w:val="16"/>
          <w:szCs w:val="16"/>
          <w:color w:val="auto"/>
        </w:rPr>
      </w:pPr>
    </w:p>
    <w:p>
      <w:pPr>
        <w:ind w:left="720" w:hanging="10"/>
        <w:spacing w:after="0" w:line="253" w:lineRule="auto"/>
        <w:tabs>
          <w:tab w:leader="none" w:pos="98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and (iii) 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firstLine="3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Ventoux CCM Acquisition Corp. has caused this Amendment to the Amended and Restated Certificate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its name and on its behalf by an authorized officer as of this 16th day of June, 2022.</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904" w:right="89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INVESTMENT MANAGEMENT TRUST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16, 2022</w:t>
      </w:r>
    </w:p>
    <w:p>
      <w:pPr>
        <w:spacing w:after="0" w:line="225" w:lineRule="exact"/>
        <w:rPr>
          <w:sz w:val="20"/>
          <w:szCs w:val="20"/>
          <w:color w:val="auto"/>
        </w:rPr>
      </w:pPr>
    </w:p>
    <w:p>
      <w:pPr>
        <w:ind w:right="220" w:firstLine="324"/>
        <w:spacing w:after="0" w:line="274" w:lineRule="auto"/>
        <w:rPr>
          <w:sz w:val="20"/>
          <w:szCs w:val="20"/>
          <w:color w:val="auto"/>
        </w:rPr>
      </w:pPr>
      <w:r>
        <w:rPr>
          <w:rFonts w:ascii="Arial" w:cs="Arial" w:eastAsia="Arial" w:hAnsi="Arial"/>
          <w:sz w:val="17"/>
          <w:szCs w:val="17"/>
          <w:color w:val="auto"/>
        </w:rPr>
        <w:t>THIS AMENDMENT NO. 1 TO THE INVESTMENT MANAGEMENT TRUST AGREEMENT (this “Amendment”) is made as of June 16, 2022, by and between Ventoux CCM Acquisition Corp., a Delaware corporation (the “Company”), and Continental Stock Transfer &amp; Trust Company, a</w:t>
      </w:r>
    </w:p>
    <w:p>
      <w:pPr>
        <w:ind w:right="100"/>
        <w:spacing w:after="0" w:line="255" w:lineRule="auto"/>
        <w:rPr>
          <w:sz w:val="20"/>
          <w:szCs w:val="20"/>
          <w:color w:val="auto"/>
        </w:rPr>
      </w:pPr>
      <w:r>
        <w:rPr>
          <w:rFonts w:ascii="Arial" w:cs="Arial" w:eastAsia="Arial" w:hAnsi="Arial"/>
          <w:sz w:val="18"/>
          <w:szCs w:val="18"/>
          <w:color w:val="auto"/>
        </w:rPr>
        <w:t>New York limited purpose trust company (the “Trustee”). Capitalized terms contained in this Amendment, but not specifically defined in this Amendment, shall have the meanings ascribed to such terms in that certain Investment Management Trust Agreement, dated December 23, 2020, by and between the parties hereto (the “Trust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on December 30, 2020, an aggregate of $174,225,000 was placed in the Trust Account from the IPO and sale of Private Warrants;</w:t>
      </w:r>
    </w:p>
    <w:p>
      <w:pPr>
        <w:spacing w:after="0" w:line="23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WHEREAS, Section 1(i) of the Trust Agreement provides that the Trustee is to liquidate the Trust Account and distribute the Property in the Trust Account, including interest earned on the funds held in the Trust Account and not previously released to the Company to pay its taxes (less up to $100,000 of interest that may be released to the Company to pay dissolution expenses) to the Public Shareholders of record if the Company does not complete its initial business combination 18 months after the closing of the IPO in the event that the Company extended the time to complete the Business Combination by three months as set forth in the Trust Agreement;</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WHEREAS, Section 7(c) of the Trust Agreement provides that Section 1(i) and Section 1(j) of the Trust Agreement may only be modified, amended or deleted with the affirmative vote of at least a majority of the outstanding shares of Common Stock sold in the IPO;</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WHEREAS, pursuant to a special meeting of the shareholders of the Company, a majority of the outstanding shares of Common Stock sold in the IPO voted affirmatively to approve this Amendment;</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WHEREAS, in connection with the execution of this Amendment, the extension of the deadline to consummate the Company’s initial business combination is being extended from the 18-month anniversary of the closing of the IPO to the 21-month anniversary of the IPO (i.e. from June 30, 2022 to September 30, 2022), with an option to further extended such deadline from the 21-month anniversary of the closing of the IPO to the 24-month anniversary of the IPO; and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each of the Company and Trustee desire to amend the Trust Agreement as provided herein.</w:t>
      </w:r>
    </w:p>
    <w:p>
      <w:pPr>
        <w:spacing w:after="0" w:line="225"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Amendment to Trust Agreement.</w:t>
      </w:r>
      <w:r>
        <w:rPr>
          <w:rFonts w:ascii="Arial" w:cs="Arial" w:eastAsia="Arial" w:hAnsi="Arial"/>
          <w:sz w:val="17"/>
          <w:szCs w:val="17"/>
          <w:color w:val="auto"/>
        </w:rPr>
        <w:t xml:space="preserve"> Section 1(i) and Section 1(j) of the Trust Agreement is hereby amended and restated in its entirety as follows:</w:t>
      </w:r>
    </w:p>
    <w:p>
      <w:pPr>
        <w:spacing w:after="0" w:line="237" w:lineRule="exact"/>
        <w:rPr>
          <w:sz w:val="20"/>
          <w:szCs w:val="20"/>
          <w:color w:val="auto"/>
        </w:rPr>
      </w:pPr>
    </w:p>
    <w:p>
      <w:pPr>
        <w:ind w:left="340" w:right="20" w:firstLine="324"/>
        <w:spacing w:after="0" w:line="253" w:lineRule="auto"/>
        <w:rPr>
          <w:sz w:val="20"/>
          <w:szCs w:val="20"/>
          <w:color w:val="auto"/>
        </w:rPr>
      </w:pPr>
      <w:r>
        <w:rPr>
          <w:rFonts w:ascii="Arial" w:cs="Arial" w:eastAsia="Arial" w:hAnsi="Arial"/>
          <w:sz w:val="18"/>
          <w:szCs w:val="18"/>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21-month anniversary of the closing of the IPO (“Closing”) or, in the event that the Company extended the time to complete the Business Combination for up to 24 months from the closing of the IPO but has not completed the Business Combination within such 24-month period, the 24-month anniversary of the Closing (the “Last Date”), the Trust Account shall be liquidated in accordance with the procedures set forth in the Termination Letter attached as Exhibit B hereto and distributed to the Public Shareholders as of the Last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340" w:firstLine="324"/>
        <w:spacing w:after="0" w:line="269" w:lineRule="auto"/>
        <w:rPr>
          <w:sz w:val="20"/>
          <w:szCs w:val="20"/>
          <w:color w:val="auto"/>
        </w:rPr>
      </w:pPr>
      <w:r>
        <w:rPr>
          <w:rFonts w:ascii="Arial" w:cs="Arial" w:eastAsia="Arial" w:hAnsi="Arial"/>
          <w:sz w:val="17"/>
          <w:szCs w:val="17"/>
          <w:color w:val="auto"/>
        </w:rPr>
        <w:t>“(j) 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deadline to consummate the Company’s initial business combination, to follow the instructions set forth in the Extension Letter. Furthermore, upon receipt of an additional extension letter (“Additional Extension Letter”) substantially similar to Exhibit E hereto at least</w:t>
      </w:r>
    </w:p>
    <w:p>
      <w:pPr>
        <w:spacing w:after="0" w:line="2" w:lineRule="exact"/>
        <w:rPr>
          <w:sz w:val="20"/>
          <w:szCs w:val="20"/>
          <w:color w:val="auto"/>
        </w:rPr>
      </w:pPr>
    </w:p>
    <w:p>
      <w:pPr>
        <w:jc w:val="both"/>
        <w:ind w:left="340" w:right="40"/>
        <w:spacing w:after="0" w:line="255" w:lineRule="auto"/>
        <w:rPr>
          <w:sz w:val="20"/>
          <w:szCs w:val="20"/>
          <w:color w:val="auto"/>
        </w:rPr>
      </w:pPr>
      <w:r>
        <w:rPr>
          <w:rFonts w:ascii="Arial" w:cs="Arial" w:eastAsia="Arial" w:hAnsi="Arial"/>
          <w:sz w:val="18"/>
          <w:szCs w:val="18"/>
          <w:color w:val="auto"/>
        </w:rPr>
        <w:t>five business days prior to the deadline to consummate the Company’s initial business combination, signed on behalf of the Company by an executive officer, and receipt of the dollar amount specified in the Additional Extension Letter on or prior to the deadline to consummate the Company’s initial business combination, to follow the instructions set forth in the Additional Extension Letter.”</w:t>
      </w:r>
    </w:p>
    <w:p>
      <w:pPr>
        <w:spacing w:after="0" w:line="1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Exhibit E to the Trust Agreement.</w:t>
      </w:r>
      <w:r>
        <w:rPr>
          <w:rFonts w:ascii="Arial" w:cs="Arial" w:eastAsia="Arial" w:hAnsi="Arial"/>
          <w:sz w:val="18"/>
          <w:szCs w:val="18"/>
          <w:color w:val="auto"/>
        </w:rPr>
        <w:t xml:space="preserve"> The form of Additional Extension Letter, attached hereto as Exhibit E, shall be appended to Trust Agreement as Exhibit E.</w:t>
      </w:r>
    </w:p>
    <w:p>
      <w:pPr>
        <w:spacing w:after="0" w:line="170" w:lineRule="exact"/>
        <w:rPr>
          <w:sz w:val="20"/>
          <w:szCs w:val="20"/>
          <w:color w:val="auto"/>
        </w:rPr>
      </w:pPr>
    </w:p>
    <w:p>
      <w:pPr>
        <w:ind w:left="520" w:hanging="18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Miscellaneous Provisions.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1 Successors.</w:t>
      </w:r>
      <w:r>
        <w:rPr>
          <w:rFonts w:ascii="Arial" w:cs="Arial" w:eastAsia="Arial" w:hAnsi="Arial"/>
          <w:sz w:val="18"/>
          <w:szCs w:val="18"/>
          <w:color w:val="auto"/>
        </w:rPr>
        <w:t xml:space="preserve"> All the covenants and provisions of this Amendment by or for the benefit of the Company or the Trustee shall bind and inure to the benefit of their permitted respective successors and assigns.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Applicable Law.</w:t>
      </w:r>
      <w:r>
        <w:rPr>
          <w:rFonts w:ascii="Arial" w:cs="Arial" w:eastAsia="Arial" w:hAnsi="Arial"/>
          <w:sz w:val="17"/>
          <w:szCs w:val="17"/>
          <w:color w:val="auto"/>
        </w:rPr>
        <w:t xml:space="preserve"> This Amendment shall be governed by and construed and enforced in accordance with the laws of the State of New York.</w:t>
      </w:r>
    </w:p>
    <w:p>
      <w:pPr>
        <w:spacing w:after="0" w:line="23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Amendment may be executed in several original or facsimile counterparts, each of which shall constitute an original, and together shall constitute but one instrument.</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section headings herein are for convenience only and are not part of this Amendment and shall not affect the interpretation thereof.</w:t>
      </w:r>
    </w:p>
    <w:p>
      <w:pPr>
        <w:spacing w:after="0" w:line="170"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The Trust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IN WITNESS WHEREOF, the parties hereto have caused this Amendment to be duly executed as of the date first above written.</w:t>
      </w:r>
    </w:p>
    <w:p>
      <w:pPr>
        <w:spacing w:after="0" w:line="237"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Continental Stock Transfer &amp; Trust Company,</w:t>
      </w:r>
    </w:p>
    <w:p>
      <w:pPr>
        <w:spacing w:after="0" w:line="4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Francis E.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Francis E. Wolf</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420"/>
        <w:spacing w:after="0"/>
        <w:tabs>
          <w:tab w:leader="none" w:pos="6860" w:val="left"/>
        </w:tabs>
        <w:rPr>
          <w:sz w:val="20"/>
          <w:szCs w:val="20"/>
          <w:color w:val="auto"/>
        </w:rPr>
      </w:pPr>
      <w:r>
        <w:rPr>
          <w:rFonts w:ascii="Arial" w:cs="Arial" w:eastAsia="Arial" w:hAnsi="Arial"/>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14605</wp:posOffset>
            </wp:positionV>
            <wp:extent cx="25546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Edward Scheetz</w:t>
      </w:r>
    </w:p>
    <w:p>
      <w:pPr>
        <w:spacing w:after="0" w:line="23"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434340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Trust Account — Extension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paragraph 1(j) of the Investment Management Trust Agreement, as amended on June 16, 2022, (“Trust Agreement”) between Ventoux CCM Acquisition Corp. (“Company”) and Continental Stock Transfer &amp; Trust Company (“Trustee”), this is to advise you that the Company is extending the time available in order to consummate a Business Combination with the Target Businesses for an additional three (3) months, from September 30, 2022 to December 30, 2022 (the “Additional Extension”). Capitalized words used herein and not otherwise defined shall have the meanings ascribed to them in the Trust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Extension Letter shall serve as the notice required with respect to Extension prior to the Applicable Deadline.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Edward Scheetz,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2"/>
    </w:lvl>
    <w:lvl w:ilvl="1">
      <w:lvlJc w:val="left"/>
      <w:lvlText w:val="(%2)"/>
      <w:numFmt w:val="lowerRoman"/>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2022-06-17T15:09:50Z</dcterms:created>
  <dcterms:modified xsi:type="dcterms:W3CDTF">2022-06-17T15:09:50Z</dcterms:modified>
</cp:coreProperties>
</file>