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6" w:lineRule="exact"/>
        <w:rPr>
          <w:sz w:val="24"/>
          <w:szCs w:val="24"/>
          <w:color w:val="auto"/>
        </w:rPr>
      </w:pPr>
    </w:p>
    <w:p>
      <w:pPr>
        <w:ind w:left="7680"/>
        <w:spacing w:after="0"/>
        <w:rPr>
          <w:sz w:val="20"/>
          <w:szCs w:val="20"/>
          <w:color w:val="auto"/>
        </w:rPr>
      </w:pPr>
      <w:r>
        <w:rPr>
          <w:rFonts w:ascii="Times New Roman" w:cs="Times New Roman" w:eastAsia="Times New Roman" w:hAnsi="Times New Roman"/>
          <w:sz w:val="13"/>
          <w:szCs w:val="13"/>
          <w:b w:val="1"/>
          <w:bCs w:val="1"/>
          <w:color w:val="auto"/>
        </w:rPr>
        <w:t> Filed Pursuant to Rule 424(b)(3)</w:t>
      </w:r>
    </w:p>
    <w:p>
      <w:pPr>
        <w:spacing w:after="0" w:line="15"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2"/>
          <w:szCs w:val="12"/>
          <w:b w:val="1"/>
          <w:bCs w:val="1"/>
          <w:color w:val="auto"/>
        </w:rPr>
        <w:t> Registration No. 333-278514​</w:t>
      </w:r>
    </w:p>
    <w:p>
      <w:pPr>
        <w:spacing w:after="0" w:line="21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0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10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103,757,492 Shares of Common Stock</w:t>
      </w:r>
    </w:p>
    <w:p>
      <w:pPr>
        <w:spacing w:after="0" w:line="63" w:lineRule="exact"/>
        <w:rPr>
          <w:sz w:val="24"/>
          <w:szCs w:val="24"/>
          <w:color w:val="auto"/>
        </w:rPr>
      </w:pPr>
    </w:p>
    <w:p>
      <w:pPr>
        <w:ind w:left="1260" w:right="599" w:firstLine="360"/>
        <w:spacing w:after="0" w:line="260" w:lineRule="auto"/>
        <w:rPr>
          <w:sz w:val="20"/>
          <w:szCs w:val="20"/>
          <w:color w:val="auto"/>
        </w:rPr>
      </w:pPr>
      <w:r>
        <w:rPr>
          <w:rFonts w:ascii="Times New Roman" w:cs="Times New Roman" w:eastAsia="Times New Roman" w:hAnsi="Times New Roman"/>
          <w:sz w:val="13"/>
          <w:szCs w:val="13"/>
          <w:color w:val="auto"/>
        </w:rPr>
        <w:t>This prospectus relates to the resale, from time to time, by the selling stockholders identified in this prospectus (each a “Selling Stockholder” and, collectively, the “Selling Stockholders”) of up to 103,757,492 shares of common stock, par value $0.0001 per share (the “Common Stock”), of Presto Automation Inc., a Delaware corporation (the “Company,” “we,” “us” or “Presto”), which consist of the following (the “Resale Shares”):</w:t>
      </w:r>
    </w:p>
    <w:p>
      <w:pPr>
        <w:spacing w:after="0" w:line="189" w:lineRule="exact"/>
        <w:rPr>
          <w:sz w:val="24"/>
          <w:szCs w:val="24"/>
          <w:color w:val="auto"/>
        </w:rPr>
      </w:pPr>
    </w:p>
    <w:p>
      <w:pPr>
        <w:ind w:left="1980" w:right="519" w:hanging="360"/>
        <w:spacing w:after="0" w:line="29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36,000,000 shares of Common Stock issuable upon the conversion of the Company’s subordinated notes (the “January 2024 Notes”) issued pursuant to securities purchase agreements, dated January 30, 2024, between us and the buyers thereto;</w:t>
      </w:r>
    </w:p>
    <w:p>
      <w:pPr>
        <w:spacing w:after="0" w:line="21" w:lineRule="exact"/>
        <w:rPr>
          <w:rFonts w:ascii="Times New Roman" w:cs="Times New Roman" w:eastAsia="Times New Roman" w:hAnsi="Times New Roman"/>
          <w:sz w:val="13"/>
          <w:szCs w:val="13"/>
          <w:color w:val="auto"/>
        </w:rPr>
      </w:pPr>
    </w:p>
    <w:p>
      <w:pPr>
        <w:ind w:left="1980" w:right="799" w:hanging="360"/>
        <w:spacing w:after="0" w:line="29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10,799,549 shares of Common Stock that may become issuable upon conversion of capitalized pay-in-kind interest (“PIK Interest”) that may accrue through the maturity date of the January 2024 Notes;</w:t>
      </w:r>
    </w:p>
    <w:p>
      <w:pPr>
        <w:spacing w:after="0" w:line="21" w:lineRule="exact"/>
        <w:rPr>
          <w:rFonts w:ascii="Times New Roman" w:cs="Times New Roman" w:eastAsia="Times New Roman" w:hAnsi="Times New Roman"/>
          <w:sz w:val="13"/>
          <w:szCs w:val="13"/>
          <w:color w:val="auto"/>
        </w:rPr>
      </w:pPr>
    </w:p>
    <w:p>
      <w:pPr>
        <w:ind w:left="1980" w:right="799" w:hanging="360"/>
        <w:spacing w:after="0" w:line="29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3,840,000 shares of Common Stock issuable upon the conversion of the Company’s subordinated convertible note (the “Remus Note”) issued to Remus Capital Series B II, L.P. on March 1, 2024;</w:t>
      </w:r>
    </w:p>
    <w:p>
      <w:pPr>
        <w:spacing w:after="0" w:line="21" w:lineRule="exact"/>
        <w:rPr>
          <w:rFonts w:ascii="Times New Roman" w:cs="Times New Roman" w:eastAsia="Times New Roman" w:hAnsi="Times New Roman"/>
          <w:sz w:val="13"/>
          <w:szCs w:val="13"/>
          <w:color w:val="auto"/>
        </w:rPr>
      </w:pPr>
    </w:p>
    <w:p>
      <w:pPr>
        <w:ind w:left="1980" w:right="739" w:hanging="360"/>
        <w:spacing w:after="0" w:line="29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1,100,665 shares of Common Stock that may become issuable upon conversion of capitalized PIK Interest that may accrue through the maturity date of the Remus Note;</w:t>
      </w:r>
    </w:p>
    <w:p>
      <w:pPr>
        <w:spacing w:after="0" w:line="21" w:lineRule="exact"/>
        <w:rPr>
          <w:rFonts w:ascii="Times New Roman" w:cs="Times New Roman" w:eastAsia="Times New Roman" w:hAnsi="Times New Roman"/>
          <w:sz w:val="13"/>
          <w:szCs w:val="13"/>
          <w:color w:val="auto"/>
        </w:rPr>
      </w:pPr>
    </w:p>
    <w:p>
      <w:pPr>
        <w:ind w:left="1980" w:right="439" w:hanging="360"/>
        <w:spacing w:after="0" w:line="262"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8,517,278 shares of Common Stock issuable upon the exercise of warrants, with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of the conversion of interest into principal and in respect of amendments to the Credit Agreement, including shares to be issued pursuant to the anti-dilution adjustment provisions in such warrants (the “Fifth Amendment Warrants”);</w:t>
      </w:r>
    </w:p>
    <w:p>
      <w:pPr>
        <w:spacing w:after="0" w:line="59" w:lineRule="exact"/>
        <w:rPr>
          <w:rFonts w:ascii="Times New Roman" w:cs="Times New Roman" w:eastAsia="Times New Roman" w:hAnsi="Times New Roman"/>
          <w:sz w:val="13"/>
          <w:szCs w:val="13"/>
          <w:color w:val="auto"/>
        </w:rPr>
      </w:pPr>
    </w:p>
    <w:p>
      <w:pPr>
        <w:ind w:left="1980" w:right="919" w:hanging="360"/>
        <w:spacing w:after="0" w:line="26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21,000,000 shares of Common Stock issuable upon the exercise of warrants, with an exercise price of $0.01 per share, issued pursuant to the anti-dilution adjustment provisions in such warrants (together with the Fifth Amendment Warrants, the “Met Warrants”);</w:t>
      </w:r>
    </w:p>
    <w:p>
      <w:pPr>
        <w:spacing w:after="0" w:line="54" w:lineRule="exact"/>
        <w:rPr>
          <w:rFonts w:ascii="Times New Roman" w:cs="Times New Roman" w:eastAsia="Times New Roman" w:hAnsi="Times New Roman"/>
          <w:sz w:val="13"/>
          <w:szCs w:val="13"/>
          <w:color w:val="auto"/>
        </w:rPr>
      </w:pPr>
    </w:p>
    <w:p>
      <w:pPr>
        <w:ind w:left="1980" w:right="819" w:hanging="360"/>
        <w:spacing w:after="0" w:line="275"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10,500,000 shares of Common Stock that were issued or will be issued pursuant to the anti-dilution provisions in the securities purchase agreement, dated as of October 10, 2023, between us and Presto CA LLC (the “CA Purchase Agreement”); and</w:t>
      </w:r>
    </w:p>
    <w:p>
      <w:pPr>
        <w:spacing w:after="0" w:line="48" w:lineRule="exact"/>
        <w:rPr>
          <w:rFonts w:ascii="Times New Roman" w:cs="Times New Roman" w:eastAsia="Times New Roman" w:hAnsi="Times New Roman"/>
          <w:sz w:val="13"/>
          <w:szCs w:val="13"/>
          <w:color w:val="auto"/>
        </w:rPr>
      </w:pPr>
    </w:p>
    <w:p>
      <w:pPr>
        <w:ind w:left="1980" w:right="539" w:hanging="360"/>
        <w:spacing w:after="0" w:line="277" w:lineRule="auto"/>
        <w:tabs>
          <w:tab w:leader="none" w:pos="19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12,000,000 shares of Common Stock that were issued or will be issued pursuant to the anti-dilution provisions in the common stock purchase agreements, dated as of November 17, 2023, between us and the purchasers thereto (the “November 2023 Purchase Agreements”).</w:t>
      </w:r>
    </w:p>
    <w:p>
      <w:pPr>
        <w:spacing w:after="0" w:line="208" w:lineRule="exact"/>
        <w:rPr>
          <w:sz w:val="24"/>
          <w:szCs w:val="24"/>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3"/>
          <w:szCs w:val="13"/>
          <w:color w:val="auto"/>
        </w:rPr>
        <w:t>Pursuant to Nasdaq Listing Rule 5635(d), the total number of shares of Common Stock that can be issued upon conversion of the January 2024 Notes, upon exercise of the Fifth Amendment Warrants and the Met Warrants, pursuant to the anti -dilution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Anti -Dilution Shares triggered by our offering of subordinated notes that closed on February 2, 2024 (the “January Offering”) in excess of 19.99% of the Company’s outstanding Common Stock (the “January Anti-Dilution Shares”). The January Anti-Dilution Shares were subsequently issued to the applicable holders. Further, the Company plans to hold an additional special meeting of stockholders (the “Special Meeting”) and to file a preliminary proxy statement for the Special Meeting to, among other things, approve the issuance of the anti-dilution shares triggered by our registered direct offering of shares of Common Stock that closed on March 4, 2024 (the “March Offering”) in excess of 19.99% of the Company’s outstanding Common Stock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w:t>
      </w:r>
    </w:p>
    <w:p>
      <w:pPr>
        <w:spacing w:after="0" w:line="200" w:lineRule="exact"/>
        <w:rPr>
          <w:sz w:val="24"/>
          <w:szCs w:val="24"/>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such securities and the general manner in which the Selling Stockholders may offer or sell the securities. More specific terms of any securities that the Selling Stockholders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46" w:lineRule="exact"/>
        <w:rPr>
          <w:sz w:val="24"/>
          <w:szCs w:val="24"/>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3"/>
          <w:szCs w:val="13"/>
          <w:color w:val="auto"/>
        </w:rPr>
        <w:t>We are not selling any shares of Common Stock under this prospectus and will not receive any proceeds from the sale by the Selling Stockholders of the Resale Shares. However, we will pay the expenses, other than underwriting discounts and commissions, associated with the sale of securities by the Selling Stockholders pursuant to this prospectus. We will receive the proceeds from any exercise of warrants for cash, but will not receive any proceeds as a result of the cashless exercise of warrants, to the extent permitted.</w:t>
      </w:r>
    </w:p>
    <w:p>
      <w:pPr>
        <w:spacing w:after="0" w:line="46" w:lineRule="exact"/>
        <w:rPr>
          <w:sz w:val="24"/>
          <w:szCs w:val="24"/>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3"/>
          <w:szCs w:val="13"/>
          <w:color w:val="auto"/>
        </w:rPr>
        <w:t>Our registration of the securities covered by this prospectus does not mean that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securities in the section entitled “</w:t>
      </w:r>
      <w:r>
        <w:rPr>
          <w:rFonts w:ascii="Times New Roman" w:cs="Times New Roman" w:eastAsia="Times New Roman" w:hAnsi="Times New Roman"/>
          <w:sz w:val="13"/>
          <w:szCs w:val="13"/>
          <w:i w:val="1"/>
          <w:iCs w:val="1"/>
          <w:color w:val="auto"/>
        </w:rPr>
        <w:t>Plan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 Distribution</w:t>
      </w:r>
      <w:r>
        <w:rPr>
          <w:rFonts w:ascii="Times New Roman" w:cs="Times New Roman" w:eastAsia="Times New Roman" w:hAnsi="Times New Roman"/>
          <w:sz w:val="13"/>
          <w:szCs w:val="13"/>
          <w:color w:val="auto"/>
        </w:rPr>
        <w:t>.” You should read this prospectus and any prospectus supplement or amendment carefully before you invest in our securities.</w:t>
      </w:r>
    </w:p>
    <w:p>
      <w:pPr>
        <w:spacing w:after="0" w:line="32" w:lineRule="exact"/>
        <w:rPr>
          <w:sz w:val="24"/>
          <w:szCs w:val="24"/>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3"/>
          <w:szCs w:val="13"/>
          <w:color w:val="auto"/>
        </w:rPr>
        <w:t>Our shares of Common Stock are listed on the Nasdaq Global Market under the symbol “PRST.” On April 12, 2024, the closing sale price of our Common Stock was $0.20. Our warrants are listed on the Nasdaq Global Market under the symbol “PRSTW.” On April 12, 2024, the closing sale price of our warrants was $0.02.</w:t>
      </w:r>
    </w:p>
    <w:p>
      <w:pPr>
        <w:spacing w:after="0" w:line="41" w:lineRule="exact"/>
        <w:rPr>
          <w:sz w:val="24"/>
          <w:szCs w:val="24"/>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3"/>
          <w:szCs w:val="13"/>
          <w:color w:val="auto"/>
        </w:rPr>
        <w:t>The sale of all of the securities registered for resale hereunder, or the perception that such sales may occur, may cause the market prices of our securities to decline significantly. See “</w:t>
      </w:r>
      <w:r>
        <w:rPr>
          <w:rFonts w:ascii="Times New Roman" w:cs="Times New Roman" w:eastAsia="Times New Roman" w:hAnsi="Times New Roman"/>
          <w:sz w:val="13"/>
          <w:szCs w:val="13"/>
          <w:i w:val="1"/>
          <w:iCs w:val="1"/>
          <w:color w:val="auto"/>
        </w:rPr>
        <w:t>Risk Factors — Risks Relating to Our Common Stock and Warrants</w:t>
      </w:r>
      <w:r>
        <w:rPr>
          <w:rFonts w:ascii="Times New Roman" w:cs="Times New Roman" w:eastAsia="Times New Roman" w:hAnsi="Times New Roman"/>
          <w:sz w:val="13"/>
          <w:szCs w:val="13"/>
          <w:color w:val="auto"/>
        </w:rPr>
        <w:t>” in our Annual Report on Form 10-K for the fiscal year ended June 30, 2023 for more information.</w:t>
      </w:r>
    </w:p>
    <w:p>
      <w:pPr>
        <w:spacing w:after="0" w:line="44" w:lineRule="exact"/>
        <w:rPr>
          <w:sz w:val="24"/>
          <w:szCs w:val="24"/>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that are described in the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xml:space="preserve">” section beginning on page </w:t>
      </w:r>
      <w:r>
        <w:rPr>
          <w:rFonts w:ascii="Times New Roman" w:cs="Times New Roman" w:eastAsia="Times New Roman" w:hAnsi="Times New Roman"/>
          <w:sz w:val="13"/>
          <w:szCs w:val="13"/>
          <w:b w:val="1"/>
          <w:bCs w:val="1"/>
          <w:u w:val="single" w:color="auto"/>
          <w:color w:val="0000EE"/>
        </w:rPr>
        <w:t>5</w:t>
      </w:r>
      <w:r>
        <w:rPr>
          <w:rFonts w:ascii="Times New Roman" w:cs="Times New Roman" w:eastAsia="Times New Roman" w:hAnsi="Times New Roman"/>
          <w:sz w:val="13"/>
          <w:szCs w:val="13"/>
          <w:b w:val="1"/>
          <w:bCs w:val="1"/>
          <w:color w:val="auto"/>
        </w:rPr>
        <w:t xml:space="preserve"> of this prospectus and similar sections contained in the documents incorporated by reference into this prospectus.</w:t>
      </w:r>
    </w:p>
    <w:p>
      <w:pPr>
        <w:spacing w:after="0" w:line="30" w:lineRule="exact"/>
        <w:rPr>
          <w:sz w:val="24"/>
          <w:szCs w:val="24"/>
          <w:color w:val="auto"/>
        </w:rPr>
      </w:pPr>
    </w:p>
    <w:p>
      <w:pPr>
        <w:ind w:left="1260" w:right="899" w:firstLine="360"/>
        <w:spacing w:after="0" w:line="278"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The date of this prospectus is April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54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0000EE"/>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4240" w:type="dxa"/>
            <w:vAlign w:val="bottom"/>
            <w:tcBorders>
              <w:top w:val="single" w:sz="8" w:color="CCEEFF"/>
            </w:tcBorders>
            <w:gridSpan w:val="4"/>
          </w:tcPr>
          <w:p>
            <w:pPr>
              <w:spacing w:after="0"/>
              <w:rPr>
                <w:sz w:val="17"/>
                <w:szCs w:val="17"/>
                <w:color w:val="auto"/>
              </w:rPr>
            </w:pPr>
          </w:p>
        </w:tc>
        <w:tc>
          <w:tcPr>
            <w:tcW w:w="1580" w:type="dxa"/>
            <w:vAlign w:val="bottom"/>
            <w:tcBorders>
              <w:top w:val="single" w:sz="8" w:color="CCEEFF"/>
            </w:tcBorders>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54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SUMMARY OF THE PROSPECTUS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0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40" w:type="dxa"/>
            <w:vAlign w:val="bottom"/>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COMMON STOCK</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900" w:type="dxa"/>
            <w:vAlign w:val="bottom"/>
            <w:tcBorders>
              <w:bottom w:val="single" w:sz="8" w:color="CCEEFF"/>
            </w:tcBorders>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60" w:type="dxa"/>
            <w:vAlign w:val="bottom"/>
            <w:gridSpan w:val="4"/>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tcBorders>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20" w:type="dxa"/>
            <w:vAlign w:val="bottom"/>
            <w:tcBorders>
              <w:bottom w:val="single" w:sz="8" w:color="CCEEFF"/>
            </w:tcBorders>
            <w:gridSpan w:val="5"/>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40" w:type="dxa"/>
            <w:vAlign w:val="bottom"/>
            <w:gridSpan w:val="7"/>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40" w:type="dxa"/>
            <w:vAlign w:val="bottom"/>
            <w:tcBorders>
              <w:bottom w:val="single" w:sz="8" w:color="CCEEFF"/>
            </w:tcBorders>
            <w:gridSpan w:val="10"/>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Stockholders may, from time to time, issue, offer and sell, as applicable, any combination of the securities described in this prospectus in one or more offerings. The Selling Stockholders may use the shelf registration statement to sell up to an aggregate of up to 103,757,492 shares of Common Stock. More specific terms of any securities that the Selling Stockholders offer and sell may be provided in a prospectus supplement that describes, among other things, the specific amounts and prices of the securities being offered and the terms of the offering.</w:t>
      </w:r>
    </w:p>
    <w:p>
      <w:pPr>
        <w:spacing w:after="0" w:line="1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any information or to make any representations other than those contained in this prospectus, any accompanying prospectus supplement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33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you may obtain copies of those documents as described below.</w:t>
      </w:r>
    </w:p>
    <w:p>
      <w:pPr>
        <w:spacing w:after="0" w:line="337"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 xml:space="preserve">This document and those incorporated by reference herein contain references to trademarks and service marks belonging to other entities. Solely for convenience, trademarks and trade names referred to in this prospectus and the information incorporated by reference herein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2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323"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439" w:firstLine="360"/>
        <w:spacing w:after="0" w:line="256" w:lineRule="auto"/>
        <w:rPr>
          <w:sz w:val="20"/>
          <w:szCs w:val="20"/>
          <w:color w:val="auto"/>
        </w:rPr>
      </w:pPr>
      <w:r>
        <w:rPr>
          <w:rFonts w:ascii="Times New Roman" w:cs="Times New Roman" w:eastAsia="Times New Roman" w:hAnsi="Times New Roman"/>
          <w:sz w:val="18"/>
          <w:szCs w:val="18"/>
          <w:color w:val="auto"/>
        </w:rPr>
        <w:t>We provide enterprise grade AI and automation solutions to the restaurant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 and Applebee’s and Chili’s for Presto Touch.</w:t>
      </w:r>
    </w:p>
    <w:p>
      <w:pPr>
        <w:spacing w:after="0" w:line="106"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336" w:lineRule="exact"/>
        <w:rPr>
          <w:sz w:val="20"/>
          <w:szCs w:val="20"/>
          <w:color w:val="auto"/>
        </w:rPr>
      </w:pPr>
    </w:p>
    <w:p>
      <w:pPr>
        <w:ind w:left="1280" w:right="599" w:firstLine="360"/>
        <w:spacing w:after="0" w:line="255" w:lineRule="auto"/>
        <w:rPr>
          <w:sz w:val="20"/>
          <w:szCs w:val="20"/>
          <w:color w:val="auto"/>
        </w:rPr>
      </w:pPr>
      <w:r>
        <w:rPr>
          <w:rFonts w:ascii="Times New Roman" w:cs="Times New Roman" w:eastAsia="Times New Roman" w:hAnsi="Times New Roman"/>
          <w:sz w:val="18"/>
          <w:szCs w:val="18"/>
          <w:color w:val="auto"/>
        </w:rPr>
        <w:t>We are considering strategic alternatives related to our Presto Touch solution, which could include either a sale, partial sale or abandonment in the coming months, and allows us to focus our efforts on our Presto Voice solution. Refer to Note 15 in Part I, Item 1, of our Quarterly Report on Form 10-Q for the quarter ended December 31, 2023 for details on a memorandum of understanding (the “MOU”) relating to the Presto Touch solution entered into on January 17, 2024. Since the Touch Business is in the process of being wound down and the parties are in discussions to determine whether the MOU will be amended to effect the sale of the assets of that business.</w:t>
      </w:r>
    </w:p>
    <w:p>
      <w:pPr>
        <w:spacing w:after="0" w:line="121"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our most recent Quarterly Reports on Form 10-Q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the Resale Shares held by the Selling Stockholders pursuant to this prospectus. We will receive the proceeds from any exercise of warrants for cash, but will not receive any proceeds as a result of the cashless exercise of warrants, to the extent permitted.</w:t>
      </w:r>
    </w:p>
    <w:p>
      <w:pPr>
        <w:spacing w:after="0" w:line="33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will pay any underwriting fees, discounts, selling commissions, stock transfer taxes and certain legal expenses incurred by such Selling Stockholders in disposing of their Resale Shares,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62" w:lineRule="exact"/>
        <w:rPr>
          <w:sz w:val="20"/>
          <w:szCs w:val="20"/>
          <w:color w:val="auto"/>
        </w:rPr>
      </w:pPr>
    </w:p>
    <w:p>
      <w:pPr>
        <w:ind w:left="1260" w:right="47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description of our Common Stock is set forth in our </w:t>
      </w:r>
      <w:hyperlink r:id="rId17">
        <w:r>
          <w:rPr>
            <w:rFonts w:ascii="Times New Roman" w:cs="Times New Roman" w:eastAsia="Times New Roman" w:hAnsi="Times New Roman"/>
            <w:sz w:val="18"/>
            <w:szCs w:val="18"/>
            <w:u w:val="single" w:color="auto"/>
            <w:color w:val="0000EE"/>
          </w:rPr>
          <w:t>registration statement on 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originally filed with the SEC on December 23, 2020 and any amendment or report filed for the purpose of updating </w:t>
      </w:r>
      <w:hyperlink r:id="rId18">
        <w:r>
          <w:rPr>
            <w:rFonts w:ascii="Times New Roman" w:cs="Times New Roman" w:eastAsia="Times New Roman" w:hAnsi="Times New Roman"/>
            <w:sz w:val="18"/>
            <w:szCs w:val="18"/>
            <w:color w:val="auto"/>
          </w:rPr>
          <w:t xml:space="preserve">this information (including Exhibit 4.1 to our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color w:val="000000"/>
          </w:rPr>
          <w:t>), which description is incorporated by reference herein.</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5"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of up to an aggregate of 103,757,492 shares of Common Stock, which includes:</w:t>
      </w:r>
    </w:p>
    <w:p>
      <w:pPr>
        <w:spacing w:after="0" w:line="95" w:lineRule="exact"/>
        <w:rPr>
          <w:sz w:val="20"/>
          <w:szCs w:val="20"/>
          <w:color w:val="auto"/>
        </w:rPr>
      </w:pPr>
    </w:p>
    <w:p>
      <w:pPr>
        <w:ind w:left="1980" w:right="779" w:hanging="360"/>
        <w:spacing w:after="0" w:line="26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36,000,000 shares of Common Stock issuable upon the conversion of the January 2024 Notes issued pursuant to securities purchase agreements, dated January 30, 2024, between us and the buyers thereto;</w:t>
      </w:r>
    </w:p>
    <w:p>
      <w:pPr>
        <w:spacing w:after="0" w:line="94"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10,799,549 shares of Common Stock that may become issuable upon conversion of capitalized PIK Interest that may accrue through the maturity date of the January 2024 Notes;</w:t>
      </w:r>
    </w:p>
    <w:p>
      <w:pPr>
        <w:spacing w:after="0" w:line="80"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3,840,000 shares of Common Stock issuable upon the conversion of the Remus Note issued to Remus Capital Series B II, L.P. on March 1, 2024;</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1,100,665 shares of Common Stock that may become issuable upon conversion of capitalized PIK Interest that may accrue through the maturity date of the Remus Note;</w:t>
      </w:r>
    </w:p>
    <w:p>
      <w:pPr>
        <w:spacing w:after="0" w:line="8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29,517,278 shares of Common Stock issuable upon the exercise of warrants by Metropolitan and the Metropolitan Entities, which consist of:</w:t>
      </w:r>
    </w:p>
    <w:p>
      <w:pPr>
        <w:spacing w:after="0" w:line="80"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8,517,278 shares of Common Stock issuable upon the exercise of warrants, with an exercise price of $0.01 per share, that were issued in consideration of the conversion of interest into principal and in respect of amendments to the Credit Agreement, including shares to be issued pursuant to the anti-dilution adjustment provisions in such warrants; and</w:t>
      </w:r>
    </w:p>
    <w:p>
      <w:pPr>
        <w:spacing w:after="0" w:line="112" w:lineRule="exact"/>
        <w:rPr>
          <w:rFonts w:ascii="Times New Roman" w:cs="Times New Roman" w:eastAsia="Times New Roman" w:hAnsi="Times New Roman"/>
          <w:sz w:val="18"/>
          <w:szCs w:val="18"/>
          <w:color w:val="auto"/>
        </w:rPr>
      </w:pPr>
    </w:p>
    <w:p>
      <w:pPr>
        <w:ind w:left="2340" w:right="499" w:hanging="360"/>
        <w:spacing w:after="0" w:line="266" w:lineRule="auto"/>
        <w:tabs>
          <w:tab w:leader="none" w:pos="2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21,000,000 shares of Common Stock issuable upon the exercise of warrants, with an exercise price of $0.01 per share, issued pursuant to the anti-dilution adjustments provisions in such warrants.</w:t>
      </w:r>
    </w:p>
    <w:p>
      <w:pPr>
        <w:spacing w:after="0" w:line="94"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10,500,000 shares of Common Stock that were issued pursuant to the anti-dilution adjustment provisions in the CA Purchase Agreement; and</w:t>
      </w:r>
    </w:p>
    <w:p>
      <w:pPr>
        <w:spacing w:after="0" w:line="80"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of Common Stock that were issued pursuant to the anti-dilution adjustment provisions in the November 2023 Purchase Agreement.</w:t>
      </w:r>
    </w:p>
    <w:p>
      <w:pPr>
        <w:spacing w:after="0" w:line="2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Nasdaq Listing Rule 5635(d), the total number of shares of Common Stock that can be issued upon conversion of the January 2024 Notes, upon exercise of the Fifth Amendment Warrants and the Met Warrants, and pursuant to the anti-dilution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January Anti-Dilution Shares. The January Anti-Dilution Shares were subsequently issued to the applicable holders. Further, the Company plans to hold an additional Special Meeting and to file a preliminary proxy statement for the Special Meeting to, among other things, approve the issuance of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w:t>
      </w:r>
    </w:p>
    <w:p>
      <w:pPr>
        <w:spacing w:after="0" w:line="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the shares of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the Common Stock other than through a public sale. We cannot advise you as to whether the Selling Stockholders will in fact sell any or all of such shares of Common Stock. In addition, the Selling Stockholders may sell, transfer or otherwise dispose of, at any time and from time to time, the shares of Common Stock in transactions exempt from the registration requirements of the Securities Act after the date of this prospectus. For purposes of this table, we have assumed that the Selling Stockholders will have sold all of the securities covered by this prospectus upon the completion of the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00" w:firstLine="360"/>
        <w:spacing w:after="0" w:line="247"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Stockholders), the name and address of the Selling Stockholders, the number of shares of Common Stock beneficially owned, the number of shares of Common Stock that the Selling Stockholders may offer pursuant to this prospectus and the number of shares of Common Stock beneficially owned by the Selling Stockholders after the sale of the securities offered hereby.</w:t>
      </w:r>
    </w:p>
    <w:p>
      <w:pPr>
        <w:spacing w:after="0" w:line="112" w:lineRule="exact"/>
        <w:rPr>
          <w:sz w:val="20"/>
          <w:szCs w:val="20"/>
          <w:color w:val="auto"/>
        </w:rPr>
      </w:pPr>
    </w:p>
    <w:p>
      <w:pPr>
        <w:ind w:left="1260" w:right="1280" w:firstLine="360"/>
        <w:spacing w:after="0" w:line="247"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“Plan of Distribution.”</w:t>
      </w:r>
    </w:p>
    <w:p>
      <w:pPr>
        <w:spacing w:after="0" w:line="112"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beneficial ownership of our Common Stock is based on 104,175,894 shares of our Common Stock outstanding as of March 31, 2024, assuming the March Anti-Dilution Shares are issued and outstanding as described above.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March 31, 2024. Shares subject to warrants or options that are currently exercisable or exercisable within 60 days of March 31, 2024 that vest within 60 days of March 31, 2024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29" w:lineRule="exact"/>
        <w:rPr>
          <w:sz w:val="20"/>
          <w:szCs w:val="20"/>
          <w:color w:val="auto"/>
        </w:rPr>
      </w:pPr>
    </w:p>
    <w:p>
      <w:pPr>
        <w:ind w:left="1260" w:right="1500" w:firstLine="360"/>
        <w:spacing w:after="0" w:line="266"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Beneficially Owned Before the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Beneficially Owned After the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r>
              <w:rPr>
                <w:rFonts w:ascii="Times New Roman" w:cs="Times New Roman" w:eastAsia="Times New Roman" w:hAnsi="Times New Roman"/>
                <w:sz w:val="17"/>
                <w:szCs w:val="17"/>
                <w:b w:val="1"/>
                <w:bCs w:val="1"/>
                <w:color w:val="auto"/>
                <w:vertAlign w:val="superscript"/>
              </w:rPr>
              <w:t>(1)</w:t>
            </w:r>
          </w:p>
        </w:tc>
        <w:tc>
          <w:tcPr>
            <w:tcW w:w="480" w:type="dxa"/>
            <w:vAlign w:val="bottom"/>
          </w:tcPr>
          <w:p>
            <w:pPr>
              <w:spacing w:after="0"/>
              <w:rPr>
                <w:sz w:val="18"/>
                <w:szCs w:val="18"/>
                <w:color w:val="auto"/>
              </w:rPr>
            </w:pPr>
          </w:p>
        </w:tc>
        <w:tc>
          <w:tcPr>
            <w:tcW w:w="11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Being Offered</w:t>
            </w:r>
          </w:p>
        </w:tc>
        <w:tc>
          <w:tcPr>
            <w:tcW w:w="128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626RB FT LLC</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w:t>
            </w:r>
          </w:p>
        </w:tc>
        <w:tc>
          <w:tcPr>
            <w:tcW w:w="1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1,000,000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Acadia Woods Partners, LLC</w:t>
            </w:r>
            <w:r>
              <w:rPr>
                <w:rFonts w:ascii="Times New Roman" w:cs="Times New Roman" w:eastAsia="Times New Roman" w:hAnsi="Times New Roman"/>
                <w:sz w:val="23"/>
                <w:szCs w:val="23"/>
                <w:color w:val="auto"/>
                <w:vertAlign w:val="superscript"/>
              </w:rPr>
              <w:t>(3)</w:t>
            </w:r>
          </w:p>
        </w:tc>
        <w:tc>
          <w:tcPr>
            <w:tcW w:w="48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2,101,245</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1,569,995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531,250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 Avenue LLC</w:t>
            </w:r>
            <w:r>
              <w:rPr>
                <w:rFonts w:ascii="Times New Roman" w:cs="Times New Roman" w:eastAsia="Times New Roman" w:hAnsi="Times New Roman"/>
                <w:sz w:val="23"/>
                <w:szCs w:val="23"/>
                <w:color w:val="auto"/>
                <w:vertAlign w:val="superscript"/>
              </w:rPr>
              <w:t>(4)</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20,500,000</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19.7%​​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10,500,000</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10,000,000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Cosme Fagundo</w:t>
            </w:r>
            <w:r>
              <w:rPr>
                <w:rFonts w:ascii="Times New Roman" w:cs="Times New Roman" w:eastAsia="Times New Roman" w:hAnsi="Times New Roman"/>
                <w:sz w:val="23"/>
                <w:szCs w:val="23"/>
                <w:color w:val="auto"/>
                <w:vertAlign w:val="superscript"/>
              </w:rPr>
              <w:t>(5)</w:t>
            </w:r>
          </w:p>
        </w:tc>
        <w:tc>
          <w:tcPr>
            <w:tcW w:w="48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139,999</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129,999</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Falcons Capital Group, LLC</w:t>
            </w:r>
            <w:r>
              <w:rPr>
                <w:rFonts w:ascii="Times New Roman" w:cs="Times New Roman" w:eastAsia="Times New Roman" w:hAnsi="Times New Roman"/>
                <w:sz w:val="23"/>
                <w:szCs w:val="23"/>
                <w:color w:val="auto"/>
                <w:vertAlign w:val="superscript"/>
              </w:rPr>
              <w:t>(6)</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1,181,466</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1,039,990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V. Sica</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669,781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Hunter Ventures Limited</w:t>
            </w:r>
            <w:r>
              <w:rPr>
                <w:rFonts w:ascii="Times New Roman" w:cs="Times New Roman" w:eastAsia="Times New Roman" w:hAnsi="Times New Roman"/>
                <w:sz w:val="23"/>
                <w:szCs w:val="23"/>
                <w:color w:val="auto"/>
                <w:vertAlign w:val="superscript"/>
              </w:rPr>
              <w:t>(7)</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31,199,699</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31,199,699</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Thain</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1,000,000 ​​ ​</w:t>
            </w:r>
          </w:p>
        </w:tc>
        <w:tc>
          <w:tcPr>
            <w:tcW w:w="1840" w:type="dxa"/>
            <w:vAlign w:val="bottom"/>
            <w:gridSpan w:val="3"/>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Kuntala P. Das</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Metropolitan Levered Partners Fund VII,</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4"/>
              </w:rPr>
              <w:t>LP</w:t>
            </w:r>
          </w:p>
        </w:tc>
        <w:tc>
          <w:tcPr>
            <w:tcW w:w="23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(8)</w:t>
            </w:r>
          </w:p>
        </w:tc>
        <w:tc>
          <w:tcPr>
            <w:tcW w:w="480" w:type="dxa"/>
            <w:vAlign w:val="bottom"/>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12,040,010</w:t>
            </w:r>
          </w:p>
        </w:tc>
        <w:tc>
          <w:tcPr>
            <w:tcW w:w="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2,573,689 ​​ ​</w:t>
            </w:r>
          </w:p>
        </w:tc>
        <w:tc>
          <w:tcPr>
            <w:tcW w:w="1840" w:type="dxa"/>
            <w:vAlign w:val="bottom"/>
            <w:gridSpan w:val="3"/>
            <w:vMerge w:val="restart"/>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w:t>
            </w:r>
          </w:p>
        </w:tc>
        <w:tc>
          <w:tcPr>
            <w:tcW w:w="176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4.99%​​ ​</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13"/>
                <w:szCs w:val="13"/>
                <w:color w:val="auto"/>
              </w:rPr>
              <w:t>9,466,321</w:t>
            </w:r>
          </w:p>
        </w:tc>
        <w:tc>
          <w:tcPr>
            <w:tcW w:w="1280" w:type="dxa"/>
            <w:vAlign w:val="bottom"/>
            <w:gridSpan w:val="5"/>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260" w:type="dxa"/>
            <w:vAlign w:val="bottom"/>
          </w:tcPr>
          <w:p>
            <w:pPr>
              <w:spacing w:after="0"/>
              <w:rPr>
                <w:sz w:val="6"/>
                <w:szCs w:val="6"/>
                <w:color w:val="auto"/>
              </w:rPr>
            </w:pPr>
          </w:p>
        </w:tc>
        <w:tc>
          <w:tcPr>
            <w:tcW w:w="2700" w:type="dxa"/>
            <w:vAlign w:val="bottom"/>
            <w:gridSpan w:val="2"/>
            <w:shd w:val="clear" w:color="auto" w:fill="CCEEFF"/>
          </w:tcPr>
          <w:p>
            <w:pPr>
              <w:spacing w:after="0" w:line="72" w:lineRule="exact"/>
              <w:rPr>
                <w:sz w:val="20"/>
                <w:szCs w:val="20"/>
                <w:color w:val="auto"/>
              </w:rPr>
            </w:pPr>
            <w:r>
              <w:rPr>
                <w:rFonts w:ascii="Times New Roman" w:cs="Times New Roman" w:eastAsia="Times New Roman" w:hAnsi="Times New Roman"/>
                <w:sz w:val="8"/>
                <w:szCs w:val="8"/>
                <w:color w:val="auto"/>
              </w:rPr>
              <w:t>Metropolitan Partners Fund VII, LP</w:t>
            </w:r>
          </w:p>
        </w:tc>
        <w:tc>
          <w:tcPr>
            <w:tcW w:w="480" w:type="dxa"/>
            <w:vAlign w:val="bottom"/>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(8)</w:t>
            </w:r>
          </w:p>
        </w:tc>
        <w:tc>
          <w:tcPr>
            <w:tcW w:w="180" w:type="dxa"/>
            <w:vAlign w:val="bottom"/>
            <w:shd w:val="clear" w:color="auto" w:fill="CCEEFF"/>
          </w:tcPr>
          <w:p>
            <w:pPr>
              <w:ind w:left="40"/>
              <w:spacing w:after="0" w:line="72" w:lineRule="exact"/>
              <w:rPr>
                <w:sz w:val="20"/>
                <w:szCs w:val="20"/>
                <w:color w:val="auto"/>
              </w:rPr>
            </w:pPr>
            <w:r>
              <w:rPr>
                <w:rFonts w:ascii="Times New Roman" w:cs="Times New Roman" w:eastAsia="Times New Roman" w:hAnsi="Times New Roman"/>
                <w:sz w:val="8"/>
                <w:szCs w:val="8"/>
                <w:color w:val="auto"/>
              </w:rPr>
              <w:t>​ ​</w:t>
            </w:r>
          </w:p>
        </w:tc>
        <w:tc>
          <w:tcPr>
            <w:tcW w:w="900" w:type="dxa"/>
            <w:vAlign w:val="bottom"/>
            <w:gridSpan w:val="2"/>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16,755,043</w:t>
            </w:r>
          </w:p>
        </w:tc>
        <w:tc>
          <w:tcPr>
            <w:tcW w:w="10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color w:val="auto"/>
              </w:rPr>
              <w:t>​​ ​</w:t>
            </w:r>
          </w:p>
        </w:tc>
        <w:tc>
          <w:tcPr>
            <w:tcW w:w="1760" w:type="dxa"/>
            <w:vAlign w:val="bottom"/>
            <w:tcBorders>
              <w:right w:val="single" w:sz="8" w:color="CCEEFF"/>
            </w:tcBorders>
            <w:gridSpan w:val="6"/>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4.99%​​ ​</w:t>
            </w: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8"/>
                <w:szCs w:val="8"/>
                <w:color w:val="auto"/>
              </w:rPr>
              <w:t>13,173,505</w:t>
            </w:r>
          </w:p>
        </w:tc>
        <w:tc>
          <w:tcPr>
            <w:tcW w:w="1280" w:type="dxa"/>
            <w:vAlign w:val="bottom"/>
            <w:gridSpan w:val="5"/>
            <w:shd w:val="clear" w:color="auto" w:fill="CCEEFF"/>
          </w:tcPr>
          <w:p>
            <w:pPr>
              <w:jc w:val="right"/>
              <w:ind w:right="20"/>
              <w:spacing w:after="0" w:line="72" w:lineRule="exact"/>
              <w:rPr>
                <w:sz w:val="20"/>
                <w:szCs w:val="20"/>
                <w:color w:val="auto"/>
              </w:rPr>
            </w:pP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 xml:space="preserve"> 3,581,538 ​​ ​</w:t>
            </w:r>
          </w:p>
        </w:tc>
        <w:tc>
          <w:tcPr>
            <w:tcW w:w="580" w:type="dxa"/>
            <w:vAlign w:val="bottom"/>
            <w:tcBorders>
              <w:right w:val="single" w:sz="8" w:color="CCEEFF"/>
            </w:tcBorders>
            <w:gridSpan w:val="2"/>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3.4%</w:t>
            </w:r>
          </w:p>
        </w:tc>
        <w:tc>
          <w:tcPr>
            <w:tcW w:w="1260" w:type="dxa"/>
            <w:vAlign w:val="bottom"/>
          </w:tcPr>
          <w:p>
            <w:pPr>
              <w:jc w:val="right"/>
              <w:ind w:right="1115"/>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79"/>
              </w:rPr>
              <w:t>(10)</w:t>
            </w: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3180" w:type="dxa"/>
            <w:vAlign w:val="bottom"/>
            <w:gridSpan w:val="3"/>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Metropolitan Offshore Partners Fund VII,</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4"/>
              </w:rPr>
              <w:t>LP</w:t>
            </w:r>
          </w:p>
        </w:tc>
        <w:tc>
          <w:tcPr>
            <w:tcW w:w="23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(8)</w:t>
            </w:r>
          </w:p>
        </w:tc>
        <w:tc>
          <w:tcPr>
            <w:tcW w:w="480" w:type="dxa"/>
            <w:vAlign w:val="bottom"/>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3,968,451</w:t>
            </w:r>
          </w:p>
        </w:tc>
        <w:tc>
          <w:tcPr>
            <w:tcW w:w="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(11)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color w:val="auto"/>
                <w:w w:val="79"/>
              </w:rPr>
              <w:t>(11)</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848,317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w:t>
            </w:r>
          </w:p>
        </w:tc>
        <w:tc>
          <w:tcPr>
            <w:tcW w:w="176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3.7%​​ ​</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13"/>
                <w:szCs w:val="13"/>
                <w:color w:val="auto"/>
              </w:rPr>
              <w:t>3,120,134</w:t>
            </w:r>
          </w:p>
        </w:tc>
        <w:tc>
          <w:tcPr>
            <w:tcW w:w="2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CEOF Holdings LP</w:t>
            </w:r>
            <w:r>
              <w:rPr>
                <w:rFonts w:ascii="Times New Roman" w:cs="Times New Roman" w:eastAsia="Times New Roman" w:hAnsi="Times New Roman"/>
                <w:sz w:val="23"/>
                <w:szCs w:val="23"/>
                <w:color w:val="auto"/>
                <w:vertAlign w:val="superscript"/>
              </w:rPr>
              <w:t>(12)</w:t>
            </w: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4,778,774</w:t>
            </w:r>
          </w:p>
        </w:tc>
        <w:tc>
          <w:tcPr>
            <w:tcW w:w="1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3,757,318</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1,021,456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Remus Capital Series B II, L.P.</w:t>
            </w:r>
            <w:r>
              <w:rPr>
                <w:rFonts w:ascii="Times New Roman" w:cs="Times New Roman" w:eastAsia="Times New Roman" w:hAnsi="Times New Roman"/>
                <w:sz w:val="23"/>
                <w:szCs w:val="23"/>
                <w:color w:val="auto"/>
                <w:vertAlign w:val="superscript"/>
              </w:rPr>
              <w:t>(13)</w:t>
            </w:r>
          </w:p>
        </w:tc>
        <w:tc>
          <w:tcPr>
            <w:tcW w:w="4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18,850,531</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18,850,531</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Sheel Tyle</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1,250,000</w:t>
            </w:r>
          </w:p>
        </w:tc>
        <w:tc>
          <w:tcPr>
            <w:tcW w:w="1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1,050,000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Souillard- Mandar</w:t>
            </w:r>
          </w:p>
        </w:tc>
        <w:tc>
          <w:tcPr>
            <w:tcW w:w="4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3,000,000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-3651250</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-3651250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-3651250</wp:posOffset>
            </wp:positionV>
            <wp:extent cx="1117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-3651250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-3651250</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90" w:lineRule="exact"/>
        <w:rPr>
          <w:sz w:val="20"/>
          <w:szCs w:val="20"/>
          <w:color w:val="auto"/>
        </w:rPr>
      </w:pPr>
    </w:p>
    <w:p>
      <w:pPr>
        <w:ind w:left="1620" w:right="719" w:hanging="360"/>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13"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Bethany Millard is a managing member of 626RB FT LLC and has voting and investment power over the shares held by the entity. The business address of 626RB FT LLC is 3995 South Douglas Rd., Miami, FL 33133.</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519,995 shares issuable upon conversion of the January 2024 Notes, including the PIK Interest thereon. Jeffrey Samberg is the Managing Member of Acadia Woods Partners, LLC and has voting and investment power over the shares held by the entity. The business address of Acadia Woods Partners, LLC is c/o Hawkes Financial LLC, 77 Bedford Road, Katonah, NY 10536.</w:t>
      </w:r>
    </w:p>
    <w:p>
      <w:pPr>
        <w:spacing w:after="0" w:line="44"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 Presto CA is a lender under a secured promissory note, dated as of March 21, 2024, in principal amount of $4 million. In addition, it is party to (i) that certain Amended and Restated Governance Agreement, dated as of November 16, 2023 (the “Governance Agreement”), pursuant to which, among other things, Presto CA has the right to appoint one director of the Company and (ii) that certain Stockholders Agreement, dated as of November 16, 2023 (the “Stockholders Agreement”), pursuant to which the Company agreed that it will not undertake certain actions for a period of 12 months without the consent of the parties thereto. Each agreement referenced above is more fully described in the documents incorporated by reference herein.</w:t>
      </w:r>
    </w:p>
    <w:p>
      <w:pPr>
        <w:spacing w:after="0" w:line="46"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129,999 shares issuable upon conversion of the January 2024 Notes, including the PIK Interest thereon.</w:t>
      </w:r>
    </w:p>
    <w:p>
      <w:pPr>
        <w:spacing w:after="0" w:line="13" w:lineRule="exact"/>
        <w:rPr>
          <w:rFonts w:ascii="Times New Roman" w:cs="Times New Roman" w:eastAsia="Times New Roman" w:hAnsi="Times New Roman"/>
          <w:sz w:val="18"/>
          <w:szCs w:val="18"/>
          <w:color w:val="auto"/>
        </w:rPr>
      </w:pPr>
    </w:p>
    <w:p>
      <w:pPr>
        <w:ind w:left="1620" w:right="559" w:hanging="360"/>
        <w:spacing w:after="0" w:line="263"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1,039,990 shares issuable upon conversion of the January 2024 Notes, including the PIK Interest thereon. Shamsuddin Charania has voting and investment power over the shares held by the entity. The business address of Falcons Capital Group, LLC is 1995 N. Park Place, Suite 430, Atlanta, GA 30339.</w:t>
      </w:r>
    </w:p>
    <w:p>
      <w:pPr>
        <w:spacing w:after="0" w:line="26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31,199,699 shares issuable upon conversion of the January 2024 Notes, including the PIK Interest thereon. Patrick Tsang has voting and investment power over the shares held by the entity. The business address of Hunter Ventures Limited is Vistra Corporate Services Centre, Wickhams Cay II, Road Town, Tortola, VG1110, British Virgin Islands.</w:t>
      </w:r>
    </w:p>
    <w:p>
      <w:pPr>
        <w:spacing w:after="0" w:line="31" w:lineRule="exact"/>
        <w:rPr>
          <w:rFonts w:ascii="Times New Roman" w:cs="Times New Roman" w:eastAsia="Times New Roman" w:hAnsi="Times New Roman"/>
          <w:sz w:val="18"/>
          <w:szCs w:val="18"/>
          <w:color w:val="auto"/>
        </w:rPr>
      </w:pPr>
    </w:p>
    <w:p>
      <w:pPr>
        <w:ind w:left="1620" w:right="479" w:hanging="36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is the Managing Partner of MPF VII GP, LLC and directs the voting and investment decisions with respect to the shares held by such entities. The business address of such entities is 850, Third Avenue,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52" w:lineRule="exact"/>
        <w:rPr>
          <w:rFonts w:ascii="Times New Roman" w:cs="Times New Roman" w:eastAsia="Times New Roman" w:hAnsi="Times New Roman"/>
          <w:sz w:val="18"/>
          <w:szCs w:val="18"/>
          <w:color w:val="auto"/>
        </w:rPr>
      </w:pPr>
    </w:p>
    <w:p>
      <w:pPr>
        <w:ind w:left="1620" w:right="599" w:hanging="360"/>
        <w:spacing w:after="0" w:line="256"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11,847,581 shares issuable upon exercise of warrants. Metropolitan Levered Partners Fund VII, LP is prohibited, subject to certain exceptions, from exercising the penny warrants to the extent that immediately prior to or after giving effect to such exercise, Metropolitan Levered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16,678,679 shares issuable upon exercise of warrants. Metropolitan Partners Fund VII, LP is prohibited, subject to certain exceptions, from exercising the penny warrants to the extent that immediately prior to or after giving effect to such exercise, Metropolitan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52"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3,368,451 shares issuable upon exercise of warrants. Metropolitan Offshore Partners Fund VII, LP is prohibited, subject to certain exceptions, from exercising the penny warrants to the extent that immediately prior to or after giving effect to such exercise, Metropolitan Offshore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4,702,410 shares issuable upon exercise of warrants. Corbin Capital Partners, L.P., is the investment manager of CEOF Holdings LP (“CEOF”). Craig Bergstrom is the Chief Investment Officer of Corbin Capital Partners, L.P. and directs the voting and investment decisions with respect to the reported shares held by CEOF, but disclaims beneficial ownership of such shares. The business address of CEOF is 575 Madison Avenue, 21st Floor, New York, New York 10022. CEOF is a lender under the Credit Agreement.</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13,909,866 shares issuable upon conversion of the January 2024 Notes, including the PIK Interest thereon, and 4,940,665 issuable upon conversion of the Remus Note, including the PIK Interest thereon. Krishna K. Gupta, a director and significant stockholder of the Company, has joint voting and dispositive power of the shares held by the entity. Remus is party to (i) the Governance Agreement, pursuant to which, among other things, Remus has the right to appoint two directors of the Company and (ii) the Stockholders Agreement, pursuant to which the Company agreed that it will not undertake certain actions for a period of 12 months without the consent of the parties thereto. Each agreement referenced above is more fully described in the documents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of an aggregate of 103,757,492 shares of Common Stock.</w:t>
      </w:r>
    </w:p>
    <w:p>
      <w:pPr>
        <w:spacing w:after="0" w:line="9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behalf of the Selling Stockholders. All costs, expenses and fees connected with the registration of such securities will be borne by us. Any brokerage commissions and similar expenses connected with selling such securities will be borne by the Selling Stockholders.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Stockholders.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Stockholders covered by this prospectus may be offered and sold from time to time by the Selling Stockholders, as applicable.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securities offered by this prospectus on any stock exchange, market or trading facility on which the securities are traded or in private transactions.</w:t>
      </w:r>
    </w:p>
    <w:p>
      <w:pPr>
        <w:spacing w:after="0" w:line="122" w:lineRule="exact"/>
        <w:rPr>
          <w:sz w:val="20"/>
          <w:szCs w:val="20"/>
          <w:color w:val="auto"/>
        </w:rPr>
      </w:pPr>
    </w:p>
    <w:p>
      <w:pPr>
        <w:ind w:left="1260" w:right="539" w:firstLine="360"/>
        <w:spacing w:after="0" w:line="275"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Stockholders may use any one or more of the following methods when selling the securities offered by this prospectus:</w:t>
      </w:r>
    </w:p>
    <w:p>
      <w:pPr>
        <w:spacing w:after="0" w:line="282" w:lineRule="exact"/>
        <w:rPr>
          <w:sz w:val="20"/>
          <w:szCs w:val="20"/>
          <w:color w:val="auto"/>
        </w:rPr>
      </w:pPr>
    </w:p>
    <w:p>
      <w:pPr>
        <w:ind w:left="1800" w:right="9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53" w:lineRule="exact"/>
        <w:rPr>
          <w:rFonts w:ascii="Times New Roman" w:cs="Times New Roman" w:eastAsia="Times New Roman" w:hAnsi="Times New Roman"/>
          <w:sz w:val="18"/>
          <w:szCs w:val="18"/>
          <w:color w:val="auto"/>
        </w:rPr>
      </w:pPr>
    </w:p>
    <w:p>
      <w:pPr>
        <w:jc w:val="both"/>
        <w:ind w:left="1800" w:right="6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to name specifically such person as a Selling Stockholder.</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required,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9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enter into hedging transactions with broker-dealers or other financial institutions, which may in turn engage in short sales of our securities in the course of hedging the positions they assume. The Selling Stockholders may also sell the securities short and deliver these securities to close out their short positions, or loan or pledge the securities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9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Paul Hastings LLP, 200 Park Avenue, New York, New York 10166 and for any agents, underwriters, dealers, remarketing firms or other third parties by counsel named in the applicable prospectus supplement.</w:t>
      </w:r>
    </w:p>
    <w:p>
      <w:pPr>
        <w:spacing w:after="0" w:line="1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819" w:firstLine="3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incorporated in this prospectus by reference from Presto Automation Inc.’s </w:t>
      </w:r>
      <w:hyperlink r:id="rId18">
        <w:r>
          <w:rPr>
            <w:rFonts w:ascii="Times New Roman" w:cs="Times New Roman" w:eastAsia="Times New Roman" w:hAnsi="Times New Roman"/>
            <w:sz w:val="18"/>
            <w:szCs w:val="18"/>
            <w:u w:val="single" w:color="auto"/>
            <w:color w:val="0000EE"/>
          </w:rPr>
          <w:t>Annual Report on Form 10-K for the year ended 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2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61" w:lineRule="exact"/>
        <w:rPr>
          <w:sz w:val="20"/>
          <w:szCs w:val="20"/>
          <w:color w:val="auto"/>
        </w:rPr>
      </w:pPr>
    </w:p>
    <w:p>
      <w:pPr>
        <w:ind w:left="1800" w:right="1059" w:hanging="180"/>
        <w:spacing w:after="0" w:line="266"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June 30, 2023, filed with the SEC on</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color w:val="000000"/>
          </w:rPr>
          <w:t>, as amended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Amendment No. 1 to our Annual Report for the year ended</w:t>
        </w:r>
      </w:hyperlink>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June 30, 2023 on Form 10-K/A, filed with the SEC on October 12, 2023;</w:t>
        </w:r>
      </w:hyperlink>
    </w:p>
    <w:p>
      <w:pPr>
        <w:spacing w:after="0" w:line="67"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our Quarterly Report on Form 10-Q for the quarter ended September 30, 2023, filed with the SEC on</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November 20, 2023;</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our Quarterly Report on Form 10-Q for the quarter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February 20, 2024 and accepted by the SEC on February 21,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619" w:hanging="180"/>
        <w:spacing w:after="0" w:line="257" w:lineRule="auto"/>
        <w:tabs>
          <w:tab w:leader="none" w:pos="180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under Item 2.02),</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 xml:space="preserve">December 14, 2023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under</w:t>
      </w:r>
    </w:p>
    <w:p>
      <w:pPr>
        <w:spacing w:after="0" w:line="1" w:lineRule="exact"/>
        <w:rPr>
          <w:rFonts w:ascii="Times New Roman" w:cs="Times New Roman" w:eastAsia="Times New Roman" w:hAnsi="Times New Roman"/>
          <w:sz w:val="18"/>
          <w:szCs w:val="18"/>
          <w:color w:val="0000EE"/>
        </w:rPr>
      </w:pPr>
    </w:p>
    <w:p>
      <w:pPr>
        <w:ind w:left="1800" w:right="679"/>
        <w:spacing w:after="0" w:line="255" w:lineRule="auto"/>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Item 7.01),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w:t>
        </w:r>
      </w:hyperlink>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March 4, 2024</w:t>
        </w:r>
      </w:hyperlink>
      <w:hyperlink r:id="rId4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March 11, 2024</w:t>
        </w:r>
      </w:hyperlink>
      <w:hyperlink r:id="rId4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 xml:space="preserve">March 18, 2024 </w:t>
        </w:r>
      </w:hyperlink>
      <w:hyperlink r:id="rId4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March 21, 2024</w:t>
        </w:r>
      </w:hyperlink>
      <w:hyperlink r:id="rId45">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jc w:val="both"/>
        <w:ind w:left="1800" w:right="719" w:hanging="180"/>
        <w:spacing w:after="0" w:line="282" w:lineRule="auto"/>
        <w:tabs>
          <w:tab w:leader="none" w:pos="1800" w:val="left"/>
        </w:tabs>
        <w:numPr>
          <w:ilvl w:val="0"/>
          <w:numId w:val="7"/>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the description of our capital stock contained in our registration statement on </w:t>
        </w:r>
        <w:r>
          <w:rPr>
            <w:rFonts w:ascii="Times New Roman" w:cs="Times New Roman" w:eastAsia="Times New Roman" w:hAnsi="Times New Roman"/>
            <w:sz w:val="18"/>
            <w:szCs w:val="18"/>
            <w:u w:val="single" w:color="auto"/>
            <w:color w:val="0000EE"/>
          </w:rPr>
          <w:t>Form 8-A (File No.</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001-39830) filed on December 23, 2020</w:t>
        </w:r>
        <w:r>
          <w:rPr>
            <w:rFonts w:ascii="Times New Roman" w:cs="Times New Roman" w:eastAsia="Times New Roman" w:hAnsi="Times New Roman"/>
            <w:sz w:val="18"/>
            <w:szCs w:val="18"/>
            <w:color w:val="000000"/>
          </w:rPr>
          <w:t>, and any amendments or reports filed for the purposes of</w:t>
        </w:r>
      </w:hyperlink>
    </w:p>
    <w:p>
      <w:pPr>
        <w:spacing w:after="0" w:line="337"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spacing w:after="0" w:line="282" w:lineRule="auto"/>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color w:val="auto"/>
          </w:rPr>
          <w:t xml:space="preserve">updating this description (including </w:t>
        </w:r>
        <w:r>
          <w:rPr>
            <w:rFonts w:ascii="Times New Roman" w:cs="Times New Roman" w:eastAsia="Times New Roman" w:hAnsi="Times New Roman"/>
            <w:sz w:val="18"/>
            <w:szCs w:val="18"/>
            <w:u w:val="single" w:color="auto"/>
            <w:color w:val="0000EE"/>
          </w:rPr>
          <w:t>Exhibit 4.1 to the Annual Report on Form 10-K for the year</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ended June 30, 2023).</w:t>
        </w:r>
      </w:hyperlink>
    </w:p>
    <w:p>
      <w:pPr>
        <w:spacing w:after="0" w:line="9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2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Presto Automation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i w:val="1"/>
          <w:iCs w:val="1"/>
          <w:color w:val="auto"/>
        </w:rPr>
        <w:t>Secondary Offering of</w:t>
      </w:r>
    </w:p>
    <w:p>
      <w:pPr>
        <w:spacing w:after="0" w:line="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4"/>
          <w:szCs w:val="24"/>
          <w:b w:val="1"/>
          <w:bCs w:val="1"/>
          <w:color w:val="auto"/>
        </w:rPr>
        <w:t>103,757,492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2651760</wp:posOffset>
            </wp:positionV>
            <wp:extent cx="5212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lowerRoman"/>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51"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17" Type="http://schemas.openxmlformats.org/officeDocument/2006/relationships/hyperlink" Target="https://www.sec.gov/Archives/edgar/data/1822145/000121390020044238/ea131985-8a12b_ventouxccm.htm" TargetMode="External"/><Relationship Id="rId18" Type="http://schemas.openxmlformats.org/officeDocument/2006/relationships/hyperlink" Target="http://www.sec.gov/ix?doc=/Archives/edgar/data/1822145/000155837023016336/prst-20230630x10k.htm" TargetMode="External"/><Relationship Id="rId33" Type="http://schemas.openxmlformats.org/officeDocument/2006/relationships/hyperlink" Target="http://www.sec.gov/ix?doc=/Archives/edgar/data/1822145/000155837023016408/prst-20230630x10ka.htm" TargetMode="External"/><Relationship Id="rId34" Type="http://schemas.openxmlformats.org/officeDocument/2006/relationships/hyperlink" Target="http://www.sec.gov/ix?doc=/Archives/edgar/data/1822145/000155837023019254/prst-20230930x10q.htm" TargetMode="External"/><Relationship Id="rId35" Type="http://schemas.openxmlformats.org/officeDocument/2006/relationships/hyperlink" Target="https://www.sec.gov/ix?doc=/Archives/edgar/data/1822145/000155837024001375/prst-20231231x10q.htm" TargetMode="External"/><Relationship Id="rId36" Type="http://schemas.openxmlformats.org/officeDocument/2006/relationships/hyperlink" Target="http://www.sec.gov/ix?doc=/Archives/edgar/data/1822145/000110465923086535/tm2322640d1_8k.htm" TargetMode="External"/><Relationship Id="rId37" Type="http://schemas.openxmlformats.org/officeDocument/2006/relationships/hyperlink" Target="http://www.sec.gov/ix?doc=/Archives/edgar/data/1822145/000110465923097311/tm2325309d1_8k.htm" TargetMode="External"/><Relationship Id="rId38" Type="http://schemas.openxmlformats.org/officeDocument/2006/relationships/hyperlink" Target="http://www.sec.gov/ix?doc=/Archives/edgar/data/1822145/000101376223002979/ea186564-8k_prestoauto.htm" TargetMode="External"/><Relationship Id="rId39" Type="http://schemas.openxmlformats.org/officeDocument/2006/relationships/hyperlink" Target="http://www.sec.gov/ix?doc=/Archives/edgar/data/1822145/000101376223005246/ea187043-8k_prestoauto.htm" TargetMode="External"/><Relationship Id="rId40" Type="http://schemas.openxmlformats.org/officeDocument/2006/relationships/hyperlink" Target="http://www.sec.gov/ix?doc=/Archives/edgar/data/1822145/000121390023089293/ea188717-8k_presto.htm" TargetMode="External"/><Relationship Id="rId41" Type="http://schemas.openxmlformats.org/officeDocument/2006/relationships/hyperlink" Target="http://www.sec.gov/ix?doc=/Archives/edgar/data/1822145/000155837023019477/prst-20231129x8k.htm" TargetMode="External"/><Relationship Id="rId42" Type="http://schemas.openxmlformats.org/officeDocument/2006/relationships/hyperlink" Target="http://www.sec.gov/ix?doc=/Archives/edgar/data/1822145/000155837023019744/prst-20231206x8k.htm" TargetMode="External"/><Relationship Id="rId43" Type="http://schemas.openxmlformats.org/officeDocument/2006/relationships/hyperlink" Target="http://www.sec.gov/ix?doc=/Archives/edgar/data/1822145/000121390023095635/ea190049-8k_presto.htm" TargetMode="External"/><Relationship Id="rId44" Type="http://schemas.openxmlformats.org/officeDocument/2006/relationships/hyperlink" Target="http://www.sec.gov/ix?doc=/Archives/edgar/data/1822145/000110465924010183/tm244871d1_8k.htm" TargetMode="External"/><Relationship Id="rId45" Type="http://schemas.openxmlformats.org/officeDocument/2006/relationships/hyperlink" Target="https://www.sec.gov/ix?doc=/Archives/edgar/data/1822145/000110465924029415/tm247433d1_8k.htm" TargetMode="External"/><Relationship Id="rId46" Type="http://schemas.openxmlformats.org/officeDocument/2006/relationships/hyperlink" Target="https://www.sec.gov/ix?doc=/Archives/edgar/data/1822145/000110465924030518/tm246736d5_8k.htm" TargetMode="External"/><Relationship Id="rId47" Type="http://schemas.openxmlformats.org/officeDocument/2006/relationships/hyperlink" Target="https://www.sec.gov/ix?doc=/Archives/edgar/data/1822145/000110465924032703/tm248423d1_8k.htm" TargetMode="External"/><Relationship Id="rId48" Type="http://schemas.openxmlformats.org/officeDocument/2006/relationships/hyperlink" Target="https://www.sec.gov/ix?doc=/Archives/edgar/data/1822145/000110465924035601/tm249131d1_8k.htm" TargetMode="External"/><Relationship Id="rId49" Type="http://schemas.openxmlformats.org/officeDocument/2006/relationships/hyperlink" Target="https://www.sec.gov/ix?doc=/Archives/edgar/data/1822145/000110465924037407/tm249250d1_8k.htm" TargetMode="External"/><Relationship Id="rId50" Type="http://schemas.openxmlformats.org/officeDocument/2006/relationships/hyperlink" Target="http://www.sec.gov/Archives/edgar/data/1822145/000121390020044238/ea131985-8a12b_ventouxccm.htm" TargetMode="External"/><Relationship Id="rId52" Type="http://schemas.openxmlformats.org/officeDocument/2006/relationships/hyperlink" Target="http://www.sec.gov/Archives/edgar/data/1822145/000155837023016336/prst-20230630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2024-04-15T07:36:34Z</dcterms:created>
  <dcterms:modified xsi:type="dcterms:W3CDTF">2024-04-15T07:36:34Z</dcterms:modified>
</cp:coreProperties>
</file>