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March 6,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4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15"/>
        </w:trPr>
        <w:tc>
          <w:tcPr>
            <w:tcW w:w="32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4"/>
        </w:trPr>
        <w:tc>
          <w:tcPr>
            <w:tcW w:w="3240" w:type="dxa"/>
            <w:vAlign w:val="bottom"/>
            <w:tcBorders>
              <w:top w:val="single" w:sz="8" w:color="auto"/>
            </w:tcBorders>
          </w:tcPr>
          <w:p>
            <w:pPr>
              <w:jc w:val="center"/>
              <w:ind w:left="45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ind w:right="1010"/>
              <w:spacing w:after="0" w:line="194"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2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240" w:type="dxa"/>
            <w:vAlign w:val="bottom"/>
          </w:tcPr>
          <w:p>
            <w:pPr>
              <w:spacing w:after="0"/>
              <w:rPr>
                <w:sz w:val="24"/>
                <w:szCs w:val="24"/>
                <w:color w:val="auto"/>
              </w:rPr>
            </w:pPr>
          </w:p>
        </w:tc>
        <w:tc>
          <w:tcPr>
            <w:tcW w:w="540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5"/>
        </w:trPr>
        <w:tc>
          <w:tcPr>
            <w:tcW w:w="3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92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26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8"/>
        </w:trPr>
        <w:tc>
          <w:tcPr>
            <w:tcW w:w="86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7"/>
        </w:trPr>
        <w:tc>
          <w:tcPr>
            <w:tcW w:w="32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238"/>
        </w:trPr>
        <w:tc>
          <w:tcPr>
            <w:tcW w:w="3240" w:type="dxa"/>
            <w:vAlign w:val="bottom"/>
          </w:tcPr>
          <w:p>
            <w:pPr>
              <w:spacing w:after="0"/>
              <w:rPr>
                <w:sz w:val="20"/>
                <w:szCs w:val="20"/>
                <w:color w:val="auto"/>
              </w:rPr>
            </w:pPr>
          </w:p>
        </w:tc>
        <w:tc>
          <w:tcPr>
            <w:tcW w:w="54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Chief Revenue Officer</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6, 2024, Justin Foster, Chief Revenue Officer of Presto Automation Inc. (the “Company”), announced his resignation; Mr. Foster’s last day with the Company will be March 18,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Chairperson of the Board</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March 7, 2024, the Company announced that its board of directors (the “Board”) elected Edward Scheetz, Lead Independent Director, as chairman of the Board, effective immediately, replacing the prior chairman, Krishna Gupta.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Stephen Herbert</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Also on March 7, 2024, the Board appointed Stephen Herbert to the Board. Mr. Herbert will serve as a Class III director with a term expiring at the Company’s 2025 annual meeting of stockholders. The board decreased the size of the Board by one from eight to seven directors, effective immediately.</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previously disclosed, on November 16, 2023, the Company and certain significant shareholders entered into an Amended and Restated Governance Agreement (the “Governance Agreement”). Pursuant to the Governance Agreement, the REMUS Stockholders (as defined in the Governance Agreement) have the right to appoint two directors to the Board. The REMUS Stockholders, pursuant to the Governance Agreement, nominated Mr. Herbert to the Board.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Stephen Herbert, 60, is the Chief Executive Officer and Chairman of Armada Acquisition Corp I. Mr. Herbert was affiliated with USAT in various positions from April 1996 to October 2019, most recently as CEO from November 2011 until he left the company. 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He serves on the LSU, Dean’s Advisory Council for the College of Humanities, and the LSU Foundation – National Board – the group that leads the University’s present $1.5 billion capital campaign.</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Mr. Herbert and any other persons pursuant to which such director was selected as a director of the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13, 2023, the Company and Mr. Herbert entered into a consulting agreement, as subsequently amended, pursuant to which the Company agreed to pay Mr. Herbert $15,000 per month in exchange for certain services relating to the Company’s Touch business. The consulting agreement terminated on February 15,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Herbert will receive compensation for his service on the Board on the same basis as all other non-employee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Susan Shinoff</w:t>
            </w:r>
          </w:p>
        </w:tc>
      </w:tr>
      <w:tr>
        <w:trPr>
          <w:trHeight w:val="191"/>
        </w:trPr>
        <w:tc>
          <w:tcPr>
            <w:tcW w:w="3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Susan Shinoff</w:t>
            </w:r>
          </w:p>
        </w:tc>
      </w:tr>
      <w:tr>
        <w:trPr>
          <w:trHeight w:val="234"/>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Corporate Secretary</w:t>
            </w:r>
          </w:p>
        </w:tc>
      </w:tr>
      <w:tr>
        <w:trPr>
          <w:trHeight w:val="675"/>
        </w:trPr>
        <w:tc>
          <w:tcPr>
            <w:tcW w:w="3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2024-03-11T06:07:49Z</dcterms:created>
  <dcterms:modified xsi:type="dcterms:W3CDTF">2024-03-11T06:07:49Z</dcterms:modified>
</cp:coreProperties>
</file>