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0"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April 10, 2024</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333-278514​</w:t>
      </w:r>
    </w:p>
    <w:p>
      <w:pPr>
        <w:spacing w:after="0" w:line="5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1905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45085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ind w:left="456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9"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1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07"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FORM S-3</w:t>
      </w:r>
    </w:p>
    <w:p>
      <w:pPr>
        <w:spacing w:after="0" w:line="34"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REGISTRATION STATEMENT</w:t>
      </w:r>
    </w:p>
    <w:p>
      <w:pPr>
        <w:jc w:val="center"/>
        <w:ind w:right="-419"/>
        <w:spacing w:after="0" w:line="228" w:lineRule="auto"/>
        <w:rPr>
          <w:sz w:val="20"/>
          <w:szCs w:val="20"/>
          <w:color w:val="auto"/>
        </w:rPr>
      </w:pPr>
      <w:r>
        <w:rPr>
          <w:rFonts w:ascii="Times New Roman" w:cs="Times New Roman" w:eastAsia="Times New Roman" w:hAnsi="Times New Roman"/>
          <w:sz w:val="16"/>
          <w:szCs w:val="16"/>
          <w:b w:val="1"/>
          <w:bCs w:val="1"/>
          <w:color w:val="auto"/>
        </w:rPr>
        <w:t>UNDER</w:t>
      </w:r>
    </w:p>
    <w:p>
      <w:pPr>
        <w:spacing w:after="0" w:line="1"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THE SECURITIES ACT OF 1933</w:t>
      </w:r>
    </w:p>
    <w:p>
      <w:pPr>
        <w:spacing w:after="0" w:line="6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280"/>
          </w:cols>
          <w:pgMar w:left="580" w:top="205" w:right="1039" w:bottom="1440" w:gutter="0" w:footer="0" w:header="0"/>
        </w:sectPr>
      </w:pPr>
    </w:p>
    <w:p>
      <w:pPr>
        <w:spacing w:after="0" w:line="100" w:lineRule="exact"/>
        <w:rPr>
          <w:sz w:val="24"/>
          <w:szCs w:val="24"/>
          <w:color w:val="auto"/>
        </w:rPr>
      </w:pPr>
    </w:p>
    <w:p>
      <w:pPr>
        <w:ind w:left="500"/>
        <w:spacing w:after="0"/>
        <w:tabs>
          <w:tab w:leader="none" w:pos="2540" w:val="left"/>
        </w:tabs>
        <w:rPr>
          <w:sz w:val="20"/>
          <w:szCs w:val="20"/>
          <w:color w:val="auto"/>
        </w:rPr>
      </w:pPr>
      <w:r>
        <w:rPr>
          <w:rFonts w:ascii="Times New Roman" w:cs="Times New Roman" w:eastAsia="Times New Roman" w:hAnsi="Times New Roman"/>
          <w:sz w:val="16"/>
          <w:szCs w:val="16"/>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Delaware</w:t>
      </w:r>
    </w:p>
    <w:p>
      <w:pPr>
        <w:spacing w:after="0" w:line="13" w:lineRule="exact"/>
        <w:rPr>
          <w:sz w:val="24"/>
          <w:szCs w:val="24"/>
          <w:color w:val="auto"/>
        </w:rPr>
      </w:pPr>
    </w:p>
    <w:p>
      <w:pPr>
        <w:ind w:left="500"/>
        <w:spacing w:after="0"/>
        <w:tabs>
          <w:tab w:leader="none" w:pos="19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(State or other jurisdiction of</w:t>
      </w:r>
    </w:p>
    <w:p>
      <w:pPr>
        <w:jc w:val="right"/>
        <w:ind w:right="760"/>
        <w:spacing w:after="0"/>
        <w:rPr>
          <w:sz w:val="20"/>
          <w:szCs w:val="20"/>
          <w:color w:val="auto"/>
        </w:rPr>
      </w:pPr>
      <w:r>
        <w:rPr>
          <w:rFonts w:ascii="Times New Roman" w:cs="Times New Roman" w:eastAsia="Times New Roman" w:hAnsi="Times New Roman"/>
          <w:sz w:val="14"/>
          <w:szCs w:val="14"/>
          <w:color w:val="auto"/>
        </w:rPr>
        <w:t>incorporation or organization)</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3080" w:type="dxa"/>
            <w:vAlign w:val="bottom"/>
          </w:tcPr>
          <w:p>
            <w:pPr>
              <w:jc w:val="right"/>
              <w:ind w:right="1085"/>
              <w:spacing w:after="0"/>
              <w:rPr>
                <w:sz w:val="20"/>
                <w:szCs w:val="20"/>
                <w:color w:val="auto"/>
              </w:rPr>
            </w:pPr>
            <w:r>
              <w:rPr>
                <w:rFonts w:ascii="Times New Roman" w:cs="Times New Roman" w:eastAsia="Times New Roman" w:hAnsi="Times New Roman"/>
                <w:sz w:val="16"/>
                <w:szCs w:val="16"/>
                <w:b w:val="1"/>
                <w:bCs w:val="1"/>
                <w:color w:val="auto"/>
              </w:rPr>
              <w:t>84-2968594</w:t>
            </w:r>
          </w:p>
        </w:tc>
        <w:tc>
          <w:tcPr>
            <w:tcW w:w="880" w:type="dxa"/>
            <w:vAlign w:val="bottom"/>
          </w:tcPr>
          <w:p>
            <w:pPr>
              <w:ind w:left="84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62"/>
        </w:trPr>
        <w:tc>
          <w:tcPr>
            <w:tcW w:w="100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(I.R.S. Employer</w:t>
            </w:r>
          </w:p>
        </w:tc>
        <w:tc>
          <w:tcPr>
            <w:tcW w:w="8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000" w:type="dxa"/>
            <w:vAlign w:val="bottom"/>
          </w:tcPr>
          <w:p>
            <w:pPr>
              <w:spacing w:after="0"/>
              <w:rPr>
                <w:sz w:val="16"/>
                <w:szCs w:val="16"/>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Identification Number)</w:t>
            </w:r>
          </w:p>
        </w:tc>
        <w:tc>
          <w:tcPr>
            <w:tcW w:w="880" w:type="dxa"/>
            <w:vAlign w:val="bottom"/>
          </w:tcPr>
          <w:p>
            <w:pPr>
              <w:spacing w:after="0"/>
              <w:rPr>
                <w:sz w:val="16"/>
                <w:szCs w:val="16"/>
                <w:color w:val="auto"/>
              </w:rPr>
            </w:pPr>
          </w:p>
        </w:tc>
      </w:tr>
    </w:tbl>
    <w:p>
      <w:pPr>
        <w:spacing w:after="0" w:line="89" w:lineRule="exact"/>
        <w:rPr>
          <w:sz w:val="24"/>
          <w:szCs w:val="24"/>
          <w:color w:val="auto"/>
        </w:rPr>
      </w:pPr>
    </w:p>
    <w:p>
      <w:pPr>
        <w:sectPr>
          <w:pgSz w:w="11900" w:h="16838" w:orient="portrait"/>
          <w:cols w:equalWidth="0" w:num="2">
            <w:col w:w="4580" w:space="720"/>
            <w:col w:w="4980"/>
          </w:cols>
          <w:pgMar w:left="580" w:top="205" w:right="1039" w:bottom="1440" w:gutter="0" w:footer="0" w:header="0"/>
          <w:type w:val="continuous"/>
        </w:sect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985 Industrial Road</w:t>
      </w:r>
    </w:p>
    <w:p>
      <w:pPr>
        <w:spacing w:after="0" w:line="1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San Carlos, CA 94070</w:t>
      </w:r>
    </w:p>
    <w:p>
      <w:pPr>
        <w:spacing w:after="0" w:line="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Telephone: (650) 817-9012</w:t>
      </w:r>
    </w:p>
    <w:p>
      <w:pPr>
        <w:spacing w:after="0" w:line="5"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r>
        <w:rPr>
          <w:rFonts w:ascii="Times New Roman" w:cs="Times New Roman" w:eastAsia="Times New Roman" w:hAnsi="Times New Roman"/>
          <w:sz w:val="16"/>
          <w:szCs w:val="16"/>
          <w:color w:val="auto"/>
        </w:rPr>
        <w:t>​</w:t>
      </w:r>
    </w:p>
    <w:p>
      <w:pPr>
        <w:spacing w:after="0" w:line="2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6"/>
          <w:szCs w:val="16"/>
          <w:b w:val="1"/>
          <w:bCs w:val="1"/>
          <w:color w:val="auto"/>
        </w:rPr>
        <w:t>Susan Shinoff</w:t>
      </w:r>
    </w:p>
    <w:p>
      <w:pPr>
        <w:spacing w:after="0" w:line="1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6"/>
          <w:szCs w:val="16"/>
          <w:b w:val="1"/>
          <w:bCs w:val="1"/>
          <w:color w:val="auto"/>
        </w:rPr>
        <w:t>Presto Automation Inc.</w:t>
      </w:r>
    </w:p>
    <w:p>
      <w:pPr>
        <w:jc w:val="center"/>
        <w:ind w:right="-419"/>
        <w:spacing w:after="0" w:line="228" w:lineRule="auto"/>
        <w:rPr>
          <w:sz w:val="20"/>
          <w:szCs w:val="20"/>
          <w:color w:val="auto"/>
        </w:rPr>
      </w:pPr>
      <w:r>
        <w:rPr>
          <w:rFonts w:ascii="Times New Roman" w:cs="Times New Roman" w:eastAsia="Times New Roman" w:hAnsi="Times New Roman"/>
          <w:sz w:val="16"/>
          <w:szCs w:val="16"/>
          <w:b w:val="1"/>
          <w:bCs w:val="1"/>
          <w:color w:val="auto"/>
        </w:rPr>
        <w:t>985 Industrial Road</w:t>
      </w:r>
    </w:p>
    <w:p>
      <w:pPr>
        <w:spacing w:after="0" w:line="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San Carlos, CA 94070</w:t>
      </w:r>
    </w:p>
    <w:p>
      <w:pPr>
        <w:spacing w:after="0" w:line="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Telephone: (650) 817-9012</w:t>
      </w:r>
    </w:p>
    <w:p>
      <w:pPr>
        <w:spacing w:after="0" w:line="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r>
        <w:rPr>
          <w:rFonts w:ascii="Times New Roman" w:cs="Times New Roman" w:eastAsia="Times New Roman" w:hAnsi="Times New Roman"/>
          <w:sz w:val="16"/>
          <w:szCs w:val="16"/>
          <w:color w:val="auto"/>
        </w:rPr>
        <w:t>​</w:t>
      </w:r>
    </w:p>
    <w:p>
      <w:pPr>
        <w:spacing w:after="0" w:line="8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48"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Colin Diamond</w:t>
      </w:r>
    </w:p>
    <w:p>
      <w:pPr>
        <w:spacing w:after="0" w:line="1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Will Burns</w:t>
      </w:r>
    </w:p>
    <w:p>
      <w:pPr>
        <w:jc w:val="center"/>
        <w:ind w:right="-419"/>
        <w:spacing w:after="0" w:line="235" w:lineRule="auto"/>
        <w:rPr>
          <w:sz w:val="20"/>
          <w:szCs w:val="20"/>
          <w:color w:val="auto"/>
        </w:rPr>
      </w:pPr>
      <w:r>
        <w:rPr>
          <w:rFonts w:ascii="Times New Roman" w:cs="Times New Roman" w:eastAsia="Times New Roman" w:hAnsi="Times New Roman"/>
          <w:sz w:val="16"/>
          <w:szCs w:val="16"/>
          <w:b w:val="1"/>
          <w:bCs w:val="1"/>
          <w:color w:val="auto"/>
        </w:rPr>
        <w:t>Paul Hastings LLP</w:t>
      </w:r>
    </w:p>
    <w:p>
      <w:pPr>
        <w:jc w:val="center"/>
        <w:ind w:right="-419"/>
        <w:spacing w:after="0" w:line="229" w:lineRule="auto"/>
        <w:rPr>
          <w:sz w:val="20"/>
          <w:szCs w:val="20"/>
          <w:color w:val="auto"/>
        </w:rPr>
      </w:pPr>
      <w:r>
        <w:rPr>
          <w:rFonts w:ascii="Times New Roman" w:cs="Times New Roman" w:eastAsia="Times New Roman" w:hAnsi="Times New Roman"/>
          <w:sz w:val="16"/>
          <w:szCs w:val="16"/>
          <w:b w:val="1"/>
          <w:bCs w:val="1"/>
          <w:color w:val="auto"/>
        </w:rPr>
        <w:t>200 Park Avenue</w:t>
      </w:r>
    </w:p>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New York, New York 10166</w:t>
      </w:r>
    </w:p>
    <w:p>
      <w:pPr>
        <w:spacing w:after="0" w:line="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Telephone: (212) 318-6000</w:t>
      </w:r>
    </w:p>
    <w:p>
      <w:pPr>
        <w:spacing w:after="0" w:line="26"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this registration statement becomes effective.</w:t>
      </w:r>
    </w:p>
    <w:p>
      <w:pPr>
        <w:spacing w:after="0" w:line="48" w:lineRule="exact"/>
        <w:rPr>
          <w:sz w:val="24"/>
          <w:szCs w:val="24"/>
          <w:color w:val="auto"/>
        </w:rPr>
      </w:pPr>
    </w:p>
    <w:p>
      <w:pPr>
        <w:ind w:left="500" w:right="100" w:firstLine="360"/>
        <w:spacing w:after="0" w:line="213" w:lineRule="exact"/>
        <w:rPr>
          <w:sz w:val="20"/>
          <w:szCs w:val="20"/>
          <w:color w:val="auto"/>
        </w:rPr>
      </w:pPr>
      <w:r>
        <w:rPr>
          <w:rFonts w:ascii="Times New Roman" w:cs="Times New Roman" w:eastAsia="Times New Roman" w:hAnsi="Times New Roman"/>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300" w:firstLine="360"/>
        <w:spacing w:after="0" w:line="212"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71" w:lineRule="exact"/>
        <w:rPr>
          <w:sz w:val="24"/>
          <w:szCs w:val="24"/>
          <w:color w:val="auto"/>
        </w:rPr>
      </w:pPr>
    </w:p>
    <w:p>
      <w:pPr>
        <w:ind w:left="500" w:right="16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500" w:right="320" w:firstLine="360"/>
        <w:spacing w:after="0" w:line="206"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500" w:firstLine="360"/>
        <w:spacing w:after="0" w:line="209" w:lineRule="exact"/>
        <w:rPr>
          <w:sz w:val="20"/>
          <w:szCs w:val="20"/>
          <w:color w:val="auto"/>
        </w:rPr>
      </w:pPr>
      <w:r>
        <w:rPr>
          <w:rFonts w:ascii="Times New Roman" w:cs="Times New Roman" w:eastAsia="Times New Roman" w:hAnsi="Times New Roman"/>
          <w:sz w:val="16"/>
          <w:szCs w:val="16"/>
          <w:color w:val="auto"/>
        </w:rPr>
        <w:t xml:space="preserve">If this Form is a registration statement pursuant to General Instruction I.D. or a post- effective amendment thereto that shall become effective on filing with the Commission pursuant to Rule 462(e) under the Securities Act, check the following box. 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80" w:firstLine="360"/>
        <w:spacing w:after="0" w:line="203"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7" w:lineRule="exact"/>
        <w:rPr>
          <w:sz w:val="24"/>
          <w:szCs w:val="24"/>
          <w:color w:val="auto"/>
        </w:rPr>
      </w:pPr>
    </w:p>
    <w:p>
      <w:pPr>
        <w:jc w:val="both"/>
        <w:ind w:left="500" w:right="280" w:firstLine="360"/>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80"/>
          </w:cols>
          <w:pgMar w:left="580" w:top="205" w:right="1039" w:bottom="1440" w:gutter="0" w:footer="0" w:header="0"/>
          <w:type w:val="continuous"/>
        </w:sectPr>
      </w:pPr>
    </w:p>
    <w:p>
      <w:pPr>
        <w:spacing w:after="0" w:line="6" w:lineRule="exact"/>
        <w:rPr>
          <w:sz w:val="24"/>
          <w:szCs w:val="24"/>
          <w:color w:val="auto"/>
        </w:rPr>
      </w:pPr>
    </w:p>
    <w:tbl>
      <w:tblPr>
        <w:tblLayout w:type="fixed"/>
        <w:tblInd w:w="860" w:type="dxa"/>
        <w:tblCellMar>
          <w:top w:w="0" w:type="dxa"/>
          <w:left w:w="0" w:type="dxa"/>
          <w:bottom w:w="0" w:type="dxa"/>
          <w:right w:w="0" w:type="dxa"/>
        </w:tblCellMar>
      </w:tblPr>
      <w:tr>
        <w:trPr>
          <w:trHeight w:val="198"/>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Large​</w:t>
            </w:r>
          </w:p>
        </w:tc>
        <w:tc>
          <w:tcPr>
            <w:tcW w:w="1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accelerated filer</w:t>
            </w:r>
          </w:p>
        </w:tc>
        <w:tc>
          <w:tcPr>
            <w:tcW w:w="1500" w:type="dxa"/>
            <w:vAlign w:val="bottom"/>
            <w:gridSpan w:val="2"/>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p>
        </w:tc>
        <w:tc>
          <w:tcPr>
            <w:tcW w:w="31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 Accelerated filer</w:t>
            </w:r>
          </w:p>
        </w:tc>
        <w:tc>
          <w:tcPr>
            <w:tcW w:w="0" w:type="dxa"/>
            <w:vAlign w:val="bottom"/>
          </w:tcPr>
          <w:p>
            <w:pPr>
              <w:spacing w:after="0"/>
              <w:rPr>
                <w:sz w:val="1"/>
                <w:szCs w:val="1"/>
                <w:color w:val="auto"/>
              </w:rPr>
            </w:pPr>
          </w:p>
        </w:tc>
      </w:tr>
      <w:tr>
        <w:trPr>
          <w:trHeight w:val="162"/>
        </w:trPr>
        <w:tc>
          <w:tcPr>
            <w:tcW w:w="4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4"/>
                <w:szCs w:val="14"/>
                <w:color w:val="auto"/>
              </w:rPr>
            </w:pPr>
          </w:p>
        </w:tc>
        <w:tc>
          <w:tcPr>
            <w:tcW w:w="2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22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1240" w:type="dxa"/>
            <w:vAlign w:val="bottom"/>
          </w:tcPr>
          <w:p>
            <w:pPr>
              <w:ind w:left="1060"/>
              <w:spacing w:after="0" w:line="162" w:lineRule="exact"/>
              <w:rPr>
                <w:sz w:val="20"/>
                <w:szCs w:val="20"/>
                <w:color w:val="auto"/>
              </w:rPr>
            </w:pPr>
            <w:r>
              <w:rPr>
                <w:rFonts w:ascii="Times New Roman" w:cs="Times New Roman" w:eastAsia="Times New Roman" w:hAnsi="Times New Roman"/>
                <w:sz w:val="16"/>
                <w:szCs w:val="16"/>
                <w:color w:val="auto"/>
              </w:rPr>
              <w:t>​ ​</w:t>
            </w:r>
          </w:p>
        </w:tc>
        <w:tc>
          <w:tcPr>
            <w:tcW w:w="1880" w:type="dxa"/>
            <w:vAlign w:val="bottom"/>
            <w:vMerge w:val="restart"/>
          </w:tcPr>
          <w:p>
            <w:pPr>
              <w:ind w:left="40"/>
              <w:spacing w:after="0" w:line="175" w:lineRule="exact"/>
              <w:rPr>
                <w:sz w:val="20"/>
                <w:szCs w:val="20"/>
                <w:color w:val="auto"/>
              </w:rPr>
            </w:pPr>
            <w:r>
              <w:rPr>
                <w:rFonts w:ascii="Times New Roman" w:cs="Times New Roman" w:eastAsia="Times New Roman" w:hAnsi="Times New Roman"/>
                <w:sz w:val="16"/>
                <w:szCs w:val="16"/>
                <w:color w:val="auto"/>
              </w:rPr>
              <w:t>Smaller reporting company</w:t>
            </w:r>
          </w:p>
        </w:tc>
        <w:tc>
          <w:tcPr>
            <w:tcW w:w="0" w:type="dxa"/>
            <w:vAlign w:val="bottom"/>
          </w:tcPr>
          <w:p>
            <w:pPr>
              <w:spacing w:after="0"/>
              <w:rPr>
                <w:sz w:val="1"/>
                <w:szCs w:val="1"/>
                <w:color w:val="auto"/>
              </w:rPr>
            </w:pPr>
          </w:p>
        </w:tc>
      </w:tr>
      <w:tr>
        <w:trPr>
          <w:trHeight w:val="14"/>
        </w:trPr>
        <w:tc>
          <w:tcPr>
            <w:tcW w:w="1620" w:type="dxa"/>
            <w:vAlign w:val="bottom"/>
            <w:gridSpan w:val="2"/>
          </w:tcPr>
          <w:p>
            <w:pPr>
              <w:spacing w:after="0"/>
              <w:rPr>
                <w:sz w:val="20"/>
                <w:szCs w:val="20"/>
                <w:color w:val="auto"/>
              </w:rPr>
            </w:pPr>
            <w:r>
              <w:rPr>
                <w:rFonts w:ascii="Times New Roman" w:cs="Times New Roman" w:eastAsia="Times New Roman" w:hAnsi="Times New Roman"/>
                <w:sz w:val="1"/>
                <w:szCs w:val="1"/>
                <w:color w:val="auto"/>
              </w:rPr>
              <w:t>Non-accelerated filer</w:t>
            </w:r>
          </w:p>
        </w:tc>
        <w:tc>
          <w:tcPr>
            <w:tcW w:w="2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 ​ ​</w:t>
            </w:r>
          </w:p>
        </w:tc>
        <w:tc>
          <w:tcPr>
            <w:tcW w:w="312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 ​ Emerging growth company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70" w:lineRule="exact"/>
        <w:tabs>
          <w:tab w:leader="none" w:pos="2440" w:val="left"/>
        </w:tabs>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4" w:lineRule="exact"/>
        <w:rPr>
          <w:sz w:val="24"/>
          <w:szCs w:val="24"/>
          <w:color w:val="auto"/>
        </w:rPr>
      </w:pPr>
    </w:p>
    <w:p>
      <w:pPr>
        <w:spacing w:after="0" w:line="184" w:lineRule="exact"/>
        <w:tabs>
          <w:tab w:leader="none" w:pos="2440" w:val="left"/>
        </w:tabs>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84" w:lineRule="exact"/>
        <w:tabs>
          <w:tab w:leader="none" w:pos="2440" w:val="left"/>
        </w:tabs>
        <w:rPr>
          <w:sz w:val="20"/>
          <w:szCs w:val="20"/>
          <w:color w:val="auto"/>
        </w:rPr>
      </w:pPr>
      <w:r>
        <w:rPr>
          <w:rFonts w:ascii="Times New Roman" w:cs="Times New Roman" w:eastAsia="Times New Roman" w:hAnsi="Times New Roman"/>
          <w:sz w:val="16"/>
          <w:szCs w:val="16"/>
          <w:color w:val="auto"/>
        </w:rPr>
        <w:t xml:space="preserve">​ ​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75" w:lineRule="exact"/>
        <w:rPr>
          <w:sz w:val="24"/>
          <w:szCs w:val="24"/>
          <w:color w:val="auto"/>
        </w:rPr>
      </w:pPr>
    </w:p>
    <w:p>
      <w:pPr>
        <w:sectPr>
          <w:pgSz w:w="11900" w:h="16838" w:orient="portrait"/>
          <w:cols w:equalWidth="0" w:num="2">
            <w:col w:w="7100" w:space="320"/>
            <w:col w:w="2860"/>
          </w:cols>
          <w:pgMar w:left="580" w:top="205" w:right="1039" w:bottom="1440" w:gutter="0" w:footer="0" w:header="0"/>
          <w:type w:val="continuous"/>
        </w:sectPr>
      </w:pPr>
    </w:p>
    <w:p>
      <w:pPr>
        <w:ind w:left="500" w:right="700" w:firstLine="36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6"/>
          <w:szCs w:val="16"/>
          <w:color w:val="auto"/>
        </w:rPr>
        <w:t>☐</w:t>
      </w:r>
    </w:p>
    <w:p>
      <w:pPr>
        <w:spacing w:after="0" w:line="1" w:lineRule="exact"/>
        <w:rPr>
          <w:sz w:val="24"/>
          <w:szCs w:val="24"/>
          <w:color w:val="auto"/>
        </w:rPr>
      </w:pPr>
    </w:p>
    <w:p>
      <w:pPr>
        <w:ind w:left="500" w:right="140" w:firstLine="360"/>
        <w:spacing w:after="0" w:line="24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62"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We are filing this Registration Statement on Form S-3 (this “Registration Statement”) to satisfy our obligations under (i) the registration rights agreement, dated as of January 30, 2024, by and between Presto Automation Inc., a Delaware corporation (the “Company”), and each of the buyer signatory thereto, (ii) the registration rights agreement, dated as of March 31, 2023, by and among the Company and the Company’s lenders (the “Lenders”), (iii) the registration rights agreement, dated as of October 10, 2023, between the Company and Presto CA LLC (“Presto CA”), (iv) the common stock purchase agreements, each dated November 17, 2023, between the Company and each of the investors thereto and (v) the registration rights agreement, dated as of March 1, 2024, between the Company and Remus Capital Series B II, L.P.</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As further described in our Current Reports on Form 8-K filed with the Securities and Exchange Commission on February 2, 2024 and March 4, 2024, our offering of subordinated notes that closed on February 2, 2024 (the “January Offering”) and our registered direct offering of shares of our common stock, par value $0.01 per share (the “Common Stock”), that closed on March 4, 2024 (the “March Offering”), each triggered certain anti-dilution provisions requiring us to, among other things, issue additional shares of Common Stock to Presto CA and the November 2023 Purchasers and to adjust the number of shares underlying warrants held by Metropolitan (as defined below) (the “Anti-Dilution Shares”). The issuances of such Anti-Dilution Shares were limited pursuant to Nasdaq Listing Rule 5635(d) absent shareholder approval. On February 26, 2024, the Company held a special meeting of stockholders and the stockholders approved, among other things, the issuance of the Anti-Dilution Shares triggered by the January Offering in excess of 19.99% of the Company’s outstanding Common Stock (the “January Anti-Dilution Shares”). The January Anti-Dilution Shares were subsequently issued to the applicable holders. Further, the Company plans to hold an additional special meeting of stockholders (the “Special Meeting”) and to file a preliminary proxy statement to, among other things, approve the issuance of the Anti-Dilution Shares triggered by the March Offering in excess of 19.99% of the Company’s outstanding Common Stock (the “March Anti-Dilution Shares”). As of the date of this filing, none of the March Anti-Dilution Shares have been issued, and the March Anti-Dilution Shares will be issued subsequent to the approval of the proposals at the Special Meeting. In this Registration on Form S-3, we have assumed that the proposals will be approved, and therefore have reflected all of the Anti-Dilution Shares as outstanding in the Selling Stockholder table of and throughout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4106545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159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with the Securities and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not permitted.</w:t>
            </w:r>
          </w:p>
        </w:tc>
      </w:tr>
      <w:tr>
        <w:trPr>
          <w:trHeight w:val="100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or sale is</w:t>
            </w:r>
          </w:p>
        </w:tc>
      </w:tr>
      <w:tr>
        <w:trPr>
          <w:trHeight w:val="599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be changed. The selling stockholders may not sell these securities until the registration</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 nor does it seek an offer to buy these securities in any jurisdiction where the</w:t>
            </w:r>
          </w:p>
        </w:tc>
      </w:tr>
      <w:tr>
        <w:trPr>
          <w:trHeight w:val="171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complete and may</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This prospectus is not an</w:t>
            </w:r>
          </w:p>
        </w:tc>
      </w:tr>
      <w:tr>
        <w:trPr>
          <w:trHeight w:val="806"/>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prospectus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is effective.</w:t>
            </w:r>
          </w:p>
        </w:tc>
      </w:tr>
      <w:tr>
        <w:trPr>
          <w:trHeight w:val="158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Exchange Commission</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FC0014"/>
        </w:rPr>
        <w:t>SUBJECT TO COMPLETION, DATED APRIL 10, 2024</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Presto Automation Inc.</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i w:val="1"/>
          <w:iCs w:val="1"/>
          <w:color w:val="auto"/>
        </w:rPr>
        <w:t>Secondary Offering of</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103,757,492 Shares of Common Stock</w:t>
      </w:r>
    </w:p>
    <w:p>
      <w:pPr>
        <w:spacing w:after="0" w:line="63" w:lineRule="exact"/>
        <w:rPr>
          <w:sz w:val="20"/>
          <w:szCs w:val="20"/>
          <w:color w:val="auto"/>
        </w:rPr>
      </w:pPr>
    </w:p>
    <w:p>
      <w:pPr>
        <w:ind w:right="259" w:firstLine="360"/>
        <w:spacing w:after="0" w:line="260" w:lineRule="auto"/>
        <w:rPr>
          <w:sz w:val="20"/>
          <w:szCs w:val="20"/>
          <w:color w:val="auto"/>
        </w:rPr>
      </w:pPr>
      <w:r>
        <w:rPr>
          <w:rFonts w:ascii="Times New Roman" w:cs="Times New Roman" w:eastAsia="Times New Roman" w:hAnsi="Times New Roman"/>
          <w:sz w:val="13"/>
          <w:szCs w:val="13"/>
          <w:color w:val="auto"/>
        </w:rPr>
        <w:t>This prospectus relates to the resale, from time to time, by the selling stockholders identified in this prospectus (each a “Selling Stockholder” and, collectively, the “Selling Stockholders”) of up to 103,757,492 shares of common stock, par value $0.01 per share (the “Common Stock”), of Presto Automation Inc., a Delaware corporation (the “Company,” “we,” “us” or “Presto”), which consist of the following (the “Resale Shares”):</w:t>
      </w:r>
    </w:p>
    <w:p>
      <w:pPr>
        <w:spacing w:after="0" w:line="189" w:lineRule="exact"/>
        <w:rPr>
          <w:sz w:val="20"/>
          <w:szCs w:val="20"/>
          <w:color w:val="auto"/>
        </w:rPr>
      </w:pPr>
    </w:p>
    <w:p>
      <w:pPr>
        <w:ind w:left="720" w:right="179" w:hanging="356"/>
        <w:spacing w:after="0" w:line="297"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36,000,000 shares of Common Stock issuable upon the conversion of the Company’s subordinated notes (the “January 2024 Notes”) issued pursuant to securities purchase agreements, dated January 30, 2024, between us and the buyers thereto;</w:t>
      </w:r>
    </w:p>
    <w:p>
      <w:pPr>
        <w:spacing w:after="0" w:line="21" w:lineRule="exact"/>
        <w:rPr>
          <w:rFonts w:ascii="Times New Roman" w:cs="Times New Roman" w:eastAsia="Times New Roman" w:hAnsi="Times New Roman"/>
          <w:sz w:val="13"/>
          <w:szCs w:val="13"/>
          <w:color w:val="auto"/>
        </w:rPr>
      </w:pPr>
    </w:p>
    <w:p>
      <w:pPr>
        <w:ind w:left="720" w:right="479" w:hanging="356"/>
        <w:spacing w:after="0" w:line="297"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10,799,549 shares of Common Stock that may become issuable upon conversion of capitalized pay-in-kind interest (“PIK Interest”) that may accrue through the maturity date of the January 2024 Notes;</w:t>
      </w:r>
    </w:p>
    <w:p>
      <w:pPr>
        <w:spacing w:after="0" w:line="21" w:lineRule="exact"/>
        <w:rPr>
          <w:rFonts w:ascii="Times New Roman" w:cs="Times New Roman" w:eastAsia="Times New Roman" w:hAnsi="Times New Roman"/>
          <w:sz w:val="13"/>
          <w:szCs w:val="13"/>
          <w:color w:val="auto"/>
        </w:rPr>
      </w:pPr>
    </w:p>
    <w:p>
      <w:pPr>
        <w:ind w:left="720" w:right="479" w:hanging="356"/>
        <w:spacing w:after="0" w:line="297"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3,840,000 shares of Common Stock issuable upon the conversion of the Company’s subordinated convertible note (the “Remus Note”) issued to Remus Capital Series B II, L.P. on March 1, 2024;</w:t>
      </w:r>
    </w:p>
    <w:p>
      <w:pPr>
        <w:spacing w:after="0" w:line="8" w:lineRule="exact"/>
        <w:rPr>
          <w:rFonts w:ascii="Times New Roman" w:cs="Times New Roman" w:eastAsia="Times New Roman" w:hAnsi="Times New Roman"/>
          <w:sz w:val="13"/>
          <w:szCs w:val="13"/>
          <w:color w:val="auto"/>
        </w:rPr>
      </w:pPr>
    </w:p>
    <w:p>
      <w:pPr>
        <w:ind w:left="720" w:right="399" w:hanging="356"/>
        <w:spacing w:after="0" w:line="297"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 to 1,100,665 shares of Common Stock that may become issuable upon conversion of capitalized PIK Interest that may accrue through the maturity date of the Remus Note;</w:t>
      </w:r>
    </w:p>
    <w:p>
      <w:pPr>
        <w:spacing w:after="0" w:line="21" w:lineRule="exact"/>
        <w:rPr>
          <w:rFonts w:ascii="Times New Roman" w:cs="Times New Roman" w:eastAsia="Times New Roman" w:hAnsi="Times New Roman"/>
          <w:sz w:val="13"/>
          <w:szCs w:val="13"/>
          <w:color w:val="auto"/>
        </w:rPr>
      </w:pPr>
    </w:p>
    <w:p>
      <w:pPr>
        <w:ind w:left="720" w:right="99" w:hanging="356"/>
        <w:spacing w:after="0" w:line="262"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8,517,278 shares of Common Stock issuable upon the exercise of warrants, with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of the conversion of interest into principal and in respect of amendments to the Credit Agreement, including shares to be issued pursuant to the anti-dilution adjustment provisions in such warrants (the “Fifth Amendment Warrants”);</w:t>
      </w:r>
    </w:p>
    <w:p>
      <w:pPr>
        <w:spacing w:after="0" w:line="45" w:lineRule="exact"/>
        <w:rPr>
          <w:rFonts w:ascii="Times New Roman" w:cs="Times New Roman" w:eastAsia="Times New Roman" w:hAnsi="Times New Roman"/>
          <w:sz w:val="13"/>
          <w:szCs w:val="13"/>
          <w:color w:val="auto"/>
        </w:rPr>
      </w:pPr>
    </w:p>
    <w:p>
      <w:pPr>
        <w:ind w:left="720" w:right="599" w:hanging="356"/>
        <w:spacing w:after="0" w:line="278"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21,000,000 shares of Common Stock issuable upon the exercise of warrants, with an exercise price of $0.01 per share, issued pursuant to the anti-dilution adjustment provisions in such warrants (together with the Fifth Amendment Warrants, the “Met Warrants”);</w:t>
      </w:r>
    </w:p>
    <w:p>
      <w:pPr>
        <w:spacing w:after="0" w:line="34" w:lineRule="exact"/>
        <w:rPr>
          <w:rFonts w:ascii="Times New Roman" w:cs="Times New Roman" w:eastAsia="Times New Roman" w:hAnsi="Times New Roman"/>
          <w:sz w:val="13"/>
          <w:szCs w:val="13"/>
          <w:color w:val="auto"/>
        </w:rPr>
      </w:pPr>
    </w:p>
    <w:p>
      <w:pPr>
        <w:ind w:left="720" w:right="499" w:hanging="356"/>
        <w:spacing w:after="0" w:line="297"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10,500,000 shares of Common Stock that were issued or will be issued pursuant to the anti-dilution provisions in the securities purchase agreement, dated as of October 10, 2023, between us and Presto CA LLC (the “CA Purchase Agreement”); and</w:t>
      </w:r>
    </w:p>
    <w:p>
      <w:pPr>
        <w:spacing w:after="0" w:line="21" w:lineRule="exact"/>
        <w:rPr>
          <w:rFonts w:ascii="Times New Roman" w:cs="Times New Roman" w:eastAsia="Times New Roman" w:hAnsi="Times New Roman"/>
          <w:sz w:val="13"/>
          <w:szCs w:val="13"/>
          <w:color w:val="auto"/>
        </w:rPr>
      </w:pPr>
    </w:p>
    <w:p>
      <w:pPr>
        <w:ind w:left="720" w:right="219" w:hanging="356"/>
        <w:spacing w:after="0" w:line="277" w:lineRule="auto"/>
        <w:tabs>
          <w:tab w:leader="none" w:pos="7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12,000,000 shares of Common Stock that were issued or will be issued pursuant to the anti-dilution provisions in the common stock purchase agreements, dated as of November 17, 2023, between us and the purchasers thereto (the “November 2023 Purchase Agreements”).</w:t>
      </w:r>
    </w:p>
    <w:p>
      <w:pPr>
        <w:spacing w:after="0" w:line="208" w:lineRule="exact"/>
        <w:rPr>
          <w:sz w:val="20"/>
          <w:szCs w:val="20"/>
          <w:color w:val="auto"/>
        </w:rPr>
      </w:pPr>
    </w:p>
    <w:p>
      <w:pPr>
        <w:ind w:right="119" w:firstLine="360"/>
        <w:spacing w:after="0" w:line="247" w:lineRule="auto"/>
        <w:rPr>
          <w:sz w:val="20"/>
          <w:szCs w:val="20"/>
          <w:color w:val="auto"/>
        </w:rPr>
      </w:pPr>
      <w:r>
        <w:rPr>
          <w:rFonts w:ascii="Times New Roman" w:cs="Times New Roman" w:eastAsia="Times New Roman" w:hAnsi="Times New Roman"/>
          <w:sz w:val="13"/>
          <w:szCs w:val="13"/>
          <w:color w:val="auto"/>
        </w:rPr>
        <w:t>Pursuant to Nasdaq Listing Rule 5635(d), the total number of shares of Common Stock that can be issued upon conversion of the January 2024 Notes, upon exercise of the Fifth Amendment Warrants and the Met Warrants, pursuant to the anti -dilution provisions in the CA Purchase Agreement and in the November 2023 Purchase Agreements, are limited to 19.99% of the outstanding shares of the Company at the time of the closing of the offerings, as applicable, absent shareholder approval. On February 26, 2024, the Company held a special meeting of stockholders and the stockholders approved, among other things, the issuance of the Anti -Dilution Shares triggered by our offering of subordinated notes that closed on February 2, 2024 (the “January Offering”) in excess of 19.99% of the Company’s outstanding Common Stock (the “January Anti-Dilution Shares”). The January Anti-Dilution Shares were subsequently issued to the applicable holders. Further, the Company plans to hold an additional special meeting of stockholders (the “Special Meeting”) and to file a preliminary proxy statement for the Special Meeting to, among other things, approve the issuance of the anti-dilution shares triggered by our registered direct offering of shares of Common Stock that closed on March 4, 2024 (the “March Offering”) in excess of 19.99% of the Company’s outstanding Common Stock (the “March Anti-Dilution Shares”). As of the date of this filing, none of the 9,000,000 March Anti-Dilution Shares have been issued, and the March Anti-Dilution Shares will be issued subsequent to the approval of the proposals at the Special Meeting. Assuming the proposals are approved at the Special Meeting, we are registering for resale the total number of shares issuable under the Met Warrants and pursuant to the anti-dilution provisions in the CA Purchase Agreement and in the November 2023 Purchase Agreements.</w:t>
      </w:r>
    </w:p>
    <w:p>
      <w:pPr>
        <w:spacing w:after="0" w:line="214" w:lineRule="exact"/>
        <w:rPr>
          <w:sz w:val="20"/>
          <w:szCs w:val="20"/>
          <w:color w:val="auto"/>
        </w:rPr>
      </w:pPr>
    </w:p>
    <w:p>
      <w:pPr>
        <w:jc w:val="both"/>
        <w:ind w:right="259" w:firstLine="360"/>
        <w:spacing w:after="0" w:line="258" w:lineRule="auto"/>
        <w:rPr>
          <w:sz w:val="20"/>
          <w:szCs w:val="20"/>
          <w:color w:val="auto"/>
        </w:rPr>
      </w:pPr>
      <w:r>
        <w:rPr>
          <w:rFonts w:ascii="Times New Roman" w:cs="Times New Roman" w:eastAsia="Times New Roman" w:hAnsi="Times New Roman"/>
          <w:sz w:val="13"/>
          <w:szCs w:val="13"/>
          <w:color w:val="auto"/>
        </w:rPr>
        <w:t>This prospectus provides you with a general description of such securities and the general manner in which the Selling Stockholders may offer or sell the securities. More specific terms of any securities that the Selling Stockholders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32" w:lineRule="exact"/>
        <w:rPr>
          <w:sz w:val="20"/>
          <w:szCs w:val="20"/>
          <w:color w:val="auto"/>
        </w:rPr>
      </w:pPr>
    </w:p>
    <w:p>
      <w:pPr>
        <w:ind w:right="139" w:firstLine="360"/>
        <w:spacing w:after="0" w:line="258" w:lineRule="auto"/>
        <w:rPr>
          <w:sz w:val="20"/>
          <w:szCs w:val="20"/>
          <w:color w:val="auto"/>
        </w:rPr>
      </w:pPr>
      <w:r>
        <w:rPr>
          <w:rFonts w:ascii="Times New Roman" w:cs="Times New Roman" w:eastAsia="Times New Roman" w:hAnsi="Times New Roman"/>
          <w:sz w:val="13"/>
          <w:szCs w:val="13"/>
          <w:color w:val="auto"/>
        </w:rPr>
        <w:t>We are not selling any shares of Common Stock under this prospectus and will not receive any proceeds from the sale by the Selling Stockholders of the Resale Shares. However, we will pay the expenses, other than underwriting discounts and commissions, associated with the sale of securities by the Selling Stockholders pursuant to this prospectus. We will receive the proceeds from any exercise of warrants for cash, but will not receive any proceeds as a result of the cashless exercise of warrants, to the extent permitted.</w:t>
      </w:r>
    </w:p>
    <w:p>
      <w:pPr>
        <w:spacing w:after="0" w:line="46" w:lineRule="exact"/>
        <w:rPr>
          <w:sz w:val="20"/>
          <w:szCs w:val="20"/>
          <w:color w:val="auto"/>
        </w:rPr>
      </w:pPr>
    </w:p>
    <w:p>
      <w:pPr>
        <w:ind w:right="179" w:firstLine="360"/>
        <w:spacing w:after="0" w:line="258" w:lineRule="auto"/>
        <w:rPr>
          <w:sz w:val="20"/>
          <w:szCs w:val="20"/>
          <w:color w:val="auto"/>
        </w:rPr>
      </w:pPr>
      <w:r>
        <w:rPr>
          <w:rFonts w:ascii="Times New Roman" w:cs="Times New Roman" w:eastAsia="Times New Roman" w:hAnsi="Times New Roman"/>
          <w:sz w:val="13"/>
          <w:szCs w:val="13"/>
          <w:color w:val="auto"/>
        </w:rPr>
        <w:t>Our registration of the securities covered by this prospectus does not mean that the Selling Stockholders will issue, offer or sell, as applicable, any of the securities. The Selling Stockholders may offer and sell the securities covered by this prospectus in a number of different ways and at varying prices. We provide more information about how the Selling Stockholders may sell the securities in the section entitled “</w:t>
      </w:r>
      <w:r>
        <w:rPr>
          <w:rFonts w:ascii="Times New Roman" w:cs="Times New Roman" w:eastAsia="Times New Roman" w:hAnsi="Times New Roman"/>
          <w:sz w:val="13"/>
          <w:szCs w:val="13"/>
          <w:i w:val="1"/>
          <w:iCs w:val="1"/>
          <w:color w:val="auto"/>
        </w:rPr>
        <w:t>Plan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of Distribution</w:t>
      </w:r>
      <w:r>
        <w:rPr>
          <w:rFonts w:ascii="Times New Roman" w:cs="Times New Roman" w:eastAsia="Times New Roman" w:hAnsi="Times New Roman"/>
          <w:sz w:val="13"/>
          <w:szCs w:val="13"/>
          <w:color w:val="auto"/>
        </w:rPr>
        <w:t>.” You should read this prospectus and any prospectus supplement or amendment carefully before you invest in our securities.</w:t>
      </w:r>
    </w:p>
    <w:p>
      <w:pPr>
        <w:spacing w:after="0" w:line="46" w:lineRule="exact"/>
        <w:rPr>
          <w:sz w:val="20"/>
          <w:szCs w:val="20"/>
          <w:color w:val="auto"/>
        </w:rPr>
      </w:pPr>
    </w:p>
    <w:p>
      <w:pPr>
        <w:ind w:right="159" w:firstLine="360"/>
        <w:spacing w:after="0" w:line="256" w:lineRule="auto"/>
        <w:rPr>
          <w:sz w:val="20"/>
          <w:szCs w:val="20"/>
          <w:color w:val="auto"/>
        </w:rPr>
      </w:pPr>
      <w:r>
        <w:rPr>
          <w:rFonts w:ascii="Times New Roman" w:cs="Times New Roman" w:eastAsia="Times New Roman" w:hAnsi="Times New Roman"/>
          <w:sz w:val="13"/>
          <w:szCs w:val="13"/>
          <w:color w:val="auto"/>
        </w:rPr>
        <w:t>Our shares of Common Stock are listed on the Nasdaq Global Market under the symbol “PRST.” On April 9, 2024, the closing sale price of our Common Stock was $ 0.18. Our warrants are listed on the Nasdaq Global Market under the symbol “PRSTW.” On April 9, 2024, the closing sale price of our warrants was $0.02.</w:t>
      </w:r>
    </w:p>
    <w:p>
      <w:pPr>
        <w:spacing w:after="0" w:line="48" w:lineRule="exact"/>
        <w:rPr>
          <w:sz w:val="20"/>
          <w:szCs w:val="20"/>
          <w:color w:val="auto"/>
        </w:rPr>
      </w:pPr>
    </w:p>
    <w:p>
      <w:pPr>
        <w:ind w:right="359" w:firstLine="360"/>
        <w:spacing w:after="0" w:line="256" w:lineRule="auto"/>
        <w:rPr>
          <w:sz w:val="20"/>
          <w:szCs w:val="20"/>
          <w:color w:val="auto"/>
        </w:rPr>
      </w:pPr>
      <w:r>
        <w:rPr>
          <w:rFonts w:ascii="Times New Roman" w:cs="Times New Roman" w:eastAsia="Times New Roman" w:hAnsi="Times New Roman"/>
          <w:sz w:val="13"/>
          <w:szCs w:val="13"/>
          <w:color w:val="auto"/>
        </w:rPr>
        <w:t>The sale of all of the securities registered for resale hereunder, or the perception that such sales may occur, may cause the market prices of our securities to decline significantly. See “</w:t>
      </w:r>
      <w:r>
        <w:rPr>
          <w:rFonts w:ascii="Times New Roman" w:cs="Times New Roman" w:eastAsia="Times New Roman" w:hAnsi="Times New Roman"/>
          <w:sz w:val="13"/>
          <w:szCs w:val="13"/>
          <w:i w:val="1"/>
          <w:iCs w:val="1"/>
          <w:color w:val="auto"/>
        </w:rPr>
        <w:t>Risk Factors — Risks Relating to Our Common Stock and Warrants</w:t>
      </w:r>
      <w:r>
        <w:rPr>
          <w:rFonts w:ascii="Times New Roman" w:cs="Times New Roman" w:eastAsia="Times New Roman" w:hAnsi="Times New Roman"/>
          <w:sz w:val="13"/>
          <w:szCs w:val="13"/>
          <w:color w:val="auto"/>
        </w:rPr>
        <w:t>” in our Annual Report on Form 10-K for the fiscal year ended June 30, 2023 for more information.</w:t>
      </w:r>
    </w:p>
    <w:p>
      <w:pPr>
        <w:spacing w:after="0" w:line="44" w:lineRule="exact"/>
        <w:rPr>
          <w:sz w:val="20"/>
          <w:szCs w:val="20"/>
          <w:color w:val="auto"/>
        </w:rPr>
      </w:pPr>
    </w:p>
    <w:p>
      <w:pPr>
        <w:ind w:right="459" w:firstLine="360"/>
        <w:spacing w:after="0" w:line="281" w:lineRule="auto"/>
        <w:rPr>
          <w:sz w:val="20"/>
          <w:szCs w:val="20"/>
          <w:color w:val="auto"/>
        </w:rPr>
      </w:pPr>
      <w:r>
        <w:rPr>
          <w:rFonts w:ascii="Times New Roman" w:cs="Times New Roman" w:eastAsia="Times New Roman" w:hAnsi="Times New Roman"/>
          <w:sz w:val="13"/>
          <w:szCs w:val="13"/>
          <w:b w:val="1"/>
          <w:bCs w:val="1"/>
          <w:color w:val="auto"/>
        </w:rPr>
        <w:t>Investing in our securities involves risks that are described in the “</w:t>
      </w:r>
      <w:r>
        <w:rPr>
          <w:rFonts w:ascii="Times New Roman" w:cs="Times New Roman" w:eastAsia="Times New Roman" w:hAnsi="Times New Roman"/>
          <w:sz w:val="13"/>
          <w:szCs w:val="13"/>
          <w:b w:val="1"/>
          <w:bCs w:val="1"/>
          <w:i w:val="1"/>
          <w:iCs w:val="1"/>
          <w:color w:val="auto"/>
        </w:rPr>
        <w:t>Risk Factors</w:t>
      </w:r>
      <w:r>
        <w:rPr>
          <w:rFonts w:ascii="Times New Roman" w:cs="Times New Roman" w:eastAsia="Times New Roman" w:hAnsi="Times New Roman"/>
          <w:sz w:val="13"/>
          <w:szCs w:val="13"/>
          <w:b w:val="1"/>
          <w:bCs w:val="1"/>
          <w:color w:val="auto"/>
        </w:rPr>
        <w:t xml:space="preserve">” section beginning on page </w:t>
      </w:r>
      <w:r>
        <w:rPr>
          <w:rFonts w:ascii="Times New Roman" w:cs="Times New Roman" w:eastAsia="Times New Roman" w:hAnsi="Times New Roman"/>
          <w:sz w:val="13"/>
          <w:szCs w:val="13"/>
          <w:b w:val="1"/>
          <w:bCs w:val="1"/>
          <w:u w:val="single" w:color="auto"/>
          <w:color w:val="0000EE"/>
        </w:rPr>
        <w:t>5</w:t>
      </w:r>
      <w:r>
        <w:rPr>
          <w:rFonts w:ascii="Times New Roman" w:cs="Times New Roman" w:eastAsia="Times New Roman" w:hAnsi="Times New Roman"/>
          <w:sz w:val="13"/>
          <w:szCs w:val="13"/>
          <w:b w:val="1"/>
          <w:bCs w:val="1"/>
          <w:color w:val="auto"/>
        </w:rPr>
        <w:t xml:space="preserve"> of this prospectus and similar sections contained in the documents incorporated by reference into this prospectus.</w:t>
      </w:r>
    </w:p>
    <w:p>
      <w:pPr>
        <w:spacing w:after="0" w:line="30" w:lineRule="exact"/>
        <w:rPr>
          <w:sz w:val="20"/>
          <w:szCs w:val="20"/>
          <w:color w:val="auto"/>
        </w:rPr>
      </w:pPr>
    </w:p>
    <w:p>
      <w:pPr>
        <w:ind w:right="579" w:firstLine="360"/>
        <w:spacing w:after="0" w:line="278" w:lineRule="auto"/>
        <w:rPr>
          <w:sz w:val="20"/>
          <w:szCs w:val="20"/>
          <w:color w:val="auto"/>
        </w:rPr>
      </w:pPr>
      <w:r>
        <w:rPr>
          <w:rFonts w:ascii="Times New Roman" w:cs="Times New Roman" w:eastAsia="Times New Roman" w:hAnsi="Times New Roman"/>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2" w:lineRule="exact"/>
        <w:rPr>
          <w:sz w:val="20"/>
          <w:szCs w:val="20"/>
          <w:color w:val="auto"/>
        </w:rPr>
      </w:pPr>
    </w:p>
    <w:p>
      <w:pPr>
        <w:sectPr>
          <w:pgSz w:w="11900" w:h="16838" w:orient="portrait"/>
          <w:cols w:equalWidth="0" w:num="2">
            <w:col w:w="1220" w:space="360"/>
            <w:col w:w="8299"/>
          </w:cols>
          <w:pgMar w:left="580" w:top="97" w:right="1440" w:bottom="1440" w:gutter="0" w:footer="0" w:header="0"/>
        </w:sectPr>
      </w:pPr>
    </w:p>
    <w:p>
      <w:pPr>
        <w:ind w:left="4460"/>
        <w:spacing w:after="0"/>
        <w:rPr>
          <w:sz w:val="20"/>
          <w:szCs w:val="20"/>
          <w:color w:val="auto"/>
        </w:rPr>
      </w:pPr>
      <w:r>
        <w:rPr>
          <w:rFonts w:ascii="Times New Roman" w:cs="Times New Roman" w:eastAsia="Times New Roman" w:hAnsi="Times New Roman"/>
          <w:sz w:val="12"/>
          <w:szCs w:val="12"/>
          <w:b w:val="1"/>
          <w:bCs w:val="1"/>
          <w:color w:val="auto"/>
        </w:rPr>
        <w:t>The date of this prospectus is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259715</wp:posOffset>
            </wp:positionV>
            <wp:extent cx="68065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gridSpan w:val="2"/>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6540" w:type="dxa"/>
            <w:vAlign w:val="bottom"/>
            <w:gridSpan w:val="1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color w:val="0000EE"/>
              </w:rPr>
              <w:t>ABOUT THIS PROSPECTUS</w:t>
            </w:r>
          </w:p>
        </w:tc>
        <w:tc>
          <w:tcPr>
            <w:tcW w:w="16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000EE"/>
              </w:rPr>
              <w:t>1</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0000EE"/>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4240" w:type="dxa"/>
            <w:vAlign w:val="bottom"/>
            <w:tcBorders>
              <w:top w:val="single" w:sz="8" w:color="CCEEFF"/>
            </w:tcBorders>
            <w:gridSpan w:val="4"/>
          </w:tcPr>
          <w:p>
            <w:pPr>
              <w:spacing w:after="0"/>
              <w:rPr>
                <w:sz w:val="17"/>
                <w:szCs w:val="17"/>
                <w:color w:val="auto"/>
              </w:rPr>
            </w:pPr>
          </w:p>
        </w:tc>
        <w:tc>
          <w:tcPr>
            <w:tcW w:w="1580" w:type="dxa"/>
            <w:vAlign w:val="bottom"/>
            <w:tcBorders>
              <w:top w:val="single" w:sz="8" w:color="CCEEFF"/>
            </w:tcBorders>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7"/>
                <w:szCs w:val="17"/>
                <w:color w:val="0000EE"/>
                <w:w w:val="70"/>
              </w:rPr>
              <w:t>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80" w:type="dxa"/>
            <w:vAlign w:val="bottom"/>
            <w:gridSpan w:val="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540" w:type="dxa"/>
            <w:vAlign w:val="bottom"/>
            <w:tcBorders>
              <w:bottom w:val="single" w:sz="8" w:color="CCEEFF"/>
            </w:tcBorders>
            <w:gridSpan w:val="12"/>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SUMMARY OF THE PROSPECTUS</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gridSpan w:val="9"/>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300" w:type="dxa"/>
            <w:vAlign w:val="bottom"/>
            <w:tcBorders>
              <w:bottom w:val="single" w:sz="8" w:color="CCEEFF"/>
            </w:tcBorders>
            <w:gridSpan w:val="3"/>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00" w:type="dxa"/>
            <w:vAlign w:val="bottom"/>
            <w:tcBorders>
              <w:bottom w:val="single" w:sz="8" w:color="CCEEFF"/>
            </w:tcBorders>
            <w:shd w:val="clear" w:color="auto" w:fill="CCEEFF"/>
          </w:tcPr>
          <w:p>
            <w:pPr>
              <w:spacing w:after="0"/>
              <w:rPr>
                <w:sz w:val="2"/>
                <w:szCs w:val="2"/>
                <w:color w:val="auto"/>
              </w:rPr>
            </w:pPr>
          </w:p>
        </w:tc>
        <w:tc>
          <w:tcPr>
            <w:tcW w:w="140" w:type="dxa"/>
            <w:vAlign w:val="bottom"/>
            <w:tcBorders>
              <w:bottom w:val="single" w:sz="8" w:color="CCEEFF"/>
            </w:tcBorders>
            <w:shd w:val="clear" w:color="auto" w:fill="CCEEFF"/>
          </w:tcPr>
          <w:p>
            <w:pPr>
              <w:spacing w:after="0"/>
              <w:rPr>
                <w:sz w:val="2"/>
                <w:szCs w:val="2"/>
                <w:color w:val="auto"/>
              </w:rPr>
            </w:pPr>
          </w:p>
        </w:tc>
        <w:tc>
          <w:tcPr>
            <w:tcW w:w="480" w:type="dxa"/>
            <w:vAlign w:val="bottom"/>
            <w:tcBorders>
              <w:bottom w:val="single" w:sz="8" w:color="CCEEFF"/>
            </w:tcBorders>
            <w:shd w:val="clear" w:color="auto" w:fill="CCEEFF"/>
          </w:tcPr>
          <w:p>
            <w:pPr>
              <w:spacing w:after="0"/>
              <w:rPr>
                <w:sz w:val="2"/>
                <w:szCs w:val="2"/>
                <w:color w:val="auto"/>
              </w:rPr>
            </w:pPr>
          </w:p>
        </w:tc>
        <w:tc>
          <w:tcPr>
            <w:tcW w:w="160" w:type="dxa"/>
            <w:vAlign w:val="bottom"/>
            <w:tcBorders>
              <w:bottom w:val="single" w:sz="8" w:color="CCEEFF"/>
            </w:tcBorders>
            <w:shd w:val="clear" w:color="auto" w:fill="CCEEFF"/>
          </w:tcPr>
          <w:p>
            <w:pPr>
              <w:spacing w:after="0"/>
              <w:rPr>
                <w:sz w:val="2"/>
                <w:szCs w:val="2"/>
                <w:color w:val="auto"/>
              </w:rPr>
            </w:pPr>
          </w:p>
        </w:tc>
        <w:tc>
          <w:tcPr>
            <w:tcW w:w="760" w:type="dxa"/>
            <w:vAlign w:val="bottom"/>
            <w:tcBorders>
              <w:bottom w:val="single" w:sz="8" w:color="CCEEFF"/>
            </w:tcBorders>
            <w:gridSpan w:val="3"/>
            <w:shd w:val="clear" w:color="auto" w:fill="CCEEFF"/>
          </w:tcPr>
          <w:p>
            <w:pPr>
              <w:spacing w:after="0"/>
              <w:rPr>
                <w:sz w:val="2"/>
                <w:szCs w:val="2"/>
                <w:color w:val="auto"/>
              </w:rPr>
            </w:pPr>
          </w:p>
        </w:tc>
        <w:tc>
          <w:tcPr>
            <w:tcW w:w="900" w:type="dxa"/>
            <w:vAlign w:val="bottom"/>
            <w:tcBorders>
              <w:bottom w:val="single" w:sz="8" w:color="CCEEFF"/>
            </w:tcBorders>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40" w:type="dxa"/>
            <w:vAlign w:val="bottom"/>
            <w:gridSpan w:val="5"/>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COMMON STOCK</w:t>
            </w:r>
          </w:p>
        </w:tc>
        <w:tc>
          <w:tcPr>
            <w:tcW w:w="158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w w:val="70"/>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3040" w:type="dxa"/>
            <w:vAlign w:val="bottom"/>
            <w:tcBorders>
              <w:bottom w:val="single" w:sz="8" w:color="CCEEFF"/>
            </w:tcBorders>
            <w:gridSpan w:val="10"/>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900" w:type="dxa"/>
            <w:vAlign w:val="bottom"/>
            <w:tcBorders>
              <w:bottom w:val="single" w:sz="8" w:color="CCEEFF"/>
            </w:tcBorders>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580" w:type="dxa"/>
            <w:vAlign w:val="bottom"/>
            <w:tcBorders>
              <w:bottom w:val="single" w:sz="8" w:color="CCEEFF"/>
            </w:tcBorders>
            <w:gridSpan w:val="2"/>
            <w:vMerge w:val="continue"/>
            <w:shd w:val="clear" w:color="auto" w:fill="CCEEFF"/>
          </w:tcPr>
          <w:p>
            <w:pPr>
              <w:spacing w:after="0"/>
              <w:rPr>
                <w:sz w:val="2"/>
                <w:szCs w:val="2"/>
                <w:color w:val="auto"/>
              </w:rPr>
            </w:pP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SELLING STOCKHOLDERS</w:t>
            </w:r>
          </w:p>
        </w:tc>
        <w:tc>
          <w:tcPr>
            <w:tcW w:w="15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0000EE"/>
                <w:w w:val="70"/>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gridSpan w:val="7"/>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660" w:type="dxa"/>
            <w:vAlign w:val="bottom"/>
            <w:gridSpan w:val="4"/>
          </w:tcPr>
          <w:p>
            <w:pPr>
              <w:spacing w:after="0"/>
              <w:rPr>
                <w:sz w:val="2"/>
                <w:szCs w:val="2"/>
                <w:color w:val="auto"/>
              </w:rPr>
            </w:pPr>
          </w:p>
        </w:tc>
        <w:tc>
          <w:tcPr>
            <w:tcW w:w="26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120" w:type="dxa"/>
            <w:vAlign w:val="bottom"/>
            <w:tcBorders>
              <w:bottom w:val="single" w:sz="8" w:color="CCEEFF"/>
            </w:tcBorders>
            <w:gridSpan w:val="6"/>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1820" w:type="dxa"/>
            <w:vAlign w:val="bottom"/>
            <w:tcBorders>
              <w:bottom w:val="single" w:sz="8" w:color="CCEEFF"/>
            </w:tcBorders>
            <w:gridSpan w:val="5"/>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500" w:type="dxa"/>
            <w:vAlign w:val="bottom"/>
            <w:gridSpan w:val="4"/>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440" w:type="dxa"/>
            <w:vAlign w:val="bottom"/>
            <w:gridSpan w:val="7"/>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00" w:type="dxa"/>
            <w:vAlign w:val="bottom"/>
            <w:tcBorders>
              <w:bottom w:val="single" w:sz="8" w:color="CCEEFF"/>
            </w:tcBorders>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3140" w:type="dxa"/>
            <w:vAlign w:val="bottom"/>
            <w:tcBorders>
              <w:bottom w:val="single" w:sz="8" w:color="CCEEFF"/>
            </w:tcBorders>
            <w:gridSpan w:val="10"/>
            <w:shd w:val="clear" w:color="auto" w:fill="CCEEFF"/>
          </w:tcPr>
          <w:p>
            <w:pPr>
              <w:spacing w:after="0"/>
              <w:rPr>
                <w:sz w:val="2"/>
                <w:szCs w:val="2"/>
                <w:color w:val="auto"/>
              </w:rPr>
            </w:pPr>
          </w:p>
        </w:tc>
        <w:tc>
          <w:tcPr>
            <w:tcW w:w="2600" w:type="dxa"/>
            <w:vAlign w:val="bottom"/>
            <w:tcBorders>
              <w:bottom w:val="single" w:sz="8" w:color="CCEEFF"/>
            </w:tcBorders>
            <w:shd w:val="clear" w:color="auto" w:fill="CCEEFF"/>
          </w:tcPr>
          <w:p>
            <w:pPr>
              <w:spacing w:after="0"/>
              <w:rPr>
                <w:sz w:val="2"/>
                <w:szCs w:val="2"/>
                <w:color w:val="auto"/>
              </w:rPr>
            </w:pPr>
          </w:p>
        </w:tc>
        <w:tc>
          <w:tcPr>
            <w:tcW w:w="1480" w:type="dxa"/>
            <w:vAlign w:val="bottom"/>
            <w:tcBorders>
              <w:bottom w:val="single" w:sz="8" w:color="CCEEFF"/>
            </w:tcBorders>
            <w:shd w:val="clear" w:color="auto" w:fill="CCEEFF"/>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tcBorders>
              <w:bottom w:val="single" w:sz="8" w:color="CCEEFF"/>
            </w:tcBorders>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tcBorders>
              <w:bottom w:val="single" w:sz="8" w:color="CCEEFF"/>
            </w:tcBorders>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216"/>
        </w:trPr>
        <w:tc>
          <w:tcPr>
            <w:tcW w:w="65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gridSpan w:val="11"/>
            <w:shd w:val="clear" w:color="auto" w:fill="0000EE"/>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2600" w:type="dxa"/>
            <w:vAlign w:val="bottom"/>
          </w:tcPr>
          <w:p>
            <w:pPr>
              <w:spacing w:after="0"/>
              <w:rPr>
                <w:sz w:val="2"/>
                <w:szCs w:val="2"/>
                <w:color w:val="auto"/>
              </w:rPr>
            </w:pPr>
          </w:p>
        </w:tc>
        <w:tc>
          <w:tcPr>
            <w:tcW w:w="1480" w:type="dxa"/>
            <w:vAlign w:val="bottom"/>
          </w:tcPr>
          <w:p>
            <w:pPr>
              <w:ind w:left="1320"/>
              <w:spacing w:after="0" w:line="7" w:lineRule="exact"/>
              <w:rPr>
                <w:sz w:val="20"/>
                <w:szCs w:val="20"/>
                <w:color w:val="auto"/>
              </w:rPr>
            </w:pPr>
            <w:r>
              <w:rPr>
                <w:rFonts w:ascii="Times New Roman" w:cs="Times New Roman" w:eastAsia="Times New Roman" w:hAnsi="Times New Roman"/>
                <w:sz w:val="1"/>
                <w:szCs w:val="1"/>
                <w:color w:val="auto"/>
              </w:rPr>
              <w:t>​ ​</w:t>
            </w:r>
          </w:p>
        </w:tc>
        <w:tc>
          <w:tcPr>
            <w:tcW w:w="100" w:type="dxa"/>
            <w:vAlign w:val="bottom"/>
            <w:shd w:val="clear" w:color="auto" w:fill="0000EE"/>
          </w:tcPr>
          <w:p>
            <w:pPr>
              <w:jc w:val="right"/>
              <w:ind w:right="54"/>
              <w:spacing w:after="0" w:line="7" w:lineRule="exact"/>
              <w:rPr>
                <w:sz w:val="20"/>
                <w:szCs w:val="20"/>
                <w:color w:val="auto"/>
              </w:rPr>
            </w:pPr>
            <w:r>
              <w:rPr>
                <w:rFonts w:ascii="Times New Roman" w:cs="Times New Roman" w:eastAsia="Times New Roman" w:hAnsi="Times New Roman"/>
                <w:sz w:val="1"/>
                <w:szCs w:val="1"/>
                <w:b w:val="1"/>
                <w:bCs w:val="1"/>
                <w:color w:val="auto"/>
              </w:rPr>
              <w:t>​</w:t>
            </w:r>
          </w:p>
        </w:tc>
        <w:tc>
          <w:tcPr>
            <w:tcW w:w="80" w:type="dxa"/>
            <w:vAlign w:val="bottom"/>
            <w:shd w:val="clear" w:color="auto" w:fill="0000EE"/>
          </w:tcPr>
          <w:p>
            <w:pPr>
              <w:spacing w:after="0"/>
              <w:rPr>
                <w:sz w:val="2"/>
                <w:szCs w:val="2"/>
                <w:color w:val="auto"/>
              </w:rPr>
            </w:pPr>
          </w:p>
        </w:tc>
        <w:tc>
          <w:tcPr>
            <w:tcW w:w="60" w:type="dxa"/>
            <w:vAlign w:val="bottom"/>
            <w:tcBorders>
              <w:left w:val="single" w:sz="8" w:color="0000EE"/>
            </w:tcBorders>
          </w:tcPr>
          <w:p>
            <w:pPr>
              <w:spacing w:after="0" w:line="7"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the Selling Stockholders may, from time to time, issue, offer and sell, as applicable, any combination of the securities described in this prospectus in one or more offerings. The Selling Stockholders may use the shelf registration statement to sell up to an aggregate of up to 103,757,492 shares of Common Stock. More specific terms of any securities that the Selling Stockholders offer and sell may be provided in a prospectus supplement that describes, among other things, the specific amounts and prices of the securities being offered and the terms of the offering.</w:t>
      </w:r>
    </w:p>
    <w:p>
      <w:pPr>
        <w:spacing w:after="0" w:line="12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any information or to make any representations other than those contained in this prospectus, any accompanying prospectus supplement or any free writing prospectus we have prepared. We and the Selling Stockholders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338"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you may obtain copies of those documents as described below.</w:t>
      </w:r>
    </w:p>
    <w:p>
      <w:pPr>
        <w:spacing w:after="0" w:line="337"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 xml:space="preserve">This document and those incorporated by reference herein contain references to trademarks and service marks belonging to other entities. Solely for convenience, trademarks and trade names referred to in this prospectus and the information incorporated by reference herein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20"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323"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162"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spacing w:after="0" w:line="183"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439" w:firstLine="360"/>
        <w:spacing w:after="0" w:line="256" w:lineRule="auto"/>
        <w:rPr>
          <w:sz w:val="20"/>
          <w:szCs w:val="20"/>
          <w:color w:val="auto"/>
        </w:rPr>
      </w:pPr>
      <w:r>
        <w:rPr>
          <w:rFonts w:ascii="Times New Roman" w:cs="Times New Roman" w:eastAsia="Times New Roman" w:hAnsi="Times New Roman"/>
          <w:sz w:val="18"/>
          <w:szCs w:val="18"/>
          <w:color w:val="auto"/>
        </w:rPr>
        <w:t>We provide enterprise grade AI and automation solutions to the restaurant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and Hardee’s, Wienerschnitzel and Checkers for Presto Voice and Applebee’s and Chili’s for Presto Touch.</w:t>
      </w:r>
    </w:p>
    <w:p>
      <w:pPr>
        <w:spacing w:after="0" w:line="106" w:lineRule="exact"/>
        <w:rPr>
          <w:sz w:val="20"/>
          <w:szCs w:val="20"/>
          <w:color w:val="auto"/>
        </w:rPr>
      </w:pPr>
    </w:p>
    <w:p>
      <w:pPr>
        <w:ind w:left="1280" w:right="399" w:firstLine="360"/>
        <w:spacing w:after="0" w:line="256"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Presto Voice addresses the pressing needs of drive-thru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spacing w:after="0" w:line="336" w:lineRule="exact"/>
        <w:rPr>
          <w:sz w:val="20"/>
          <w:szCs w:val="20"/>
          <w:color w:val="auto"/>
        </w:rPr>
      </w:pPr>
    </w:p>
    <w:p>
      <w:pPr>
        <w:ind w:left="1280" w:right="599" w:firstLine="360"/>
        <w:spacing w:after="0" w:line="255" w:lineRule="auto"/>
        <w:rPr>
          <w:sz w:val="20"/>
          <w:szCs w:val="20"/>
          <w:color w:val="auto"/>
        </w:rPr>
      </w:pPr>
      <w:r>
        <w:rPr>
          <w:rFonts w:ascii="Times New Roman" w:cs="Times New Roman" w:eastAsia="Times New Roman" w:hAnsi="Times New Roman"/>
          <w:sz w:val="18"/>
          <w:szCs w:val="18"/>
          <w:color w:val="auto"/>
        </w:rPr>
        <w:t>We are considering strategic alternatives related to our Presto Touch solution, which could include either a sale, partial sale or abandonment in the coming months, and allows us to focus our efforts on our Presto Voice solution. Refer to Note 15 in Part I, Item 1, of our Quarterly Report on Form 10-Q for the quarter ended December 31, 2023 for details on a memorandum of understanding (the “MOU”) relating to the Presto Touch solution entered into on January 17, 2024. Since the Touch Business is in the process of being wound down and the parties are in discussions to determine whether the MOU will be amended to effect the sale of the assets of that business.</w:t>
      </w:r>
    </w:p>
    <w:p>
      <w:pPr>
        <w:spacing w:after="0" w:line="121" w:lineRule="exact"/>
        <w:rPr>
          <w:sz w:val="20"/>
          <w:szCs w:val="20"/>
          <w:color w:val="auto"/>
        </w:rPr>
      </w:pPr>
    </w:p>
    <w:p>
      <w:pPr>
        <w:ind w:left="1280" w:right="419" w:firstLine="360"/>
        <w:spacing w:after="0" w:line="254"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8"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48" w:lineRule="exact"/>
        <w:rPr>
          <w:sz w:val="20"/>
          <w:szCs w:val="20"/>
          <w:color w:val="auto"/>
        </w:rPr>
      </w:pPr>
    </w:p>
    <w:p>
      <w:pPr>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our most recent Quarterly Reports on Form 10-Q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We will not receive any of the proceeds from the sale or other disposition of the Resale Shares held by the Selling Stockholders pursuant to this prospectus. We will receive the proceeds from any exercise of warrants for cash, but will not receive any proceeds as a result of the cashless exercise of warrants, to the extent permitted.</w:t>
      </w:r>
    </w:p>
    <w:p>
      <w:pPr>
        <w:spacing w:after="0" w:line="33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Stockholders will pay any underwriting fees, discounts, selling commissions, stock transfer taxes and certain legal expenses incurred by such Selling Stockholders in disposing of their Resale Shares,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162" w:lineRule="exact"/>
        <w:rPr>
          <w:sz w:val="20"/>
          <w:szCs w:val="20"/>
          <w:color w:val="auto"/>
        </w:rPr>
      </w:pPr>
    </w:p>
    <w:p>
      <w:pPr>
        <w:ind w:left="1260" w:right="479" w:firstLine="360"/>
        <w:spacing w:after="0" w:line="261"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A description of our Common Stock is set forth in our registration statement on Form 8-A as originally filed with the SEC on December 23, 2020 and any amendment or report filed for the purpose of updating </w:t>
      </w:r>
      <w:hyperlink r:id="rId21">
        <w:r>
          <w:rPr>
            <w:rFonts w:ascii="Times New Roman" w:cs="Times New Roman" w:eastAsia="Times New Roman" w:hAnsi="Times New Roman"/>
            <w:sz w:val="18"/>
            <w:szCs w:val="18"/>
            <w:color w:val="auto"/>
          </w:rPr>
          <w:t xml:space="preserve">this information (including Exhibit 4.1 to our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June 30, 2023</w:t>
        </w:r>
        <w:r>
          <w:rPr>
            <w:rFonts w:ascii="Times New Roman" w:cs="Times New Roman" w:eastAsia="Times New Roman" w:hAnsi="Times New Roman"/>
            <w:sz w:val="18"/>
            <w:szCs w:val="18"/>
            <w:color w:val="000000"/>
          </w:rPr>
          <w:t>), which description is incorporated by reference herein.</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of up to an aggregate of 103,757,492 shares of Common Stock, which includes:</w:t>
      </w:r>
    </w:p>
    <w:p>
      <w:pPr>
        <w:spacing w:after="0" w:line="95" w:lineRule="exact"/>
        <w:rPr>
          <w:sz w:val="20"/>
          <w:szCs w:val="20"/>
          <w:color w:val="auto"/>
        </w:rPr>
      </w:pPr>
    </w:p>
    <w:p>
      <w:pPr>
        <w:ind w:left="1980" w:right="779" w:hanging="360"/>
        <w:spacing w:after="0" w:line="266"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36,000,000 shares of Common Stock issuable upon the conversion of the January 2024 Notes issued pursuant to securities purchase agreements, dated January 30, 2024, between us and the buyers thereto;</w:t>
      </w:r>
    </w:p>
    <w:p>
      <w:pPr>
        <w:spacing w:after="0" w:line="94" w:lineRule="exact"/>
        <w:rPr>
          <w:rFonts w:ascii="Times New Roman" w:cs="Times New Roman" w:eastAsia="Times New Roman" w:hAnsi="Times New Roman"/>
          <w:sz w:val="18"/>
          <w:szCs w:val="18"/>
          <w:color w:val="auto"/>
        </w:rPr>
      </w:pPr>
    </w:p>
    <w:p>
      <w:pPr>
        <w:ind w:left="1980" w:right="83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10,799,549 shares of Common Stock that may become issuable upon conversion of capitalized PIK Interest that may accrue through the maturity date of the January 2024 Notes;</w:t>
      </w:r>
    </w:p>
    <w:p>
      <w:pPr>
        <w:spacing w:after="0" w:line="80" w:lineRule="exact"/>
        <w:rPr>
          <w:rFonts w:ascii="Times New Roman" w:cs="Times New Roman" w:eastAsia="Times New Roman" w:hAnsi="Times New Roman"/>
          <w:sz w:val="18"/>
          <w:szCs w:val="18"/>
          <w:color w:val="auto"/>
        </w:rPr>
      </w:pPr>
    </w:p>
    <w:p>
      <w:pPr>
        <w:ind w:left="1980" w:right="79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3,840,000 shares of Common Stock issuable upon the conversion of the Remus Note issued to Remus Capital Series B II, L.P. on March 1, 2024;</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1,100,665 shares of Common Stock that may become issuable upon conversion of capitalized PIK Interest that may accrue through the maturity date of the Remus Note;</w:t>
      </w:r>
    </w:p>
    <w:p>
      <w:pPr>
        <w:spacing w:after="0" w:line="80"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29,517,278 shares of Common Stock issuable upon the exercise of warrants by Metropolitan and the Metropolitan Entities, which consist of:</w:t>
      </w:r>
    </w:p>
    <w:p>
      <w:pPr>
        <w:spacing w:after="0" w:line="80" w:lineRule="exact"/>
        <w:rPr>
          <w:rFonts w:ascii="Times New Roman" w:cs="Times New Roman" w:eastAsia="Times New Roman" w:hAnsi="Times New Roman"/>
          <w:sz w:val="18"/>
          <w:szCs w:val="18"/>
          <w:color w:val="auto"/>
        </w:rPr>
      </w:pPr>
    </w:p>
    <w:p>
      <w:pPr>
        <w:ind w:left="2340" w:right="419" w:hanging="360"/>
        <w:spacing w:after="0" w:line="261" w:lineRule="auto"/>
        <w:tabs>
          <w:tab w:leader="none" w:pos="2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8,517,278 shares of Common Stock issuable upon the exercise of warrants, with an exercise price of $0.01 per share, that were issued in consideration of the conversion of interest into principal and in respect of amendments to the Credit Agreement, including shares to be issued pursuant to the anti-dilution adjustment provisions in such warrants; and</w:t>
      </w:r>
    </w:p>
    <w:p>
      <w:pPr>
        <w:spacing w:after="0" w:line="112" w:lineRule="exact"/>
        <w:rPr>
          <w:rFonts w:ascii="Times New Roman" w:cs="Times New Roman" w:eastAsia="Times New Roman" w:hAnsi="Times New Roman"/>
          <w:sz w:val="18"/>
          <w:szCs w:val="18"/>
          <w:color w:val="auto"/>
        </w:rPr>
      </w:pPr>
    </w:p>
    <w:p>
      <w:pPr>
        <w:ind w:left="2340" w:right="499" w:hanging="360"/>
        <w:spacing w:after="0" w:line="266" w:lineRule="auto"/>
        <w:tabs>
          <w:tab w:leader="none" w:pos="23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21,000,000 shares of Common Stock issuable upon the exercise of warrants, with an exercise price of $0.01 per share, issued pursuant to the anti-dilution adjustments provisions in such warrants.</w:t>
      </w:r>
    </w:p>
    <w:p>
      <w:pPr>
        <w:spacing w:after="0" w:line="94"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10,500,000 shares of Common Stock that were issued pursuant to the anti-dilution adjustment provisions in the CA Purchase Agreement; and</w:t>
      </w:r>
    </w:p>
    <w:p>
      <w:pPr>
        <w:spacing w:after="0" w:line="80" w:lineRule="exact"/>
        <w:rPr>
          <w:rFonts w:ascii="Times New Roman" w:cs="Times New Roman" w:eastAsia="Times New Roman" w:hAnsi="Times New Roman"/>
          <w:sz w:val="18"/>
          <w:szCs w:val="18"/>
          <w:color w:val="auto"/>
        </w:rPr>
      </w:pPr>
    </w:p>
    <w:p>
      <w:pPr>
        <w:ind w:left="1980" w:right="819" w:hanging="360"/>
        <w:spacing w:after="0" w:line="282" w:lineRule="auto"/>
        <w:tabs>
          <w:tab w:leader="none" w:pos="1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12,000,000 shares of Common Stock that were issued pursuant to the anti-dilution adjustment provisions in the November 2023 Purchase Agreement.</w:t>
      </w:r>
    </w:p>
    <w:p>
      <w:pPr>
        <w:spacing w:after="0" w:line="27"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Nasdaq Listing Rule 5635(d), the total number of shares of Common Stock that can be issued upon conversion of the January 2024 Notes, upon exercise of the Fifth Amendment Warrants and the Met Warrants, and pursuant to the anti-dilution provisions in the CA Purchase Agreement and in the November 2023 Purchase Agreements, are limited to 19.99% of the outstanding shares of the Company at the time of the closing of the offerings, as applicable, absent shareholder approval. On February 26, 2024, the Company held a special meeting of stockholders and the stockholders approved, among other things, the issuance of the January Anti-Dilution Shares. The January Anti-Dilution Shares were subsequently issued to the applicable holders. Further, the Company plans to hold an additional Special Meeting and to file a preliminary proxy statement for the Special Meeting to, among other things, approve the issuance of the March Anti-Dilution Shares. As of the date of this filing, none of the 9,000,000 March Anti-Dilution Shares have been issued, and the March Anti-Dilution Shares will be issued subsequent to the approval of the proposals at the Special Meeting. Assuming the proposals are approved at the Special Meeting, we are registering for resale the total number of shares issuable under the Met Warrants and pursuant to the anti-dilution provisions in the CA Purchase Agreement and in the November 2023 Purchase Agreements.</w:t>
      </w:r>
    </w:p>
    <w:p>
      <w:pPr>
        <w:spacing w:after="0" w:line="48"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any or all of the shares of Common Stock set forth below pursuant to this prospectus and any accompanying prospectus supplement. When we refer to the “Selling Stockholders” in this prospectus, we mean the persons listed in the table below, and the pledgees, donees, transferees, assignees, successors, designees and others who later come to hold any of the Selling Stockholders’ interest in the Common Stock other than through a public sale. We cannot advise you as to whether the Selling Stockholders will in fact sell any or all of such shares of Common Stock. In addition, the Selling Stockholders may sell, transfer or otherwise dispose of, at any time and from time to time, the shares of Common Stock in transactions exempt from the registration requirements of the Securities Act after the date of this prospectus. For purposes of this table, we have assumed that the Selling Stockholders will have sold all of the securities covered by this prospectus upon the completion of the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00" w:firstLine="360"/>
        <w:spacing w:after="0" w:line="247"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Stockholders), the name and address of the Selling Stockholders, the number of shares of Common Stock beneficially owned, the number of shares of Common Stock that the Selling Stockholders may offer pursuant to this prospectus and the number of shares of Common Stock beneficially owned by the Selling Stockholders after the sale of the securities offered hereby.</w:t>
      </w:r>
    </w:p>
    <w:p>
      <w:pPr>
        <w:spacing w:after="0" w:line="112" w:lineRule="exact"/>
        <w:rPr>
          <w:sz w:val="20"/>
          <w:szCs w:val="20"/>
          <w:color w:val="auto"/>
        </w:rPr>
      </w:pPr>
    </w:p>
    <w:p>
      <w:pPr>
        <w:ind w:left="1260" w:right="1280" w:firstLine="360"/>
        <w:spacing w:after="0" w:line="247" w:lineRule="auto"/>
        <w:rPr>
          <w:sz w:val="20"/>
          <w:szCs w:val="20"/>
          <w:color w:val="auto"/>
        </w:rPr>
      </w:pPr>
      <w:r>
        <w:rPr>
          <w:rFonts w:ascii="Times New Roman" w:cs="Times New Roman" w:eastAsia="Times New Roman" w:hAnsi="Times New Roman"/>
          <w:sz w:val="18"/>
          <w:szCs w:val="18"/>
          <w:color w:val="auto"/>
        </w:rPr>
        <w:t>Selling Stockholder information for each additional Selling Stockholder, if any, will be set forth by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“Plan of Distribution.”</w:t>
      </w:r>
    </w:p>
    <w:p>
      <w:pPr>
        <w:spacing w:after="0" w:line="112" w:lineRule="exact"/>
        <w:rPr>
          <w:sz w:val="20"/>
          <w:szCs w:val="20"/>
          <w:color w:val="auto"/>
        </w:rPr>
      </w:pPr>
    </w:p>
    <w:p>
      <w:pPr>
        <w:ind w:left="1260" w:right="1260" w:firstLine="360"/>
        <w:spacing w:after="0" w:line="242" w:lineRule="auto"/>
        <w:rPr>
          <w:sz w:val="20"/>
          <w:szCs w:val="20"/>
          <w:color w:val="auto"/>
        </w:rPr>
      </w:pPr>
      <w:r>
        <w:rPr>
          <w:rFonts w:ascii="Times New Roman" w:cs="Times New Roman" w:eastAsia="Times New Roman" w:hAnsi="Times New Roman"/>
          <w:sz w:val="18"/>
          <w:szCs w:val="18"/>
          <w:color w:val="auto"/>
        </w:rPr>
        <w:t>The beneficial ownership of our Common Stock is based on 104,175,894 shares of our Common Stock outstanding as of March 31, 2024, assuming the March Anti-Dilution Shares are issued and outstanding as described above.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March 31, 2024. Shares subject to warrants or options that are currently exercisable or exercisable within 60 days of March 31, 2024 that vest within 60 days of March 31, 2024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329" w:lineRule="exact"/>
        <w:rPr>
          <w:sz w:val="20"/>
          <w:szCs w:val="20"/>
          <w:color w:val="auto"/>
        </w:rPr>
      </w:pPr>
    </w:p>
    <w:p>
      <w:pPr>
        <w:ind w:left="1260" w:right="1500" w:firstLine="360"/>
        <w:spacing w:after="0" w:line="266"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Beneficially Owned Before the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Beneficially Owned After the</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w w:val="95"/>
              </w:rPr>
              <w:t>Number of</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7"/>
              </w:rPr>
              <w:t>Shares of</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 of</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r>
              <w:rPr>
                <w:rFonts w:ascii="Times New Roman" w:cs="Times New Roman" w:eastAsia="Times New Roman" w:hAnsi="Times New Roman"/>
                <w:sz w:val="17"/>
                <w:szCs w:val="17"/>
                <w:b w:val="1"/>
                <w:bCs w:val="1"/>
                <w:color w:val="auto"/>
                <w:vertAlign w:val="superscript"/>
              </w:rPr>
              <w:t>(1)</w:t>
            </w:r>
          </w:p>
        </w:tc>
        <w:tc>
          <w:tcPr>
            <w:tcW w:w="480" w:type="dxa"/>
            <w:vAlign w:val="bottom"/>
          </w:tcPr>
          <w:p>
            <w:pPr>
              <w:spacing w:after="0"/>
              <w:rPr>
                <w:sz w:val="18"/>
                <w:szCs w:val="18"/>
                <w:color w:val="auto"/>
              </w:rPr>
            </w:pPr>
          </w:p>
        </w:tc>
        <w:tc>
          <w:tcPr>
            <w:tcW w:w="11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Common Stock</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Being Offered</w:t>
            </w:r>
          </w:p>
        </w:tc>
        <w:tc>
          <w:tcPr>
            <w:tcW w:w="128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24"/>
                <w:szCs w:val="24"/>
                <w:b w:val="1"/>
                <w:bCs w:val="1"/>
                <w:color w:val="auto"/>
                <w:vertAlign w:val="subscript"/>
              </w:rPr>
              <w:t>​ ​</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70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60" w:type="dxa"/>
            <w:vAlign w:val="bottom"/>
          </w:tcPr>
          <w:p>
            <w:pPr>
              <w:spacing w:after="0"/>
              <w:rPr>
                <w:sz w:val="22"/>
                <w:szCs w:val="22"/>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626RB FT LLC</w:t>
            </w:r>
            <w:r>
              <w:rPr>
                <w:rFonts w:ascii="Times New Roman" w:cs="Times New Roman" w:eastAsia="Times New Roman" w:hAnsi="Times New Roman"/>
                <w:sz w:val="23"/>
                <w:szCs w:val="23"/>
                <w:color w:val="auto"/>
                <w:vertAlign w:val="superscript"/>
              </w:rPr>
              <w:t>(2)</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4,000,000</w:t>
            </w:r>
          </w:p>
        </w:tc>
        <w:tc>
          <w:tcPr>
            <w:tcW w:w="1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1,000,000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Acadia Woods Partners, LLC</w:t>
            </w:r>
            <w:r>
              <w:rPr>
                <w:rFonts w:ascii="Times New Roman" w:cs="Times New Roman" w:eastAsia="Times New Roman" w:hAnsi="Times New Roman"/>
                <w:sz w:val="23"/>
                <w:szCs w:val="23"/>
                <w:color w:val="auto"/>
                <w:vertAlign w:val="superscript"/>
              </w:rPr>
              <w:t>(3)</w:t>
            </w:r>
          </w:p>
        </w:tc>
        <w:tc>
          <w:tcPr>
            <w:tcW w:w="48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2,101,245</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1,569,995</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531,250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Cleveland Avenue LLC</w:t>
            </w:r>
            <w:r>
              <w:rPr>
                <w:rFonts w:ascii="Times New Roman" w:cs="Times New Roman" w:eastAsia="Times New Roman" w:hAnsi="Times New Roman"/>
                <w:sz w:val="23"/>
                <w:szCs w:val="23"/>
                <w:color w:val="auto"/>
                <w:vertAlign w:val="superscript"/>
              </w:rPr>
              <w:t>(4)</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20,500,000</w:t>
            </w: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19.7%​​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10,500,000</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10,000,000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9.6%</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Cosme Fagundo</w:t>
            </w:r>
            <w:r>
              <w:rPr>
                <w:rFonts w:ascii="Times New Roman" w:cs="Times New Roman" w:eastAsia="Times New Roman" w:hAnsi="Times New Roman"/>
                <w:sz w:val="23"/>
                <w:szCs w:val="23"/>
                <w:color w:val="auto"/>
                <w:vertAlign w:val="superscript"/>
              </w:rPr>
              <w:t>(5)</w:t>
            </w:r>
          </w:p>
        </w:tc>
        <w:tc>
          <w:tcPr>
            <w:tcW w:w="480" w:type="dxa"/>
            <w:vAlign w:val="bottom"/>
          </w:tcPr>
          <w:p>
            <w:pPr>
              <w:spacing w:after="0"/>
              <w:rPr>
                <w:sz w:val="23"/>
                <w:szCs w:val="23"/>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139,999</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129,999</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Falcons Capital Group, LLC</w:t>
            </w:r>
            <w:r>
              <w:rPr>
                <w:rFonts w:ascii="Times New Roman" w:cs="Times New Roman" w:eastAsia="Times New Roman" w:hAnsi="Times New Roman"/>
                <w:sz w:val="23"/>
                <w:szCs w:val="23"/>
                <w:color w:val="auto"/>
                <w:vertAlign w:val="superscript"/>
              </w:rPr>
              <w:t>(6)</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1,181,466</w:t>
            </w: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1,039,990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141,476</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V. Sica</w:t>
            </w:r>
          </w:p>
        </w:tc>
        <w:tc>
          <w:tcPr>
            <w:tcW w:w="4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669,781</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219,781</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3"/>
                <w:szCs w:val="23"/>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Hunter Ventures Limited</w:t>
            </w:r>
            <w:r>
              <w:rPr>
                <w:rFonts w:ascii="Times New Roman" w:cs="Times New Roman" w:eastAsia="Times New Roman" w:hAnsi="Times New Roman"/>
                <w:sz w:val="23"/>
                <w:szCs w:val="23"/>
                <w:color w:val="auto"/>
                <w:vertAlign w:val="superscript"/>
              </w:rPr>
              <w:t>(7)</w:t>
            </w:r>
          </w:p>
        </w:tc>
        <w:tc>
          <w:tcPr>
            <w:tcW w:w="480" w:type="dxa"/>
            <w:vAlign w:val="bottom"/>
            <w:shd w:val="clear" w:color="auto" w:fill="CCEEFF"/>
          </w:tcPr>
          <w:p>
            <w:pPr>
              <w:spacing w:after="0"/>
              <w:rPr>
                <w:sz w:val="23"/>
                <w:szCs w:val="23"/>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31,199,699</w:t>
            </w:r>
          </w:p>
        </w:tc>
        <w:tc>
          <w:tcPr>
            <w:tcW w:w="100" w:type="dxa"/>
            <w:vAlign w:val="bottom"/>
            <w:tcBorders>
              <w:right w:val="single" w:sz="8" w:color="CCEEFF"/>
            </w:tcBorders>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23.1%​​ ​</w:t>
            </w: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31,199,699</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Thain</w:t>
            </w:r>
          </w:p>
        </w:tc>
        <w:tc>
          <w:tcPr>
            <w:tcW w:w="48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4,000,000</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3.8%​​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w:t>
            </w:r>
          </w:p>
        </w:tc>
        <w:tc>
          <w:tcPr>
            <w:tcW w:w="1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1,000,000 ​​ ​</w:t>
            </w:r>
          </w:p>
        </w:tc>
        <w:tc>
          <w:tcPr>
            <w:tcW w:w="1840" w:type="dxa"/>
            <w:vAlign w:val="bottom"/>
            <w:gridSpan w:val="3"/>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Kuntala P. Das</w:t>
            </w: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0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5"/>
        </w:trPr>
        <w:tc>
          <w:tcPr>
            <w:tcW w:w="1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Metropolitan Levered Partners Fund VII,</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126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4"/>
              </w:rPr>
              <w:t>LP</w:t>
            </w:r>
          </w:p>
        </w:tc>
        <w:tc>
          <w:tcPr>
            <w:tcW w:w="23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(8)</w:t>
            </w:r>
          </w:p>
        </w:tc>
        <w:tc>
          <w:tcPr>
            <w:tcW w:w="480" w:type="dxa"/>
            <w:vAlign w:val="bottom"/>
          </w:tcPr>
          <w:p>
            <w:pPr>
              <w:spacing w:after="0"/>
              <w:rPr>
                <w:sz w:val="11"/>
                <w:szCs w:val="1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12,040,010</w:t>
            </w:r>
          </w:p>
        </w:tc>
        <w:tc>
          <w:tcPr>
            <w:tcW w:w="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(9)</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2,573,689 ​​ ​</w:t>
            </w:r>
          </w:p>
        </w:tc>
        <w:tc>
          <w:tcPr>
            <w:tcW w:w="1840" w:type="dxa"/>
            <w:vAlign w:val="bottom"/>
            <w:gridSpan w:val="3"/>
            <w:vMerge w:val="restart"/>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w:t>
            </w:r>
            <w:r>
              <w:rPr>
                <w:rFonts w:ascii="Times New Roman" w:cs="Times New Roman" w:eastAsia="Times New Roman" w:hAnsi="Times New Roman"/>
                <w:sz w:val="18"/>
                <w:szCs w:val="18"/>
                <w:b w:val="1"/>
                <w:bCs w:val="1"/>
                <w:color w:val="auto"/>
              </w:rPr>
              <w:t xml:space="preserve"> ​</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 ​</w:t>
            </w:r>
          </w:p>
        </w:tc>
        <w:tc>
          <w:tcPr>
            <w:tcW w:w="1760" w:type="dxa"/>
            <w:vAlign w:val="bottom"/>
            <w:gridSpan w:val="6"/>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4.99%​​ ​</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13"/>
                <w:szCs w:val="13"/>
                <w:color w:val="auto"/>
              </w:rPr>
              <w:t>9,466,321</w:t>
            </w:r>
          </w:p>
        </w:tc>
        <w:tc>
          <w:tcPr>
            <w:tcW w:w="1280" w:type="dxa"/>
            <w:vAlign w:val="bottom"/>
            <w:gridSpan w:val="5"/>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260" w:type="dxa"/>
            <w:vAlign w:val="bottom"/>
          </w:tcPr>
          <w:p>
            <w:pPr>
              <w:spacing w:after="0"/>
              <w:rPr>
                <w:sz w:val="6"/>
                <w:szCs w:val="6"/>
                <w:color w:val="auto"/>
              </w:rPr>
            </w:pPr>
          </w:p>
        </w:tc>
        <w:tc>
          <w:tcPr>
            <w:tcW w:w="2700" w:type="dxa"/>
            <w:vAlign w:val="bottom"/>
            <w:gridSpan w:val="2"/>
            <w:shd w:val="clear" w:color="auto" w:fill="CCEEFF"/>
          </w:tcPr>
          <w:p>
            <w:pPr>
              <w:spacing w:after="0" w:line="72" w:lineRule="exact"/>
              <w:rPr>
                <w:sz w:val="20"/>
                <w:szCs w:val="20"/>
                <w:color w:val="auto"/>
              </w:rPr>
            </w:pPr>
            <w:r>
              <w:rPr>
                <w:rFonts w:ascii="Times New Roman" w:cs="Times New Roman" w:eastAsia="Times New Roman" w:hAnsi="Times New Roman"/>
                <w:sz w:val="8"/>
                <w:szCs w:val="8"/>
                <w:color w:val="auto"/>
              </w:rPr>
              <w:t>Metropolitan Partners Fund VII, LP</w:t>
            </w:r>
          </w:p>
        </w:tc>
        <w:tc>
          <w:tcPr>
            <w:tcW w:w="480" w:type="dxa"/>
            <w:vAlign w:val="bottom"/>
            <w:vMerge w:val="restart"/>
            <w:shd w:val="clear" w:color="auto" w:fill="CCEEFF"/>
          </w:tcPr>
          <w:p>
            <w:pPr>
              <w:jc w:val="right"/>
              <w:ind w:right="282"/>
              <w:spacing w:after="0"/>
              <w:rPr>
                <w:sz w:val="20"/>
                <w:szCs w:val="20"/>
                <w:color w:val="auto"/>
              </w:rPr>
            </w:pPr>
            <w:r>
              <w:rPr>
                <w:rFonts w:ascii="Times New Roman" w:cs="Times New Roman" w:eastAsia="Times New Roman" w:hAnsi="Times New Roman"/>
                <w:sz w:val="12"/>
                <w:szCs w:val="12"/>
                <w:color w:val="auto"/>
                <w:w w:val="85"/>
              </w:rPr>
              <w:t>(8)</w:t>
            </w:r>
          </w:p>
        </w:tc>
        <w:tc>
          <w:tcPr>
            <w:tcW w:w="180" w:type="dxa"/>
            <w:vAlign w:val="bottom"/>
            <w:shd w:val="clear" w:color="auto" w:fill="CCEEFF"/>
          </w:tcPr>
          <w:p>
            <w:pPr>
              <w:ind w:left="40"/>
              <w:spacing w:after="0" w:line="72" w:lineRule="exact"/>
              <w:rPr>
                <w:sz w:val="20"/>
                <w:szCs w:val="20"/>
                <w:color w:val="auto"/>
              </w:rPr>
            </w:pPr>
            <w:r>
              <w:rPr>
                <w:rFonts w:ascii="Times New Roman" w:cs="Times New Roman" w:eastAsia="Times New Roman" w:hAnsi="Times New Roman"/>
                <w:sz w:val="8"/>
                <w:szCs w:val="8"/>
                <w:color w:val="auto"/>
              </w:rPr>
              <w:t>​ ​</w:t>
            </w:r>
          </w:p>
        </w:tc>
        <w:tc>
          <w:tcPr>
            <w:tcW w:w="900" w:type="dxa"/>
            <w:vAlign w:val="bottom"/>
            <w:gridSpan w:val="2"/>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16,755,043</w:t>
            </w:r>
          </w:p>
        </w:tc>
        <w:tc>
          <w:tcPr>
            <w:tcW w:w="100" w:type="dxa"/>
            <w:vAlign w:val="bottom"/>
            <w:tcBorders>
              <w:right w:val="single" w:sz="8" w:color="CCEEFF"/>
            </w:tcBorders>
            <w:shd w:val="clear" w:color="auto" w:fill="CCEEFF"/>
          </w:tcPr>
          <w:p>
            <w:pPr>
              <w:spacing w:after="0"/>
              <w:rPr>
                <w:sz w:val="6"/>
                <w:szCs w:val="6"/>
                <w:color w:val="auto"/>
              </w:rPr>
            </w:pPr>
          </w:p>
        </w:tc>
        <w:tc>
          <w:tcPr>
            <w:tcW w:w="220" w:type="dxa"/>
            <w:vAlign w:val="bottom"/>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color w:val="auto"/>
              </w:rPr>
              <w:t>​​ ​</w:t>
            </w:r>
          </w:p>
        </w:tc>
        <w:tc>
          <w:tcPr>
            <w:tcW w:w="1760" w:type="dxa"/>
            <w:vAlign w:val="bottom"/>
            <w:tcBorders>
              <w:right w:val="single" w:sz="8" w:color="CCEEFF"/>
            </w:tcBorders>
            <w:gridSpan w:val="6"/>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4.99%​​ ​</w:t>
            </w: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8"/>
                <w:szCs w:val="8"/>
                <w:color w:val="auto"/>
              </w:rPr>
              <w:t>13,173,505</w:t>
            </w:r>
          </w:p>
        </w:tc>
        <w:tc>
          <w:tcPr>
            <w:tcW w:w="1280" w:type="dxa"/>
            <w:vAlign w:val="bottom"/>
            <w:gridSpan w:val="5"/>
            <w:shd w:val="clear" w:color="auto" w:fill="CCEEFF"/>
          </w:tcPr>
          <w:p>
            <w:pPr>
              <w:jc w:val="right"/>
              <w:ind w:right="20"/>
              <w:spacing w:after="0" w:line="72" w:lineRule="exact"/>
              <w:rPr>
                <w:sz w:val="20"/>
                <w:szCs w:val="20"/>
                <w:color w:val="auto"/>
              </w:rPr>
            </w:pPr>
            <w:r>
              <w:rPr>
                <w:rFonts w:ascii="Times New Roman" w:cs="Times New Roman" w:eastAsia="Times New Roman" w:hAnsi="Times New Roman"/>
                <w:sz w:val="8"/>
                <w:szCs w:val="8"/>
                <w:color w:val="auto"/>
              </w:rPr>
              <w:t xml:space="preserve">​​​ </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 xml:space="preserve"> 3,581,538 ​​ ​</w:t>
            </w:r>
          </w:p>
        </w:tc>
        <w:tc>
          <w:tcPr>
            <w:tcW w:w="580" w:type="dxa"/>
            <w:vAlign w:val="bottom"/>
            <w:tcBorders>
              <w:right w:val="single" w:sz="8" w:color="CCEEFF"/>
            </w:tcBorders>
            <w:gridSpan w:val="2"/>
            <w:shd w:val="clear" w:color="auto" w:fill="CCEEFF"/>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8"/>
                <w:szCs w:val="8"/>
                <w:color w:val="auto"/>
              </w:rPr>
              <w:t>3.4%</w:t>
            </w:r>
          </w:p>
        </w:tc>
        <w:tc>
          <w:tcPr>
            <w:tcW w:w="1260" w:type="dxa"/>
            <w:vAlign w:val="bottom"/>
          </w:tcPr>
          <w:p>
            <w:pPr>
              <w:jc w:val="right"/>
              <w:ind w:right="1115"/>
              <w:spacing w:after="0" w:line="72"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48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(10)</w:t>
            </w:r>
          </w:p>
        </w:tc>
        <w:tc>
          <w:tcPr>
            <w:tcW w:w="2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79"/>
              </w:rPr>
              <w:t>(10)</w:t>
            </w:r>
          </w:p>
        </w:tc>
        <w:tc>
          <w:tcPr>
            <w:tcW w:w="12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tcBorders>
              <w:right w:val="single" w:sz="8" w:color="CCEEFF"/>
            </w:tcBorders>
            <w:shd w:val="clear" w:color="auto" w:fill="CCEEFF"/>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1260" w:type="dxa"/>
            <w:vAlign w:val="bottom"/>
          </w:tcPr>
          <w:p>
            <w:pPr>
              <w:spacing w:after="0"/>
              <w:rPr>
                <w:sz w:val="5"/>
                <w:szCs w:val="5"/>
                <w:color w:val="auto"/>
              </w:rPr>
            </w:pPr>
          </w:p>
        </w:tc>
        <w:tc>
          <w:tcPr>
            <w:tcW w:w="3180" w:type="dxa"/>
            <w:vAlign w:val="bottom"/>
            <w:gridSpan w:val="3"/>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20" w:type="dxa"/>
            <w:vAlign w:val="bottom"/>
            <w:tcBorders>
              <w:right w:val="single" w:sz="8" w:color="CCEEFF"/>
            </w:tcBorders>
            <w:shd w:val="clear" w:color="auto" w:fill="CCEEFF"/>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Metropolitan Offshore Partners Fund VII,</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260" w:type="dxa"/>
            <w:vAlign w:val="bottom"/>
          </w:tcPr>
          <w:p>
            <w:pPr>
              <w:spacing w:after="0"/>
              <w:rPr>
                <w:sz w:val="11"/>
                <w:szCs w:val="11"/>
                <w:color w:val="auto"/>
              </w:rPr>
            </w:pP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4"/>
              </w:rPr>
              <w:t>LP</w:t>
            </w:r>
          </w:p>
        </w:tc>
        <w:tc>
          <w:tcPr>
            <w:tcW w:w="2300" w:type="dxa"/>
            <w:vAlign w:val="bottom"/>
          </w:tcPr>
          <w:p>
            <w:pPr>
              <w:spacing w:after="0" w:line="130" w:lineRule="exact"/>
              <w:rPr>
                <w:sz w:val="20"/>
                <w:szCs w:val="20"/>
                <w:color w:val="auto"/>
              </w:rPr>
            </w:pPr>
            <w:r>
              <w:rPr>
                <w:rFonts w:ascii="Times New Roman" w:cs="Times New Roman" w:eastAsia="Times New Roman" w:hAnsi="Times New Roman"/>
                <w:sz w:val="12"/>
                <w:szCs w:val="12"/>
                <w:color w:val="auto"/>
              </w:rPr>
              <w:t>(8)</w:t>
            </w:r>
          </w:p>
        </w:tc>
        <w:tc>
          <w:tcPr>
            <w:tcW w:w="480" w:type="dxa"/>
            <w:vAlign w:val="bottom"/>
          </w:tcPr>
          <w:p>
            <w:pPr>
              <w:spacing w:after="0"/>
              <w:rPr>
                <w:sz w:val="11"/>
                <w:szCs w:val="11"/>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3,968,451</w:t>
            </w:r>
          </w:p>
        </w:tc>
        <w:tc>
          <w:tcPr>
            <w:tcW w:w="320" w:type="dxa"/>
            <w:vAlign w:val="bottom"/>
            <w:gridSpan w:val="2"/>
          </w:tcPr>
          <w:p>
            <w:pPr>
              <w:spacing w:after="0" w:line="130" w:lineRule="exact"/>
              <w:rPr>
                <w:sz w:val="20"/>
                <w:szCs w:val="20"/>
                <w:color w:val="auto"/>
              </w:rPr>
            </w:pPr>
            <w:r>
              <w:rPr>
                <w:rFonts w:ascii="Times New Roman" w:cs="Times New Roman" w:eastAsia="Times New Roman" w:hAnsi="Times New Roman"/>
                <w:sz w:val="12"/>
                <w:szCs w:val="12"/>
                <w:color w:val="auto"/>
              </w:rPr>
              <w:t>(11)</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gridSpan w:val="2"/>
          </w:tcPr>
          <w:p>
            <w:pPr>
              <w:ind w:left="20"/>
              <w:spacing w:after="0" w:line="130" w:lineRule="exact"/>
              <w:rPr>
                <w:sz w:val="20"/>
                <w:szCs w:val="20"/>
                <w:color w:val="auto"/>
              </w:rPr>
            </w:pPr>
            <w:r>
              <w:rPr>
                <w:rFonts w:ascii="Times New Roman" w:cs="Times New Roman" w:eastAsia="Times New Roman" w:hAnsi="Times New Roman"/>
                <w:sz w:val="12"/>
                <w:szCs w:val="12"/>
                <w:color w:val="auto"/>
                <w:w w:val="79"/>
              </w:rPr>
              <w:t>(11)</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848,317</w:t>
            </w:r>
          </w:p>
        </w:tc>
        <w:tc>
          <w:tcPr>
            <w:tcW w:w="2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 ​</w:t>
            </w:r>
          </w:p>
        </w:tc>
        <w:tc>
          <w:tcPr>
            <w:tcW w:w="1760" w:type="dxa"/>
            <w:vAlign w:val="bottom"/>
            <w:gridSpan w:val="6"/>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3.7%​​ ​</w:t>
            </w:r>
            <w:r>
              <w:rPr>
                <w:rFonts w:ascii="Times New Roman" w:cs="Times New Roman" w:eastAsia="Times New Roman" w:hAnsi="Times New Roman"/>
                <w:sz w:val="13"/>
                <w:szCs w:val="13"/>
                <w:b w:val="1"/>
                <w:bCs w:val="1"/>
                <w:color w:val="auto"/>
              </w:rPr>
              <w:t xml:space="preserve"> ​ </w:t>
            </w:r>
            <w:r>
              <w:rPr>
                <w:rFonts w:ascii="Times New Roman" w:cs="Times New Roman" w:eastAsia="Times New Roman" w:hAnsi="Times New Roman"/>
                <w:sz w:val="13"/>
                <w:szCs w:val="13"/>
                <w:color w:val="auto"/>
              </w:rPr>
              <w:t>3,120,134</w:t>
            </w:r>
          </w:p>
        </w:tc>
        <w:tc>
          <w:tcPr>
            <w:tcW w:w="24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CEOF Holdings LP</w:t>
            </w:r>
            <w:r>
              <w:rPr>
                <w:rFonts w:ascii="Times New Roman" w:cs="Times New Roman" w:eastAsia="Times New Roman" w:hAnsi="Times New Roman"/>
                <w:sz w:val="23"/>
                <w:szCs w:val="23"/>
                <w:color w:val="auto"/>
                <w:vertAlign w:val="superscript"/>
              </w:rPr>
              <w:t>(12)</w:t>
            </w: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4,778,774</w:t>
            </w:r>
          </w:p>
        </w:tc>
        <w:tc>
          <w:tcPr>
            <w:tcW w:w="10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3,757,318</w:t>
            </w:r>
          </w:p>
        </w:tc>
        <w:tc>
          <w:tcPr>
            <w:tcW w:w="12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1,021,456 ​​ ​</w:t>
            </w: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Remus Capital Series B II, L.P.</w:t>
            </w:r>
            <w:r>
              <w:rPr>
                <w:rFonts w:ascii="Times New Roman" w:cs="Times New Roman" w:eastAsia="Times New Roman" w:hAnsi="Times New Roman"/>
                <w:sz w:val="23"/>
                <w:szCs w:val="23"/>
                <w:color w:val="auto"/>
                <w:vertAlign w:val="superscript"/>
              </w:rPr>
              <w:t>(13)</w:t>
            </w:r>
          </w:p>
        </w:tc>
        <w:tc>
          <w:tcPr>
            <w:tcW w:w="4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18,850,531</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15.3%​​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18,850,531</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2"/>
                <w:szCs w:val="22"/>
                <w:color w:val="auto"/>
              </w:rPr>
            </w:pPr>
          </w:p>
        </w:tc>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Sheel Tyle</w:t>
            </w:r>
          </w:p>
        </w:tc>
        <w:tc>
          <w:tcPr>
            <w:tcW w:w="480" w:type="dxa"/>
            <w:vAlign w:val="bottom"/>
            <w:shd w:val="clear" w:color="auto" w:fill="CCEEFF"/>
          </w:tcPr>
          <w:p>
            <w:pPr>
              <w:spacing w:after="0"/>
              <w:rPr>
                <w:sz w:val="22"/>
                <w:szCs w:val="22"/>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1,250,000</w:t>
            </w:r>
          </w:p>
        </w:tc>
        <w:tc>
          <w:tcPr>
            <w:tcW w:w="10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right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1,050,000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126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Souillard- Mandar</w:t>
            </w:r>
          </w:p>
        </w:tc>
        <w:tc>
          <w:tcPr>
            <w:tcW w:w="48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3,000,000</w:t>
            </w:r>
          </w:p>
        </w:tc>
        <w:tc>
          <w:tcPr>
            <w:tcW w:w="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3,000,000</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260" w:type="dxa"/>
            <w:vAlign w:val="bottom"/>
          </w:tcPr>
          <w:p>
            <w:pPr>
              <w:jc w:val="right"/>
              <w:ind w:right="1115"/>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80"/>
        </w:trPr>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5497830</wp:posOffset>
            </wp:positionH>
            <wp:positionV relativeFrom="paragraph">
              <wp:posOffset>-3651250</wp:posOffset>
            </wp:positionV>
            <wp:extent cx="137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3568700</wp:posOffset>
            </wp:positionH>
            <wp:positionV relativeFrom="paragraph">
              <wp:posOffset>-3651250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2823210</wp:posOffset>
            </wp:positionH>
            <wp:positionV relativeFrom="paragraph">
              <wp:posOffset>-3651250</wp:posOffset>
            </wp:positionV>
            <wp:extent cx="1117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-3651250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-3651250</wp:posOffset>
            </wp:positionV>
            <wp:extent cx="1200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90" w:lineRule="exact"/>
        <w:rPr>
          <w:sz w:val="20"/>
          <w:szCs w:val="20"/>
          <w:color w:val="auto"/>
        </w:rPr>
      </w:pPr>
    </w:p>
    <w:p>
      <w:pPr>
        <w:ind w:left="1620" w:right="719" w:hanging="360"/>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13"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Bethany Millard is a managing member of 626RB FT LLC and has voting and investment power over the shares held by the entity. The business address of 626RB FT LLC is 3995 South Douglas Rd., Miami, FL 33133.</w:t>
      </w:r>
    </w:p>
    <w:p>
      <w:pPr>
        <w:spacing w:after="0" w:line="27"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519,995 shares issuable upon conversion of the January 2024 Notes, including the PIK Interest thereon. Jeffrey Samberg is the Managing Member of Acadia Woods Partners, LLC and has voting and investment power over the shares held by the entity. The business address of Acadia Woods Partners, LLC is c/o Hawkes Financial LLC, 77 Bedford Road, Katonah, NY 10536.</w:t>
      </w:r>
    </w:p>
    <w:p>
      <w:pPr>
        <w:spacing w:after="0" w:line="44" w:lineRule="exact"/>
        <w:rPr>
          <w:rFonts w:ascii="Times New Roman" w:cs="Times New Roman" w:eastAsia="Times New Roman" w:hAnsi="Times New Roman"/>
          <w:sz w:val="18"/>
          <w:szCs w:val="18"/>
          <w:color w:val="auto"/>
        </w:rPr>
      </w:pPr>
    </w:p>
    <w:p>
      <w:pPr>
        <w:ind w:left="1620" w:right="419" w:hanging="360"/>
        <w:spacing w:after="0" w:line="25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 Presto CA is a lender under a secured promissory note, dated as of March 21, 2024, in principal amount of $4 million. In addition, it is party to (i) that certain Amended and Restated Governance Agreement, dated as of November 16, 2023 (the “Governance Agreement”), pursuant to which, among other things, Presto CA has the right to appoint one director of the Company and (ii) that certain Stockholders Agreement, dated as of November 16, 2023 (the “Stockholders Agreement”), pursuant to which the Company agreed that it will not undertake certain actions for a period of 12 months without the consent of the parties thereto. Each agreement referenced above is more fully described in the documents incorporated by reference herein.</w:t>
      </w:r>
    </w:p>
    <w:p>
      <w:pPr>
        <w:spacing w:after="0" w:line="46"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129,999 shares issuable upon conversion of the January 2024 Notes, including the PIK Interest thereon.</w:t>
      </w:r>
    </w:p>
    <w:p>
      <w:pPr>
        <w:spacing w:after="0" w:line="13" w:lineRule="exact"/>
        <w:rPr>
          <w:rFonts w:ascii="Times New Roman" w:cs="Times New Roman" w:eastAsia="Times New Roman" w:hAnsi="Times New Roman"/>
          <w:sz w:val="18"/>
          <w:szCs w:val="18"/>
          <w:color w:val="auto"/>
        </w:rPr>
      </w:pPr>
    </w:p>
    <w:p>
      <w:pPr>
        <w:ind w:left="1620" w:right="559" w:hanging="360"/>
        <w:spacing w:after="0" w:line="263"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1,039,990 shares issuable upon conversion of the January 2024 Notes, including the PIK Interest thereon. Shamsuddin Charania has voting and investment power over the shares held by the entity. The business address of Falcons Capital Group, LLC is 1995 N. Park Place, Suite 430, Atlanta, GA 30339.</w:t>
      </w:r>
    </w:p>
    <w:p>
      <w:pPr>
        <w:spacing w:after="0" w:line="26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31,199,699 shares issuable upon conversion of the January 2024 Notes, including the PIK Interest thereon. Patrick Tsang has voting and investment power over the shares held by the entity. The business address of Hunter Ventures Limited is Vistra Corporate Services Centre, Wickhams Cay II, Road Town, Tortola, VG1110, British Virgin Islands.</w:t>
      </w:r>
    </w:p>
    <w:p>
      <w:pPr>
        <w:spacing w:after="0" w:line="31" w:lineRule="exact"/>
        <w:rPr>
          <w:rFonts w:ascii="Times New Roman" w:cs="Times New Roman" w:eastAsia="Times New Roman" w:hAnsi="Times New Roman"/>
          <w:sz w:val="18"/>
          <w:szCs w:val="18"/>
          <w:color w:val="auto"/>
        </w:rPr>
      </w:pPr>
    </w:p>
    <w:p>
      <w:pPr>
        <w:ind w:left="1620" w:right="479" w:hanging="36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is the Managing Partner of MPF VII GP, LLC and directs the voting and investment decisions with respect to the shares held by such entities. The business address of such entities is 850, Third Avenue,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52" w:lineRule="exact"/>
        <w:rPr>
          <w:rFonts w:ascii="Times New Roman" w:cs="Times New Roman" w:eastAsia="Times New Roman" w:hAnsi="Times New Roman"/>
          <w:sz w:val="18"/>
          <w:szCs w:val="18"/>
          <w:color w:val="auto"/>
        </w:rPr>
      </w:pPr>
    </w:p>
    <w:p>
      <w:pPr>
        <w:ind w:left="1620" w:right="599" w:hanging="360"/>
        <w:spacing w:after="0" w:line="256" w:lineRule="auto"/>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11,847,581 shares issuable upon exercise of warrants. Metropolitan Levered Partners Fund VII, LP is prohibited, subject to certain exceptions, from exercising the penny warrants to the extent that immediately prior to or after giving effect to such exercise, Metropolitan Levered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hanging="360"/>
        <w:spacing w:after="0" w:line="25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16,678,679 shares issuable upon exercise of warrants. Metropolitan Partners Fund VII, LP is prohibited, subject to certain exceptions, from exercising the penny warrants to the extent that immediately prior to or after giving effect to such exercise, Metropolitan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52" w:lineRule="exact"/>
        <w:rPr>
          <w:rFonts w:ascii="Times New Roman" w:cs="Times New Roman" w:eastAsia="Times New Roman" w:hAnsi="Times New Roman"/>
          <w:sz w:val="18"/>
          <w:szCs w:val="18"/>
          <w:color w:val="auto"/>
        </w:rPr>
      </w:pPr>
    </w:p>
    <w:p>
      <w:pPr>
        <w:ind w:left="1620" w:right="539" w:hanging="360"/>
        <w:spacing w:after="0" w:line="25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3,368,451 shares issuable upon exercise of warrants. Metropolitan Offshore Partners Fund VII, LP is prohibited, subject to certain exceptions, from exercising the penny warrants to the extent that immediately prior to or after giving effect to such exercise, Metropolitan Offshore Partners Fund VII, LP, together with its affiliates and other attribution parties, would own more than 4.99% (subject to increase up to 9.99% upon 61 days’ written notice to the Company) of the total number of shares of the Company’s Common Stock then issued and outstanding.</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6"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4,702,410 shares issuable upon exercise of warrants. Corbin Capital Partners, L.P., is the investment manager of CEOF Holdings LP (“CEOF”). Craig Bergstrom is the Chief Investment Officer of Corbin Capital Partners, L.P. and directs the voting and investment decisions with respect to the reported shares held by CEOF, but disclaims beneficial ownership of such shares. The business address of CEOF is 575 Madison Avenue, 21st Floor, New York, New York 10022. CEOF is a lender under the Credit Agreement.</w:t>
      </w:r>
    </w:p>
    <w:p>
      <w:pPr>
        <w:spacing w:after="0" w:line="38"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13,909,866 shares issuable upon conversion of the January 2024 Notes, including the PIK Interest thereon, and 4,940,665 issuable upon conversion of the Remus Note, including the PIK Interest thereon. Krishna K. Gupta, a director and significant stockholder of the Company, has joint voting and dispositive power of the shares held by the entity. Remus is party to (i) the Governance Agreement, pursuant to which, among other things, Remus has the right to appoint two directors of the Company and (ii) the Stockholders Agreement, pursuant to which the Company agreed that it will not undertake certain actions for a period of 12 months without the consent of the parties thereto. Each agreement referenced above is more fully described in the documents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Stockholders named in this prospectus of an aggregate of 103,757,492 shares of Common Stock.</w:t>
      </w:r>
    </w:p>
    <w:p>
      <w:pPr>
        <w:spacing w:after="0" w:line="95"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behalf of the Selling Stockholders. All costs, expenses and fees connected with the registration of such securities will be borne by us. Any brokerage commissions and similar expenses connected with selling such securities will be borne by the Selling Stockholders.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Stockholders.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the Selling Stockholders covered by this prospectus may be offered and sold from time to time by the Selling Stockholders, as applicable.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securities offered by this prospectus on any stock exchange, market or trading facility on which the securities are traded or in private transactions.</w:t>
      </w:r>
    </w:p>
    <w:p>
      <w:pPr>
        <w:spacing w:after="0" w:line="122" w:lineRule="exact"/>
        <w:rPr>
          <w:sz w:val="20"/>
          <w:szCs w:val="20"/>
          <w:color w:val="auto"/>
        </w:rPr>
      </w:pPr>
    </w:p>
    <w:p>
      <w:pPr>
        <w:ind w:left="1260" w:right="539" w:firstLine="360"/>
        <w:spacing w:after="0" w:line="275"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the Selling Stockholders may use any one or more of the following methods when selling the securities offered by this prospectus:</w:t>
      </w:r>
    </w:p>
    <w:p>
      <w:pPr>
        <w:spacing w:after="0" w:line="282" w:lineRule="exact"/>
        <w:rPr>
          <w:sz w:val="20"/>
          <w:szCs w:val="20"/>
          <w:color w:val="auto"/>
        </w:rPr>
      </w:pPr>
    </w:p>
    <w:p>
      <w:pPr>
        <w:ind w:left="1800" w:right="9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53" w:lineRule="exact"/>
        <w:rPr>
          <w:rFonts w:ascii="Times New Roman" w:cs="Times New Roman" w:eastAsia="Times New Roman" w:hAnsi="Times New Roman"/>
          <w:sz w:val="18"/>
          <w:szCs w:val="18"/>
          <w:color w:val="auto"/>
        </w:rPr>
      </w:pPr>
    </w:p>
    <w:p>
      <w:pPr>
        <w:jc w:val="both"/>
        <w:ind w:left="1800" w:right="679" w:hanging="180"/>
        <w:spacing w:after="0" w:line="261"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1"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53"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44"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In addition, a Selling Stockholder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66" w:lineRule="auto"/>
        <w:rPr>
          <w:sz w:val="20"/>
          <w:szCs w:val="20"/>
          <w:color w:val="auto"/>
        </w:rPr>
      </w:pPr>
      <w:r>
        <w:rPr>
          <w:rFonts w:ascii="Times New Roman" w:cs="Times New Roman" w:eastAsia="Times New Roman" w:hAnsi="Times New Roman"/>
          <w:sz w:val="18"/>
          <w:szCs w:val="18"/>
          <w:color w:val="auto"/>
        </w:rPr>
        <w:t>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0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successor-in-interest intends to sell our securities, we will, to the extent required, promptly file a supplement to this prospectus to name specifically such person as a Selling Stockholder.</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To the extent required,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99"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Selling Stockholders may enter into hedging transactions with broker-dealers or other financial institutions, which may in turn engage in short sales of our securities in the course of hedging the positions they assume. The Selling Stockholders may also sell the securities short and deliver these securities to close out their short positions, or loan or pledge the securities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343"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16"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9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Paul Hastings LLP, 200 Park Avenue, New York, New York 10166 and for any agents, underwriters, dealers, remarketing firms or other third parties by counsel named in the applicable prospectus supplement.</w:t>
      </w:r>
    </w:p>
    <w:p>
      <w:pPr>
        <w:spacing w:after="0" w:line="1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819" w:firstLine="36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consolidated financial statements incorporated in this prospectus by reference from Presto Automation Inc.’s </w:t>
      </w:r>
      <w:hyperlink r:id="rId21">
        <w:r>
          <w:rPr>
            <w:rFonts w:ascii="Times New Roman" w:cs="Times New Roman" w:eastAsia="Times New Roman" w:hAnsi="Times New Roman"/>
            <w:sz w:val="18"/>
            <w:szCs w:val="18"/>
            <w:u w:val="single" w:color="auto"/>
            <w:color w:val="0000EE"/>
          </w:rPr>
          <w:t>Annual Report on Form 10-K for the year ended June 30,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1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32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61" w:lineRule="exact"/>
        <w:rPr>
          <w:sz w:val="20"/>
          <w:szCs w:val="20"/>
          <w:color w:val="auto"/>
        </w:rPr>
      </w:pPr>
    </w:p>
    <w:p>
      <w:pPr>
        <w:ind w:left="1800" w:right="1059" w:hanging="180"/>
        <w:spacing w:after="0" w:line="266" w:lineRule="auto"/>
        <w:tabs>
          <w:tab w:leader="none" w:pos="1800" w:val="left"/>
        </w:tabs>
        <w:numPr>
          <w:ilvl w:val="0"/>
          <w:numId w:val="7"/>
        </w:numPr>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year ended June 30, 2023, filed with the SEC on</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color w:val="000000"/>
          </w:rPr>
          <w:t>, as amended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Amendment No. 1 to our Annual Report for the year ended</w:t>
        </w:r>
      </w:hyperlink>
      <w:r>
        <w:rPr>
          <w:rFonts w:ascii="Times New Roman" w:cs="Times New Roman" w:eastAsia="Times New Roman" w:hAnsi="Times New Roman"/>
          <w:sz w:val="18"/>
          <w:szCs w:val="18"/>
          <w:color w:val="0000EE"/>
        </w:rPr>
        <w:t xml:space="preserve"> </w:t>
      </w:r>
      <w:hyperlink r:id="rId36">
        <w:r>
          <w:rPr>
            <w:rFonts w:ascii="Times New Roman" w:cs="Times New Roman" w:eastAsia="Times New Roman" w:hAnsi="Times New Roman"/>
            <w:sz w:val="18"/>
            <w:szCs w:val="18"/>
            <w:u w:val="single" w:color="auto"/>
            <w:color w:val="0000EE"/>
          </w:rPr>
          <w:t>June 30, 2023 on Form 10-K/A, filed with the SEC on October 12, 2023;</w:t>
        </w:r>
      </w:hyperlink>
    </w:p>
    <w:p>
      <w:pPr>
        <w:spacing w:after="0" w:line="67" w:lineRule="exact"/>
        <w:rPr>
          <w:rFonts w:ascii="Times New Roman" w:cs="Times New Roman" w:eastAsia="Times New Roman" w:hAnsi="Times New Roman"/>
          <w:sz w:val="18"/>
          <w:szCs w:val="18"/>
          <w:u w:val="single" w:color="auto"/>
          <w:color w:val="0000EE"/>
        </w:rPr>
      </w:pPr>
    </w:p>
    <w:p>
      <w:pPr>
        <w:ind w:left="1800" w:right="459" w:hanging="180"/>
        <w:spacing w:after="0" w:line="282" w:lineRule="auto"/>
        <w:tabs>
          <w:tab w:leader="none" w:pos="1800" w:val="left"/>
        </w:tabs>
        <w:numPr>
          <w:ilvl w:val="0"/>
          <w:numId w:val="7"/>
        </w:numPr>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our Quarterly Report on Form 10-Q for the quarter ended September 30, 2023, filed with the SEC on</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November 20, 2023;</w:t>
        </w:r>
      </w:hyperlink>
    </w:p>
    <w:p>
      <w:pPr>
        <w:spacing w:after="0" w:line="53" w:lineRule="exact"/>
        <w:rPr>
          <w:rFonts w:ascii="Times New Roman" w:cs="Times New Roman" w:eastAsia="Times New Roman" w:hAnsi="Times New Roman"/>
          <w:sz w:val="18"/>
          <w:szCs w:val="18"/>
          <w:u w:val="single" w:color="auto"/>
          <w:color w:val="0000EE"/>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u w:val="single" w:color="auto"/>
          <w:color w:val="0000EE"/>
        </w:rPr>
      </w:pPr>
      <w:hyperlink r:id="rId38">
        <w:r>
          <w:rPr>
            <w:rFonts w:ascii="Times New Roman" w:cs="Times New Roman" w:eastAsia="Times New Roman" w:hAnsi="Times New Roman"/>
            <w:sz w:val="18"/>
            <w:szCs w:val="18"/>
            <w:u w:val="single" w:color="auto"/>
            <w:color w:val="0000EE"/>
          </w:rPr>
          <w:t>our Quarterly Report on Form 10-Q for the quarter ended December 31, 2023, filed with the SEC on</w:t>
        </w:r>
      </w:hyperlink>
      <w:r>
        <w:rPr>
          <w:rFonts w:ascii="Times New Roman" w:cs="Times New Roman" w:eastAsia="Times New Roman" w:hAnsi="Times New Roman"/>
          <w:sz w:val="18"/>
          <w:szCs w:val="18"/>
          <w:u w:val="single" w:color="auto"/>
          <w:color w:val="0000EE"/>
        </w:rPr>
        <w:t xml:space="preserve"> </w:t>
      </w:r>
      <w:hyperlink r:id="rId38">
        <w:r>
          <w:rPr>
            <w:rFonts w:ascii="Times New Roman" w:cs="Times New Roman" w:eastAsia="Times New Roman" w:hAnsi="Times New Roman"/>
            <w:sz w:val="18"/>
            <w:szCs w:val="18"/>
            <w:u w:val="single" w:color="auto"/>
            <w:color w:val="0000EE"/>
          </w:rPr>
          <w:t>February 20, 2024 and accepted by the SEC on February 21, 2024;</w:t>
        </w:r>
      </w:hyperlink>
    </w:p>
    <w:p>
      <w:pPr>
        <w:spacing w:after="0" w:line="53" w:lineRule="exact"/>
        <w:rPr>
          <w:rFonts w:ascii="Times New Roman" w:cs="Times New Roman" w:eastAsia="Times New Roman" w:hAnsi="Times New Roman"/>
          <w:sz w:val="18"/>
          <w:szCs w:val="18"/>
          <w:u w:val="single" w:color="auto"/>
          <w:color w:val="0000EE"/>
        </w:rPr>
      </w:pPr>
    </w:p>
    <w:p>
      <w:pPr>
        <w:ind w:left="1800" w:right="619" w:hanging="180"/>
        <w:spacing w:after="0" w:line="257" w:lineRule="auto"/>
        <w:tabs>
          <w:tab w:leader="none" w:pos="1800" w:val="left"/>
        </w:tabs>
        <w:numPr>
          <w:ilvl w:val="0"/>
          <w:numId w:val="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9">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under Item 2.02),</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 xml:space="preserve">December 14, 2023 </w:t>
        </w:r>
      </w:hyperlink>
      <w:r>
        <w:rPr>
          <w:rFonts w:ascii="Times New Roman" w:cs="Times New Roman" w:eastAsia="Times New Roman" w:hAnsi="Times New Roman"/>
          <w:sz w:val="18"/>
          <w:szCs w:val="18"/>
          <w:color w:val="000000"/>
        </w:rPr>
        <w:t>(excluding</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under</w:t>
      </w:r>
    </w:p>
    <w:p>
      <w:pPr>
        <w:spacing w:after="0" w:line="1" w:lineRule="exact"/>
        <w:rPr>
          <w:rFonts w:ascii="Times New Roman" w:cs="Times New Roman" w:eastAsia="Times New Roman" w:hAnsi="Times New Roman"/>
          <w:sz w:val="18"/>
          <w:szCs w:val="18"/>
          <w:color w:val="0000EE"/>
        </w:rPr>
      </w:pPr>
    </w:p>
    <w:p>
      <w:pPr>
        <w:ind w:left="1800" w:right="679"/>
        <w:spacing w:after="0" w:line="255" w:lineRule="auto"/>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auto"/>
          </w:rPr>
          <w:t xml:space="preserve">Item 7.01), </w:t>
        </w:r>
        <w:r>
          <w:rPr>
            <w:rFonts w:ascii="Times New Roman" w:cs="Times New Roman" w:eastAsia="Times New Roman" w:hAnsi="Times New Roman"/>
            <w:sz w:val="18"/>
            <w:szCs w:val="18"/>
            <w:u w:val="single" w:color="auto"/>
            <w:color w:val="0000EE"/>
          </w:rPr>
          <w:t>December 22,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subsequent Form 8-K/A filed on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29,</w:t>
        </w:r>
      </w:hyperlink>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49">
        <w:r>
          <w:rPr>
            <w:rFonts w:ascii="Times New Roman" w:cs="Times New Roman" w:eastAsia="Times New Roman" w:hAnsi="Times New Roman"/>
            <w:sz w:val="18"/>
            <w:szCs w:val="18"/>
            <w:u w:val="single" w:color="auto"/>
            <w:color w:val="0000EE"/>
          </w:rPr>
          <w:t>March 4, 2024</w:t>
        </w:r>
      </w:hyperlink>
      <w:hyperlink r:id="rId4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0">
        <w:r>
          <w:rPr>
            <w:rFonts w:ascii="Times New Roman" w:cs="Times New Roman" w:eastAsia="Times New Roman" w:hAnsi="Times New Roman"/>
            <w:sz w:val="18"/>
            <w:szCs w:val="18"/>
            <w:u w:val="single" w:color="auto"/>
            <w:color w:val="0000EE"/>
          </w:rPr>
          <w:t>March 11, 2024</w:t>
        </w:r>
      </w:hyperlink>
      <w:hyperlink r:id="rId48">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 xml:space="preserve">March 18, 2024 </w:t>
        </w:r>
      </w:hyperlink>
      <w:hyperlink r:id="rId48">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2">
        <w:r>
          <w:rPr>
            <w:rFonts w:ascii="Times New Roman" w:cs="Times New Roman" w:eastAsia="Times New Roman" w:hAnsi="Times New Roman"/>
            <w:sz w:val="18"/>
            <w:szCs w:val="18"/>
            <w:u w:val="single" w:color="auto"/>
            <w:color w:val="0000EE"/>
          </w:rPr>
          <w:t>March 21, 2024</w:t>
        </w:r>
      </w:hyperlink>
      <w:hyperlink r:id="rId48">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jc w:val="both"/>
        <w:ind w:left="1800" w:right="719" w:hanging="180"/>
        <w:spacing w:after="0" w:line="282" w:lineRule="auto"/>
        <w:tabs>
          <w:tab w:leader="none" w:pos="1800" w:val="left"/>
        </w:tabs>
        <w:numPr>
          <w:ilvl w:val="0"/>
          <w:numId w:val="7"/>
        </w:numPr>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auto"/>
          </w:rPr>
          <w:t xml:space="preserve">the description of our capital stock contained in our registration statement on </w:t>
        </w:r>
        <w:r>
          <w:rPr>
            <w:rFonts w:ascii="Times New Roman" w:cs="Times New Roman" w:eastAsia="Times New Roman" w:hAnsi="Times New Roman"/>
            <w:sz w:val="18"/>
            <w:szCs w:val="18"/>
            <w:u w:val="single" w:color="auto"/>
            <w:color w:val="0000EE"/>
          </w:rPr>
          <w:t>Form 8-A (File No.</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001-39830) filed on December 23, 2020</w:t>
        </w:r>
        <w:r>
          <w:rPr>
            <w:rFonts w:ascii="Times New Roman" w:cs="Times New Roman" w:eastAsia="Times New Roman" w:hAnsi="Times New Roman"/>
            <w:sz w:val="18"/>
            <w:szCs w:val="18"/>
            <w:color w:val="000000"/>
          </w:rPr>
          <w:t>, and any amendments or reports filed for the purposes of</w:t>
        </w:r>
      </w:hyperlink>
    </w:p>
    <w:p>
      <w:pPr>
        <w:spacing w:after="0" w:line="337"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19"/>
        <w:spacing w:after="0" w:line="282" w:lineRule="auto"/>
        <w:rPr>
          <w:rFonts w:ascii="Times New Roman" w:cs="Times New Roman" w:eastAsia="Times New Roman" w:hAnsi="Times New Roman"/>
          <w:sz w:val="18"/>
          <w:szCs w:val="18"/>
          <w:u w:val="single" w:color="auto"/>
          <w:color w:val="0000EE"/>
        </w:rPr>
      </w:pPr>
      <w:hyperlink r:id="rId55">
        <w:r>
          <w:rPr>
            <w:rFonts w:ascii="Times New Roman" w:cs="Times New Roman" w:eastAsia="Times New Roman" w:hAnsi="Times New Roman"/>
            <w:sz w:val="18"/>
            <w:szCs w:val="18"/>
            <w:color w:val="auto"/>
          </w:rPr>
          <w:t xml:space="preserve">updating this description (including </w:t>
        </w:r>
        <w:r>
          <w:rPr>
            <w:rFonts w:ascii="Times New Roman" w:cs="Times New Roman" w:eastAsia="Times New Roman" w:hAnsi="Times New Roman"/>
            <w:sz w:val="18"/>
            <w:szCs w:val="18"/>
            <w:u w:val="single" w:color="auto"/>
            <w:color w:val="0000EE"/>
          </w:rPr>
          <w:t>Exhibit 4.1 to the Annual Report on Form 10-K for the year</w:t>
        </w:r>
      </w:hyperlink>
      <w:r>
        <w:rPr>
          <w:rFonts w:ascii="Times New Roman" w:cs="Times New Roman" w:eastAsia="Times New Roman" w:hAnsi="Times New Roman"/>
          <w:sz w:val="18"/>
          <w:szCs w:val="18"/>
          <w:color w:val="auto"/>
        </w:rPr>
        <w:t xml:space="preserve"> </w:t>
      </w:r>
      <w:hyperlink r:id="rId55">
        <w:r>
          <w:rPr>
            <w:rFonts w:ascii="Times New Roman" w:cs="Times New Roman" w:eastAsia="Times New Roman" w:hAnsi="Times New Roman"/>
            <w:sz w:val="18"/>
            <w:szCs w:val="18"/>
            <w:u w:val="single" w:color="auto"/>
            <w:color w:val="0000EE"/>
          </w:rPr>
          <w:t>ended June 30, 2023).</w:t>
        </w:r>
      </w:hyperlink>
    </w:p>
    <w:p>
      <w:pPr>
        <w:spacing w:after="0" w:line="9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20"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You may request a free copy of any of the documents incorporated by reference in this prospectus by writing or telephoning us at the following address:</w:t>
      </w:r>
    </w:p>
    <w:p>
      <w:pPr>
        <w:spacing w:after="0" w:line="8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39" w:lineRule="exact"/>
        <w:rPr>
          <w:sz w:val="20"/>
          <w:szCs w:val="20"/>
          <w:color w:val="auto"/>
        </w:rPr>
      </w:pPr>
    </w:p>
    <w:p>
      <w:pPr>
        <w:ind w:left="1260" w:right="1299" w:firstLine="36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32"/>
          <w:szCs w:val="32"/>
          <w:b w:val="1"/>
          <w:bCs w:val="1"/>
          <w:color w:val="auto"/>
        </w:rPr>
        <w:t>Presto Automation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i w:val="1"/>
          <w:iCs w:val="1"/>
          <w:color w:val="auto"/>
        </w:rPr>
        <w:t>Secondary Offering of</w:t>
      </w:r>
    </w:p>
    <w:p>
      <w:pPr>
        <w:spacing w:after="0" w:line="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4"/>
          <w:szCs w:val="24"/>
          <w:b w:val="1"/>
          <w:bCs w:val="1"/>
          <w:color w:val="auto"/>
        </w:rPr>
        <w:t>103,757,492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2651760</wp:posOffset>
            </wp:positionV>
            <wp:extent cx="5212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6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estimated expenses expected to be borne by us in connection with the securities being registered hereby, other than underwriting discounts and commissions.</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2,603.48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2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Accounting fees and expenses</w:t>
            </w:r>
          </w:p>
        </w:tc>
        <w:tc>
          <w:tcPr>
            <w:tcW w:w="1540" w:type="dxa"/>
            <w:vAlign w:val="bottom"/>
            <w:gridSpan w:val="2"/>
          </w:tcPr>
          <w:p>
            <w:pPr>
              <w:ind w:left="1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40" w:type="dxa"/>
            <w:vAlign w:val="bottom"/>
            <w:gridSpan w:val="2"/>
          </w:tcPr>
          <w:p>
            <w:pPr>
              <w:ind w:left="1200"/>
              <w:spacing w:after="0" w:line="54" w:lineRule="exact"/>
              <w:rPr>
                <w:sz w:val="20"/>
                <w:szCs w:val="20"/>
                <w:color w:val="auto"/>
              </w:rPr>
            </w:pPr>
            <w:r>
              <w:rPr>
                <w:rFonts w:ascii="Times New Roman" w:cs="Times New Roman" w:eastAsia="Times New Roman" w:hAnsi="Times New Roman"/>
                <w:sz w:val="6"/>
                <w:szCs w:val="6"/>
                <w:color w:val="auto"/>
              </w:rPr>
              <w:t>​ ​​</w:t>
            </w:r>
          </w:p>
        </w:tc>
        <w:tc>
          <w:tcPr>
            <w:tcW w:w="760" w:type="dxa"/>
            <w:vAlign w:val="bottom"/>
            <w:gridSpan w:val="2"/>
          </w:tcPr>
          <w:p>
            <w:pPr>
              <w:ind w:left="72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Legal fees and expenses</w:t>
            </w:r>
          </w:p>
        </w:tc>
        <w:tc>
          <w:tcPr>
            <w:tcW w:w="1540" w:type="dxa"/>
            <w:vAlign w:val="bottom"/>
            <w:gridSpan w:val="2"/>
            <w:shd w:val="clear" w:color="auto" w:fill="CCEEFF"/>
          </w:tcPr>
          <w:p>
            <w:pPr>
              <w:ind w:left="1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22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540" w:type="dxa"/>
            <w:vAlign w:val="bottom"/>
            <w:gridSpan w:val="2"/>
            <w:shd w:val="clear" w:color="auto" w:fill="CCEEFF"/>
          </w:tcPr>
          <w:p>
            <w:pPr>
              <w:ind w:left="1200"/>
              <w:spacing w:after="0" w:line="54" w:lineRule="exact"/>
              <w:rPr>
                <w:sz w:val="20"/>
                <w:szCs w:val="20"/>
                <w:color w:val="auto"/>
              </w:rPr>
            </w:pPr>
            <w:r>
              <w:rPr>
                <w:rFonts w:ascii="Times New Roman" w:cs="Times New Roman" w:eastAsia="Times New Roman" w:hAnsi="Times New Roman"/>
                <w:sz w:val="6"/>
                <w:szCs w:val="6"/>
                <w:color w:val="auto"/>
              </w:rPr>
              <w:t>​ ​​</w:t>
            </w:r>
          </w:p>
        </w:tc>
        <w:tc>
          <w:tcPr>
            <w:tcW w:w="7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154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22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3"/>
                <w:szCs w:val="3"/>
                <w:color w:val="auto"/>
              </w:rPr>
              <w:t>​ ​​</w:t>
            </w:r>
          </w:p>
        </w:tc>
        <w:tc>
          <w:tcPr>
            <w:tcW w:w="760" w:type="dxa"/>
            <w:vAlign w:val="bottom"/>
            <w:gridSpan w:val="2"/>
          </w:tcPr>
          <w:p>
            <w:pPr>
              <w:ind w:left="720"/>
              <w:spacing w:after="0"/>
              <w:rPr>
                <w:sz w:val="20"/>
                <w:szCs w:val="20"/>
                <w:color w:val="auto"/>
              </w:rPr>
            </w:pPr>
            <w:r>
              <w:rPr>
                <w:rFonts w:ascii="Times New Roman" w:cs="Times New Roman" w:eastAsia="Times New Roman" w:hAnsi="Times New Roman"/>
                <w:sz w:val="3"/>
                <w:szCs w:val="3"/>
                <w:color w:val="auto"/>
              </w:rPr>
              <w:t>​</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2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112,603.48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3"/>
                <w:szCs w:val="3"/>
                <w:color w:val="auto"/>
              </w:rPr>
              <w:t>​</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3"/>
                <w:szCs w:val="3"/>
                <w:color w:val="auto"/>
              </w:rPr>
              <w:t>​ ​​</w:t>
            </w:r>
          </w:p>
        </w:tc>
        <w:tc>
          <w:tcPr>
            <w:tcW w:w="72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21"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27"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w:t>
      </w:r>
    </w:p>
    <w:p>
      <w:pPr>
        <w:ind w:left="1520" w:hanging="260"/>
        <w:spacing w:after="0" w:line="237" w:lineRule="auto"/>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145, or in defense of any claim, issue or matter therein, such person shall be indemnified</w:t>
      </w:r>
    </w:p>
    <w:p>
      <w:pPr>
        <w:ind w:left="126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3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to the corporation or its stockholders 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22" w:lineRule="exact"/>
        <w:rPr>
          <w:sz w:val="20"/>
          <w:szCs w:val="20"/>
          <w:color w:val="auto"/>
        </w:rPr>
      </w:pPr>
    </w:p>
    <w:p>
      <w:pPr>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181"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16.</w:t>
            </w:r>
          </w:p>
        </w:tc>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620" w:type="dxa"/>
            <w:vAlign w:val="bottom"/>
          </w:tcPr>
          <w:p>
            <w:pPr>
              <w:spacing w:after="0"/>
              <w:rPr>
                <w:sz w:val="20"/>
                <w:szCs w:val="20"/>
                <w:color w:val="auto"/>
              </w:rPr>
            </w:pPr>
          </w:p>
        </w:tc>
      </w:tr>
      <w:tr>
        <w:trPr>
          <w:trHeight w:val="365"/>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Exhibits</w:t>
            </w:r>
          </w:p>
        </w:tc>
        <w:tc>
          <w:tcPr>
            <w:tcW w:w="1620" w:type="dxa"/>
            <w:vAlign w:val="bottom"/>
          </w:tcPr>
          <w:p>
            <w:pPr>
              <w:spacing w:after="0"/>
              <w:rPr>
                <w:sz w:val="24"/>
                <w:szCs w:val="24"/>
                <w:color w:val="auto"/>
              </w:rPr>
            </w:pPr>
          </w:p>
        </w:tc>
      </w:tr>
      <w:tr>
        <w:trPr>
          <w:trHeight w:val="32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9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29"/>
        </w:trPr>
        <w:tc>
          <w:tcPr>
            <w:tcW w:w="720" w:type="dxa"/>
            <w:vAlign w:val="bottom"/>
          </w:tcPr>
          <w:p>
            <w:pPr>
              <w:spacing w:after="0" w:line="228" w:lineRule="exact"/>
              <w:rPr>
                <w:sz w:val="20"/>
                <w:szCs w:val="20"/>
                <w:color w:val="auto"/>
              </w:rPr>
            </w:pPr>
            <w:r>
              <w:rPr>
                <w:rFonts w:ascii="Times New Roman" w:cs="Times New Roman" w:eastAsia="Times New Roman" w:hAnsi="Times New Roman"/>
                <w:sz w:val="26"/>
                <w:szCs w:val="26"/>
                <w:b w:val="1"/>
                <w:bCs w:val="1"/>
                <w:u w:val="single" w:color="auto"/>
                <w:color w:val="auto"/>
                <w:vertAlign w:val="subscript"/>
              </w:rPr>
              <w:t>​</w:t>
            </w:r>
            <w:r>
              <w:rPr>
                <w:rFonts w:ascii="Times New Roman" w:cs="Times New Roman" w:eastAsia="Times New Roman" w:hAnsi="Times New Roman"/>
                <w:sz w:val="14"/>
                <w:szCs w:val="14"/>
                <w:b w:val="1"/>
                <w:bCs w:val="1"/>
                <w:u w:val="single" w:color="auto"/>
                <w:color w:val="auto"/>
              </w:rPr>
              <w:t>Number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 ​</w:t>
            </w:r>
          </w:p>
        </w:tc>
        <w:tc>
          <w:tcPr>
            <w:tcW w:w="5900" w:type="dxa"/>
            <w:vAlign w:val="bottom"/>
          </w:tcPr>
          <w:p>
            <w:pPr>
              <w:ind w:left="31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2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1254125</wp:posOffset>
            </wp:positionH>
            <wp:positionV relativeFrom="paragraph">
              <wp:posOffset>-8890</wp:posOffset>
            </wp:positionV>
            <wp:extent cx="47574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475742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7" w:lineRule="exact"/>
        <w:rPr>
          <w:sz w:val="20"/>
          <w:szCs w:val="20"/>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w:t>
      </w: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w:t>
      </w:r>
    </w:p>
    <w:p>
      <w:pPr>
        <w:spacing w:after="0" w:line="200" w:lineRule="exact"/>
        <w:rPr>
          <w:rFonts w:ascii="Times New Roman" w:cs="Times New Roman" w:eastAsia="Times New Roman" w:hAnsi="Times New Roman"/>
          <w:sz w:val="17"/>
          <w:szCs w:val="17"/>
          <w:color w:val="auto"/>
        </w:rPr>
      </w:pPr>
    </w:p>
    <w:p>
      <w:pPr>
        <w:spacing w:after="0" w:line="293"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w:t>
      </w:r>
    </w:p>
    <w:p>
      <w:pPr>
        <w:spacing w:after="0" w:line="277"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w:t>
      </w:r>
    </w:p>
    <w:p>
      <w:pPr>
        <w:spacing w:after="0" w:line="277"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w:t>
      </w:r>
    </w:p>
    <w:p>
      <w:pPr>
        <w:spacing w:after="0" w:line="200" w:lineRule="exact"/>
        <w:rPr>
          <w:rFonts w:ascii="Times New Roman" w:cs="Times New Roman" w:eastAsia="Times New Roman" w:hAnsi="Times New Roman"/>
          <w:sz w:val="17"/>
          <w:szCs w:val="17"/>
          <w:color w:val="auto"/>
        </w:rPr>
      </w:pPr>
    </w:p>
    <w:p>
      <w:pPr>
        <w:spacing w:after="0" w:line="306" w:lineRule="exact"/>
        <w:rPr>
          <w:rFonts w:ascii="Times New Roman" w:cs="Times New Roman" w:eastAsia="Times New Roman" w:hAnsi="Times New Roman"/>
          <w:sz w:val="17"/>
          <w:szCs w:val="17"/>
          <w:color w:val="auto"/>
        </w:rPr>
      </w:pPr>
    </w:p>
    <w:p>
      <w:pPr>
        <w:ind w:left="1360" w:hanging="100"/>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ind w:right="359"/>
        <w:spacing w:after="0" w:line="260" w:lineRule="auto"/>
        <w:rPr>
          <w:rFonts w:ascii="Times New Roman" w:cs="Times New Roman" w:eastAsia="Times New Roman" w:hAnsi="Times New Roman"/>
          <w:sz w:val="18"/>
          <w:szCs w:val="18"/>
          <w:u w:val="single" w:color="auto"/>
          <w:color w:val="0000EE"/>
        </w:rPr>
      </w:pPr>
      <w:hyperlink r:id="rId64">
        <w:r>
          <w:rPr>
            <w:rFonts w:ascii="Times New Roman" w:cs="Times New Roman" w:eastAsia="Times New Roman" w:hAnsi="Times New Roman"/>
            <w:sz w:val="18"/>
            <w:szCs w:val="18"/>
            <w:u w:val="single" w:color="auto"/>
            <w:color w:val="0000EE"/>
          </w:rPr>
          <w:t>Merger Agreement, dated as of November 10, 2021, by and among VTAQ, Ventoux Merger Sub I,</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Ventoux Merger Sub II and Legacy Presto (incorporated by reference to Exhibit 2.1 to the Current</w:t>
        </w:r>
      </w:hyperlink>
      <w:r>
        <w:rPr>
          <w:rFonts w:ascii="Times New Roman" w:cs="Times New Roman" w:eastAsia="Times New Roman" w:hAnsi="Times New Roman"/>
          <w:sz w:val="18"/>
          <w:szCs w:val="18"/>
          <w:u w:val="single" w:color="auto"/>
          <w:color w:val="0000EE"/>
        </w:rPr>
        <w:t xml:space="preserve"> </w:t>
      </w:r>
      <w:hyperlink r:id="rId64">
        <w:r>
          <w:rPr>
            <w:rFonts w:ascii="Times New Roman" w:cs="Times New Roman" w:eastAsia="Times New Roman" w:hAnsi="Times New Roman"/>
            <w:sz w:val="18"/>
            <w:szCs w:val="18"/>
            <w:u w:val="single" w:color="auto"/>
            <w:color w:val="0000EE"/>
          </w:rPr>
          <w:t>Report on Form 8-K filed on November 10, 2021).</w:t>
        </w:r>
      </w:hyperlink>
    </w:p>
    <w:p>
      <w:pPr>
        <w:spacing w:after="0" w:line="1" w:lineRule="exact"/>
        <w:rPr>
          <w:rFonts w:ascii="Times New Roman" w:cs="Times New Roman" w:eastAsia="Times New Roman" w:hAnsi="Times New Roman"/>
          <w:sz w:val="18"/>
          <w:szCs w:val="18"/>
          <w:color w:val="0000EE"/>
        </w:rPr>
      </w:pPr>
    </w:p>
    <w:p>
      <w:pPr>
        <w:ind w:right="359"/>
        <w:spacing w:after="0" w:line="266" w:lineRule="auto"/>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Amendment No. 1 to Merger Agreement, dated as of April 1, 2022, by and among VTAQ, Ventoux</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Merger Sub I, Ventoux Merger Sub II and Presto (incorporated by reference to Exhibit 2.1 to the</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Current Report on Form 8-K filed on April 4, 2022).</w:t>
        </w:r>
      </w:hyperlink>
    </w:p>
    <w:p>
      <w:pPr>
        <w:ind w:right="359"/>
        <w:spacing w:after="0" w:line="266" w:lineRule="auto"/>
        <w:rPr>
          <w:rFonts w:ascii="Times New Roman" w:cs="Times New Roman" w:eastAsia="Times New Roman" w:hAnsi="Times New Roman"/>
          <w:sz w:val="18"/>
          <w:szCs w:val="18"/>
          <w:u w:val="single" w:color="auto"/>
          <w:color w:val="0000EE"/>
        </w:rPr>
      </w:pPr>
      <w:hyperlink r:id="rId66">
        <w:r>
          <w:rPr>
            <w:rFonts w:ascii="Times New Roman" w:cs="Times New Roman" w:eastAsia="Times New Roman" w:hAnsi="Times New Roman"/>
            <w:sz w:val="18"/>
            <w:szCs w:val="18"/>
            <w:u w:val="single" w:color="auto"/>
            <w:color w:val="0000EE"/>
          </w:rPr>
          <w:t>Amendment No. 2 to Merger Agreement, dated as of July 25, 2022, by and among VTAQ, Ventoux</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6">
        <w:r>
          <w:rPr>
            <w:rFonts w:ascii="Times New Roman" w:cs="Times New Roman" w:eastAsia="Times New Roman" w:hAnsi="Times New Roman"/>
            <w:sz w:val="18"/>
            <w:szCs w:val="18"/>
            <w:u w:val="single" w:color="auto"/>
            <w:color w:val="0000EE"/>
          </w:rPr>
          <w:t>Merger Sub I, Ventoux Merger Sub II and Presto (incorporated by reference to Exhibit 2.1 to the</w:t>
        </w:r>
      </w:hyperlink>
      <w:r>
        <w:rPr>
          <w:rFonts w:ascii="Times New Roman" w:cs="Times New Roman" w:eastAsia="Times New Roman" w:hAnsi="Times New Roman"/>
          <w:sz w:val="18"/>
          <w:szCs w:val="18"/>
          <w:u w:val="single" w:color="auto"/>
          <w:color w:val="0000EE"/>
        </w:rPr>
        <w:t xml:space="preserve"> </w:t>
      </w:r>
      <w:hyperlink r:id="rId66">
        <w:r>
          <w:rPr>
            <w:rFonts w:ascii="Times New Roman" w:cs="Times New Roman" w:eastAsia="Times New Roman" w:hAnsi="Times New Roman"/>
            <w:sz w:val="18"/>
            <w:szCs w:val="18"/>
            <w:u w:val="single" w:color="auto"/>
            <w:color w:val="0000EE"/>
          </w:rPr>
          <w:t>Current Report on Form 8-K filed on July 26, 2022).</w:t>
        </w:r>
      </w:hyperlink>
    </w:p>
    <w:p>
      <w:pPr>
        <w:ind w:right="359"/>
        <w:spacing w:after="0" w:line="273" w:lineRule="auto"/>
        <w:rPr>
          <w:rFonts w:ascii="Times New Roman" w:cs="Times New Roman" w:eastAsia="Times New Roman" w:hAnsi="Times New Roman"/>
          <w:sz w:val="18"/>
          <w:szCs w:val="18"/>
          <w:u w:val="single" w:color="auto"/>
          <w:color w:val="0000EE"/>
        </w:rPr>
      </w:pPr>
      <w:hyperlink r:id="rId67">
        <w:r>
          <w:rPr>
            <w:rFonts w:ascii="Times New Roman" w:cs="Times New Roman" w:eastAsia="Times New Roman" w:hAnsi="Times New Roman"/>
            <w:sz w:val="18"/>
            <w:szCs w:val="18"/>
            <w:u w:val="single" w:color="auto"/>
            <w:color w:val="0000EE"/>
          </w:rPr>
          <w:t>Second Amended &amp; Restated Certificate of Incorporation (incorporated by reference to Exhibit 3.1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7">
        <w:r>
          <w:rPr>
            <w:rFonts w:ascii="Times New Roman" w:cs="Times New Roman" w:eastAsia="Times New Roman" w:hAnsi="Times New Roman"/>
            <w:sz w:val="18"/>
            <w:szCs w:val="18"/>
            <w:u w:val="single" w:color="auto"/>
            <w:color w:val="0000EE"/>
          </w:rPr>
          <w:t>to the Current Report on Form 8-K filed on September 27, 2022).</w:t>
        </w:r>
      </w:hyperlink>
    </w:p>
    <w:p>
      <w:pPr>
        <w:spacing w:after="0" w:line="2" w:lineRule="exact"/>
        <w:rPr>
          <w:sz w:val="20"/>
          <w:szCs w:val="20"/>
          <w:color w:val="auto"/>
        </w:rPr>
      </w:pPr>
    </w:p>
    <w:p>
      <w:pPr>
        <w:ind w:right="359"/>
        <w:spacing w:after="0" w:line="273" w:lineRule="auto"/>
        <w:rPr>
          <w:rFonts w:ascii="Times New Roman" w:cs="Times New Roman" w:eastAsia="Times New Roman" w:hAnsi="Times New Roman"/>
          <w:sz w:val="18"/>
          <w:szCs w:val="18"/>
          <w:u w:val="single" w:color="auto"/>
          <w:color w:val="0000EE"/>
        </w:rPr>
      </w:pPr>
      <w:hyperlink r:id="rId68">
        <w:r>
          <w:rPr>
            <w:rFonts w:ascii="Times New Roman" w:cs="Times New Roman" w:eastAsia="Times New Roman" w:hAnsi="Times New Roman"/>
            <w:sz w:val="18"/>
            <w:szCs w:val="18"/>
            <w:u w:val="single" w:color="auto"/>
            <w:color w:val="0000EE"/>
          </w:rPr>
          <w:t>Bylaws of Presto Automation Inc. (incorporated by reference to Exhibit 3.2 to the Current Report</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8">
        <w:r>
          <w:rPr>
            <w:rFonts w:ascii="Times New Roman" w:cs="Times New Roman" w:eastAsia="Times New Roman" w:hAnsi="Times New Roman"/>
            <w:sz w:val="18"/>
            <w:szCs w:val="18"/>
            <w:u w:val="single" w:color="auto"/>
            <w:color w:val="0000EE"/>
          </w:rPr>
          <w:t>on Form 8-K filed on September 27, 2022).</w:t>
        </w:r>
      </w:hyperlink>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Registration Rights Agreement, dated as of October 17, 2023, by and among Presto Automation</w:t>
              </w:r>
            </w:hyperlink>
          </w:p>
        </w:tc>
        <w:tc>
          <w:tcPr>
            <w:tcW w:w="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240" w:type="dxa"/>
            <w:vAlign w:val="bottom"/>
            <w:gridSpan w:val="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Inc. and certain persons listed therein (incorporated by reference to Exhibit 4.36 to the</w:t>
              </w:r>
            </w:hyperlink>
          </w:p>
        </w:tc>
        <w:tc>
          <w:tcPr>
            <w:tcW w:w="300" w:type="dxa"/>
            <w:vAlign w:val="bottom"/>
          </w:tcPr>
          <w:p>
            <w:pPr>
              <w:spacing w:after="0"/>
              <w:rPr>
                <w:sz w:val="17"/>
                <w:szCs w:val="17"/>
                <w:color w:val="auto"/>
              </w:rPr>
            </w:pPr>
          </w:p>
        </w:tc>
      </w:tr>
      <w:tr>
        <w:trPr>
          <w:trHeight w:val="196"/>
        </w:trPr>
        <w:tc>
          <w:tcPr>
            <w:tcW w:w="48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Registration Statement on Form S-3 filed on October 20, 2023).</w:t>
              </w:r>
            </w:hyperlink>
          </w:p>
        </w:tc>
        <w:tc>
          <w:tcPr>
            <w:tcW w:w="1700" w:type="dxa"/>
            <w:vAlign w:val="bottom"/>
            <w:tcBorders>
              <w:top w:val="single" w:sz="8" w:color="0000EE"/>
            </w:tcBorders>
          </w:tcPr>
          <w:p>
            <w:pPr>
              <w:spacing w:after="0"/>
              <w:rPr>
                <w:sz w:val="17"/>
                <w:szCs w:val="17"/>
                <w:color w:val="auto"/>
              </w:rPr>
            </w:pPr>
          </w:p>
        </w:tc>
        <w:tc>
          <w:tcPr>
            <w:tcW w:w="72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68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Amended and Restated Warrant to Purchase Common Stock, dated March 21, 2024, by and</w:t>
              </w:r>
            </w:hyperlink>
          </w:p>
        </w:tc>
        <w:tc>
          <w:tcPr>
            <w:tcW w:w="360" w:type="dxa"/>
            <w:vAlign w:val="bottom"/>
            <w:gridSpan w:val="3"/>
          </w:tcPr>
          <w:p>
            <w:pPr>
              <w:spacing w:after="0"/>
              <w:rPr>
                <w:sz w:val="21"/>
                <w:szCs w:val="21"/>
                <w:color w:val="auto"/>
              </w:rPr>
            </w:pPr>
          </w:p>
        </w:tc>
        <w:tc>
          <w:tcPr>
            <w:tcW w:w="3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0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between Presto Automation Inc. and Metropolitan Levered Partners Fund VII, LP (originally</w:t>
              </w:r>
            </w:hyperlink>
          </w:p>
        </w:tc>
        <w:tc>
          <w:tcPr>
            <w:tcW w:w="2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7240" w:type="dxa"/>
            <w:vAlign w:val="bottom"/>
            <w:gridSpan w:val="7"/>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issued October 16, 2023) (incorporated by reference to Exhibit 10.10 to the Current Report on</w:t>
              </w:r>
            </w:hyperlink>
          </w:p>
        </w:tc>
        <w:tc>
          <w:tcPr>
            <w:tcW w:w="300" w:type="dxa"/>
            <w:vAlign w:val="bottom"/>
          </w:tcPr>
          <w:p>
            <w:pPr>
              <w:spacing w:after="0"/>
              <w:rPr>
                <w:sz w:val="17"/>
                <w:szCs w:val="17"/>
                <w:color w:val="auto"/>
              </w:rPr>
            </w:pPr>
          </w:p>
        </w:tc>
      </w:tr>
      <w:tr>
        <w:trPr>
          <w:trHeight w:val="196"/>
        </w:trPr>
        <w:tc>
          <w:tcPr>
            <w:tcW w:w="71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Form 8-K filed on March 21, 2024).</w:t>
              </w:r>
            </w:hyperlink>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
        </w:trPr>
        <w:tc>
          <w:tcPr>
            <w:tcW w:w="272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1580" w:space="200"/>
            <w:col w:w="140" w:space="60"/>
            <w:col w:w="7899"/>
          </w:cols>
          <w:pgMar w:left="580" w:top="97" w:right="1440" w:bottom="1440" w:gutter="0" w:footer="0" w:header="0"/>
          <w:type w:val="continuous"/>
        </w:sectPr>
      </w:pPr>
    </w:p>
    <w:p>
      <w:pPr>
        <w:spacing w:after="0" w:line="24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4"/>
        </w:trPr>
        <w:tc>
          <w:tcPr>
            <w:tcW w:w="72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 ​</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760" w:type="dxa"/>
            <w:vAlign w:val="bottom"/>
            <w:gridSpan w:val="14"/>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6"/>
        </w:trPr>
        <w:tc>
          <w:tcPr>
            <w:tcW w:w="5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 4.3</w:t>
            </w:r>
          </w:p>
        </w:tc>
        <w:tc>
          <w:tcPr>
            <w:tcW w:w="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Borders>
              <w:top w:val="single" w:sz="8" w:color="auto"/>
            </w:tcBorders>
          </w:tcPr>
          <w:p>
            <w:pPr>
              <w:spacing w:after="0"/>
              <w:rPr>
                <w:sz w:val="17"/>
                <w:szCs w:val="17"/>
                <w:color w:val="auto"/>
              </w:rPr>
            </w:pPr>
          </w:p>
        </w:tc>
        <w:tc>
          <w:tcPr>
            <w:tcW w:w="6860" w:type="dxa"/>
            <w:vAlign w:val="bottom"/>
            <w:tcBorders>
              <w:top w:val="single" w:sz="8" w:color="auto"/>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Amended and Restated Warrant to Purchase Common Stock, dated March 21, 2024, by and</w:t>
              </w:r>
            </w:hyperlink>
          </w:p>
        </w:tc>
        <w:tc>
          <w:tcPr>
            <w:tcW w:w="600" w:type="dxa"/>
            <w:vAlign w:val="bottom"/>
            <w:tcBorders>
              <w:top w:val="single" w:sz="8" w:color="auto"/>
            </w:tcBorders>
            <w:gridSpan w:val="10"/>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between Presto Automation Inc. and Metropolitan Partners Fund VII, LP (originally issued</w:t>
              </w:r>
            </w:hyperlink>
          </w:p>
        </w:tc>
        <w:tc>
          <w:tcPr>
            <w:tcW w:w="620" w:type="dxa"/>
            <w:vAlign w:val="bottom"/>
            <w:gridSpan w:val="11"/>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October 16, 2023) (incorporated by reference to Exhibit 10.11 to the Current Report on Form 8-K</w:t>
              </w:r>
            </w:hyperlink>
          </w:p>
        </w:tc>
        <w:tc>
          <w:tcPr>
            <w:tcW w:w="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filed on March 21, 2024).</w:t>
              </w:r>
            </w:hyperlink>
          </w:p>
        </w:tc>
        <w:tc>
          <w:tcPr>
            <w:tcW w:w="5540" w:type="dxa"/>
            <w:vAlign w:val="bottom"/>
            <w:gridSpan w:val="15"/>
          </w:tcPr>
          <w:p>
            <w:pPr>
              <w:spacing w:after="0"/>
              <w:rPr>
                <w:sz w:val="17"/>
                <w:szCs w:val="17"/>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768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3">
              <w:r>
                <w:rPr>
                  <w:rFonts w:ascii="Times New Roman" w:cs="Times New Roman" w:eastAsia="Times New Roman" w:hAnsi="Times New Roman"/>
                  <w:sz w:val="18"/>
                  <w:szCs w:val="18"/>
                  <w:color w:val="0000EE"/>
                </w:rPr>
                <w:t>Amended and Restated Warrant to Purchase Common Stock, dated March 21, 2024, by and</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between Presto Automation Inc. and Metropolitan Offshore Partners Fund VII, LP (originally</w:t>
              </w:r>
            </w:hyperlink>
          </w:p>
        </w:tc>
        <w:tc>
          <w:tcPr>
            <w:tcW w:w="400" w:type="dxa"/>
            <w:vAlign w:val="bottom"/>
            <w:gridSpan w:val="7"/>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issued October 16, 2023) (incorporated by reference to Exhibit 10.12 to the Current Report on</w:t>
              </w:r>
            </w:hyperlink>
          </w:p>
        </w:tc>
        <w:tc>
          <w:tcPr>
            <w:tcW w:w="360" w:type="dxa"/>
            <w:vAlign w:val="bottom"/>
            <w:gridSpan w:val="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gridSpan w:val="17"/>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8-K filed on March 21, 2024).</w:t>
              </w:r>
            </w:hyperlink>
          </w:p>
        </w:tc>
      </w:tr>
      <w:tr>
        <w:trPr>
          <w:trHeight w:val="20"/>
        </w:trPr>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68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4">
              <w:r>
                <w:rPr>
                  <w:rFonts w:ascii="Times New Roman" w:cs="Times New Roman" w:eastAsia="Times New Roman" w:hAnsi="Times New Roman"/>
                  <w:sz w:val="18"/>
                  <w:szCs w:val="18"/>
                  <w:color w:val="0000EE"/>
                </w:rPr>
                <w:t>Amended and Restated Warrant to Purchase Common Stock, dated January 30, 2024, by and</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between Presto Automation Inc. and CEOF Holdings, LP (originally issued October 16, 2023)</w:t>
              </w:r>
            </w:hyperlink>
          </w:p>
        </w:tc>
        <w:tc>
          <w:tcPr>
            <w:tcW w:w="360" w:type="dxa"/>
            <w:vAlign w:val="bottom"/>
            <w:gridSpan w:val="5"/>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gridSpan w:val="17"/>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(incorporated by reference to Exhibit 10.13 to the Current Report on Form 8-K filed on March 21,</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gridSpan w:val="2"/>
          </w:tcPr>
          <w:p>
            <w:pPr>
              <w:spacing w:after="0" w:line="196" w:lineRule="exact"/>
              <w:rPr>
                <w:rFonts w:ascii="Times New Roman" w:cs="Times New Roman" w:eastAsia="Times New Roman" w:hAnsi="Times New Roman"/>
                <w:sz w:val="18"/>
                <w:szCs w:val="18"/>
                <w:color w:val="0000EE"/>
                <w:w w:val="98"/>
              </w:rPr>
            </w:pPr>
            <w:hyperlink r:id="rId74">
              <w:r>
                <w:rPr>
                  <w:rFonts w:ascii="Times New Roman" w:cs="Times New Roman" w:eastAsia="Times New Roman" w:hAnsi="Times New Roman"/>
                  <w:sz w:val="18"/>
                  <w:szCs w:val="18"/>
                  <w:color w:val="0000EE"/>
                  <w:w w:val="98"/>
                </w:rPr>
                <w:t>2024).</w:t>
              </w:r>
            </w:hyperlink>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68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5">
              <w:r>
                <w:rPr>
                  <w:rFonts w:ascii="Times New Roman" w:cs="Times New Roman" w:eastAsia="Times New Roman" w:hAnsi="Times New Roman"/>
                  <w:sz w:val="18"/>
                  <w:szCs w:val="18"/>
                  <w:color w:val="0000EE"/>
                </w:rPr>
                <w:t>Form of Subordinated Convertible Note, dated as of January 30, 2024 (incorporated by reference</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to Exhibit 10.2 to the Current Report on Form 8-K filed on February 2, 2024).</w:t>
              </w:r>
            </w:hyperlink>
          </w:p>
        </w:tc>
        <w:tc>
          <w:tcPr>
            <w:tcW w:w="1420" w:type="dxa"/>
            <w:vAlign w:val="bottom"/>
            <w:tcBorders>
              <w:top w:val="single" w:sz="8" w:color="0000EE"/>
            </w:tcBorders>
            <w:gridSpan w:val="10"/>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768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6">
              <w:r>
                <w:rPr>
                  <w:rFonts w:ascii="Times New Roman" w:cs="Times New Roman" w:eastAsia="Times New Roman" w:hAnsi="Times New Roman"/>
                  <w:sz w:val="18"/>
                  <w:szCs w:val="18"/>
                  <w:color w:val="0000EE"/>
                </w:rPr>
                <w:t>Form of Registration Rights Agreement, dated as of January 30, 2024, by and between Presto</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344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gridSpan w:val="17"/>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Automation Inc. and the holders thereto (incorporated by reference to Exhibit 10.3 to the Current</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Report on Form 8-K filed on February 2, 2024).</w:t>
              </w:r>
            </w:hyperlink>
          </w:p>
        </w:tc>
        <w:tc>
          <w:tcPr>
            <w:tcW w:w="370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768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7">
              <w:r>
                <w:rPr>
                  <w:rFonts w:ascii="Times New Roman" w:cs="Times New Roman" w:eastAsia="Times New Roman" w:hAnsi="Times New Roman"/>
                  <w:sz w:val="18"/>
                  <w:szCs w:val="18"/>
                  <w:color w:val="0000EE"/>
                </w:rPr>
                <w:t>Amended and Restated Warrant to Purchase Common Stock, dated March 21, 2024, by and</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7"/>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between Presto Automation Inc. and Metropolitan Levered Partners Fund VII, LP (originally</w:t>
              </w:r>
            </w:hyperlink>
          </w:p>
        </w:tc>
        <w:tc>
          <w:tcPr>
            <w:tcW w:w="420" w:type="dxa"/>
            <w:vAlign w:val="bottom"/>
            <w:gridSpan w:val="8"/>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gridSpan w:val="17"/>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issued on January 30, 2024) (incorporated by reference to Exhibit 10.6 to the Current Report on</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8-K filed on March 21, 2024).</w:t>
              </w:r>
            </w:hyperlink>
          </w:p>
        </w:tc>
        <w:tc>
          <w:tcPr>
            <w:tcW w:w="260" w:type="dxa"/>
            <w:vAlign w:val="bottom"/>
            <w:gridSpan w:val="4"/>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38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7680" w:type="dxa"/>
            <w:vAlign w:val="bottom"/>
            <w:gridSpan w:val="19"/>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 </w:t>
            </w:r>
            <w:hyperlink r:id="rId78">
              <w:r>
                <w:rPr>
                  <w:rFonts w:ascii="Times New Roman" w:cs="Times New Roman" w:eastAsia="Times New Roman" w:hAnsi="Times New Roman"/>
                  <w:sz w:val="18"/>
                  <w:szCs w:val="18"/>
                  <w:color w:val="0000EE"/>
                </w:rPr>
                <w:t>Amended and Restated Warrant to Purchase Common Stock, dated March 21, 2024, by and</w:t>
              </w:r>
            </w:hyperlink>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60" w:type="dxa"/>
            <w:vAlign w:val="bottom"/>
            <w:gridSpan w:val="7"/>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between Presto Automation Inc. and Metropolitan Partners Fund VII, LP (originally issued on</w:t>
              </w:r>
            </w:hyperlink>
          </w:p>
        </w:tc>
        <w:tc>
          <w:tcPr>
            <w:tcW w:w="380" w:type="dxa"/>
            <w:vAlign w:val="bottom"/>
            <w:gridSpan w:val="6"/>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gridSpan w:val="17"/>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January 30, 2024) (incorporated by reference to Exhibit 10.7 to the Current Report on Form 8-K</w:t>
              </w:r>
            </w:hyperlink>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filed on March 21, 2024).</w:t>
              </w:r>
            </w:hyperlink>
          </w:p>
        </w:tc>
        <w:tc>
          <w:tcPr>
            <w:tcW w:w="5320" w:type="dxa"/>
            <w:vAlign w:val="bottom"/>
            <w:tcBorders>
              <w:top w:val="single" w:sz="8" w:color="0000EE"/>
            </w:tcBorders>
            <w:gridSpan w:val="12"/>
          </w:tcPr>
          <w:p>
            <w:pPr>
              <w:spacing w:after="0"/>
              <w:rPr>
                <w:sz w:val="17"/>
                <w:szCs w:val="17"/>
                <w:color w:val="auto"/>
              </w:rPr>
            </w:pPr>
          </w:p>
        </w:tc>
        <w:tc>
          <w:tcPr>
            <w:tcW w:w="220" w:type="dxa"/>
            <w:vAlign w:val="bottom"/>
            <w:gridSpan w:val="3"/>
          </w:tcPr>
          <w:p>
            <w:pPr>
              <w:spacing w:after="0"/>
              <w:rPr>
                <w:sz w:val="17"/>
                <w:szCs w:val="17"/>
                <w:color w:val="auto"/>
              </w:rPr>
            </w:pPr>
          </w:p>
        </w:tc>
      </w:tr>
    </w:tbl>
    <w:p>
      <w:pPr>
        <w:spacing w:after="0" w:line="36" w:lineRule="exact"/>
        <w:rPr>
          <w:sz w:val="20"/>
          <w:szCs w:val="20"/>
          <w:color w:val="auto"/>
        </w:rPr>
      </w:pPr>
    </w:p>
    <w:p>
      <w:pPr>
        <w:ind w:left="1980" w:right="260" w:hanging="720"/>
        <w:spacing w:after="0" w:line="266" w:lineRule="auto"/>
        <w:tabs>
          <w:tab w:leader="none" w:pos="1354"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4.10 ​ ​ </w:t>
      </w:r>
      <w:hyperlink r:id="rId79">
        <w:r>
          <w:rPr>
            <w:rFonts w:ascii="Times New Roman" w:cs="Times New Roman" w:eastAsia="Times New Roman" w:hAnsi="Times New Roman"/>
            <w:sz w:val="18"/>
            <w:szCs w:val="18"/>
            <w:u w:val="single" w:color="auto"/>
            <w:color w:val="0000EE"/>
          </w:rPr>
          <w:t>Amended and Restated Warrant to Purchase Common Stock, dated March 21, 2024, by and</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between Presto Automation Inc. and Metropolitan Offshore Partners Fund VII, LP (originally</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issued on January 30, 2024) (incorporated by reference to Exhibit 10.8 to the Current Report on</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Form 8-K filed on March 21, 2024).</w:t>
        </w:r>
      </w:hyperlink>
    </w:p>
    <w:p>
      <w:pPr>
        <w:jc w:val="both"/>
        <w:ind w:left="1980" w:right="160" w:hanging="720"/>
        <w:spacing w:after="0" w:line="266" w:lineRule="auto"/>
        <w:tabs>
          <w:tab w:leader="none" w:pos="1354"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4.11 ​ ​ </w:t>
      </w:r>
      <w:hyperlink r:id="rId80">
        <w:r>
          <w:rPr>
            <w:rFonts w:ascii="Times New Roman" w:cs="Times New Roman" w:eastAsia="Times New Roman" w:hAnsi="Times New Roman"/>
            <w:sz w:val="18"/>
            <w:szCs w:val="18"/>
            <w:u w:val="single" w:color="auto"/>
            <w:color w:val="0000EE"/>
          </w:rPr>
          <w:t>Amended and Restated Warrant to Purchase Common Stock, dated March 21, 2024, by and</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between Presto Automation Inc. and CEOF Holdings, LP (originally issued on January 30, 2024)</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(incorporated by reference to Exhibit 10.9 to the Current Report on Form 8-K filed on March 21,</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2024).</w:t>
        </w:r>
      </w:hyperlink>
    </w:p>
    <w:p>
      <w:pPr>
        <w:ind w:left="1980" w:right="160" w:hanging="720"/>
        <w:spacing w:after="0" w:line="281" w:lineRule="auto"/>
        <w:tabs>
          <w:tab w:leader="none" w:pos="1354"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4.12 ​ ​ </w:t>
      </w:r>
      <w:hyperlink r:id="rId81">
        <w:r>
          <w:rPr>
            <w:rFonts w:ascii="Times New Roman" w:cs="Times New Roman" w:eastAsia="Times New Roman" w:hAnsi="Times New Roman"/>
            <w:sz w:val="18"/>
            <w:szCs w:val="18"/>
            <w:u w:val="single" w:color="auto"/>
            <w:color w:val="0000EE"/>
          </w:rPr>
          <w:t>Form of Subordinated Convertible Note, dated as of March 1, 2024 (incorporated by reference to</w:t>
        </w:r>
      </w:hyperlink>
      <w:r>
        <w:rPr>
          <w:rFonts w:ascii="Times New Roman" w:cs="Times New Roman" w:eastAsia="Times New Roman" w:hAnsi="Times New Roman"/>
          <w:sz w:val="18"/>
          <w:szCs w:val="18"/>
          <w:color w:val="auto"/>
        </w:rPr>
        <w:t xml:space="preserve"> </w:t>
      </w:r>
      <w:hyperlink r:id="rId81">
        <w:r>
          <w:rPr>
            <w:rFonts w:ascii="Times New Roman" w:cs="Times New Roman" w:eastAsia="Times New Roman" w:hAnsi="Times New Roman"/>
            <w:sz w:val="18"/>
            <w:szCs w:val="18"/>
            <w:u w:val="single" w:color="auto"/>
            <w:color w:val="0000EE"/>
          </w:rPr>
          <w:t>Exhibit 10.2 to the Current Report on Form 8-K filed on March 4, 2024).</w:t>
        </w:r>
      </w:hyperlink>
    </w:p>
    <w:p>
      <w:pPr>
        <w:spacing w:after="0" w:line="1" w:lineRule="exact"/>
        <w:rPr>
          <w:rFonts w:ascii="Times New Roman" w:cs="Times New Roman" w:eastAsia="Times New Roman" w:hAnsi="Times New Roman"/>
          <w:sz w:val="18"/>
          <w:szCs w:val="18"/>
          <w:u w:val="single" w:color="auto"/>
          <w:color w:val="0000EE"/>
        </w:rPr>
      </w:pPr>
    </w:p>
    <w:p>
      <w:pPr>
        <w:ind w:left="1980" w:right="180" w:hanging="720"/>
        <w:spacing w:after="0" w:line="281" w:lineRule="auto"/>
        <w:tabs>
          <w:tab w:leader="none" w:pos="1354"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4.13 ​ ​ </w:t>
      </w:r>
      <w:hyperlink r:id="rId82">
        <w:r>
          <w:rPr>
            <w:rFonts w:ascii="Times New Roman" w:cs="Times New Roman" w:eastAsia="Times New Roman" w:hAnsi="Times New Roman"/>
            <w:sz w:val="18"/>
            <w:szCs w:val="18"/>
            <w:u w:val="single" w:color="auto"/>
            <w:color w:val="0000EE"/>
          </w:rPr>
          <w:t>Form of Registration Rights Agreement, dated as of March 1, 2024 (incorporated by reference to</w:t>
        </w:r>
      </w:hyperlink>
      <w:r>
        <w:rPr>
          <w:rFonts w:ascii="Times New Roman" w:cs="Times New Roman" w:eastAsia="Times New Roman" w:hAnsi="Times New Roman"/>
          <w:sz w:val="18"/>
          <w:szCs w:val="18"/>
          <w:color w:val="auto"/>
        </w:rPr>
        <w:t xml:space="preserve"> </w:t>
      </w:r>
      <w:hyperlink r:id="rId82">
        <w:r>
          <w:rPr>
            <w:rFonts w:ascii="Times New Roman" w:cs="Times New Roman" w:eastAsia="Times New Roman" w:hAnsi="Times New Roman"/>
            <w:sz w:val="18"/>
            <w:szCs w:val="18"/>
            <w:u w:val="single" w:color="auto"/>
            <w:color w:val="0000EE"/>
          </w:rPr>
          <w:t>Exhibit 10.4 to the Current Report on Form 8-K filed on March 4, 2024).</w:t>
        </w:r>
      </w:hyperlink>
    </w:p>
    <w:p>
      <w:pPr>
        <w:spacing w:after="0" w:line="1" w:lineRule="exact"/>
        <w:rPr>
          <w:rFonts w:ascii="Times New Roman" w:cs="Times New Roman" w:eastAsia="Times New Roman" w:hAnsi="Times New Roman"/>
          <w:sz w:val="18"/>
          <w:szCs w:val="18"/>
          <w:u w:val="single" w:color="auto"/>
          <w:color w:val="0000EE"/>
        </w:rPr>
      </w:pPr>
    </w:p>
    <w:p>
      <w:pPr>
        <w:ind w:left="1980" w:right="160" w:hanging="720"/>
        <w:spacing w:after="0" w:line="266" w:lineRule="auto"/>
        <w:tabs>
          <w:tab w:leader="none" w:pos="1354"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4.14 ​ ​ </w:t>
      </w:r>
      <w:hyperlink r:id="rId83">
        <w:r>
          <w:rPr>
            <w:rFonts w:ascii="Times New Roman" w:cs="Times New Roman" w:eastAsia="Times New Roman" w:hAnsi="Times New Roman"/>
            <w:sz w:val="18"/>
            <w:szCs w:val="18"/>
            <w:u w:val="single" w:color="auto"/>
            <w:color w:val="0000EE"/>
          </w:rPr>
          <w:t>Waiver and Extension of Registration Rights, dated as of March 21, 2024, by and among Presto</w:t>
        </w:r>
      </w:hyperlink>
      <w:r>
        <w:rPr>
          <w:rFonts w:ascii="Times New Roman" w:cs="Times New Roman" w:eastAsia="Times New Roman" w:hAnsi="Times New Roman"/>
          <w:sz w:val="18"/>
          <w:szCs w:val="18"/>
          <w:color w:val="auto"/>
        </w:rPr>
        <w:t xml:space="preserve"> </w:t>
      </w:r>
      <w:hyperlink r:id="rId83">
        <w:r>
          <w:rPr>
            <w:rFonts w:ascii="Times New Roman" w:cs="Times New Roman" w:eastAsia="Times New Roman" w:hAnsi="Times New Roman"/>
            <w:sz w:val="18"/>
            <w:szCs w:val="18"/>
            <w:u w:val="single" w:color="auto"/>
            <w:color w:val="0000EE"/>
          </w:rPr>
          <w:t>Automation Inc., Presto CA LLC, CEOF Holdings LP and certain entities affiliated with</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Metropolitan Partners Group Administration, LLC (incorporated by reference to Exhibit 10.14 to</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the Current Report on Form 8-K filed on March 21, 2024).</w:t>
        </w:r>
      </w:hyperlink>
    </w:p>
    <w:tbl>
      <w:tblPr>
        <w:tblLayout w:type="fixed"/>
        <w:tblInd w:w="1260" w:type="dxa"/>
        <w:tblCellMar>
          <w:top w:w="0" w:type="dxa"/>
          <w:left w:w="0" w:type="dxa"/>
          <w:bottom w:w="0" w:type="dxa"/>
          <w:right w:w="0" w:type="dxa"/>
        </w:tblCellMar>
      </w:tblPr>
      <w:tr>
        <w:trPr>
          <w:trHeight w:val="181"/>
        </w:trPr>
        <w:tc>
          <w:tcPr>
            <w:tcW w:w="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7140" w:type="dxa"/>
            <w:vAlign w:val="bottom"/>
            <w:gridSpan w:val="4"/>
            <w:vMerge w:val="restart"/>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Common Stock Purchase Agreement (incorporated by reference to Exhibit 10.1 to the</w:t>
              </w:r>
            </w:hyperlink>
          </w:p>
        </w:tc>
        <w:tc>
          <w:tcPr>
            <w:tcW w:w="1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42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10.1</w:t>
            </w:r>
          </w:p>
        </w:tc>
        <w:tc>
          <w:tcPr>
            <w:tcW w:w="300" w:type="dxa"/>
            <w:vAlign w:val="bottom"/>
          </w:tcPr>
          <w:p>
            <w:pPr>
              <w:spacing w:after="0"/>
              <w:rPr>
                <w:sz w:val="3"/>
                <w:szCs w:val="3"/>
                <w:color w:val="auto"/>
              </w:rPr>
            </w:pPr>
          </w:p>
        </w:tc>
        <w:tc>
          <w:tcPr>
            <w:tcW w:w="7140" w:type="dxa"/>
            <w:vAlign w:val="bottom"/>
            <w:tcBorders>
              <w:bottom w:val="single" w:sz="8" w:color="0000EE"/>
            </w:tcBorders>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gridSpan w:val="5"/>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Current Report on Form 8-K filed on November 21, 2023).</w:t>
              </w:r>
            </w:hyperlink>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36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060" w:type="dxa"/>
            <w:vAlign w:val="bottom"/>
            <w:gridSpan w:val="3"/>
            <w:vMerge w:val="restart"/>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Securities Purchase Agreement, dated as of January 30, 2024, by and between Presto</w:t>
              </w:r>
            </w:hyperlink>
          </w:p>
        </w:tc>
        <w:tc>
          <w:tcPr>
            <w:tcW w:w="220" w:type="dxa"/>
            <w:vAlign w:val="bottom"/>
            <w:gridSpan w:val="2"/>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42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10.2</w:t>
            </w:r>
          </w:p>
        </w:tc>
        <w:tc>
          <w:tcPr>
            <w:tcW w:w="300" w:type="dxa"/>
            <w:vAlign w:val="bottom"/>
          </w:tcPr>
          <w:p>
            <w:pPr>
              <w:spacing w:after="0"/>
              <w:rPr>
                <w:sz w:val="3"/>
                <w:szCs w:val="3"/>
                <w:color w:val="auto"/>
              </w:rPr>
            </w:pPr>
          </w:p>
        </w:tc>
        <w:tc>
          <w:tcPr>
            <w:tcW w:w="7060" w:type="dxa"/>
            <w:vAlign w:val="bottom"/>
            <w:tcBorders>
              <w:bottom w:val="single" w:sz="8" w:color="0000EE"/>
            </w:tcBorders>
            <w:gridSpan w:val="3"/>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Automation Inc. and the buyers thereto (incorporated by reference to Exhibit 10.1 to the Current</w:t>
              </w:r>
            </w:hyperlink>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Report on Form 8-K filed on February 2, 2024).</w:t>
              </w:r>
            </w:hyperlink>
          </w:p>
        </w:tc>
        <w:tc>
          <w:tcPr>
            <w:tcW w:w="3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830"/>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80" w:type="dxa"/>
            <w:vAlign w:val="bottom"/>
            <w:gridSpan w:val="5"/>
          </w:tcPr>
          <w:p>
            <w:pPr>
              <w:ind w:left="322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235585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14"/>
        </w:trPr>
        <w:tc>
          <w:tcPr>
            <w:tcW w:w="230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Number </w:t>
            </w:r>
            <w:r>
              <w:rPr>
                <w:rFonts w:ascii="Times New Roman" w:cs="Times New Roman" w:eastAsia="Times New Roman" w:hAnsi="Times New Roman"/>
                <w:sz w:val="24"/>
                <w:szCs w:val="24"/>
                <w:b w:val="1"/>
                <w:bCs w:val="1"/>
                <w:color w:val="auto"/>
                <w:vertAlign w:val="subscript"/>
              </w:rPr>
              <w:t>​ ​</w:t>
            </w:r>
          </w:p>
        </w:tc>
        <w:tc>
          <w:tcPr>
            <w:tcW w:w="432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2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156"/>
        </w:trPr>
        <w:tc>
          <w:tcPr>
            <w:tcW w:w="5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 ​</w:t>
            </w:r>
          </w:p>
        </w:tc>
        <w:tc>
          <w:tcPr>
            <w:tcW w:w="7480" w:type="dxa"/>
            <w:vAlign w:val="bottom"/>
            <w:tcBorders>
              <w:top w:val="single" w:sz="8" w:color="auto"/>
            </w:tcBorders>
            <w:gridSpan w:val="5"/>
            <w:vMerge w:val="restart"/>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Fifth Amendment to Credit Agreement, dated as of January 31, 2024, by and among Presto</w:t>
              </w:r>
            </w:hyperlink>
          </w:p>
        </w:tc>
        <w:tc>
          <w:tcPr>
            <w:tcW w:w="0" w:type="dxa"/>
            <w:vAlign w:val="bottom"/>
          </w:tcPr>
          <w:p>
            <w:pPr>
              <w:spacing w:after="0"/>
              <w:rPr>
                <w:sz w:val="1"/>
                <w:szCs w:val="1"/>
                <w:color w:val="auto"/>
              </w:rPr>
            </w:pPr>
          </w:p>
        </w:tc>
      </w:tr>
      <w:tr>
        <w:trPr>
          <w:trHeight w:val="41"/>
        </w:trPr>
        <w:tc>
          <w:tcPr>
            <w:tcW w:w="520" w:type="dxa"/>
            <w:vAlign w:val="bottom"/>
          </w:tcPr>
          <w:p>
            <w:pPr>
              <w:spacing w:after="0" w:line="41" w:lineRule="exact"/>
              <w:rPr>
                <w:sz w:val="20"/>
                <w:szCs w:val="20"/>
                <w:color w:val="auto"/>
              </w:rPr>
            </w:pPr>
            <w:r>
              <w:rPr>
                <w:rFonts w:ascii="Times New Roman" w:cs="Times New Roman" w:eastAsia="Times New Roman" w:hAnsi="Times New Roman"/>
                <w:sz w:val="4"/>
                <w:szCs w:val="4"/>
                <w:color w:val="auto"/>
              </w:rPr>
              <w:t>10.3</w:t>
            </w:r>
          </w:p>
        </w:tc>
        <w:tc>
          <w:tcPr>
            <w:tcW w:w="200" w:type="dxa"/>
            <w:vAlign w:val="bottom"/>
          </w:tcPr>
          <w:p>
            <w:pPr>
              <w:spacing w:after="0"/>
              <w:rPr>
                <w:sz w:val="3"/>
                <w:szCs w:val="3"/>
                <w:color w:val="auto"/>
              </w:rPr>
            </w:pPr>
          </w:p>
        </w:tc>
        <w:tc>
          <w:tcPr>
            <w:tcW w:w="74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Automation LLC, Presto Automation Inc., the lenders party thereto and Metropolitan Partners</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Group Administration, LLC (incorporated by reference to Exhibit 10.4 to the Current Report on</w:t>
              </w:r>
            </w:hyperlink>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gridSpan w:val="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8-K filed on February 2, 2024).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ind w:left="1260" w:right="5160"/>
        <w:spacing w:after="0" w:line="182" w:lineRule="auto"/>
        <w:tabs>
          <w:tab w:leader="none" w:pos="135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w:t>
      </w:r>
      <w:hyperlink r:id="rId88">
        <w:r>
          <w:rPr>
            <w:rFonts w:ascii="Times New Roman" w:cs="Times New Roman" w:eastAsia="Times New Roman" w:hAnsi="Times New Roman"/>
            <w:sz w:val="17"/>
            <w:szCs w:val="17"/>
            <w:u w:val="single" w:color="auto"/>
            <w:color w:val="0000EE"/>
          </w:rPr>
          <w:t>Opinion of Paul Hastings LLP.</w:t>
        </w:r>
      </w:hyperlink>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23.1+ </w:t>
      </w: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w:t>
      </w:r>
      <w:hyperlink r:id="rId89">
        <w:r>
          <w:rPr>
            <w:rFonts w:ascii="Times New Roman" w:cs="Times New Roman" w:eastAsia="Times New Roman" w:hAnsi="Times New Roman"/>
            <w:sz w:val="17"/>
            <w:szCs w:val="17"/>
            <w:u w:val="single" w:color="auto"/>
            <w:color w:val="0000EE"/>
          </w:rPr>
          <w:t>Consent of Moss Adams LLP.</w:t>
        </w:r>
      </w:hyperlink>
    </w:p>
    <w:p>
      <w:pPr>
        <w:spacing w:after="0" w:line="2" w:lineRule="exact"/>
        <w:rPr>
          <w:rFonts w:ascii="Times New Roman" w:cs="Times New Roman" w:eastAsia="Times New Roman" w:hAnsi="Times New Roman"/>
          <w:sz w:val="17"/>
          <w:szCs w:val="17"/>
          <w:color w:val="auto"/>
        </w:rPr>
      </w:pPr>
    </w:p>
    <w:p>
      <w:pPr>
        <w:ind w:left="1260" w:right="3240"/>
        <w:spacing w:after="0" w:line="219" w:lineRule="auto"/>
        <w:rPr>
          <w:rFonts w:ascii="Times New Roman" w:cs="Times New Roman" w:eastAsia="Times New Roman" w:hAnsi="Times New Roman"/>
          <w:sz w:val="17"/>
          <w:szCs w:val="17"/>
          <w:color w:val="auto"/>
        </w:rPr>
      </w:pP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23.2+ </w:t>
      </w: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w:t>
      </w:r>
      <w:hyperlink r:id="rId88">
        <w:r>
          <w:rPr>
            <w:rFonts w:ascii="Times New Roman" w:cs="Times New Roman" w:eastAsia="Times New Roman" w:hAnsi="Times New Roman"/>
            <w:sz w:val="17"/>
            <w:szCs w:val="17"/>
            <w:u w:val="single" w:color="auto"/>
            <w:color w:val="0000EE"/>
          </w:rPr>
          <w:t>Consent of Paul Hastings LLP (included in Exhibit 5.1).</w:t>
        </w:r>
      </w:hyperlink>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r>
        <w:rPr>
          <w:rFonts w:ascii="Times New Roman" w:cs="Times New Roman" w:eastAsia="Times New Roman" w:hAnsi="Times New Roman"/>
          <w:sz w:val="17"/>
          <w:szCs w:val="17"/>
          <w:color w:val="auto"/>
        </w:rPr>
        <w:t xml:space="preserve">24.1+ </w:t>
      </w: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w:t>
      </w:r>
      <w:hyperlink r:id="rId90">
        <w:r>
          <w:rPr>
            <w:rFonts w:ascii="Times New Roman" w:cs="Times New Roman" w:eastAsia="Times New Roman" w:hAnsi="Times New Roman"/>
            <w:sz w:val="17"/>
            <w:szCs w:val="17"/>
            <w:u w:val="single" w:color="auto"/>
            <w:color w:val="0000EE"/>
          </w:rPr>
          <w:t>Power of Attorney (included on signature page).</w:t>
        </w:r>
      </w:hyperlink>
    </w:p>
    <w:p>
      <w:pPr>
        <w:spacing w:after="0" w:line="1" w:lineRule="exact"/>
        <w:rPr>
          <w:rFonts w:ascii="Times New Roman" w:cs="Times New Roman" w:eastAsia="Times New Roman" w:hAnsi="Times New Roman"/>
          <w:sz w:val="17"/>
          <w:szCs w:val="17"/>
          <w:color w:val="auto"/>
        </w:rPr>
      </w:pPr>
    </w:p>
    <w:p>
      <w:pPr>
        <w:ind w:left="1260"/>
        <w:spacing w:after="0" w:line="239" w:lineRule="auto"/>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Filing Fee Table.</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800100</wp:posOffset>
            </wp:positionH>
            <wp:positionV relativeFrom="paragraph">
              <wp:posOffset>36195</wp:posOffset>
            </wp:positionV>
            <wp:extent cx="1234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80" w:lineRule="exact"/>
        <w:rPr>
          <w:rFonts w:ascii="Times New Roman" w:cs="Times New Roman" w:eastAsia="Times New Roman" w:hAnsi="Times New Roman"/>
          <w:sz w:val="17"/>
          <w:szCs w:val="17"/>
          <w:color w:val="auto"/>
        </w:rPr>
      </w:pPr>
    </w:p>
    <w:p>
      <w:pPr>
        <w:ind w:left="1620" w:right="200" w:hanging="360"/>
        <w:spacing w:after="0" w:line="282" w:lineRule="auto"/>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with the Registration Statement on Form S-3 (File No. 333-278514) filed on April 5, 2024.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9"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112" w:lineRule="exact"/>
        <w:rPr>
          <w:rFonts w:ascii="Times New Roman" w:cs="Times New Roman" w:eastAsia="Times New Roman" w:hAnsi="Times New Roman"/>
          <w:sz w:val="17"/>
          <w:szCs w:val="17"/>
          <w:color w:val="auto"/>
        </w:rPr>
      </w:pPr>
    </w:p>
    <w:p>
      <w:pPr>
        <w:sectPr>
          <w:pgSz w:w="11900" w:h="16838" w:orient="portrait"/>
          <w:cols w:equalWidth="0" w:num="2">
            <w:col w:w="9460" w:space="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rFonts w:ascii="Times New Roman" w:cs="Times New Roman" w:eastAsia="Times New Roman" w:hAnsi="Times New Roman"/>
          <w:sz w:val="17"/>
          <w:szCs w:val="17"/>
          <w:color w:val="auto"/>
        </w:rPr>
      </w:pPr>
    </w:p>
    <w:p>
      <w:pPr>
        <w:ind w:left="1980" w:hanging="360"/>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57" w:lineRule="exact"/>
        <w:rPr>
          <w:rFonts w:ascii="Times New Roman" w:cs="Times New Roman" w:eastAsia="Times New Roman" w:hAnsi="Times New Roman"/>
          <w:sz w:val="18"/>
          <w:szCs w:val="18"/>
          <w:color w:val="auto"/>
        </w:rPr>
      </w:pPr>
    </w:p>
    <w:p>
      <w:pPr>
        <w:ind w:left="2340" w:right="1339" w:hanging="360"/>
        <w:spacing w:after="0" w:line="282" w:lineRule="auto"/>
        <w:tabs>
          <w:tab w:leader="none" w:pos="23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80"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57" w:lineRule="exact"/>
        <w:rPr>
          <w:rFonts w:ascii="Times New Roman" w:cs="Times New Roman" w:eastAsia="Times New Roman" w:hAnsi="Times New Roman"/>
          <w:sz w:val="18"/>
          <w:szCs w:val="18"/>
          <w:color w:val="auto"/>
        </w:rPr>
      </w:pPr>
    </w:p>
    <w:p>
      <w:pPr>
        <w:ind w:left="2700" w:right="499" w:hanging="360"/>
        <w:spacing w:after="0" w:line="253" w:lineRule="auto"/>
        <w:tabs>
          <w:tab w:leader="none" w:pos="2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29" w:lineRule="exact"/>
        <w:rPr>
          <w:rFonts w:ascii="Times New Roman" w:cs="Times New Roman" w:eastAsia="Times New Roman" w:hAnsi="Times New Roman"/>
          <w:sz w:val="18"/>
          <w:szCs w:val="18"/>
          <w:color w:val="auto"/>
        </w:rPr>
      </w:pPr>
    </w:p>
    <w:p>
      <w:pPr>
        <w:ind w:left="2700" w:right="439" w:hanging="360"/>
        <w:spacing w:after="0" w:line="266" w:lineRule="auto"/>
        <w:tabs>
          <w:tab w:leader="none" w:pos="27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6" w:lineRule="exact"/>
        <w:rPr>
          <w:rFonts w:ascii="Times New Roman" w:cs="Times New Roman" w:eastAsia="Times New Roman" w:hAnsi="Times New Roman"/>
          <w:sz w:val="17"/>
          <w:szCs w:val="17"/>
          <w:color w:val="auto"/>
        </w:rPr>
      </w:pPr>
    </w:p>
    <w:p>
      <w:pPr>
        <w:ind w:left="2340" w:right="519"/>
        <w:spacing w:after="0" w:line="24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above do not apply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14" w:lineRule="exact"/>
        <w:rPr>
          <w:rFonts w:ascii="Times New Roman" w:cs="Times New Roman" w:eastAsia="Times New Roman" w:hAnsi="Times New Roman"/>
          <w:sz w:val="17"/>
          <w:szCs w:val="17"/>
          <w:color w:val="auto"/>
        </w:rPr>
      </w:pPr>
    </w:p>
    <w:p>
      <w:pPr>
        <w:ind w:left="2340" w:right="419" w:hanging="360"/>
        <w:spacing w:after="0" w:line="261" w:lineRule="auto"/>
        <w:tabs>
          <w:tab w:leader="none" w:pos="2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ind w:left="2340" w:right="1139" w:hanging="360"/>
        <w:spacing w:after="0" w:line="282" w:lineRule="auto"/>
        <w:tabs>
          <w:tab w:leader="none" w:pos="2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ectPr>
          <w:pgSz w:w="11900" w:h="16838" w:orient="portrait"/>
          <w:cols w:equalWidth="0" w:num="1">
            <w:col w:w="9879"/>
          </w:cols>
          <w:pgMar w:left="580" w:top="97" w:right="1440" w:bottom="1440" w:gutter="0" w:footer="0" w:header="0"/>
          <w:type w:val="continuous"/>
        </w:sectPr>
      </w:pPr>
    </w:p>
    <w:p>
      <w:pPr>
        <w:spacing w:after="0" w:line="337" w:lineRule="exact"/>
        <w:rPr>
          <w:rFonts w:ascii="Times New Roman" w:cs="Times New Roman" w:eastAsia="Times New Roman" w:hAnsi="Times New Roman"/>
          <w:sz w:val="17"/>
          <w:szCs w:val="17"/>
          <w:color w:val="auto"/>
        </w:rPr>
      </w:pPr>
    </w:p>
    <w:p>
      <w:pPr>
        <w:ind w:left="5200"/>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2700" w:right="559" w:hanging="360"/>
        <w:spacing w:after="0" w:line="266" w:lineRule="auto"/>
        <w:tabs>
          <w:tab w:leader="none" w:pos="2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8" w:lineRule="exact"/>
        <w:rPr>
          <w:rFonts w:ascii="Times New Roman" w:cs="Times New Roman" w:eastAsia="Times New Roman" w:hAnsi="Times New Roman"/>
          <w:sz w:val="18"/>
          <w:szCs w:val="18"/>
          <w:color w:val="auto"/>
        </w:rPr>
      </w:pPr>
    </w:p>
    <w:p>
      <w:pPr>
        <w:ind w:left="2700" w:right="419" w:hanging="360"/>
        <w:spacing w:after="0" w:line="252" w:lineRule="auto"/>
        <w:tabs>
          <w:tab w:leader="none" w:pos="2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41"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7" w:lineRule="exact"/>
        <w:rPr>
          <w:rFonts w:ascii="Times New Roman" w:cs="Times New Roman" w:eastAsia="Times New Roman" w:hAnsi="Times New Roman"/>
          <w:sz w:val="18"/>
          <w:szCs w:val="18"/>
          <w:color w:val="auto"/>
        </w:rPr>
      </w:pPr>
    </w:p>
    <w:p>
      <w:pPr>
        <w:ind w:left="1980" w:right="419" w:hanging="360"/>
        <w:spacing w:after="0" w:line="253" w:lineRule="auto"/>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Carlos, State of California, on April 10, 2024.</w:t>
      </w:r>
    </w:p>
    <w:p>
      <w:pPr>
        <w:spacing w:after="0" w:line="1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16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Guillaume Lefevre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Guillaume Lefevre</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139"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jc w:val="both"/>
        <w:ind w:left="1260"/>
        <w:spacing w:after="0"/>
        <w:tabs>
          <w:tab w:leader="none" w:pos="2260" w:val="left"/>
          <w:tab w:leader="none" w:pos="3880" w:val="left"/>
          <w:tab w:leader="none" w:pos="5200" w:val="left"/>
          <w:tab w:leader="none" w:pos="6700" w:val="left"/>
          <w:tab w:leader="none" w:pos="8020" w:val="left"/>
          <w:tab w:leader="none" w:pos="9440" w:val="left"/>
        </w:tabs>
        <w:rPr>
          <w:sz w:val="20"/>
          <w:szCs w:val="20"/>
          <w:color w:val="auto"/>
        </w:rPr>
      </w:pPr>
      <w:r>
        <w:rPr>
          <w:rFonts w:ascii="Times New Roman" w:cs="Times New Roman" w:eastAsia="Times New Roman" w:hAnsi="Times New Roman"/>
          <w:sz w:val="22"/>
          <w:szCs w:val="22"/>
          <w:b w:val="1"/>
          <w:bCs w:val="1"/>
          <w:color w:val="auto"/>
          <w:vertAlign w:val="subscript"/>
        </w:rPr>
        <w:t>​</w:t>
      </w:r>
      <w:r>
        <w:rPr>
          <w:sz w:val="20"/>
          <w:szCs w:val="20"/>
          <w:color w:val="auto"/>
        </w:rPr>
        <w:tab/>
      </w:r>
      <w:r>
        <w:rPr>
          <w:rFonts w:ascii="Times New Roman" w:cs="Times New Roman" w:eastAsia="Times New Roman" w:hAnsi="Times New Roman"/>
          <w:sz w:val="12"/>
          <w:szCs w:val="12"/>
          <w:b w:val="1"/>
          <w:bCs w:val="1"/>
          <w:color w:val="auto"/>
        </w:rPr>
        <w:t>Signature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Date</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12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69" w:lineRule="exact"/>
        <w:rPr>
          <w:sz w:val="20"/>
          <w:szCs w:val="20"/>
          <w:color w:val="auto"/>
        </w:rPr>
      </w:pPr>
    </w:p>
    <w:p>
      <w:pPr>
        <w:ind w:left="1720" w:hanging="460"/>
        <w:spacing w:after="0"/>
        <w:tabs>
          <w:tab w:leader="none" w:pos="1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Guillaume Lefevre</w:t>
      </w:r>
    </w:p>
    <w:p>
      <w:pPr>
        <w:spacing w:after="0" w:line="103"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Guillaume Lefevre</w:t>
      </w:r>
    </w:p>
    <w:p>
      <w:pPr>
        <w:spacing w:after="0" w:line="139" w:lineRule="exact"/>
        <w:rPr>
          <w:rFonts w:ascii="Times New Roman" w:cs="Times New Roman" w:eastAsia="Times New Roman" w:hAnsi="Times New Roman"/>
          <w:sz w:val="18"/>
          <w:szCs w:val="18"/>
          <w:color w:val="auto"/>
        </w:rPr>
      </w:pPr>
    </w:p>
    <w:p>
      <w:pPr>
        <w:ind w:left="1820" w:hanging="560"/>
        <w:spacing w:after="0"/>
        <w:tabs>
          <w:tab w:leader="none" w:pos="1820" w:val="left"/>
        </w:tabs>
        <w:numPr>
          <w:ilvl w:val="0"/>
          <w:numId w:val="17"/>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 Stanley Mbugua</w:t>
      </w:r>
    </w:p>
    <w:p>
      <w:pPr>
        <w:spacing w:after="0" w:line="76" w:lineRule="exact"/>
        <w:rPr>
          <w:rFonts w:ascii="Times New Roman" w:cs="Times New Roman" w:eastAsia="Times New Roman" w:hAnsi="Times New Roman"/>
          <w:sz w:val="36"/>
          <w:szCs w:val="36"/>
          <w:color w:val="auto"/>
          <w:vertAlign w:val="subscript"/>
        </w:rPr>
      </w:pPr>
    </w:p>
    <w:p>
      <w:pPr>
        <w:ind w:left="1940"/>
        <w:spacing w:after="0"/>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Stanley Mbugua</w:t>
      </w:r>
    </w:p>
    <w:p>
      <w:pPr>
        <w:spacing w:after="0" w:line="333" w:lineRule="exact"/>
        <w:rPr>
          <w:rFonts w:ascii="Times New Roman" w:cs="Times New Roman" w:eastAsia="Times New Roman" w:hAnsi="Times New Roman"/>
          <w:sz w:val="36"/>
          <w:szCs w:val="36"/>
          <w:color w:val="auto"/>
          <w:vertAlign w:val="subscript"/>
        </w:rPr>
      </w:pPr>
    </w:p>
    <w:p>
      <w:pPr>
        <w:ind w:left="2500" w:hanging="1240"/>
        <w:spacing w:after="0"/>
        <w:tabs>
          <w:tab w:leader="none" w:pos="2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-1019175</wp:posOffset>
            </wp:positionV>
            <wp:extent cx="1645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7">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-487680</wp:posOffset>
            </wp:positionV>
            <wp:extent cx="1645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8">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51435</wp:posOffset>
            </wp:positionV>
            <wp:extent cx="1645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Edward Scheetz</w:t>
      </w:r>
    </w:p>
    <w:p>
      <w:pPr>
        <w:spacing w:after="0" w:line="252" w:lineRule="exact"/>
        <w:rPr>
          <w:sz w:val="20"/>
          <w:szCs w:val="20"/>
          <w:color w:val="auto"/>
        </w:rPr>
      </w:pPr>
    </w:p>
    <w:p>
      <w:pPr>
        <w:ind w:left="2500" w:hanging="1240"/>
        <w:spacing w:after="0"/>
        <w:tabs>
          <w:tab w:leader="none" w:pos="2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2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Tewfik Cassis</w:t>
      </w:r>
    </w:p>
    <w:p>
      <w:pPr>
        <w:spacing w:after="0" w:line="252" w:lineRule="exact"/>
        <w:rPr>
          <w:rFonts w:ascii="Times New Roman" w:cs="Times New Roman" w:eastAsia="Times New Roman" w:hAnsi="Times New Roman"/>
          <w:sz w:val="18"/>
          <w:szCs w:val="18"/>
          <w:color w:val="auto"/>
        </w:rPr>
      </w:pPr>
    </w:p>
    <w:p>
      <w:pPr>
        <w:ind w:left="2500" w:hanging="1240"/>
        <w:spacing w:after="0"/>
        <w:tabs>
          <w:tab w:leader="none" w:pos="2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2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Krishna Gupta</w:t>
      </w:r>
    </w:p>
    <w:p>
      <w:pPr>
        <w:spacing w:after="0" w:line="252" w:lineRule="exact"/>
        <w:rPr>
          <w:rFonts w:ascii="Times New Roman" w:cs="Times New Roman" w:eastAsia="Times New Roman" w:hAnsi="Times New Roman"/>
          <w:sz w:val="18"/>
          <w:szCs w:val="18"/>
          <w:color w:val="auto"/>
        </w:rPr>
      </w:pPr>
    </w:p>
    <w:p>
      <w:pPr>
        <w:ind w:left="2500" w:hanging="1240"/>
        <w:spacing w:after="0"/>
        <w:tabs>
          <w:tab w:leader="none" w:pos="2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1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Herbert</w:t>
      </w:r>
    </w:p>
    <w:p>
      <w:pPr>
        <w:spacing w:after="0" w:line="252" w:lineRule="exact"/>
        <w:rPr>
          <w:rFonts w:ascii="Times New Roman" w:cs="Times New Roman" w:eastAsia="Times New Roman" w:hAnsi="Times New Roman"/>
          <w:sz w:val="18"/>
          <w:szCs w:val="18"/>
          <w:color w:val="auto"/>
        </w:rPr>
      </w:pPr>
    </w:p>
    <w:p>
      <w:pPr>
        <w:ind w:left="2500" w:hanging="1240"/>
        <w:spacing w:after="0"/>
        <w:tabs>
          <w:tab w:leader="none" w:pos="25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-1413510</wp:posOffset>
            </wp:positionV>
            <wp:extent cx="16459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0">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-925195</wp:posOffset>
            </wp:positionV>
            <wp:extent cx="16459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1">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-436245</wp:posOffset>
            </wp:positionV>
            <wp:extent cx="16459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02">
                      <a:extLst>
                        <a:ext uri="{28A0092B-C50C-407E-A947-70E740481C1C}"/>
                      </a:extLst>
                    </a:blip>
                    <a:srcRect/>
                    <a:stretch>
                      <a:fillRect/>
                    </a:stretch>
                  </pic:blipFill>
                  <pic:spPr bwMode="auto">
                    <a:xfrm>
                      <a:off x="0" y="0"/>
                      <a:ext cx="16459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51435</wp:posOffset>
            </wp:positionV>
            <wp:extent cx="16459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Keith Kravcik</w:t>
      </w:r>
    </w:p>
    <w:p>
      <w:pPr>
        <w:spacing w:after="0" w:line="252" w:lineRule="exact"/>
        <w:rPr>
          <w:sz w:val="20"/>
          <w:szCs w:val="20"/>
          <w:color w:val="auto"/>
        </w:rPr>
      </w:pPr>
    </w:p>
    <w:p>
      <w:pPr>
        <w:ind w:left="2500" w:hanging="1240"/>
        <w:spacing w:after="0"/>
        <w:tabs>
          <w:tab w:leader="none" w:pos="2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3"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MacDonald</w:t>
      </w:r>
    </w:p>
    <w:p>
      <w:pPr>
        <w:spacing w:after="0" w:line="252" w:lineRule="exact"/>
        <w:rPr>
          <w:rFonts w:ascii="Times New Roman" w:cs="Times New Roman" w:eastAsia="Times New Roman" w:hAnsi="Times New Roman"/>
          <w:sz w:val="18"/>
          <w:szCs w:val="18"/>
          <w:color w:val="auto"/>
        </w:rPr>
      </w:pPr>
    </w:p>
    <w:p>
      <w:pPr>
        <w:ind w:left="2500" w:hanging="1240"/>
        <w:spacing w:after="0"/>
        <w:tabs>
          <w:tab w:leader="none" w:pos="2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-436245</wp:posOffset>
            </wp:positionV>
            <wp:extent cx="16459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4">
                      <a:extLst>
                        <a:ext uri="{28A0092B-C50C-407E-A947-70E740481C1C}"/>
                      </a:extLst>
                    </a:blip>
                    <a:srcRect/>
                    <a:stretch>
                      <a:fillRect/>
                    </a:stretch>
                  </pic:blipFill>
                  <pic:spPr bwMode="auto">
                    <a:xfrm>
                      <a:off x="0" y="0"/>
                      <a:ext cx="164592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51435</wp:posOffset>
            </wp:positionV>
            <wp:extent cx="16459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5">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8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Gail Zauder</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Interim Chief Executive Officer</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Interim Chief Financial Officer</w:t>
      </w:r>
    </w:p>
    <w:p>
      <w:pPr>
        <w:ind w:left="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 and</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60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160"/>
        <w:spacing w:after="0"/>
        <w:rPr>
          <w:sz w:val="20"/>
          <w:szCs w:val="20"/>
          <w:color w:val="auto"/>
        </w:rPr>
      </w:pPr>
      <w:r>
        <w:rPr>
          <w:rFonts w:ascii="Times New Roman" w:cs="Times New Roman" w:eastAsia="Times New Roman" w:hAnsi="Times New Roman"/>
          <w:sz w:val="18"/>
          <w:szCs w:val="18"/>
          <w:color w:val="auto"/>
        </w:rPr>
        <w:t>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160"/>
        <w:spacing w:after="0"/>
        <w:rPr>
          <w:sz w:val="20"/>
          <w:szCs w:val="20"/>
          <w:color w:val="auto"/>
        </w:rPr>
      </w:pPr>
      <w:r>
        <w:rPr>
          <w:rFonts w:ascii="Times New Roman" w:cs="Times New Roman" w:eastAsia="Times New Roman" w:hAnsi="Times New Roman"/>
          <w:sz w:val="18"/>
          <w:szCs w:val="18"/>
          <w:color w:val="auto"/>
        </w:rPr>
        <w:t>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160"/>
        <w:spacing w:after="0"/>
        <w:rPr>
          <w:sz w:val="20"/>
          <w:szCs w:val="20"/>
          <w:color w:val="auto"/>
        </w:rPr>
      </w:pPr>
      <w:r>
        <w:rPr>
          <w:rFonts w:ascii="Times New Roman" w:cs="Times New Roman" w:eastAsia="Times New Roman" w:hAnsi="Times New Roman"/>
          <w:sz w:val="18"/>
          <w:szCs w:val="18"/>
          <w:color w:val="auto"/>
        </w:rPr>
        <w:t>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160"/>
        <w:spacing w:after="0"/>
        <w:rPr>
          <w:sz w:val="20"/>
          <w:szCs w:val="20"/>
          <w:color w:val="auto"/>
        </w:rPr>
      </w:pPr>
      <w:r>
        <w:rPr>
          <w:rFonts w:ascii="Times New Roman" w:cs="Times New Roman" w:eastAsia="Times New Roman" w:hAnsi="Times New Roman"/>
          <w:sz w:val="18"/>
          <w:szCs w:val="18"/>
          <w:color w:val="auto"/>
        </w:rPr>
        <w:t>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160"/>
        <w:spacing w:after="0"/>
        <w:rPr>
          <w:sz w:val="20"/>
          <w:szCs w:val="20"/>
          <w:color w:val="auto"/>
        </w:rPr>
      </w:pPr>
      <w:r>
        <w:rPr>
          <w:rFonts w:ascii="Times New Roman" w:cs="Times New Roman" w:eastAsia="Times New Roman" w:hAnsi="Times New Roman"/>
          <w:sz w:val="18"/>
          <w:szCs w:val="18"/>
          <w:color w:val="auto"/>
        </w:rPr>
        <w:t>Director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ind w:left="116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April 10, 2024</w:t>
            </w:r>
          </w:p>
        </w:tc>
        <w:tc>
          <w:tcPr>
            <w:tcW w:w="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148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5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5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5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5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5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5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April 10, 2024</w:t>
      </w:r>
    </w:p>
    <w:p>
      <w:pPr>
        <w:spacing w:after="0" w:line="300" w:lineRule="exact"/>
        <w:rPr>
          <w:sz w:val="20"/>
          <w:szCs w:val="20"/>
          <w:color w:val="auto"/>
        </w:rPr>
      </w:pPr>
    </w:p>
    <w:p>
      <w:pPr>
        <w:sectPr>
          <w:pgSz w:w="11900" w:h="16838" w:orient="portrait"/>
          <w:cols w:equalWidth="0" w:num="4">
            <w:col w:w="3380" w:space="520"/>
            <w:col w:w="2700" w:space="120"/>
            <w:col w:w="180" w:space="720"/>
            <w:col w:w="2259"/>
          </w:cols>
          <w:pgMar w:left="580" w:top="97" w:right="1440" w:bottom="1440" w:gutter="0" w:footer="0" w:header="0"/>
          <w:type w:val="continuous"/>
        </w:sectPr>
      </w:pPr>
    </w:p>
    <w:p>
      <w:pPr>
        <w:ind w:left="1260" w:right="5899"/>
        <w:spacing w:after="0" w:line="430"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Power of Attorney: *By: /s/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-38735</wp:posOffset>
            </wp:positionV>
            <wp:extent cx="1405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1700"/>
        <w:spacing w:after="0"/>
        <w:rPr>
          <w:sz w:val="20"/>
          <w:szCs w:val="20"/>
          <w:color w:val="auto"/>
        </w:rPr>
      </w:pPr>
      <w:r>
        <w:rPr>
          <w:rFonts w:ascii="Times New Roman" w:cs="Times New Roman" w:eastAsia="Times New Roman" w:hAnsi="Times New Roman"/>
          <w:sz w:val="18"/>
          <w:szCs w:val="18"/>
          <w:color w:val="auto"/>
        </w:rPr>
        <w:t>Susan Shinoff</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9879"/>
          </w:cols>
          <w:pgMar w:left="580" w:top="97" w:right="1440" w:bottom="1440" w:gutter="0" w:footer="0" w:header="0"/>
          <w:type w:val="continuous"/>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Roman"/>
      <w:start w:val="1"/>
    </w:lvl>
  </w:abstractNum>
  <w:abstractNum w:abstractNumId="1">
    <w:nsid w:val="1F16E9E8"/>
    <w:multiLevelType w:val="hybridMultilevel"/>
    <w:lvl w:ilvl="0">
      <w:lvlJc w:val="left"/>
      <w:lvlText w:val="(%1)"/>
      <w:numFmt w:val="lowerRoman"/>
      <w:start w:val="1"/>
    </w:lvl>
    <w:lvl w:ilvl="1">
      <w:lvlJc w:val="left"/>
      <w:lvlText w:val="%2."/>
      <w:numFmt w:val="lowerLetter"/>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lowerLetter"/>
      <w:start w:val="1"/>
    </w:lvl>
    <w:lvl w:ilvl="1">
      <w:lvlJc w:val="left"/>
      <w:lvlText w:val="(%2)"/>
      <w:numFmt w:val="lowerRoman"/>
      <w:start w:val="1"/>
    </w:lvl>
  </w:abstractNum>
  <w:abstractNum w:abstractNumId="15">
    <w:nsid w:val="431BD7B7"/>
    <w:multiLevelType w:val="hybridMultilevel"/>
    <w:lvl w:ilvl="0">
      <w:lvlJc w:val="left"/>
      <w:lvlText w:val="(%1)"/>
      <w:numFmt w:val="lowerLetter"/>
      <w:start w:val="2"/>
    </w:lvl>
    <w:lvl w:ilvl="1">
      <w:lvlJc w:val="left"/>
      <w:lvlText w:val="%2"/>
      <w:numFmt w:val="lowerRoman"/>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54"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71" Type="http://schemas.openxmlformats.org/officeDocument/2006/relationships/image" Target="media/image37.png"/><Relationship Id="rId86" Type="http://schemas.openxmlformats.org/officeDocument/2006/relationships/image" Target="media/image38.png"/><Relationship Id="rId92" Type="http://schemas.openxmlformats.org/officeDocument/2006/relationships/image" Target="media/image39.png"/><Relationship Id="rId93" Type="http://schemas.openxmlformats.org/officeDocument/2006/relationships/image" Target="media/image40.png"/><Relationship Id="rId94" Type="http://schemas.openxmlformats.org/officeDocument/2006/relationships/image" Target="media/image41.png"/><Relationship Id="rId95" Type="http://schemas.openxmlformats.org/officeDocument/2006/relationships/image" Target="media/image42.png"/><Relationship Id="rId96" Type="http://schemas.openxmlformats.org/officeDocument/2006/relationships/image" Target="media/image43.png"/><Relationship Id="rId97" Type="http://schemas.openxmlformats.org/officeDocument/2006/relationships/image" Target="media/image44.png"/><Relationship Id="rId98" Type="http://schemas.openxmlformats.org/officeDocument/2006/relationships/image" Target="media/image45.png"/><Relationship Id="rId99" Type="http://schemas.openxmlformats.org/officeDocument/2006/relationships/image" Target="media/image46.png"/><Relationship Id="rId100" Type="http://schemas.openxmlformats.org/officeDocument/2006/relationships/image" Target="media/image47.png"/><Relationship Id="rId101" Type="http://schemas.openxmlformats.org/officeDocument/2006/relationships/image" Target="media/image48.png"/><Relationship Id="rId102" Type="http://schemas.openxmlformats.org/officeDocument/2006/relationships/image" Target="media/image49.png"/><Relationship Id="rId103" Type="http://schemas.openxmlformats.org/officeDocument/2006/relationships/image" Target="media/image50.png"/><Relationship Id="rId104" Type="http://schemas.openxmlformats.org/officeDocument/2006/relationships/image" Target="media/image51.png"/><Relationship Id="rId105" Type="http://schemas.openxmlformats.org/officeDocument/2006/relationships/image" Target="media/image52.png"/><Relationship Id="rId106" Type="http://schemas.openxmlformats.org/officeDocument/2006/relationships/image" Target="media/image53.png"/><Relationship Id="rId107" Type="http://schemas.openxmlformats.org/officeDocument/2006/relationships/image" Target="media/image54.png"/><Relationship Id="rId21" Type="http://schemas.openxmlformats.org/officeDocument/2006/relationships/hyperlink" Target="http://www.sec.gov/ix?doc=/Archives/edgar/data/1822145/000155837023016336/prst-20230630x10k.htm" TargetMode="External"/><Relationship Id="rId36" Type="http://schemas.openxmlformats.org/officeDocument/2006/relationships/hyperlink" Target="http://www.sec.gov/ix?doc=/Archives/edgar/data/1822145/000155837023016408/prst-20230630x10ka.htm" TargetMode="External"/><Relationship Id="rId37" Type="http://schemas.openxmlformats.org/officeDocument/2006/relationships/hyperlink" Target="http://www.sec.gov/ix?doc=/Archives/edgar/data/1822145/000155837023019254/prst-20230930x10q.htm" TargetMode="External"/><Relationship Id="rId38" Type="http://schemas.openxmlformats.org/officeDocument/2006/relationships/hyperlink" Target="https://www.sec.gov/ix?doc=/Archives/edgar/data/1822145/000155837024001375/prst-20231231x10q.htm" TargetMode="External"/><Relationship Id="rId39" Type="http://schemas.openxmlformats.org/officeDocument/2006/relationships/hyperlink" Target="http://www.sec.gov/ix?doc=/Archives/edgar/data/1822145/000110465923086535/tm2322640d1_8k.htm" TargetMode="External"/><Relationship Id="rId40" Type="http://schemas.openxmlformats.org/officeDocument/2006/relationships/hyperlink" Target="http://www.sec.gov/ix?doc=/Archives/edgar/data/1822145/000110465923097311/tm2325309d1_8k.htm" TargetMode="External"/><Relationship Id="rId41" Type="http://schemas.openxmlformats.org/officeDocument/2006/relationships/hyperlink" Target="http://www.sec.gov/ix?doc=/Archives/edgar/data/1822145/000101376223002979/ea186564-8k_prestoauto.htm" TargetMode="External"/><Relationship Id="rId42" Type="http://schemas.openxmlformats.org/officeDocument/2006/relationships/hyperlink" Target="http://www.sec.gov/ix?doc=/Archives/edgar/data/1822145/000101376223005246/ea187043-8k_prestoauto.htm" TargetMode="External"/><Relationship Id="rId43" Type="http://schemas.openxmlformats.org/officeDocument/2006/relationships/hyperlink" Target="http://www.sec.gov/ix?doc=/Archives/edgar/data/1822145/000121390023089293/ea188717-8k_presto.htm" TargetMode="External"/><Relationship Id="rId44" Type="http://schemas.openxmlformats.org/officeDocument/2006/relationships/hyperlink" Target="http://www.sec.gov/ix?doc=/Archives/edgar/data/1822145/000155837023019477/prst-20231129x8k.htm" TargetMode="External"/><Relationship Id="rId45" Type="http://schemas.openxmlformats.org/officeDocument/2006/relationships/hyperlink" Target="http://www.sec.gov/ix?doc=/Archives/edgar/data/1822145/000155837023019744/prst-20231206x8k.htm" TargetMode="External"/><Relationship Id="rId46" Type="http://schemas.openxmlformats.org/officeDocument/2006/relationships/hyperlink" Target="http://www.sec.gov/ix?doc=/Archives/edgar/data/1822145/000121390023095635/ea190049-8k_presto.htm" TargetMode="External"/><Relationship Id="rId47" Type="http://schemas.openxmlformats.org/officeDocument/2006/relationships/hyperlink" Target="http://www.sec.gov/ix?doc=/Archives/edgar/data/1822145/000110465924010183/tm244871d1_8k.htm" TargetMode="External"/><Relationship Id="rId48" Type="http://schemas.openxmlformats.org/officeDocument/2006/relationships/hyperlink" Target="https://www.sec.gov/ix?doc=/Archives/edgar/data/1822145/000110465924029415/tm247433d1_8k.htm" TargetMode="External"/><Relationship Id="rId49" Type="http://schemas.openxmlformats.org/officeDocument/2006/relationships/hyperlink" Target="https://www.sec.gov/ix?doc=/Archives/edgar/data/1822145/000110465924030518/tm246736d5_8k.htm" TargetMode="External"/><Relationship Id="rId50" Type="http://schemas.openxmlformats.org/officeDocument/2006/relationships/hyperlink" Target="https://www.sec.gov/ix?doc=/Archives/edgar/data/1822145/000110465924032703/tm248423d1_8k.htm" TargetMode="External"/><Relationship Id="rId51" Type="http://schemas.openxmlformats.org/officeDocument/2006/relationships/hyperlink" Target="https://www.sec.gov/ix?doc=/Archives/edgar/data/1822145/000110465924035601/tm249131d1_8k.htm" TargetMode="External"/><Relationship Id="rId52" Type="http://schemas.openxmlformats.org/officeDocument/2006/relationships/hyperlink" Target="https://www.sec.gov/ix?doc=/Archives/edgar/data/1822145/000110465924037407/tm249250d1_8k.htm" TargetMode="External"/><Relationship Id="rId53" Type="http://schemas.openxmlformats.org/officeDocument/2006/relationships/hyperlink" Target="http://www.sec.gov/Archives/edgar/data/1822145/000121390020044238/ea131985-8a12b_ventouxccm.htm" TargetMode="External"/><Relationship Id="rId55" Type="http://schemas.openxmlformats.org/officeDocument/2006/relationships/hyperlink" Target="http://www.sec.gov/Archives/edgar/data/1822145/000155837023016336/prst-20230630xex4d1.htm" TargetMode="External"/><Relationship Id="rId64" Type="http://schemas.openxmlformats.org/officeDocument/2006/relationships/hyperlink" Target="http://www.sec.gov/Archives/edgar/data/1822145/000121390021058217/ea150262ex2-1_ventouxccm.htm" TargetMode="External"/><Relationship Id="rId65" Type="http://schemas.openxmlformats.org/officeDocument/2006/relationships/hyperlink" Target="http://www.sec.gov/Archives/edgar/data/1822145/000121390022017828/ea157923ex2-1_ventoux.htm" TargetMode="External"/><Relationship Id="rId66" Type="http://schemas.openxmlformats.org/officeDocument/2006/relationships/hyperlink" Target="http://www.sec.gov/Archives/edgar/data/1822145/000121390022041523/ea163294ex2-1_ventoux.htm" TargetMode="External"/><Relationship Id="rId67" Type="http://schemas.openxmlformats.org/officeDocument/2006/relationships/hyperlink" Target="http://www.sec.gov/Archives/edgar/data/1822145/000121390022059478/ea166244ex3-1_prestoauto.htm" TargetMode="External"/><Relationship Id="rId68" Type="http://schemas.openxmlformats.org/officeDocument/2006/relationships/hyperlink" Target="http://www.sec.gov/Archives/edgar/data/1822145/000121390022059478/ea166244ex3-2_prestoauto.htm" TargetMode="External"/><Relationship Id="rId69" Type="http://schemas.openxmlformats.org/officeDocument/2006/relationships/hyperlink" Target="https://www.sec.gov/Archives/edgar/data/1822145/000101376223005445/ea186966ex4-36_prestoauto.htm" TargetMode="External"/><Relationship Id="rId70" Type="http://schemas.openxmlformats.org/officeDocument/2006/relationships/hyperlink" Target="https://www.sec.gov/Archives/edgar/data/1822145/000110465924037407/tm249250d1_ex10-10.htm" TargetMode="External"/><Relationship Id="rId72" Type="http://schemas.openxmlformats.org/officeDocument/2006/relationships/hyperlink" Target="https://www.sec.gov/Archives/edgar/data/1822145/000110465924037407/tm249250d1_ex10-11.htm" TargetMode="External"/><Relationship Id="rId73" Type="http://schemas.openxmlformats.org/officeDocument/2006/relationships/hyperlink" Target="https://www.sec.gov/Archives/edgar/data/1822145/000110465924037407/tm249250d1_ex10-12.htm" TargetMode="External"/><Relationship Id="rId74" Type="http://schemas.openxmlformats.org/officeDocument/2006/relationships/hyperlink" Target="https://www.sec.gov/Archives/edgar/data/1822145/000110465924037407/tm249250d1_ex10-13.htm" TargetMode="External"/><Relationship Id="rId75" Type="http://schemas.openxmlformats.org/officeDocument/2006/relationships/hyperlink" Target="https://www.sec.gov/Archives/edgar/data/1822145/000110465924010183/tm244871d1_ex10-2.htm" TargetMode="External"/><Relationship Id="rId76" Type="http://schemas.openxmlformats.org/officeDocument/2006/relationships/hyperlink" Target="https://www.sec.gov/Archives/edgar/data/1822145/000110465924010183/tm244871d1_ex10-3.htm" TargetMode="External"/><Relationship Id="rId77" Type="http://schemas.openxmlformats.org/officeDocument/2006/relationships/hyperlink" Target="https://www.sec.gov/Archives/edgar/data/1822145/000110465924037407/tm249250d1_ex10-6.htm" TargetMode="External"/><Relationship Id="rId78" Type="http://schemas.openxmlformats.org/officeDocument/2006/relationships/hyperlink" Target="https://www.sec.gov/Archives/edgar/data/1822145/000110465924037407/tm249250d1_ex10-7.htm" TargetMode="External"/><Relationship Id="rId79" Type="http://schemas.openxmlformats.org/officeDocument/2006/relationships/hyperlink" Target="https://www.sec.gov/Archives/edgar/data/1822145/000110465924037407/tm249250d1_ex10-8.htm" TargetMode="External"/><Relationship Id="rId80" Type="http://schemas.openxmlformats.org/officeDocument/2006/relationships/hyperlink" Target="https://www.sec.gov/Archives/edgar/data/1822145/000110465924037407/tm249250d1_ex10-9.htm" TargetMode="External"/><Relationship Id="rId81" Type="http://schemas.openxmlformats.org/officeDocument/2006/relationships/hyperlink" Target="https://www.sec.gov/Archives/edgar/data/1822145/000110465924030518/tm246736d5_ex10-2.htm" TargetMode="External"/><Relationship Id="rId82" Type="http://schemas.openxmlformats.org/officeDocument/2006/relationships/hyperlink" Target="https://www.sec.gov/Archives/edgar/data/1822145/000110465924030518/tm246736d5_ex10-4.htm" TargetMode="External"/><Relationship Id="rId83" Type="http://schemas.openxmlformats.org/officeDocument/2006/relationships/hyperlink" Target="https://www.sec.gov/Archives/edgar/data/1822145/000110465924037407/tm249250d1_ex10-14.htm" TargetMode="External"/><Relationship Id="rId84" Type="http://schemas.openxmlformats.org/officeDocument/2006/relationships/hyperlink" Target="https://www.sec.gov/Archives/edgar/data/1822145/000121390023089293/ea188717ex10-1_presto.htm" TargetMode="External"/><Relationship Id="rId85" Type="http://schemas.openxmlformats.org/officeDocument/2006/relationships/hyperlink" Target="https://www.sec.gov/Archives/edgar/data/1822145/000110465924010183/tm244871d1_ex10-1.htm" TargetMode="External"/><Relationship Id="rId87" Type="http://schemas.openxmlformats.org/officeDocument/2006/relationships/hyperlink" Target="https://www.sec.gov/Archives/edgar/data/1822145/000110465924010183/tm244871d1_ex10-4.htm" TargetMode="External"/><Relationship Id="rId88" Type="http://schemas.openxmlformats.org/officeDocument/2006/relationships/hyperlink" Target="https://www.sec.gov/Archives/edgar/data/1822145/000110465924043723/tm246736d4_ex5-1.htm" TargetMode="External"/><Relationship Id="rId89" Type="http://schemas.openxmlformats.org/officeDocument/2006/relationships/hyperlink" Target="https://www.sec.gov/Archives/edgar/data/1822145/000110465924043723/tm246736d4_ex23-1.htm" TargetMode="External"/><Relationship Id="rId90" Type="http://schemas.openxmlformats.org/officeDocument/2006/relationships/hyperlink" Target="https://www.sec.gov/Archives/edgar/data/1822145/000110465924043723/tm246736-3_s3.htm#tPOA" TargetMode="External"/><Relationship Id="rId91" Type="http://schemas.openxmlformats.org/officeDocument/2006/relationships/hyperlink" Target="https://www.sec.gov/Archives/edgar/data/1822145/000110465924043723/tm246736d4_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2024-04-10T15:29:50Z</dcterms:created>
  <dcterms:modified xsi:type="dcterms:W3CDTF">2024-04-10T15:29:50Z</dcterms:modified>
</cp:coreProperties>
</file>