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Healey William Robert</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 CARLOS</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460" w:type="dxa"/>
            <w:vAlign w:val="bottom"/>
          </w:tcPr>
          <w:p>
            <w:pPr>
              <w:ind w:left="2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60" w:type="dxa"/>
            <w:vAlign w:val="bottom"/>
            <w:gridSpan w:val="3"/>
          </w:tcPr>
          <w:p>
            <w:pPr>
              <w:ind w:left="80"/>
              <w:spacing w:after="0"/>
              <w:rPr>
                <w:sz w:val="20"/>
                <w:szCs w:val="20"/>
                <w:color w:val="auto"/>
              </w:rPr>
            </w:pPr>
            <w:r>
              <w:rPr>
                <w:rFonts w:ascii="Arial" w:cs="Arial" w:eastAsia="Arial" w:hAnsi="Arial"/>
                <w:sz w:val="17"/>
                <w:szCs w:val="17"/>
                <w:color w:val="0000FF"/>
              </w:rPr>
              <w:t>09/13/2023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33,750</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72,246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common stock, par value $0.0001 per share ("Common Stock"), underlying restricted stock units ("RSUs") granted to the reporting person on September 13, 2023 (the "Grant Date") pursuant to the Issuer's 2022 Incentive Award Plan. The RSUs will vest in equal installments on the annual anniversary of the grant date for a period of four years, subject to the reporting person's continued employment. Each RSU represents the right to receive one share of Common Stock upon vesting.</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William Robert Healey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10/24/2023</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6779"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2023-10-24T16:53:53Z</dcterms:created>
  <dcterms:modified xsi:type="dcterms:W3CDTF">2023-10-24T16:53:53Z</dcterms:modified>
</cp:coreProperties>
</file>