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5063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506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  <w:w w:val="98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  <w:w w:val="98"/>
                </w:rPr>
                <w:t>Ventoux Acquisition Holdings</w:t>
              </w:r>
            </w:hyperlink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LLC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Ventoux CCM Acquisition Corp.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VTAQU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5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VENTOUX CCM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ACQUISITION CORP.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 EAST PUTNAM AVENUE,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FLOOR 4</w:t>
      </w:r>
    </w:p>
    <w:p>
      <w:pPr>
        <w:spacing w:after="0" w:line="309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GREENWICH CT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06830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4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440" w:firstLine="9"/>
        <w:spacing w:after="0" w:line="270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22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2,728,875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4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-1388110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By: /s/ Edward Scheetz,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-11430</wp:posOffset>
            </wp:positionV>
            <wp:extent cx="1189990" cy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Managing Member By: /s/ 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12/23/2020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-31750</wp:posOffset>
            </wp:positionV>
            <wp:extent cx="1310640" cy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Matthew MacDonald,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-25400</wp:posOffset>
            </wp:positionV>
            <wp:extent cx="1087120" cy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5565140</wp:posOffset>
            </wp:positionH>
            <wp:positionV relativeFrom="paragraph">
              <wp:posOffset>-101600</wp:posOffset>
            </wp:positionV>
            <wp:extent cx="564515" cy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Managing Member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953135" cy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0" Type="http://schemas.openxmlformats.org/officeDocument/2006/relationships/hyperlink" Target="http://www.sec.gov/cgi-bin/browse-edgar?action=getcompany&amp;CIK=0001837185" TargetMode="External"/><Relationship Id="rId11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2020-12-23T17:29:05Z</dcterms:created>
  <dcterms:modified xsi:type="dcterms:W3CDTF">2020-12-23T17:29:05Z</dcterms:modified>
</cp:coreProperties>
</file>