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4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21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540" w:type="dxa"/>
            <w:vAlign w:val="bottom"/>
            <w:gridSpan w:val="19"/>
            <w:vMerge w:val="restart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54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4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Suri Rajat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525 MIDDLEFIELD ROAD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6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Rule 10b5-1(c) Transaction Indication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5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8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9"/>
                <w:vertAlign w:val="subscript"/>
              </w:rPr>
              <w:t>X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4,241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6,630,361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06/07/2023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3.43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6,630,361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0.02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6,630,361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06/22/2023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4.7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6,630,361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08/27/2017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0.02</w:t>
            </w:r>
          </w:p>
        </w:tc>
        <w:tc>
          <w:tcPr>
            <w:tcW w:w="8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4,395,658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0.02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08/27/2017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03/27/2026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0.02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4,395,658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Cashless exercise of options.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Rajat Suri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06/26/2023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-7383145</wp:posOffset>
            </wp:positionV>
            <wp:extent cx="7045960" cy="68446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84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945017" TargetMode="External"/><Relationship Id="rId9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2023-06-26T20:33:08Z</dcterms:created>
  <dcterms:modified xsi:type="dcterms:W3CDTF">2023-06-26T20:33:08Z</dcterms:modified>
</cp:coreProperties>
</file>