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earliest event reported: July 16, 2024</w:t>
      </w:r>
    </w:p>
    <w:p>
      <w:pPr>
        <w:spacing w:after="0" w:line="21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Presto Automation Inc.</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020" w:type="dxa"/>
            <w:vAlign w:val="bottom"/>
          </w:tcPr>
          <w:p>
            <w:pPr>
              <w:spacing w:after="0"/>
              <w:rPr>
                <w:sz w:val="20"/>
                <w:szCs w:val="20"/>
                <w:color w:val="auto"/>
              </w:rPr>
            </w:pPr>
          </w:p>
        </w:tc>
      </w:tr>
      <w:tr>
        <w:trPr>
          <w:trHeight w:val="421"/>
        </w:trPr>
        <w:tc>
          <w:tcPr>
            <w:tcW w:w="290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40" w:type="dxa"/>
            <w:vAlign w:val="bottom"/>
            <w:gridSpan w:val="3"/>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001-39830</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84-2968594</w:t>
            </w:r>
          </w:p>
        </w:tc>
      </w:tr>
      <w:tr>
        <w:trPr>
          <w:trHeight w:val="187"/>
        </w:trPr>
        <w:tc>
          <w:tcPr>
            <w:tcW w:w="2900" w:type="dxa"/>
            <w:vAlign w:val="bottom"/>
            <w:tcBorders>
              <w:top w:val="single" w:sz="8" w:color="auto"/>
            </w:tcBorders>
          </w:tcPr>
          <w:p>
            <w:pPr>
              <w:jc w:val="center"/>
              <w:ind w:left="6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7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tcPr>
          <w:p>
            <w:pPr>
              <w:jc w:val="center"/>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290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2900" w:type="dxa"/>
            <w:vAlign w:val="bottom"/>
          </w:tcPr>
          <w:p>
            <w:pPr>
              <w:spacing w:after="0"/>
              <w:rPr>
                <w:sz w:val="24"/>
                <w:szCs w:val="24"/>
                <w:color w:val="auto"/>
              </w:rPr>
            </w:pPr>
          </w:p>
        </w:tc>
        <w:tc>
          <w:tcPr>
            <w:tcW w:w="5320" w:type="dxa"/>
            <w:vAlign w:val="bottom"/>
            <w:gridSpan w:val="5"/>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9"/>
              </w:rPr>
              <w:t>985 Industrial Road</w:t>
            </w:r>
          </w:p>
        </w:tc>
        <w:tc>
          <w:tcPr>
            <w:tcW w:w="3020" w:type="dxa"/>
            <w:vAlign w:val="bottom"/>
          </w:tcPr>
          <w:p>
            <w:pPr>
              <w:spacing w:after="0"/>
              <w:rPr>
                <w:sz w:val="24"/>
                <w:szCs w:val="24"/>
                <w:color w:val="auto"/>
              </w:rPr>
            </w:pPr>
          </w:p>
        </w:tc>
      </w:tr>
      <w:tr>
        <w:trPr>
          <w:trHeight w:val="238"/>
        </w:trPr>
        <w:tc>
          <w:tcPr>
            <w:tcW w:w="2900" w:type="dxa"/>
            <w:vAlign w:val="bottom"/>
          </w:tcPr>
          <w:p>
            <w:pPr>
              <w:spacing w:after="0"/>
              <w:rPr>
                <w:sz w:val="20"/>
                <w:szCs w:val="20"/>
                <w:color w:val="auto"/>
              </w:rPr>
            </w:pPr>
          </w:p>
        </w:tc>
        <w:tc>
          <w:tcPr>
            <w:tcW w:w="5320" w:type="dxa"/>
            <w:vAlign w:val="bottom"/>
            <w:gridSpan w:val="5"/>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San Carlos, CA</w:t>
            </w:r>
          </w:p>
        </w:tc>
        <w:tc>
          <w:tcPr>
            <w:tcW w:w="302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94070</w:t>
            </w:r>
          </w:p>
        </w:tc>
      </w:tr>
      <w:tr>
        <w:trPr>
          <w:trHeight w:val="232"/>
        </w:trPr>
        <w:tc>
          <w:tcPr>
            <w:tcW w:w="74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020" w:type="dxa"/>
            <w:vAlign w:val="bottom"/>
            <w:tcBorders>
              <w:top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410"/>
        </w:trPr>
        <w:tc>
          <w:tcPr>
            <w:tcW w:w="29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(650) 817-9012</w:t>
            </w: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r>
        <w:trPr>
          <w:trHeight w:val="232"/>
        </w:trPr>
        <w:tc>
          <w:tcPr>
            <w:tcW w:w="2900" w:type="dxa"/>
            <w:vAlign w:val="bottom"/>
          </w:tcPr>
          <w:p>
            <w:pPr>
              <w:spacing w:after="0"/>
              <w:rPr>
                <w:sz w:val="20"/>
                <w:szCs w:val="20"/>
                <w:color w:val="auto"/>
              </w:rPr>
            </w:pPr>
          </w:p>
        </w:tc>
        <w:tc>
          <w:tcPr>
            <w:tcW w:w="5320" w:type="dxa"/>
            <w:vAlign w:val="bottom"/>
            <w:gridSpan w:val="5"/>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020" w:type="dxa"/>
            <w:vAlign w:val="bottom"/>
          </w:tcPr>
          <w:p>
            <w:pPr>
              <w:spacing w:after="0"/>
              <w:rPr>
                <w:sz w:val="20"/>
                <w:szCs w:val="20"/>
                <w:color w:val="auto"/>
              </w:rPr>
            </w:pP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12"/>
        <w:spacing w:after="0" w:line="498" w:lineRule="auto"/>
        <w:tabs>
          <w:tab w:leader="none" w:pos="32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10"/>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PRST</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52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whole warrant exercisable for one share of</w:t>
            </w:r>
          </w:p>
        </w:tc>
        <w:tc>
          <w:tcPr>
            <w:tcW w:w="24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PRSTW</w:t>
            </w:r>
          </w:p>
        </w:tc>
        <w:tc>
          <w:tcPr>
            <w:tcW w:w="4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19, 2024, Presto Automation Inc. (the “Company” or “we”) executed and issued to Remus Capital Series B II, L.P, an entity affiliated with Krishna Gupta, a member of our Board of Directors, a subordinated convertible note in the principal amount of $1,650,000 (the “July Note”) in consideration for a cash investment of $1,650,000 from Remus Capital.</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PIK Interest</w:t>
      </w:r>
      <w:r>
        <w:rPr>
          <w:rFonts w:ascii="Times New Roman" w:cs="Times New Roman" w:eastAsia="Times New Roman" w:hAnsi="Times New Roman"/>
          <w:sz w:val="18"/>
          <w:szCs w:val="18"/>
          <w:color w:val="auto"/>
        </w:rPr>
        <w:t>. Interest on the July Note accrues monthly by increasing principal at a rate of 7.5% per annum. The interest rate shall increase to 12%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of an event of default.</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July Note is convertible into 20,625,000 shares of common stock, par value $0.0001 per share (“Common Stock”), at the option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at a conversion price of $0.08 per share. The conversion rate is subject to adjustment in connection with any stock split, stock dividend or similar action.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July Note shall convert mandatorily into Common Stock at the then prevailing conversion price immediately prior to (a) a Restructuring Transaction, and (b) a Change of Control transaction with a financial investor (in each case, as such terms are defined in the July Note). For these purposes: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Conversion Cap</w:t>
      </w:r>
      <w:r>
        <w:rPr>
          <w:rFonts w:ascii="Times New Roman" w:cs="Times New Roman" w:eastAsia="Times New Roman" w:hAnsi="Times New Roman"/>
          <w:sz w:val="18"/>
          <w:szCs w:val="18"/>
          <w:color w:val="auto"/>
        </w:rPr>
        <w:t>. The total number of shares of Common Stock that can be issued upon conversion of the July Note and any other securities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aggregated with the July Note under applicable rules of the Nasdaq Stock Market (“Nasdaq”) is limited to 20% of the outstanding shares of the Company at the time of the conversion of the July Note. The Company cannot provide any assurance that its efforts to comply with Nasdaq Listing Rule 5635(d) will be successful since it is possible that this offering may be aggregated with other previous offerings. In addition, the Company’s shares are currently subject to delisting from Nasdaq, although the Company has filed an appeal.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Subordination</w:t>
      </w:r>
      <w:r>
        <w:rPr>
          <w:rFonts w:ascii="Times New Roman" w:cs="Times New Roman" w:eastAsia="Times New Roman" w:hAnsi="Times New Roman"/>
          <w:sz w:val="18"/>
          <w:szCs w:val="18"/>
          <w:color w:val="auto"/>
        </w:rPr>
        <w:t>. The July Note is subject to the terms and conditions of the indebtedness (the “Senior Indebtedness”) outstanding under the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(as defined below) and additional provisions set forth in the July Note, including, without limitation, (i) the July Note is subordinated to the prior payment in cash in full of the Senior Indebtedness, and (ii) no principal or interest may be paid in cash on the July Note prior to the repayment in cash in full of the Senior Indebtedness.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entered into a Registration Rights Agreement with the July Note holder (the “Registration Rights Agreement”) dated July 19, 2024. Under the Registration Rights Agreement, the Company is required to file a registration statement (“Registration Statement”) with the SEC within 90 days following the date of the Registration Rights Agreement for purposes of registering the resale of the shares of Common Stock issuable upon conversion of the July Note. The Company is also required to use commercially reasonable efforts to cause the SEC to declare the Registration Statement effective as promptly as possible after the filing of the Registration Statement and no later than the earlier of (i) the 150th calendar day following the date of the Registration Rights Agreement and (ii) the 5th trading day after the date the Company is notified by the SEC that the Registration Statement will not be “reviewed” or will not be subject to further review. The Company is also required to use its commercially reasonable efforts to keep each Registration Statement continuously effective under the Securities Act of 1933, as amended (the “Securities Act”) until the earlier of (i) such time as all of the registrable securities covered by such Resale Registration Statement have been sold by the holders publicly or pursuant to Rule 144 or (ii) the date that all registrable securities covered by such Registration Statement may be sold by non-affiliates of the Company without volume or manner-of-sale restrictions under Rule 144, and without the requirement for the Company to be in compliance with the current public information requirements under Rule 144, as determined by counsel to the Company pursuant to a written opinion letter to such effect, addressed and acceptable to the Company’s transfer agent and the affected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Amendment to Cooperation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19, 2024, the Company and Presto Automation LLC (the “Borrower”), the Company’s wholly owned subsidiary (the “Loan Parties”) entered into an amendment (the “Amendment”) to the Cooperation Agreement (as amended by the Amendment, the “Cooperation Agreement”), dated May 16, 2024, with Metropolitan Partners Group Administration, LLC, the administrative, payment and collateral agent (the “Agent”) under the Credit Agreement, dated as of September 21, 2022 (as amended, the “Credit Agreement”), Metropolitan Levered Partners Fund VII, LP, Metropolitan Partners Fund VII, LP, Metropolitan Offshore Partners Fund VII, LP and CEOF Holdings LP (collectively, the “Lenders”), and certain significant stockholders.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Payments of Interest and Reimbursement of Expenses</w:t>
      </w:r>
      <w:r>
        <w:rPr>
          <w:rFonts w:ascii="Times New Roman" w:cs="Times New Roman" w:eastAsia="Times New Roman" w:hAnsi="Times New Roman"/>
          <w:sz w:val="18"/>
          <w:szCs w:val="18"/>
          <w:color w:val="auto"/>
        </w:rPr>
        <w:t>. Pursuant to the Amendment, the Company is required to make a cash payment to the lenders 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August 9, 2024 of (1) $375,000, which shall be applied in accordance with the Credit Agreement, and (2) $210,000 in respect of reimbursement of fees and expenses incurred by the Lenders. The failure to timely remit these amounts will be an event of default and shall automatically cause the Interest Rate (as defined in the Credit Agreement) under the Credit Agreement to increase to 18% per annum, effective as of May 16,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Extension to Forbearance Date and Related Terms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Amendment provides that the Lenders will not exercise remedies as a result of certain continuing events of default under the Credit Agreement, subject to the following agreements and conditions (the “Forbearance”):</w:t>
      </w:r>
    </w:p>
    <w:p>
      <w:pPr>
        <w:spacing w:after="0" w:line="162"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raises net cash proceeds equal to or greater than $1,500,000 in a private offering by July 22, 2024, the Agent and the Lenders agree to extend the Forbearance termination date (the “Termination Date”) to August 1, 2024;</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raises additional net cash proceeds equal to or greater than of $2,000,000 (for a total of $3,500,000) or more by August 1, 2024, the Termination Date shall be automatically extended to August 15, 2024;</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raises additional net cash proceeds equal to or greater than of $2,000,000 (for a total of $5,500,000) or more by August 15, 2024, the Termination Date shall be automatically extended to August 29, 2024;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raises additional net cash proceeds equal to or greater than of $2,000,000 (for a total of $7,500,000) or more by August 29, 2024, the Termination Date shall be automatically extended to September 15, 2024.</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Assuming continued Forbearance, the Lenders have agreed to engage in good faith discussions to conclude a binding written agreement (the “Offer”) with a third party submitted by any Loan Party or Significant Stakeholder (as defined in the Cooperation Agreement) to purchase all of the Lenders’ rights and obligations under the Loan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Offer is (A) for a cash purchase price of at least $20.0 million, (B) accompanied by a binding commitment by the Borrower to issue one or more promissory notes to the Lenders (the “Convertible Notes”) in an aggregate principal amount equal to fifty percent (50%) of the outstanding balance of the Obligations (as defined in the Credit Agreement) less the proposed cash purchase price, which Convertible Notes shall be convertible into equity of the Company of the same class and on the same terms as are set out in that certain convertible subordinated note issued to Remus Capital Series B II, L.P. on January 30, 2024, and (C) accompanied by evidence, in form and substance satisfactory to Lenders in their sole discretion, reflecting that the Offer will provide us with operating capital of not less than $12.0 million, not including the cash purchase price described in subparagraph (A) above. To the extent that the operating capital contribution is less than $18.0 million, the amount of the convertible note set forth above will be increased by a dollar amount equal to the reduction in the operating capital contribution below $18.0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Development of Alternative Path</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agreed to maintain a committee of independent directors to work with the Lenders on the development and execution of a strategic plan (the “Alternative Path”) to address our obligations under the Credit Agreement and the Cooperation Agreement, including directing our professional advisors to work with the Agent in the development and execution of the Alternative Path, including the identification and solicitation of additional financing sources. We have agreed to (i) provide access to properties, systems and access to various types of information as the Lenders Professionals reasonably request order to perform the agreed scope of work under any applicable engagement agreement or otherwise in connection with any Sale Process or Loan Sale and Agent’s and Lenders’ exercise of remedies; (ii) make reasonably available our directors, officers, employees and advisors; (iii) permit the Lender Professionals to conduct monitoring and evaluations of the Loan Parties’ finances, financial condition, business and operations in order to perform the agreed scope of work; (iv) furnish information when reasonably requested and permit the Lender Professionals to inspect and obtain copies, as available, from the Loan Parties’ books and records; (v) provide all information necessary or requested to populate a data room or otherwise facilitate due diligence by potential investors and/or purchasers; and (vi) provide timely updates to Agent, the Lenders, and the Lender Professionals on any changes in the business or expected financial performance that could reasonably be expected to have a material effect on the affairs of the Loan Parties.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Cooperation in Connection with Sale of the Company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Loan Parties have agreed to cooperate and not impede the exercise of the Agent’s and Lenders’ rights and remedies under the Loan Documents (as defined in the Credit Agreement), including, among other things, the realization of their collateral and a potential sale process under Article 9 of the Uniform Commercial Code, a sale under section 363 of the Bankruptcy Code (as defined in the Cooperation Agreement), the appointment of a receiver, trustee or other custodian over all or any portion of the Loan Parties’ assets (any of the foregoing, a “Sale Process”), or to sell and assign the Assigned Interest (as defined in the Cooperation Agreement) or engage in discussions or negotiations with any other Person with respect to such a sale and assignment of the Assigned Interest (a “Loan Sale”), and the retention of professionals, including, but not limited to, investment bankers (such professionals, collectively, the “Lender Professionals”) to assist with any such Sale Process or Loan Sale. In the event of such outcome, it is likely that the holders of shares of our Common Stock will receive no value and the shares will become worthless.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Release from Claims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together with our past, present and future successors, assigns, managers, members, officers, directors, agents, employees, professionals and other representatives (in their capacities as such and not in any other capacity), and entities affiliated with Remus Capital and Presto CA LLC (an affiliate of Cleveland Avenue, LLC) together with their respective past, present and future successors and assigns released the Agent and the Lenders from any claims related to our forbearance agreement, the Credit Agreement and any Loan Documents.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Extension of Secured Promissory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21, 2024, we issued to Presto CA LLC (“Presto CA”) a secured promissory note in the principal amount of $4.0 million (the “Note”), pursuant to which Presto CA made two loans totaling an aggregate of $4.0 million to us. The first loan was made on March 21, 2024 in the amount of $2.0 million and the second loan was made on March 30, 2024 in the amount of $2.0 million (the “Loans”). The Loans were originally to be repaid no later than May 15, 2024. Presto CA has agreed to extend the maturity of the Note to align with the termination of Forbearance as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16, 2024, the Company held its Special Meeting of Stockholders (the “Special Meeting”). Set forth below are the voting results of the six proposals considered and voted upon at the Special Meeting, all of which were described in the Company’s definitive proxy statement filed with the U.S. Securities and Exchange Commission on June 20, 2024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 w:name="page5"/>
    <w:bookmarkEnd w:id="4"/>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 To approve an amendment to the Second Amended and Restated Certificate of Incorporation of the Company, as amended, to effect a reverse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split of all of the issued and outstanding shares of the Company’s Common Stock, at a ratio in the range of 1-for-25 to 1-for-100, with the exact ratio of, effective time of and decision to implement the reverse stock split to be determined at by the Board of Directors in its sole discretion.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82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74,092,568</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11,927,723</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36,555</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 To approve the issuance of shares of Common Stock in an amount in excess of 20.0% of the Company’s outstanding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terms of certain Securities Purchase Agreement, dated October 10, 2023, and warrants to purchase Common Stock, dated October 16, 2023, issued to certain Metropolitan funds.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82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51,995,129</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5,333,401</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203,575</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28,524,741</w:t>
            </w:r>
          </w:p>
        </w:tc>
      </w:tr>
    </w:tbl>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3 </w:t>
      </w:r>
      <w:r>
        <w:rPr>
          <w:rFonts w:ascii="Times New Roman" w:cs="Times New Roman" w:eastAsia="Times New Roman" w:hAnsi="Times New Roman"/>
          <w:sz w:val="18"/>
          <w:szCs w:val="18"/>
          <w:color w:val="auto"/>
        </w:rPr>
        <w:t>– To approve the issuance of shares of Common Stock in an amount in excess of 20.0% of the Company’s outstanding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terms of certain Common Stock Purchase Agreements, dated November 17, 2023.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82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52,071,686</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5,344,473</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115,946</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28,524,741</w:t>
            </w:r>
          </w:p>
        </w:tc>
      </w:tr>
    </w:tbl>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4 </w:t>
      </w:r>
      <w:r>
        <w:rPr>
          <w:rFonts w:ascii="Times New Roman" w:cs="Times New Roman" w:eastAsia="Times New Roman" w:hAnsi="Times New Roman"/>
          <w:sz w:val="18"/>
          <w:szCs w:val="18"/>
          <w:color w:val="auto"/>
        </w:rPr>
        <w:t>– To approve the potential issuance of shares of Common Stock underlying subordinated convertible notes and warrants in an amount in excess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20.0% of the Company’s outstanding Common Stock, pursuant to the terms of certain Securities Purchase Agreements, dated January 29, 2024, and warrants to purchase Common Stock.</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82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52,037,143</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5,345,605</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149,357</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28,524,741</w:t>
            </w:r>
          </w:p>
        </w:tc>
      </w:tr>
    </w:tbl>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5 </w:t>
      </w:r>
      <w:r>
        <w:rPr>
          <w:rFonts w:ascii="Times New Roman" w:cs="Times New Roman" w:eastAsia="Times New Roman" w:hAnsi="Times New Roman"/>
          <w:sz w:val="18"/>
          <w:szCs w:val="18"/>
          <w:color w:val="auto"/>
        </w:rPr>
        <w:t>– To approve the issuance of shares of Common Stock in an amount in excess of 20.0% of the Company’s outstanding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terms of certain Securities Purchase Agreements, dated May 22, 2024.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82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52,115,470</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5,260,352</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156,283</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28,524,741</w:t>
            </w:r>
          </w:p>
        </w:tc>
      </w:tr>
    </w:tbl>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6 </w:t>
      </w:r>
      <w:r>
        <w:rPr>
          <w:rFonts w:ascii="Times New Roman" w:cs="Times New Roman" w:eastAsia="Times New Roman" w:hAnsi="Times New Roman"/>
          <w:sz w:val="18"/>
          <w:szCs w:val="18"/>
          <w:color w:val="auto"/>
        </w:rPr>
        <w:t>– To approve the issuance of shares of Common Stock to Triton Funds, LP (“Triton”), pursuant to that certain Common Stock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dated May 28, 2024, by and between the Company and Triton (as amended, the “CSPA”), which shares represent more than 20.0% of the Company’s issued and outstanding Common Stock as of immediately prior to the signing of the CSPA.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82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52,200,266</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5,218,550</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113,289</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28,524,741</w:t>
            </w:r>
          </w:p>
        </w:tc>
      </w:tr>
      <w:tr>
        <w:trPr>
          <w:trHeight w:val="675"/>
        </w:trPr>
        <w:tc>
          <w:tcPr>
            <w:tcW w:w="2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Update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projects that the net proceeds from the July Note, together with the Company’s other cash resources and projected revenues, are sufficient for the Company to sustain its operations through the end of July 2024. The Company is currently exploring alternatives to raise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(the “Form 8-K”) contains statements that constitute “forward-looking statements” within the meaning of Section 27A of the Securities Act of 1933, as amended, and Section 21E of the Securities Exchange Act of 1934, as amended. All statements, other than statements of present or historical fact included in this Form 8-K, regarding the Company’s strategy, future operations, prospects, plans and objectives of management, are forward-looking statements. When used in this Form 8-K, the words “could,” “should,” “will,” “may,” “believe,” “anticipate,” “intend,” “estimate,” “expect,” “project,” “initiatives,” “continue,” the negative of such terms and other similar expressions are intended to identify forward-looking statements, although not all forward-looking statements contain such identifying words. These forward-looking statements are based on management’s current expectations and assumptions about future events and are based on currently available information as to the outcome and timing of future events. The forward-looking statements speak only as of the date of this Form 8-K or as of the date they are made. The Company cautions you that these forward-looking statements are subject to numerous risks and uncertainties, most of which are difficult to predict and many of which are beyond the control of the Company. In addition, the Company cautions you that the forward-looking statements contained in this Form 8-K are subject to risks and uncertainties, including but not limited to, the Company’s ability to secure additional capital resources, and those additional risks and uncertainties discussed under the heading “Risk Factors” in the Form 10-K filed by the Company with the SEC on October 11, 2023 and the other documents filed, or to be filed, by the Company with the SEC. Additional information concerning these and other factors that may impact the operations and projections discussed herein can be found in the reports that the Company has filed and will file from time to time with the SEC. These SEC filings are available publicly on the SEC’s website at www.sec.gov. Should one or more of the risks or uncertainties described in this Form 8-K materialize or should underlying assumptions prove incorrect, actual results and outcomes could differ materially from those expressed in any forward-looking statements. Except as otherwise required by applicable law, the Company disclaims any duty to update any forward-looking statements, all of which are expressly qualified by the statements in this section, to reflect events or circumstances after the date of this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tabs>
          <w:tab w:leader="none" w:pos="76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7"/>
          <w:szCs w:val="17"/>
          <w:u w:val="single" w:color="auto"/>
          <w:color w:val="0000EE"/>
        </w:rPr>
        <w:t>Subordinated Convertible Note, dated as of July 19, 2024.</w:t>
      </w:r>
    </w:p>
    <w:p>
      <w:pPr>
        <w:spacing w:after="0" w:line="23" w:lineRule="exact"/>
        <w:rPr>
          <w:sz w:val="20"/>
          <w:szCs w:val="20"/>
          <w:color w:val="auto"/>
        </w:rPr>
      </w:pPr>
    </w:p>
    <w:p>
      <w:pPr>
        <w:ind w:left="780" w:hanging="768"/>
        <w:spacing w:after="0" w:line="250" w:lineRule="auto"/>
        <w:tabs>
          <w:tab w:leader="none" w:pos="760" w:val="left"/>
        </w:tabs>
        <w:rPr>
          <w:sz w:val="20"/>
          <w:szCs w:val="20"/>
          <w:color w:val="auto"/>
        </w:rPr>
      </w:pPr>
      <w:r>
        <w:rPr>
          <w:rFonts w:ascii="Times New Roman" w:cs="Times New Roman" w:eastAsia="Times New Roman" w:hAnsi="Times New Roman"/>
          <w:sz w:val="18"/>
          <w:szCs w:val="18"/>
          <w:u w:val="single" w:color="auto"/>
          <w:color w:val="0000EE"/>
        </w:rPr>
        <w:t>10.2</w:t>
      </w:r>
      <w:r>
        <w:rPr>
          <w:sz w:val="20"/>
          <w:szCs w:val="20"/>
          <w:color w:val="auto"/>
        </w:rPr>
        <w:tab/>
      </w:r>
      <w:r>
        <w:rPr>
          <w:rFonts w:ascii="Times New Roman" w:cs="Times New Roman" w:eastAsia="Times New Roman" w:hAnsi="Times New Roman"/>
          <w:sz w:val="18"/>
          <w:szCs w:val="18"/>
          <w:u w:val="single" w:color="auto"/>
          <w:color w:val="0000EE"/>
        </w:rPr>
        <w:t>First Amendment to Cooperation Agreement, dated as of July 19, 2024, by and between Metropolitan Partners Group Administration, LLC, Presto CA LLC, Presto Automation Inc., and Presto Automation LLC.</w:t>
      </w:r>
    </w:p>
    <w:p>
      <w:pPr>
        <w:spacing w:after="0" w:line="1" w:lineRule="exact"/>
        <w:rPr>
          <w:sz w:val="20"/>
          <w:szCs w:val="20"/>
          <w:color w:val="auto"/>
        </w:rPr>
      </w:pPr>
    </w:p>
    <w:p>
      <w:pPr>
        <w:ind w:left="780" w:right="20" w:hanging="768"/>
        <w:spacing w:after="0" w:line="250" w:lineRule="auto"/>
        <w:tabs>
          <w:tab w:leader="none" w:pos="760" w:val="left"/>
        </w:tabs>
        <w:rPr>
          <w:sz w:val="20"/>
          <w:szCs w:val="20"/>
          <w:color w:val="auto"/>
        </w:rPr>
      </w:pPr>
      <w:r>
        <w:rPr>
          <w:rFonts w:ascii="Times New Roman" w:cs="Times New Roman" w:eastAsia="Times New Roman" w:hAnsi="Times New Roman"/>
          <w:sz w:val="18"/>
          <w:szCs w:val="18"/>
          <w:u w:val="single" w:color="auto"/>
          <w:color w:val="0000EE"/>
        </w:rPr>
        <w:t>10.3</w:t>
      </w:r>
      <w:r>
        <w:rPr>
          <w:sz w:val="20"/>
          <w:szCs w:val="20"/>
          <w:color w:val="auto"/>
        </w:rPr>
        <w:tab/>
      </w:r>
      <w:r>
        <w:rPr>
          <w:rFonts w:ascii="Times New Roman" w:cs="Times New Roman" w:eastAsia="Times New Roman" w:hAnsi="Times New Roman"/>
          <w:sz w:val="18"/>
          <w:szCs w:val="18"/>
          <w:u w:val="single" w:color="auto"/>
          <w:color w:val="0000EE"/>
        </w:rPr>
        <w:t>Extension No. 2 to Senior Secured Promissory Note, dated as of July 19, 2024, by and between Presto Automation LLC, Presto Automation Inc., and Presto CA, LLC.</w:t>
      </w:r>
    </w:p>
    <w:p>
      <w:pPr>
        <w:spacing w:after="0" w:line="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u w:val="single" w:color="auto"/>
          <w:color w:val="0000EE"/>
        </w:rPr>
        <w:t>10.4</w:t>
      </w:r>
      <w:r>
        <w:rPr>
          <w:sz w:val="20"/>
          <w:szCs w:val="20"/>
          <w:color w:val="auto"/>
        </w:rPr>
        <w:tab/>
      </w:r>
      <w:r>
        <w:rPr>
          <w:rFonts w:ascii="Times New Roman" w:cs="Times New Roman" w:eastAsia="Times New Roman" w:hAnsi="Times New Roman"/>
          <w:sz w:val="18"/>
          <w:szCs w:val="18"/>
          <w:u w:val="single" w:color="auto"/>
          <w:color w:val="0000EE"/>
        </w:rPr>
        <w:t>Registration Rights Agreement, dated as of July 19, 2024.</w:t>
      </w: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PRESTO AUTOMATION, INC.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July 22, 2024</w:t>
            </w: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Susan Shinoff</w:t>
            </w:r>
          </w:p>
        </w:tc>
      </w:tr>
      <w:tr>
        <w:trPr>
          <w:trHeight w:val="191"/>
        </w:trPr>
        <w:tc>
          <w:tcPr>
            <w:tcW w:w="35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Susan Shinoff</w:t>
            </w:r>
          </w:p>
        </w:tc>
      </w:tr>
      <w:tr>
        <w:trPr>
          <w:trHeight w:val="234"/>
        </w:trPr>
        <w:tc>
          <w:tcPr>
            <w:tcW w:w="35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General Counsel and Corporate Secretary</w:t>
            </w:r>
          </w:p>
        </w:tc>
      </w:tr>
      <w:tr>
        <w:trPr>
          <w:trHeight w:val="675"/>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ind w:left="1026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SUBORDINATED CONVERTIBLE NOTE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THIS INSTRUMENT AND THE RIGHTS AND OBLIGATIONS EVIDENCED HEREBY ARE SUBORDINATE TO THE INDEFEASIBLE PAYMENT IN FULL AND SATISFACTION OF THE SENIOR INDEBTEDNESS OWED TO THE LENDERS AND THE ADMINISTRATIVE AGENT PURSUANT TO THE CREDIT AGREEMENT AND LOAN DOCUMENTS (EACH AS DEFINED HEREIN).</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UNDER SAID ACT. NOTWITHSTANDING THE FOREGOING, THE SECURITIES MAY BE PLEDGED IN CONNECTION WITH A BONA FIDE MARGIN ACCOUNT OR OTHER LOAN OR FINANCING ARRANGEMENT SECURED BY THE SECURITIES. ANY TRANSFEREE OF THIS NOTE SHOULD CAREFULLY REVIEW THE TERMS OF THIS NOTE. THE PRINCIPAL AMOUNT REPRESENTED BY THIS NOTE AND, ACCORDINGLY, THE SECURITIES ISSUABLE UPON CONVERSION HEREOF MAY BE LESS THAN THE AMOUNTS SET FORTH ON THE FACE HEREOF PURSUANT TO THE TERMS OF THIS NOTE.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SUBORDINATED CONVERTIBLE NOTE</w:t>
      </w:r>
    </w:p>
    <w:p>
      <w:pPr>
        <w:spacing w:after="0" w:line="207" w:lineRule="exact"/>
        <w:rPr>
          <w:sz w:val="20"/>
          <w:szCs w:val="20"/>
          <w:color w:val="auto"/>
        </w:rPr>
      </w:pPr>
    </w:p>
    <w:p>
      <w:pPr>
        <w:spacing w:after="0"/>
        <w:tabs>
          <w:tab w:leader="none" w:pos="7880" w:val="left"/>
        </w:tabs>
        <w:rPr>
          <w:sz w:val="20"/>
          <w:szCs w:val="20"/>
          <w:color w:val="auto"/>
        </w:rPr>
      </w:pPr>
      <w:r>
        <w:rPr>
          <w:rFonts w:ascii="Times New Roman" w:cs="Times New Roman" w:eastAsia="Times New Roman" w:hAnsi="Times New Roman"/>
          <w:sz w:val="18"/>
          <w:szCs w:val="18"/>
          <w:color w:val="auto"/>
        </w:rPr>
        <w:t>Issuance Date: July 19, 2024</w:t>
      </w:r>
      <w:r>
        <w:rPr>
          <w:sz w:val="20"/>
          <w:szCs w:val="20"/>
          <w:color w:val="auto"/>
        </w:rPr>
        <w:tab/>
      </w:r>
      <w:r>
        <w:rPr>
          <w:rFonts w:ascii="Times New Roman" w:cs="Times New Roman" w:eastAsia="Times New Roman" w:hAnsi="Times New Roman"/>
          <w:sz w:val="18"/>
          <w:szCs w:val="18"/>
          <w:color w:val="auto"/>
        </w:rPr>
        <w:t>Original Principal Amount: U.S. 1,675,000.00</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VALUE RECEIVED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Presto 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promises to pay to the order of Remus Capital Series B II, L.P. or its registered assigns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the amount set forth above as the Original Principal Amount (as reduced pursuant to the terms hereof pursuant to redemption, conversion or otherwise and as increased by the amount of PIK Interest (as defined below) added to the principal amount of this Subordinated Convertible Note (this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and, to the extent separated into more than one Note,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 accordance with Section 2(a), the (“</w:t>
      </w:r>
      <w:r>
        <w:rPr>
          <w:rFonts w:ascii="Times New Roman" w:cs="Times New Roman" w:eastAsia="Times New Roman" w:hAnsi="Times New Roman"/>
          <w:sz w:val="18"/>
          <w:szCs w:val="18"/>
          <w:b w:val="1"/>
          <w:bCs w:val="1"/>
          <w:color w:val="auto"/>
        </w:rPr>
        <w:t>Principal</w:t>
      </w:r>
      <w:r>
        <w:rPr>
          <w:rFonts w:ascii="Times New Roman" w:cs="Times New Roman" w:eastAsia="Times New Roman" w:hAnsi="Times New Roman"/>
          <w:sz w:val="18"/>
          <w:szCs w:val="18"/>
          <w:color w:val="auto"/>
        </w:rPr>
        <w:t>”) when due, whether upon the Maturity Date, or upon acceleration, redemption or otherwise (in each case in accordance with the terms hereof) and to pay interest as provided herein until the same becomes due and payable, whether upon the Maturity Date, or upon acceleration, conversion, redemption or otherwise (in each case in accordance with the terms hereof). Certain capitalized terms used herein are defined in Section 27.</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            PAYMENTS OF PRINCIPAL.</w:t>
      </w:r>
    </w:p>
    <w:p>
      <w:pPr>
        <w:spacing w:after="0" w:line="229"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On the Maturity Date, the Company shall pay to the Holder an amount in cash representing all outstanding Principal, accrued and unpaid Interest and accrued and unpaid Late Charges (as defined below) on such Principal and Interest. The Company may not prepay any portion of the outstanding Principal, accrued and unpaid Interest or accrued and unpaid Late Charges on Principal and Interest, if any. Notwithstanding anything herein to the contrary, with respect to any redemption hereunder, as applicable, the Company shall repay or redeem, as applicable,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all accrued and unpaid Interest hereunder and under any other Notes held by such Holder,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all accrued and unpaid Late Charges on any Principal and Interest hereunder and under any other Notes held by such Holder,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all other amounts (other than Principal) outstanding under any other Notes held by such Holder and,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all Principal outstanding hereunder and under any other Notes held by such Holder, in each case, allocated pro rata among this Note and such other Notes held by such Holder.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            INTEREST; INTEREST RATE.</w:t>
      </w:r>
    </w:p>
    <w:p>
      <w:pPr>
        <w:spacing w:after="0" w:line="227"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PIK Interest</w:t>
      </w:r>
      <w:r>
        <w:rPr>
          <w:rFonts w:ascii="Times New Roman" w:cs="Times New Roman" w:eastAsia="Times New Roman" w:hAnsi="Times New Roman"/>
          <w:sz w:val="18"/>
          <w:szCs w:val="18"/>
          <w:color w:val="auto"/>
        </w:rPr>
        <w:t>. PIK Interest on the Principal of this Note shall commence accruing on the Issuance Date at the PIK Interest Rate and shall be computed on the basis of a 360-day year and the actual number of days elapsed, and shall be payable in arrears on each Interest Date (with the first Interest Date being August 1, 2024) to the record holder of this Note. However, PIK Interest shall not be paid in cash on each Interest Date, but instead shall be automatically capitalized on a monthly basis as of such Interest Date and added to the unpaid and outstanding Principal of this Note.</w:t>
      </w:r>
    </w:p>
    <w:p>
      <w:pPr>
        <w:spacing w:after="0" w:line="183"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PIK Interest on Event of Default</w:t>
      </w:r>
      <w:r>
        <w:rPr>
          <w:rFonts w:ascii="Times New Roman" w:cs="Times New Roman" w:eastAsia="Times New Roman" w:hAnsi="Times New Roman"/>
          <w:sz w:val="18"/>
          <w:szCs w:val="18"/>
          <w:color w:val="auto"/>
        </w:rPr>
        <w:t>. From and after the occurrence and during the continuance of any Event of Default, the PIK Interest Rate shall automatically be increased to 12% per annum. In the event that such Event of Default is subsequently cured, the adjustment referred to in the preceding sentence shall cease to be effective as of the calendar day immediately following the date of such cure.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b w:val="1"/>
          <w:bCs w:val="1"/>
          <w:color w:val="auto"/>
        </w:rPr>
        <w:t>3.            CONVERSION OF NOTES.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At any time after the Issuance Date, this Note shall be convertible, at any time and from time to time, at the option of the Holder, into validly issued, fully paid and non-assessable shares of Common Stock (as defined below), on the terms and conditions set forth in this Section 3.</w:t>
      </w:r>
    </w:p>
    <w:p>
      <w:pPr>
        <w:spacing w:after="0" w:line="162"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Conversion Right</w:t>
      </w:r>
      <w:r>
        <w:rPr>
          <w:rFonts w:ascii="Times New Roman" w:cs="Times New Roman" w:eastAsia="Times New Roman" w:hAnsi="Times New Roman"/>
          <w:sz w:val="18"/>
          <w:szCs w:val="18"/>
          <w:color w:val="auto"/>
        </w:rPr>
        <w:t>. At any time or times on or after the Issuance Date, the Holder shall be entitled, at its option, to convert any portion of the outstanding and unpaid Conversion Amount (as defined below) into validly issued, fully paid and non-assessable shares of Common Stock in accordance with Section 3(c), at the Conversion Rate (as defined below). The Company shall not issue any fraction of a share of Common Stock upon any conversion. If the issuance would result in the issuance of a fraction of a share of Common Stock, the Company shall round such fraction of a share of Common Stock up to the nearest whole share. The Company shall pay any and all transfer, stamp, issuance and similar taxes, costs and expenses (including, without limitation, fees and expenses of the Transfer Agent (as defined below)) that may be payable with respect to the issuance and delivery of Common Stock upon conversion of any Conversion Amount.</w:t>
      </w:r>
    </w:p>
    <w:p>
      <w:pPr>
        <w:spacing w:after="0" w:line="189"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Conversion Rate</w:t>
      </w:r>
      <w:r>
        <w:rPr>
          <w:rFonts w:ascii="Times New Roman" w:cs="Times New Roman" w:eastAsia="Times New Roman" w:hAnsi="Times New Roman"/>
          <w:sz w:val="18"/>
          <w:szCs w:val="18"/>
          <w:color w:val="auto"/>
        </w:rPr>
        <w:t>. The number of shares of Common Stock issuable upon conversion of any Conversion Amount pursuant to Section 3(a) shall be determined by dividing (x) such Conversion Amount by (y) the Conversion Price (the “</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300" w:firstLine="648"/>
        <w:spacing w:after="0" w:line="268" w:lineRule="auto"/>
        <w:rPr>
          <w:sz w:val="20"/>
          <w:szCs w:val="20"/>
          <w:color w:val="auto"/>
        </w:rPr>
      </w:pPr>
      <w:r>
        <w:rPr>
          <w:rFonts w:ascii="Times New Roman" w:cs="Times New Roman" w:eastAsia="Times New Roman" w:hAnsi="Times New Roman"/>
          <w:sz w:val="18"/>
          <w:szCs w:val="18"/>
          <w:color w:val="auto"/>
        </w:rPr>
        <w:t> (i)            “</w:t>
      </w:r>
      <w:r>
        <w:rPr>
          <w:rFonts w:ascii="Times New Roman" w:cs="Times New Roman" w:eastAsia="Times New Roman" w:hAnsi="Times New Roman"/>
          <w:sz w:val="18"/>
          <w:szCs w:val="18"/>
          <w:b w:val="1"/>
          <w:bCs w:val="1"/>
          <w:color w:val="auto"/>
        </w:rPr>
        <w:t>Conversion Amount</w:t>
      </w:r>
      <w:r>
        <w:rPr>
          <w:rFonts w:ascii="Times New Roman" w:cs="Times New Roman" w:eastAsia="Times New Roman" w:hAnsi="Times New Roman"/>
          <w:sz w:val="18"/>
          <w:szCs w:val="18"/>
          <w:color w:val="auto"/>
        </w:rPr>
        <w:t>” means the sum of (x) portion of the Principal to be converted, redeemed or otherwise with respect to which this determination is being made and (y) all accrued and unpaid Interest with respect to such portion of the Principal amount and accrued and unpaid Late Charges with respect to such portion of such Principal and such Interest, if any.</w:t>
      </w:r>
    </w:p>
    <w:p>
      <w:pPr>
        <w:spacing w:after="0" w:line="17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(ii)           “</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means $0.08, subject to adjustment as provided herein.</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Mechanics of Conversion.</w:t>
      </w:r>
    </w:p>
    <w:p>
      <w:pPr>
        <w:spacing w:after="0" w:line="221" w:lineRule="exact"/>
        <w:rPr>
          <w:sz w:val="20"/>
          <w:szCs w:val="20"/>
          <w:color w:val="auto"/>
        </w:rPr>
      </w:pPr>
    </w:p>
    <w:p>
      <w:pPr>
        <w:jc w:val="both"/>
        <w:ind w:left="1300" w:firstLine="648"/>
        <w:spacing w:after="0" w:line="251" w:lineRule="auto"/>
        <w:rPr>
          <w:sz w:val="20"/>
          <w:szCs w:val="20"/>
          <w:color w:val="auto"/>
        </w:rPr>
      </w:pPr>
      <w:r>
        <w:rPr>
          <w:rFonts w:ascii="Times New Roman" w:cs="Times New Roman" w:eastAsia="Times New Roman" w:hAnsi="Times New Roman"/>
          <w:sz w:val="18"/>
          <w:szCs w:val="18"/>
          <w:color w:val="auto"/>
        </w:rPr>
        <w:t> (i)          </w:t>
      </w:r>
      <w:r>
        <w:rPr>
          <w:rFonts w:ascii="Times New Roman" w:cs="Times New Roman" w:eastAsia="Times New Roman" w:hAnsi="Times New Roman"/>
          <w:sz w:val="18"/>
          <w:szCs w:val="18"/>
          <w:u w:val="single" w:color="auto"/>
          <w:color w:val="auto"/>
        </w:rPr>
        <w:t>  Voluntary Conversion</w:t>
      </w:r>
      <w:r>
        <w:rPr>
          <w:rFonts w:ascii="Times New Roman" w:cs="Times New Roman" w:eastAsia="Times New Roman" w:hAnsi="Times New Roman"/>
          <w:sz w:val="18"/>
          <w:szCs w:val="18"/>
          <w:color w:val="auto"/>
        </w:rPr>
        <w:t>. To convert any Conversion Amount into shares of Common Stock on any date (a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the Holder shall deliver via electronic mail, for receipt on or prior to 6:00 p.m., New York time, on such date, a copy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notice of conversion in the form attached hereto as Exhibit 1 (the “</w:t>
      </w:r>
      <w:r>
        <w:rPr>
          <w:rFonts w:ascii="Times New Roman" w:cs="Times New Roman" w:eastAsia="Times New Roman" w:hAnsi="Times New Roman"/>
          <w:sz w:val="18"/>
          <w:szCs w:val="18"/>
          <w:b w:val="1"/>
          <w:bCs w:val="1"/>
          <w:color w:val="auto"/>
        </w:rPr>
        <w:t>Conversion Notice</w:t>
      </w:r>
      <w:r>
        <w:rPr>
          <w:rFonts w:ascii="Times New Roman" w:cs="Times New Roman" w:eastAsia="Times New Roman" w:hAnsi="Times New Roman"/>
          <w:sz w:val="18"/>
          <w:szCs w:val="18"/>
          <w:color w:val="auto"/>
        </w:rPr>
        <w:t>”) to the Company. If required by Section 3(c)(iii), within two (2) Trading Days following a conversion of this Note as aforesaid, the Holder shall surrender this Note (or an indemnification undertaking with respect to this Note in the case of its loss, theft or destruction as contemplated by Section 16(b)) to a nationally recognized overnight delivery service for delivery to the Company. On or before the first (1st) Trading Day following the date of receipt of a Conversion Notice, the Company shall transmit to the Holder and the Transfer Agent by electronic mail an acknowledgment, in the form attached hereto as Exhibit 2, confirming receipt of such Conversion Notice and representing as to whether such shares of Common Stock may then be resold pursuant to Rule 144 or an effective and available registration statement, which acknowledgment shall constitute an instruction to the Transfer Agent to process such Conversion Notice in accordance with the terms herein. On or before the second (2nd) Trading Day following the date on which the Company has received a Conversion Notice (or such earlier date as required pursuant to the 1934 Act or other applicable law, rule or regulation for the settlement of a trade initiated on the applicable Conversion Date of such shares of Common Stock issuable pursuant to such Conversion Notice) (the “</w:t>
      </w:r>
      <w:r>
        <w:rPr>
          <w:rFonts w:ascii="Times New Roman" w:cs="Times New Roman" w:eastAsia="Times New Roman" w:hAnsi="Times New Roman"/>
          <w:sz w:val="18"/>
          <w:szCs w:val="18"/>
          <w:b w:val="1"/>
          <w:bCs w:val="1"/>
          <w:color w:val="auto"/>
        </w:rPr>
        <w:t>Share 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Deadline</w:t>
      </w:r>
      <w:r>
        <w:rPr>
          <w:rFonts w:ascii="Times New Roman" w:cs="Times New Roman" w:eastAsia="Times New Roman" w:hAnsi="Times New Roman"/>
          <w:sz w:val="18"/>
          <w:szCs w:val="18"/>
          <w:color w:val="auto"/>
        </w:rPr>
        <w:t>”), the Company shall (1) provided that the Transfer Agent is participating in the DTC Fast Automated Securities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and the shares of Common Stock to be issued are then covered by an effective, usable resale registration statement or may otherwise be resold under Rule 144 and, in each case, the Holder has confirmed that it proposes to promptly sell such shares of Common Stock, credit such aggregate number of shares of Common Stock to which the Holder shall be entitled pursuant to such conversion to the Holder’s or its designee’s balance account with DTC through its Deposit/Withdrawal at Custodian system or (2) if the Transfer Agent is not participating in the DTC Fast Automated Securities Transfer Program or the shares of Common Stock that are to be issued are not covered by an effective, usable resale registration statement and may not be resold under Rule 144, or the Holder has not confirmed that it proposes to promptly sell such shares of Common Stock, upon the request of the Holder, issue and deliver (via reputable overnight courier) to the address specified in the Conversion Notice, a certificate, registered in the name of the Holder or its designee, for the number of shares of Common Stock to which the Holder shall be entitled pursuant to such conversion containing a restrictive legend under the Securities Act. If this Note is physically surrendered for conversion pursuant to Section 3(c)(iii) and the outstanding Principal of this Note is greater than the Principal portion of the Conversion Amount being converted, then the Company shall as soon as practicable and in no event later than two (2) Business Days after receipt of this Note and at its own expense, issue and deliver to the Holder (or its designee) a new Note (in accordance with Section 16(d)) representing the outstanding Principal not converted. The Person or Persons entitled to receive the shares of Common Stock issuable upon a conversion of this Note shall be treated for all purposes as the record holder or holders of such shares of Common Stock on the Conversion Date. Notwithstanding anything to the contrary contained in this Note or the registration rights agreement, after the effective date of the Registration Statement (as defined in the applicable registration rights agreement), the Company shall cause the Transfer Agent to deliver unlegended shares of Common Stock to the Holder (or its designee) in connection with any sale of Registrable Securities (as defined in the registration rights agreement) that the Holder has confirmed that it proposes to promptly sell, and delivered a copy of the prospectus included as part of the particular Registration Statement to the extent applicable, and for which the Holder has not yet settled.</w:t>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 (ii)         </w:t>
      </w:r>
      <w:r>
        <w:rPr>
          <w:rFonts w:ascii="Times New Roman" w:cs="Times New Roman" w:eastAsia="Times New Roman" w:hAnsi="Times New Roman"/>
          <w:sz w:val="18"/>
          <w:szCs w:val="18"/>
          <w:u w:val="single" w:color="auto"/>
          <w:color w:val="auto"/>
        </w:rPr>
        <w:t>  Mandatory Conversion</w:t>
      </w:r>
      <w:r>
        <w:rPr>
          <w:rFonts w:ascii="Times New Roman" w:cs="Times New Roman" w:eastAsia="Times New Roman" w:hAnsi="Times New Roman"/>
          <w:sz w:val="18"/>
          <w:szCs w:val="18"/>
          <w:color w:val="auto"/>
        </w:rPr>
        <w:t>. The outstanding Conversion Amount shall be mandatorily converted into shares of Common Stock immediately prior to the consummation of a Change of Control that is not a Strategic Change of Control. The provisions of Section 3(c)(iv) shall apply mutatis mutandis in order to effect such conversion.</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 (iii)          Reserved.</w:t>
      </w:r>
    </w:p>
    <w:p>
      <w:pPr>
        <w:spacing w:after="0" w:line="221" w:lineRule="exact"/>
        <w:rPr>
          <w:sz w:val="20"/>
          <w:szCs w:val="20"/>
          <w:color w:val="auto"/>
        </w:rPr>
      </w:pPr>
    </w:p>
    <w:p>
      <w:pPr>
        <w:jc w:val="both"/>
        <w:ind w:left="180" w:firstLine="648"/>
        <w:spacing w:after="0" w:line="252" w:lineRule="auto"/>
        <w:rPr>
          <w:sz w:val="20"/>
          <w:szCs w:val="20"/>
          <w:color w:val="auto"/>
        </w:rPr>
      </w:pPr>
      <w:r>
        <w:rPr>
          <w:rFonts w:ascii="Times New Roman" w:cs="Times New Roman" w:eastAsia="Times New Roman" w:hAnsi="Times New Roman"/>
          <w:sz w:val="18"/>
          <w:szCs w:val="18"/>
          <w:color w:val="auto"/>
        </w:rPr>
        <w:t> (iv)        </w:t>
      </w:r>
      <w:r>
        <w:rPr>
          <w:rFonts w:ascii="Times New Roman" w:cs="Times New Roman" w:eastAsia="Times New Roman" w:hAnsi="Times New Roman"/>
          <w:sz w:val="18"/>
          <w:szCs w:val="18"/>
          <w:u w:val="single" w:color="auto"/>
          <w:color w:val="auto"/>
        </w:rPr>
        <w:t>  Registration; Book-Entry</w:t>
      </w:r>
      <w:r>
        <w:rPr>
          <w:rFonts w:ascii="Times New Roman" w:cs="Times New Roman" w:eastAsia="Times New Roman" w:hAnsi="Times New Roman"/>
          <w:sz w:val="18"/>
          <w:szCs w:val="18"/>
          <w:color w:val="auto"/>
        </w:rPr>
        <w:t>. The Company shall maintain a register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for the recordation of the names and addresses of the holders of each Note and the principal amount of the Notes held by such holders (the “</w:t>
      </w:r>
      <w:r>
        <w:rPr>
          <w:rFonts w:ascii="Times New Roman" w:cs="Times New Roman" w:eastAsia="Times New Roman" w:hAnsi="Times New Roman"/>
          <w:sz w:val="18"/>
          <w:szCs w:val="18"/>
          <w:b w:val="1"/>
          <w:bCs w:val="1"/>
          <w:color w:val="auto"/>
        </w:rPr>
        <w:t>Registered Notes</w:t>
      </w:r>
      <w:r>
        <w:rPr>
          <w:rFonts w:ascii="Times New Roman" w:cs="Times New Roman" w:eastAsia="Times New Roman" w:hAnsi="Times New Roman"/>
          <w:sz w:val="18"/>
          <w:szCs w:val="18"/>
          <w:color w:val="auto"/>
        </w:rPr>
        <w:t>”). The entries in the Register shall be conclusive and binding for all purposes absent manifest error. The Company and the holders of the Notes shall treat each Person whose name is recorded in the Register as the owner of a Note for all purposes (including, without limitation, the right to receive payments of Principal and Interest hereunder) notwithstanding notice to the contrary. A Registered Note may be assigned, transferred or sold in whole or in part only by registration of such assignment or sale on the Register. Upon its receipt of a written request to assign, transfer or sell all or part of any Registered Note by the holder thereof, the Company shall record the information contained therein in the Register and issue one or more new Registered Notes in the same aggregate principal amount as the principal amount of the surrendered Registered Note to the designated assignee or transferee pursuant to Section 16, provided that if the Company does not so record an assignment, transfer or sale (as the case may be) of all or part of any Registered Note within two (2) Business Days of such a request, then the Register shall be automatically deemed updated to reflect such assignment, transfer or sale (as the case may be). Notwithstanding anything to the contrary set forth in this Section 3, following conversion of any portion of this Note in accordance with the terms hereof, the Holder shall not be required to physically surrender this Note to the Company unless (A) the full Conversion Amount represented by this Note is being converted (in which event this Note shall be delivered to the Company following conversion thereof as contemplated by Section 3(c)(i)) or (B) the Holder has provided the Company with prior written notice (which notice may be included in a Conversion Notice) requesting reissuance of this Note upon physical surrender of this Note. The Holder and the Company shall maintain records showing the Principal, Interest and Late Charges converted and/or paid (as the case may be) and the dates of such conversions and/or payments (as the case may be) or shall use such other method, reasonably satisfactory to the Holder and the Company, so as not to require physical surrender of this Note upon conversion. If the Company does not update the Register to record such Principal, Interest and Late Charges converted and/or paid (as the case may be) and the dates of such conversions and/or payments (as the case may be) within two (2) Business Days of such occurrence, then the Register shall be automatically deemed updated to reflect such occurrence.</w:t>
      </w:r>
    </w:p>
    <w:p>
      <w:pPr>
        <w:spacing w:after="0" w:line="200" w:lineRule="exact"/>
        <w:rPr>
          <w:sz w:val="20"/>
          <w:szCs w:val="20"/>
          <w:color w:val="auto"/>
        </w:rPr>
      </w:pPr>
    </w:p>
    <w:p>
      <w:pPr>
        <w:spacing w:after="0" w:line="20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 w:name="page12"/>
    <w:bookmarkEnd w:id="11"/>
    <w:p>
      <w:pPr>
        <w:jc w:val="both"/>
        <w:ind w:left="640" w:firstLine="648"/>
        <w:spacing w:after="0" w:line="255" w:lineRule="auto"/>
        <w:rPr>
          <w:sz w:val="20"/>
          <w:szCs w:val="20"/>
          <w:color w:val="auto"/>
        </w:rPr>
      </w:pPr>
      <w:r>
        <w:rPr>
          <w:rFonts w:ascii="Times New Roman" w:cs="Times New Roman" w:eastAsia="Times New Roman" w:hAnsi="Times New Roman"/>
          <w:sz w:val="18"/>
          <w:szCs w:val="18"/>
          <w:color w:val="auto"/>
        </w:rPr>
        <w:t> (v)         </w:t>
      </w:r>
      <w:r>
        <w:rPr>
          <w:rFonts w:ascii="Times New Roman" w:cs="Times New Roman" w:eastAsia="Times New Roman" w:hAnsi="Times New Roman"/>
          <w:sz w:val="18"/>
          <w:szCs w:val="18"/>
          <w:u w:val="single" w:color="auto"/>
          <w:color w:val="auto"/>
        </w:rPr>
        <w:t>  Pro Rata Conversion; Disputes</w:t>
      </w:r>
      <w:r>
        <w:rPr>
          <w:rFonts w:ascii="Times New Roman" w:cs="Times New Roman" w:eastAsia="Times New Roman" w:hAnsi="Times New Roman"/>
          <w:sz w:val="18"/>
          <w:szCs w:val="18"/>
          <w:color w:val="auto"/>
        </w:rPr>
        <w:t>. In the event that the Company receives a Conversion Notice from more than one holder of Notes for the same Conversion Date and the Company can convert some, but not all, of such portions of the Notes submitted for conversion, the Company shall convert from each holder of Notes electing to have Notes converted on such date a pro rata amount of such holder’s portion of its Notes submitted for conversion based on the principal amount of Notes submitted for conversion on such date by such holder relative to the aggregate principal amount of all Notes submitted for conversion on such date. In the event of a dispute as to the number of shares of Common Stock issuable to the Holder in connection with a conversion of this Note, the Company shall issue to the Holder the number of shares of Common Stock not in dispute.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RIGHTS UPON EVENT OF DEFAULT.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(a)            Event of Default. Each of the following events shall constitute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and each of the events in clause (ix) shall constitute a “</w:t>
      </w:r>
      <w:r>
        <w:rPr>
          <w:rFonts w:ascii="Times New Roman" w:cs="Times New Roman" w:eastAsia="Times New Roman" w:hAnsi="Times New Roman"/>
          <w:sz w:val="18"/>
          <w:szCs w:val="18"/>
          <w:b w:val="1"/>
          <w:bCs w:val="1"/>
          <w:color w:val="auto"/>
        </w:rPr>
        <w:t>Bankruptcy Event of Default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 (i)            the failure of the applicable Registration Statement to be filed with the SEC on or prior to the Filing Date or the failure of the applicable Registration Statement to be declared effective by the SEC on or prior to the Effectiveness Date (as defined in the registration rights agreement);</w:t>
      </w:r>
    </w:p>
    <w:p>
      <w:pPr>
        <w:spacing w:after="0" w:line="176" w:lineRule="exact"/>
        <w:rPr>
          <w:sz w:val="20"/>
          <w:szCs w:val="20"/>
          <w:color w:val="auto"/>
        </w:rPr>
      </w:pPr>
    </w:p>
    <w:p>
      <w:pPr>
        <w:jc w:val="both"/>
        <w:ind w:left="640" w:firstLine="648"/>
        <w:spacing w:after="0" w:line="255" w:lineRule="auto"/>
        <w:rPr>
          <w:sz w:val="20"/>
          <w:szCs w:val="20"/>
          <w:color w:val="auto"/>
        </w:rPr>
      </w:pPr>
      <w:r>
        <w:rPr>
          <w:rFonts w:ascii="Times New Roman" w:cs="Times New Roman" w:eastAsia="Times New Roman" w:hAnsi="Times New Roman"/>
          <w:sz w:val="18"/>
          <w:szCs w:val="18"/>
          <w:color w:val="auto"/>
        </w:rPr>
        <w:t> (ii)           while the applicable Registration Statement is required to be maintained effective pursuant to the terms of the registration rights agreement, the effectiveness of the applicable Registration Statement lapses for any reason (including, without limitation, the issuance of a stop order) or such Registration Statement (or the prospectus contained therein) is unavailable to any holder of Registrable Securities (as defined in the registration rights agreement) for sale of all of such holder’s Registrable Securities in accordance with the terms of the registration rights agreement, and, such lapse or unavailability continues for a period of 20 consecutive Trading Days or for more than an aggregate of 40 Trading Days in any 365-day period; provided, however, that the foregoing shall not apply in the case of a suspension permitted pursuant to Section 3(j) of the registration rights agreement;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(iii)          [reserved];</w:t>
      </w:r>
    </w:p>
    <w:p>
      <w:pPr>
        <w:spacing w:after="0" w:line="225"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 (iv)          the Company’s (A) failure to cure a Conversion Failure by delivery of the required number of shares of Common Stock within five (5) Trading Days after the applicable Conversion Date or (B) notice, written or oral, to any holder of the Notes, including, without limitation, by way of public announcement or through any of its agents, at any time, of its intention not to comply, as required, with a request for conversion of any Notes into shares of Common Stock that is requested in accordance with the provisions of the Notes;</w:t>
      </w:r>
    </w:p>
    <w:p>
      <w:pPr>
        <w:spacing w:after="0" w:line="180"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 (v)           the Holder’s Authorized Share Allocation (as defined in Section 8 below) is less than the number of shares of Common Stock that the Holder would be entitled to receive upon a conversion of the full Conversion Amount of this Note for more than ten (10) consecutive days;</w:t>
      </w:r>
    </w:p>
    <w:p>
      <w:pPr>
        <w:spacing w:after="0" w:line="176"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 (vi)          Company’s or any Subsidiary’s failure to pay to the Holder any amount of Principal, Interest, Late Charges or other amounts when and as due under this Note (including, without limitation, the Company’s or any Subsidiary’s failure to pay any redemption payments or amounts hereunder);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(vii)         [reserved];</w:t>
      </w:r>
    </w:p>
    <w:p>
      <w:pPr>
        <w:spacing w:after="0" w:line="225"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 (viii)        the occurrence of any default (after lapse of any applicable cure periods) under, redemption of or acceleration prior to maturity of at least an aggregate of $500,000 of indebtedness of the Company or any of its Subsidiaries, but only if such failure remains uncured for the applicable grace period;</w:t>
      </w:r>
    </w:p>
    <w:p>
      <w:pPr>
        <w:spacing w:after="0" w:line="176" w:lineRule="exact"/>
        <w:rPr>
          <w:sz w:val="20"/>
          <w:szCs w:val="20"/>
          <w:color w:val="auto"/>
        </w:rPr>
      </w:pPr>
    </w:p>
    <w:p>
      <w:pPr>
        <w:jc w:val="both"/>
        <w:ind w:left="640" w:firstLine="648"/>
        <w:spacing w:after="0" w:line="253" w:lineRule="auto"/>
        <w:rPr>
          <w:sz w:val="20"/>
          <w:szCs w:val="20"/>
          <w:color w:val="auto"/>
        </w:rPr>
      </w:pPr>
      <w:r>
        <w:rPr>
          <w:rFonts w:ascii="Times New Roman" w:cs="Times New Roman" w:eastAsia="Times New Roman" w:hAnsi="Times New Roman"/>
          <w:sz w:val="18"/>
          <w:szCs w:val="18"/>
          <w:color w:val="auto"/>
        </w:rPr>
        <w:t> (ix)          (A) the Company commences any case, proceeding or other action (1) under the Bankruptcy Code or similar debtor relief laws of the United States or other applicable jurisdiction seeking to have an order for relief entered with respect to it, or seeking to adjudicate it as bankrupt or insolvent, or seeking reorganization, arrangement, adjustment, winding up, liquidation, dissolution, composition or other relief with respect to it or its debts, or (2) seeking appointment of a receiver, trustee, custodian, conservator, judicial manager or other similar official for it or for all or any substantial part of its assets, or the Company makes a general assignment for the benefit of its creditors; (B) there is, commenced against the Company, any case, proceeding or other action of a nature referred to in clause (A) above that results in the entry of an order for relief or any such adjudication or appointment or remains undismissed, undischarged or unbonded for a period of 60 days; (C) there is, commenced against the Company,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(D) the Company takes any action in furtherance of, or indicating its consent to, approval of, or acquiescence in, any of the acts set forth in clause (A), (B), or (C) above; or (E) the Company is, or is be unable to, or admits in writing its inability to, pay its debts as they become due;</w:t>
      </w:r>
    </w:p>
    <w:p>
      <w:pPr>
        <w:spacing w:after="0" w:line="200" w:lineRule="exact"/>
        <w:rPr>
          <w:sz w:val="20"/>
          <w:szCs w:val="20"/>
          <w:color w:val="auto"/>
        </w:rPr>
      </w:pPr>
    </w:p>
    <w:p>
      <w:pPr>
        <w:spacing w:after="0" w:line="20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 w:name="page13"/>
    <w:bookmarkEnd w:id="12"/>
    <w:p>
      <w:pPr>
        <w:jc w:val="both"/>
        <w:ind w:left="640" w:firstLine="648"/>
        <w:spacing w:after="0" w:line="256" w:lineRule="auto"/>
        <w:rPr>
          <w:sz w:val="20"/>
          <w:szCs w:val="20"/>
          <w:color w:val="auto"/>
        </w:rPr>
      </w:pPr>
      <w:r>
        <w:rPr>
          <w:rFonts w:ascii="Times New Roman" w:cs="Times New Roman" w:eastAsia="Times New Roman" w:hAnsi="Times New Roman"/>
          <w:sz w:val="18"/>
          <w:szCs w:val="18"/>
          <w:color w:val="auto"/>
        </w:rPr>
        <w:t> (x)           there is entered against the Company (i) one or more final judgments or orders for the payment of money involving in the aggregate a liability (not paid or fully covered by insurance as to which the relevant insurance company has acknowledged coverage) of $1,000,000 or more, or (ii) one or more non-monetary final judgments that have, or could reasonably be expected to have, individually or in the aggregate, a material adverse effect and, in either case, enforcement proceedings are commenced by any creditor upon such judgment or order, or all such judgments or decrees shall not have been vacated, discharged, stayed or bonded pending appeal within 30 days from the entry thereof;</w:t>
      </w:r>
    </w:p>
    <w:p>
      <w:pPr>
        <w:spacing w:after="0" w:line="187"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 (xi)          other than as specifically set forth in another clause of this Section 4(a), the Company or any Subsidiary breaches any representation or warranty, in any material respect (other than representations or warranties subject to material adverse effect or materiality, which may not be breached in any respect) or any covenant or other term or condition of any Transaction Document, except, in the case of a breach of a covenant or other term or condition that is curable, only if such breach remains uncured for a period of 10 days;</w:t>
      </w:r>
    </w:p>
    <w:p>
      <w:pPr>
        <w:spacing w:after="0" w:line="183" w:lineRule="exact"/>
        <w:rPr>
          <w:sz w:val="20"/>
          <w:szCs w:val="20"/>
          <w:color w:val="auto"/>
        </w:rPr>
      </w:pPr>
    </w:p>
    <w:p>
      <w:pPr>
        <w:jc w:val="both"/>
        <w:ind w:left="640" w:firstLine="648"/>
        <w:spacing w:after="0" w:line="256" w:lineRule="auto"/>
        <w:rPr>
          <w:sz w:val="20"/>
          <w:szCs w:val="20"/>
          <w:color w:val="auto"/>
        </w:rPr>
      </w:pPr>
      <w:r>
        <w:rPr>
          <w:rFonts w:ascii="Times New Roman" w:cs="Times New Roman" w:eastAsia="Times New Roman" w:hAnsi="Times New Roman"/>
          <w:sz w:val="18"/>
          <w:szCs w:val="18"/>
          <w:color w:val="auto"/>
        </w:rPr>
        <w:t> (xii)         any provision of any Transaction Document shall at any time for any reason (other than pursuant to the express terms thereof) cease to be valid and binding on or enforceable against the parties thereto, or the validity or enforceability thereof shall be contested by any party thereto, or a proceeding shall be commenced by the Company or any Subsidiary or any governmental authority having jurisdiction over any of them, seeking to establish the invalidity or unenforceability thereof, or the Company or any Subsidiary shall deny in writing that it has any liability or obligation purported to be created under any Transaction Document, but only if such provision remains invalid or unenforceable for a period of at least 10 days.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Notice of an Event of Default; Redemption Right</w:t>
      </w:r>
      <w:r>
        <w:rPr>
          <w:rFonts w:ascii="Times New Roman" w:cs="Times New Roman" w:eastAsia="Times New Roman" w:hAnsi="Times New Roman"/>
          <w:sz w:val="18"/>
          <w:szCs w:val="18"/>
          <w:color w:val="auto"/>
        </w:rPr>
        <w:t>. Upon obtaining knowledge of the occurrence of an Event of Default with respect to this Note, the Company shall within one (1) Business Day deliver written notice thereof via electronic mail and overnight courier (with next day delivery specified) (an “</w:t>
      </w:r>
      <w:r>
        <w:rPr>
          <w:rFonts w:ascii="Times New Roman" w:cs="Times New Roman" w:eastAsia="Times New Roman" w:hAnsi="Times New Roman"/>
          <w:sz w:val="18"/>
          <w:szCs w:val="18"/>
          <w:b w:val="1"/>
          <w:bCs w:val="1"/>
          <w:color w:val="auto"/>
        </w:rPr>
        <w:t>Event of Default Notice</w:t>
      </w:r>
      <w:r>
        <w:rPr>
          <w:rFonts w:ascii="Times New Roman" w:cs="Times New Roman" w:eastAsia="Times New Roman" w:hAnsi="Times New Roman"/>
          <w:sz w:val="18"/>
          <w:szCs w:val="18"/>
          <w:color w:val="auto"/>
        </w:rPr>
        <w:t>”) to the Holder. At any time after the earlier of the Holder’s receipt of an Event of Default Notice and the Holder becoming aware of an Event of Default, the Holder may require the Company to redeem all or any portion of this Note by delivering written notice thereof (the “</w:t>
      </w:r>
      <w:r>
        <w:rPr>
          <w:rFonts w:ascii="Times New Roman" w:cs="Times New Roman" w:eastAsia="Times New Roman" w:hAnsi="Times New Roman"/>
          <w:sz w:val="18"/>
          <w:szCs w:val="18"/>
          <w:b w:val="1"/>
          <w:bCs w:val="1"/>
          <w:color w:val="auto"/>
        </w:rPr>
        <w:t>Event of Default Redemption Notice</w:t>
      </w:r>
      <w:r>
        <w:rPr>
          <w:rFonts w:ascii="Times New Roman" w:cs="Times New Roman" w:eastAsia="Times New Roman" w:hAnsi="Times New Roman"/>
          <w:sz w:val="18"/>
          <w:szCs w:val="18"/>
          <w:color w:val="auto"/>
        </w:rPr>
        <w:t>”) to the Company, which Event of Default Redemption Notice shall indicate the portion of this Note the Holder is electing to redeem. Each portion of this Note subject to redemption by the Company pursuant to this Section 4(b) shall be redeemed by the Company at a price equal to the greater of (i) the sum of the Conversion Amount to be redeemed and (ii) the product of (X) the Conversion Rate with respect to the Conversion Amount in effect at such time as the Holder delivers an Event of Default Redemption Notice multiplied by (Y) the greatest closing sale price of the Common Stock on any Trading Day during the period commencing on the date immediately preceding such Event of Default and ending on the date the Company makes the entire payment required to be made under this Section 4(b) (the “</w:t>
      </w:r>
      <w:r>
        <w:rPr>
          <w:rFonts w:ascii="Times New Roman" w:cs="Times New Roman" w:eastAsia="Times New Roman" w:hAnsi="Times New Roman"/>
          <w:sz w:val="18"/>
          <w:szCs w:val="18"/>
          <w:b w:val="1"/>
          <w:bCs w:val="1"/>
          <w:color w:val="auto"/>
        </w:rPr>
        <w:t>Event of Default Redemption Price</w:t>
      </w:r>
      <w:r>
        <w:rPr>
          <w:rFonts w:ascii="Times New Roman" w:cs="Times New Roman" w:eastAsia="Times New Roman" w:hAnsi="Times New Roman"/>
          <w:sz w:val="18"/>
          <w:szCs w:val="18"/>
          <w:color w:val="auto"/>
        </w:rPr>
        <w:t>”). Redemptions required by this Section 4(b) shall be made in accordance with the provisions of Section 9. To the extent redemptions required by this Section 4(b) are deemed or determined by a court of competent jurisdiction to be prepayments of this Note by the Company, such redemptions shall be deemed to be voluntary prepayments. Notwithstanding anything to the contrary in this Section 4(b), until the Event of Default Redemption Price (together with any Late Charges thereon) is paid in full, the Conversion Amount submitted for redemption under this Section 4(b) (together with any Late Charges thereon) may be converted, in whole or in part, by the Holder into Common Stock pursuant to the terms of this Note. In the event of the Company’s redemption of any portion of this Note under this Section 4(b),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4(b) is intended by the parties to be, and shall be deemed, a reasonable estimate of the Holder’s actual loss of its investment opportunity and not as a penalty. Any redemption upon an Event of Default shall not constitute an election of remedies by the Holder, and all other rights and remedies of the Holder shall be preserved.</w:t>
      </w:r>
    </w:p>
    <w:p>
      <w:pPr>
        <w:spacing w:after="0" w:line="200" w:lineRule="exact"/>
        <w:rPr>
          <w:sz w:val="20"/>
          <w:szCs w:val="20"/>
          <w:color w:val="auto"/>
        </w:rPr>
      </w:pPr>
    </w:p>
    <w:p>
      <w:pPr>
        <w:spacing w:after="0" w:line="20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 w:name="page14"/>
    <w:bookmarkEnd w:id="1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Mandatory Redemption upon Bankruptcy Event of Default</w:t>
      </w:r>
      <w:r>
        <w:rPr>
          <w:rFonts w:ascii="Times New Roman" w:cs="Times New Roman" w:eastAsia="Times New Roman" w:hAnsi="Times New Roman"/>
          <w:sz w:val="18"/>
          <w:szCs w:val="18"/>
          <w:color w:val="auto"/>
        </w:rPr>
        <w:t>. Notwithstanding anything to the contrary herein, and notwithstanding any conversion that is then required or in process, upon any Bankruptcy Event of Default, whether occurring prior to or following the Maturity Date, the Company shall immediately pay to the Holder an amount in cash representing all outstanding Principal, accrued and unpaid Interest, and accrued and unpaid Late Charges on such Principal and Interest, in addition to any and all other amounts due hereunder, without the requirement for any notice or demand or other action by the Holder or any other Person, provided that the Holder may, in its sole discretion, waive such right to receive payment upon a Bankruptcy Event of Default, in whole or in part, and any such waiver shall not affect any other rights of the Holder hereunder, including any other rights in respect of such Bankruptcy Event of Default, any right to conversion, and any right to payment of the Event of Default Redemption Price.</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Subordination</w:t>
      </w:r>
      <w:r>
        <w:rPr>
          <w:rFonts w:ascii="Times New Roman" w:cs="Times New Roman" w:eastAsia="Times New Roman" w:hAnsi="Times New Roman"/>
          <w:sz w:val="18"/>
          <w:szCs w:val="18"/>
          <w:color w:val="auto"/>
        </w:rPr>
        <w:t xml:space="preserve">. Until such time as the Senior Indebtedness has been paid in full, in cash, all of the Holder’s rights under this Section 4 are and shall remain subject to the terms and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RIGHTS UPON ISSUANCE OF PURCHASE RIGHTS AND OTHER CORPORATE EVENTS.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Purchase Rights</w:t>
      </w:r>
      <w:r>
        <w:rPr>
          <w:rFonts w:ascii="Times New Roman" w:cs="Times New Roman" w:eastAsia="Times New Roman" w:hAnsi="Times New Roman"/>
          <w:sz w:val="18"/>
          <w:szCs w:val="18"/>
          <w:color w:val="auto"/>
        </w:rPr>
        <w:t>. In addition to any adjustments pursuant to Section 6 and 16 below, if at any time (other than in connection with a Restructuring Transaction) the Company grants, issues or sells any Options, Convertible Securities or rights to purchase stock, warrants, securities or other property pro rata to all of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this Note (without taking into account any limitations or restrictions on the convertibility of this Note and assuming for such purpose that the Note was converted at the Conversion Price as of the applicable record date) immediately prior to the date on which a record is taken for the grant, issuance or sale of such Purchase Rights, or, if no such record is taken, the date as of which the record holders of shares of Common Stock are to be determined for the grant, issue or sale of such Purchase Rights.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Strategic Change of Control; Other Corporate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648"/>
        <w:spacing w:after="0" w:line="251" w:lineRule="auto"/>
        <w:rPr>
          <w:sz w:val="20"/>
          <w:szCs w:val="20"/>
          <w:color w:val="auto"/>
        </w:rPr>
      </w:pPr>
      <w:r>
        <w:rPr>
          <w:rFonts w:ascii="Times New Roman" w:cs="Times New Roman" w:eastAsia="Times New Roman" w:hAnsi="Times New Roman"/>
          <w:sz w:val="18"/>
          <w:szCs w:val="18"/>
          <w:color w:val="auto"/>
        </w:rPr>
        <w:t> (i)            No sooner than twenty (20) Trading Days nor later than ten (10) Trading Days prior to the consummation of a Strategic Change of Control, but not prior to the public announcement of such Change of Control, the Company shall deliver written notice to the Holder. The Company shall not enter into or be party to a Strategic Change of Control unless (i) the Successor Entity assumes in writing all of the obligations of the Company under this Note and the other Transaction Documents in accordance with the provisions of this Section 5(b)(i) pursuant to written agreements in form and substance satisfactory to the Holder and approved by the Holder prior to such Strategic Change of Control,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then outstanding and the interest rates of the Notes held by such holder, having similar conversion rights as the Notes (assuming that the Successor Entity (or its Parent Entity) is a publicly traded corporation whose common stock is quoted on or listed for trading on an Eligible Market) and having similar ranking and security to the Notes, and satisfactory to the Holder. Upon the occurrence of any Strategic Change of Control, the Successor Entity shall succeed to, and be substituted for (so that from and after the date of such Strategic Change of Control, the provisions of this Note and the other Transaction Documents referring to the “Company” shall refer instead to the Successor Entity), and may exercise every right and power of the Company and shall assume all of the obligations of the Company under this Note and the other Transaction Documents with the same effect as if such Successor Entity had been named as the Company herein. Upon consummation of a Strategic Change of Control, the Successor Entity shall deliver to the Holder confirmation that there shall be issued upon conversion or redemption of this Note at any time after the consummation of such Strategic Change of Control (assuming that the Successor Entity (or its Parent Entity) is a publicly traded corporation whose common stock is quoted on or listed for trading on an Eligible Market), in lieu of the shares of Common Stock (or other securities, cash, assets or other property (except such items still issuable under Sections 5 and 16, which shall continue to be receivable thereafter)) issuable upon the conversion or redemption of the Notes prior to such Strategic Change of Control, such shares of the publicly traded common stock (or their equivalent) of the Successor Entity (including its Parent Entity) which the Holder would have been entitled to receive upon the happening of such Strategic Change of Control had this Note been converted immediately prior to such Strategic Change of Control (without regard to any limitations on the conversion of this Note), as adjusted in accordance with the provisions of this Note. Notwithstanding the foregoing, the Holder may elect, at their sole option, by delivery of written notice to the Company to waive this Section 5(b)(i) to permit the Strategic Change of Control without the assumption of this Note. The provisions of this Section 5 shall apply similarly and equally to successive Strategic Changes of Control and shall be applied without regard to any limitations on the conversion of this Note.</w:t>
      </w:r>
    </w:p>
    <w:p>
      <w:pPr>
        <w:spacing w:after="0" w:line="200" w:lineRule="exact"/>
        <w:rPr>
          <w:sz w:val="20"/>
          <w:szCs w:val="20"/>
          <w:color w:val="auto"/>
        </w:rPr>
      </w:pPr>
    </w:p>
    <w:p>
      <w:pPr>
        <w:spacing w:after="0" w:line="21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 w:name="page15"/>
    <w:bookmarkEnd w:id="14"/>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(c)            In addition to and not in substitution for any other rights hereunder, prior to the consummation of any Strategic Change of Control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the Company shall make appropriate provision to ensure that the Holder will thereafter have the right to receive upon a conversion of this Note, at the Holder’s option (i) in addition to the shares of Common Stock receivable upon such conversion, such securities or other assets to which the Holder would have been entitled with respect to such shares of Common Stock had such shares of Common Stock been held by the Holder upon the consummation of such Corporate Event (without taking into account any limitations or restrictions on the convertibility of this Note) or (ii) in lieu of the shares of Common Stock otherwise receivable upon such conversion, such securities or other assets received by the holders of shares of Common Stock in connection with the consummation of such Corporate Event in such amounts as the Holder would have been entitled to receive had this Note initially been issued with conversion rights for the form of such consideration (as opposed to shares of Common Stock) at a conversion rate for such consideration commensurate with the Conversion Rate. Provision made pursuant to the preceding sentence shall be in a form and substance satisfactory to the Holder. The provisions of this Section 5 shall apply similarly and equally to successive Corporate Events and shall be applied without regard to any limitations on the conversion or redemption of this Note.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            RIGHTS UPON ISSUANCE OF OTHER SECURITIES.</w:t>
      </w:r>
    </w:p>
    <w:p>
      <w:pPr>
        <w:spacing w:after="0" w:line="229"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Adjustment of Conversion Price upon Subdivision or Combination of Common Stock</w:t>
      </w:r>
      <w:r>
        <w:rPr>
          <w:rFonts w:ascii="Times New Roman" w:cs="Times New Roman" w:eastAsia="Times New Roman" w:hAnsi="Times New Roman"/>
          <w:sz w:val="18"/>
          <w:szCs w:val="18"/>
          <w:color w:val="auto"/>
        </w:rPr>
        <w:t>. Without limiting any provision of Section 4(c), if the Company at any time on or after the date hereof subdivides (by any stock split, stock dividend, stock combination, recapitalization or other similar transaction (in each case, other than in connection with a Restructuring Transaction)) one or more classes of its outstanding shares of Common Stock into a greater number of shares, the Conversion Price in effect immediately prior to such subdivision will be proportionately reduced. Without limiting any provision of Section 5 or Section 16, if the Company at any time on or after the date hereof combines (by any stock split, stock dividend, stock combination, recapitalization or other similar transaction) one or more classes of its outstanding shares of Common Stock into a smaller number of shares, the Conversion Price in effect immediately prior to such combination will be proportionately increased. Any adjustment pursuant to this Section 6(a) shall become effective immediately after the effective date of such subdivision or combination. If any event requiring an adjustment under this Section 6(a) occurs during the period that a Conversion Price is calculated hereunder, then the calculation of such Conversion Price shall be adjusted appropriately to reflect such event.</w:t>
      </w:r>
    </w:p>
    <w:p>
      <w:pPr>
        <w:spacing w:after="0" w:line="194"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Calculations</w:t>
      </w:r>
      <w:r>
        <w:rPr>
          <w:rFonts w:ascii="Times New Roman" w:cs="Times New Roman" w:eastAsia="Times New Roman" w:hAnsi="Times New Roman"/>
          <w:sz w:val="18"/>
          <w:szCs w:val="18"/>
          <w:color w:val="auto"/>
        </w:rPr>
        <w:t>. All calculations under this Section 6 shall be made by rounding to the nearest cent or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Voluntary Adjustment by Company</w:t>
      </w:r>
      <w:r>
        <w:rPr>
          <w:rFonts w:ascii="Times New Roman" w:cs="Times New Roman" w:eastAsia="Times New Roman" w:hAnsi="Times New Roman"/>
          <w:sz w:val="18"/>
          <w:szCs w:val="18"/>
          <w:color w:val="auto"/>
        </w:rPr>
        <w:t>. The Company may at any time during the term of this Note, with the prior written consent of the Holder, reduce the then current Conversion Price of each of the Notes to any amount and for any period of time deemed appropriate by the board of directors of the Company, with the prior written consent of the Administrative Agent, in its sole discretion.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7.            NONCIRCUMVENTION.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hereby covenants and agrees that the Company will not, by amendment of its Certificate of Incorporation or Bylaws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 Without limiting the generality of the foregoing or any other provision of this Note or the other Transaction Documents, the Company (a) shall not increase the par value of any shares of Common Stock receivable upon conversion of this Note above the Conversion Price then in effect, and (b) shall take all such actions as may be necessary or appropriate in order that the Company may validly and legally issue fully paid and nonassessable shares of Common Stock upon the conversion of this Note.</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b w:val="1"/>
          <w:bCs w:val="1"/>
          <w:color w:val="auto"/>
        </w:rPr>
        <w:t>8.            RESERVATION OF AUTHORIZED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So long as any Notes remain outstanding, the Company shall at all times reserve at least 100% of the maximum number of shares of Common Stock as shall from time to time be necessary to effect the conversion, of all of the Notes then outstanding (without regard to any limitations on conversions and assuming such Notes remain outstanding until the Maturity Date) (assuming for purposes of this Section 8 (i) that (x) interest on the Notes shall accrue through the Maturity Date and (y) any such conversion shall not take into account any limitations on the conversion of the Notes set forth in the Notes)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The Required Reserve Amount shall be allocated pro rata among the holders of the Notes based on the original principal amount of the Notes held by each holder on the Closing Date or increase in the number of reserved shares, as the case may be (the “</w:t>
      </w:r>
      <w:r>
        <w:rPr>
          <w:rFonts w:ascii="Times New Roman" w:cs="Times New Roman" w:eastAsia="Times New Roman" w:hAnsi="Times New Roman"/>
          <w:sz w:val="18"/>
          <w:szCs w:val="18"/>
          <w:b w:val="1"/>
          <w:bCs w:val="1"/>
          <w:color w:val="auto"/>
        </w:rPr>
        <w:t>Authorized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Allocation</w:t>
      </w:r>
      <w:r>
        <w:rPr>
          <w:rFonts w:ascii="Times New Roman" w:cs="Times New Roman" w:eastAsia="Times New Roman" w:hAnsi="Times New Roman"/>
          <w:sz w:val="18"/>
          <w:szCs w:val="18"/>
          <w:color w:val="auto"/>
        </w:rPr>
        <w:t>”). In the event that a holder shall sell or otherwise transfer any of such holder’s Notes, each transferee shall be allocated a pro rata portion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holder’s Authorized Share Allocation. Any shares of Common Stock reserved and allocated to any Person which ceases to hold any Notes shall be allocated to the remaining holders of Notes, pro rata based on the principal amount of the Notes then held by such holders.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9.            EVENT OF DEFAULT REDEMPTION.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Subject to Section 11, if the Holder delivers an Event of Default Redemption Notice, the Company shall deliver the Event of Default Redemption Price to the Holder in cash within five (5) Business Days after the Company’s receipt of the Holder’s Event of Default Redemption Notice. If the Company has delivered a notice to the Holder, and solely to the extent that such payment would be expressly permitted pursuant to Section 11, the Company shall pay all other amounts due and payable hereunder and under the other Transaction Documents (the “</w:t>
      </w:r>
      <w:r>
        <w:rPr>
          <w:rFonts w:ascii="Times New Roman" w:cs="Times New Roman" w:eastAsia="Times New Roman" w:hAnsi="Times New Roman"/>
          <w:sz w:val="18"/>
          <w:szCs w:val="18"/>
          <w:b w:val="1"/>
          <w:bCs w:val="1"/>
          <w:color w:val="auto"/>
        </w:rPr>
        <w:t>Prepayment Amount</w:t>
      </w:r>
      <w:r>
        <w:rPr>
          <w:rFonts w:ascii="Times New Roman" w:cs="Times New Roman" w:eastAsia="Times New Roman" w:hAnsi="Times New Roman"/>
          <w:sz w:val="18"/>
          <w:szCs w:val="18"/>
          <w:color w:val="auto"/>
        </w:rPr>
        <w:t>”). Notwithstanding anything herein to the contrary, in connection with any redemption hereunder at a time the Holder is entitled to receive a cash payment under any of the other Transaction Documents, at the option of the Holder delivered in writing to the Company, the applicable Event of Default Redemption Price hereunder shall be increased by the amount of such cash payment owed to the Holder under such other Transaction Document and, upon payment in full or conversion in accordance herewith, shall satisfy the Company’s payment obligation under such other Transaction Document. In the event of a redemption of less than all of the Conversion Amount of this Note, the Company shall promptly cause to be issued and delivered to the Holder a new Note (in accordance with Section 16(d)) representing the outstanding Principal which has not been redeemed. In the event that the Company does not pay the Event of Default Redemption Price to the Holder within the time period required, at any time thereafter and until the Company pays such unpaid Event of Default Redemption Price in full, the Holder shall have the option, in lieu of redemption, to require the Company to promptly return to the Holder all or any portion of this Note representing the Conversion Amount that was submitted for redemption and for which the Event of Default Redemption Price (together with any Late Charges thereon) has not been paid. Upon the Company’s receipt of such notice, the Event of Default Redemption Notice shall be null and void with respect to such Conversion Amount. The Holder’s delivery of an Event of Default Redemption Notice and exercise of its rights following such notice shall not affect the Company’s obligations to make any payments of Late Charges which have accrued prior to the date of such notice with respect to the Conversion Amount subject to such notice.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10.          VOTING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Holder shall have no voting rights as the holder of this Note, except as required by law (including, without limitation, the Delaware General Corporation Law) and as expressly provided in this Note.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11.          SUBORDINATION.</w:t>
      </w:r>
    </w:p>
    <w:p>
      <w:pPr>
        <w:spacing w:after="0" w:line="229"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Notwithstanding anything in this Note to the contrary, the Company and the Holder (by its acceptance hereof) acknowledge and agree that this Note and the rights of the Holder hereunder are subject to, and limited by, the terms and conditions of (1) the Senior Indebtedness, and (2) this Section 11. If requested by any existing or new Lender, the Holder will enter into a subordination agreement with such Lender on terms similar to those contained in this Section 11.</w:t>
      </w:r>
    </w:p>
    <w:p>
      <w:pPr>
        <w:spacing w:after="0" w:line="178"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 (i)            </w:t>
      </w:r>
      <w:r>
        <w:rPr>
          <w:rFonts w:ascii="Times New Roman" w:cs="Times New Roman" w:eastAsia="Times New Roman" w:hAnsi="Times New Roman"/>
          <w:sz w:val="18"/>
          <w:szCs w:val="18"/>
          <w:i w:val="1"/>
          <w:iCs w:val="1"/>
          <w:color w:val="auto"/>
        </w:rPr>
        <w:t>Note Subordinated to Existing Debt</w:t>
      </w:r>
      <w:r>
        <w:rPr>
          <w:rFonts w:ascii="Times New Roman" w:cs="Times New Roman" w:eastAsia="Times New Roman" w:hAnsi="Times New Roman"/>
          <w:sz w:val="18"/>
          <w:szCs w:val="18"/>
          <w:color w:val="auto"/>
        </w:rPr>
        <w:t xml:space="preserve">. The principal of and interest on this Note and all other amounts payable with respect hereto are expressly subordinated to the prior payment in full, in cash of the Senior Indebtedness and the termination of all commitments to lend under the Loan Documents; provided, that notwithstanding the foregoing, the Holder will be able to receive and retain Common Stock upon a conversion in accordance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left="180" w:firstLine="648"/>
        <w:spacing w:after="0" w:line="255" w:lineRule="auto"/>
        <w:rPr>
          <w:sz w:val="20"/>
          <w:szCs w:val="20"/>
          <w:color w:val="auto"/>
        </w:rPr>
      </w:pPr>
      <w:r>
        <w:rPr>
          <w:rFonts w:ascii="Times New Roman" w:cs="Times New Roman" w:eastAsia="Times New Roman" w:hAnsi="Times New Roman"/>
          <w:sz w:val="18"/>
          <w:szCs w:val="18"/>
          <w:color w:val="auto"/>
        </w:rPr>
        <w:t> (ii)           </w:t>
      </w:r>
      <w:r>
        <w:rPr>
          <w:rFonts w:ascii="Times New Roman" w:cs="Times New Roman" w:eastAsia="Times New Roman" w:hAnsi="Times New Roman"/>
          <w:sz w:val="18"/>
          <w:szCs w:val="18"/>
          <w:i w:val="1"/>
          <w:iCs w:val="1"/>
          <w:color w:val="auto"/>
        </w:rPr>
        <w:t>No Payment on Note in Certain Circumstances</w:t>
      </w:r>
      <w:r>
        <w:rPr>
          <w:rFonts w:ascii="Times New Roman" w:cs="Times New Roman" w:eastAsia="Times New Roman" w:hAnsi="Times New Roman"/>
          <w:sz w:val="18"/>
          <w:szCs w:val="18"/>
          <w:color w:val="auto"/>
        </w:rPr>
        <w:t>. Until the Senior Indebtedness has been paid in full, in cash, no payment on account of principal of, or interest on, this Note, or any other amounts payable with respect hereto, whether by acceleration, redemption, exchange, prepayment or otherwise (and whether in the form of cash, securities or otherwise), shall be made, either directly or indirectly, by the Company, and Holder shall not be entitled to receive such payment, other than the receipt of Common Stock upon a conversion in accordance with Section 3. Prior to the payment in full, in cash, of the Senior Indebtedness, the Holder shall not enforce or seek to enforce any rights and remedies in respect of this Note (other than conversion to Common Stock in accordance with Section 3), including, without limitation, by accelerating the amounts due hereunder, bringing any judicial or nonjudicial action to recover payments on this Note, seeking or requesting payment of this Note, or exercising or seeking to exercise any right of redemption hereunder.</w:t>
      </w:r>
    </w:p>
    <w:p>
      <w:pPr>
        <w:spacing w:after="0" w:line="185" w:lineRule="exact"/>
        <w:rPr>
          <w:sz w:val="20"/>
          <w:szCs w:val="20"/>
          <w:color w:val="auto"/>
        </w:rPr>
      </w:pPr>
    </w:p>
    <w:p>
      <w:pPr>
        <w:jc w:val="both"/>
        <w:ind w:left="180" w:firstLine="648"/>
        <w:spacing w:after="0" w:line="261" w:lineRule="auto"/>
        <w:rPr>
          <w:sz w:val="20"/>
          <w:szCs w:val="20"/>
          <w:color w:val="auto"/>
        </w:rPr>
      </w:pPr>
      <w:r>
        <w:rPr>
          <w:rFonts w:ascii="Times New Roman" w:cs="Times New Roman" w:eastAsia="Times New Roman" w:hAnsi="Times New Roman"/>
          <w:sz w:val="18"/>
          <w:szCs w:val="18"/>
          <w:color w:val="auto"/>
        </w:rPr>
        <w:t> (iii)          </w:t>
      </w:r>
      <w:r>
        <w:rPr>
          <w:rFonts w:ascii="Times New Roman" w:cs="Times New Roman" w:eastAsia="Times New Roman" w:hAnsi="Times New Roman"/>
          <w:sz w:val="18"/>
          <w:szCs w:val="18"/>
          <w:i w:val="1"/>
          <w:iCs w:val="1"/>
          <w:color w:val="auto"/>
        </w:rPr>
        <w:t>Insolvency, Bankruptcy, Liquidation and Reorganization</w:t>
      </w:r>
      <w:r>
        <w:rPr>
          <w:rFonts w:ascii="Times New Roman" w:cs="Times New Roman" w:eastAsia="Times New Roman" w:hAnsi="Times New Roman"/>
          <w:sz w:val="18"/>
          <w:szCs w:val="18"/>
          <w:color w:val="auto"/>
        </w:rPr>
        <w:t>. In the event of any voluntary or involuntary insolvency, bankruptcy, liquidation, reorganization or other similar proceeding involving the Company (each, an “</w:t>
      </w:r>
      <w:r>
        <w:rPr>
          <w:rFonts w:ascii="Times New Roman" w:cs="Times New Roman" w:eastAsia="Times New Roman" w:hAnsi="Times New Roman"/>
          <w:sz w:val="18"/>
          <w:szCs w:val="18"/>
          <w:b w:val="1"/>
          <w:bCs w:val="1"/>
          <w:color w:val="auto"/>
        </w:rPr>
        <w:t>Insolvency Proceeding</w:t>
      </w:r>
      <w:r>
        <w:rPr>
          <w:rFonts w:ascii="Times New Roman" w:cs="Times New Roman" w:eastAsia="Times New Roman" w:hAnsi="Times New Roman"/>
          <w:sz w:val="18"/>
          <w:szCs w:val="18"/>
          <w:color w:val="auto"/>
        </w:rPr>
        <w:t>”), all Senior Indebtedness shall first be paid in full, in cash before any payment or any distribution of any kind or character is made by the Company in respect of this Note.</w:t>
      </w:r>
    </w:p>
    <w:p>
      <w:pPr>
        <w:spacing w:after="0" w:line="182" w:lineRule="exact"/>
        <w:rPr>
          <w:sz w:val="20"/>
          <w:szCs w:val="20"/>
          <w:color w:val="auto"/>
        </w:rPr>
      </w:pPr>
    </w:p>
    <w:p>
      <w:pPr>
        <w:jc w:val="both"/>
        <w:ind w:left="840" w:firstLine="648"/>
        <w:spacing w:after="0" w:line="254" w:lineRule="auto"/>
        <w:rPr>
          <w:sz w:val="20"/>
          <w:szCs w:val="20"/>
          <w:color w:val="auto"/>
        </w:rPr>
      </w:pPr>
      <w:r>
        <w:rPr>
          <w:rFonts w:ascii="Times New Roman" w:cs="Times New Roman" w:eastAsia="Times New Roman" w:hAnsi="Times New Roman"/>
          <w:sz w:val="18"/>
          <w:szCs w:val="18"/>
          <w:color w:val="auto"/>
        </w:rPr>
        <w:t> (A)            The Holder irrevocably authorizes and empowers (but without imposing any obligation on) the Administrative Agent and any trustee in bankruptcy, receiver or assignee for the benefit of creditors of the Company, in any Insolvency Proceeding, on the Holder’s behalf, to (1) file any claim, proof of claim or such other instrument of similar character not otherwise filed and (2) vote such Holder’s interest in any proceeding under applicable insolvency laws as such vote relates to any Subordinated Debt. In the event that the Administrative Agent votes any claim in accordance with the authority hereby, the Holder shall not be entitled to change, withdraw or challenge any such vote. This authorization and appointment is irrevocable and coupled with an interest. The Holder recognizes that, to the extent permitted by law, this authorization and appointment shall continue in full force and effect, notwithstanding any time limitations set forth in the operating agreement or organizational documents of the Holder or applicable law.</w:t>
      </w:r>
    </w:p>
    <w:p>
      <w:pPr>
        <w:spacing w:after="0" w:line="188" w:lineRule="exact"/>
        <w:rPr>
          <w:sz w:val="20"/>
          <w:szCs w:val="20"/>
          <w:color w:val="auto"/>
        </w:rPr>
      </w:pPr>
    </w:p>
    <w:p>
      <w:pPr>
        <w:jc w:val="both"/>
        <w:ind w:left="840" w:firstLine="648"/>
        <w:spacing w:after="0" w:line="253" w:lineRule="auto"/>
        <w:rPr>
          <w:sz w:val="20"/>
          <w:szCs w:val="20"/>
          <w:color w:val="auto"/>
        </w:rPr>
      </w:pPr>
      <w:r>
        <w:rPr>
          <w:rFonts w:ascii="Times New Roman" w:cs="Times New Roman" w:eastAsia="Times New Roman" w:hAnsi="Times New Roman"/>
          <w:sz w:val="18"/>
          <w:szCs w:val="18"/>
          <w:color w:val="auto"/>
        </w:rPr>
        <w:t> (B)             Holder shall not assert, without Administrative Agent’s prior written consent, any claim, motion, objection or argument in connection with any liquidation or insolvency proceeding, except for necessary responsive or defensive pleadings required to protect Holder’s interest in this Note. Holder agrees that it will consent to, and not object to or oppose any use of cash collateral consented to by Administrative Agent or any financing provided by Administrative Agent or any Lender to the Company or any of its subsidiaries or affiliates (or any financing provided by any other Person consented to by Administrative Agent) (collectively, “</w:t>
      </w:r>
      <w:r>
        <w:rPr>
          <w:rFonts w:ascii="Times New Roman" w:cs="Times New Roman" w:eastAsia="Times New Roman" w:hAnsi="Times New Roman"/>
          <w:sz w:val="18"/>
          <w:szCs w:val="18"/>
          <w:b w:val="1"/>
          <w:bCs w:val="1"/>
          <w:color w:val="auto"/>
        </w:rPr>
        <w:t>DIP Financing</w:t>
      </w:r>
      <w:r>
        <w:rPr>
          <w:rFonts w:ascii="Times New Roman" w:cs="Times New Roman" w:eastAsia="Times New Roman" w:hAnsi="Times New Roman"/>
          <w:sz w:val="18"/>
          <w:szCs w:val="18"/>
          <w:color w:val="auto"/>
        </w:rPr>
        <w:t>”) on such terms and conditions as Administrative Agent may determine in its sole discretion. Without the prior written consent of Administrative Agent, Holder agrees that it will not, and will not permit, any of its affiliates to, (i) directly or indirectly provide, participate in or otherwise support, any financing in an Insolvency Proceeding to any Obligor or (ii) seek or accept any lien on or security interest in any Collateral (or any assets which would be Collateral but for the operation of the Bankruptcy Code) that would be senior to or pari passu with any liens or security interests securing the Senior Indebtedness or any DIP Financing. Holder agrees that it will not join or seek to join any creditors’ committee or other official committee in any Insolvency Proceeding.</w:t>
      </w:r>
    </w:p>
    <w:p>
      <w:pPr>
        <w:spacing w:after="0" w:line="190" w:lineRule="exact"/>
        <w:rPr>
          <w:sz w:val="20"/>
          <w:szCs w:val="20"/>
          <w:color w:val="auto"/>
        </w:rPr>
      </w:pPr>
    </w:p>
    <w:p>
      <w:pPr>
        <w:jc w:val="both"/>
        <w:ind w:left="840" w:firstLine="648"/>
        <w:spacing w:after="0" w:line="266" w:lineRule="auto"/>
        <w:rPr>
          <w:sz w:val="20"/>
          <w:szCs w:val="20"/>
          <w:color w:val="auto"/>
        </w:rPr>
      </w:pPr>
      <w:r>
        <w:rPr>
          <w:rFonts w:ascii="Times New Roman" w:cs="Times New Roman" w:eastAsia="Times New Roman" w:hAnsi="Times New Roman"/>
          <w:sz w:val="18"/>
          <w:szCs w:val="18"/>
          <w:color w:val="auto"/>
        </w:rPr>
        <w:t> (C)            Holder agrees that it will consent to, and not object to or oppose, a sale or other disposition (or related sale or disposition procedures) of any property securing any of the Senior Indebtedness in any Insolvency Proceeding, if Administrative Agent has consented to such sale or other disposition (or sale or disposition procedures).</w:t>
      </w:r>
    </w:p>
    <w:p>
      <w:pPr>
        <w:spacing w:after="0" w:line="176" w:lineRule="exact"/>
        <w:rPr>
          <w:sz w:val="20"/>
          <w:szCs w:val="20"/>
          <w:color w:val="auto"/>
        </w:rPr>
      </w:pPr>
    </w:p>
    <w:p>
      <w:pPr>
        <w:jc w:val="both"/>
        <w:ind w:left="840" w:firstLine="648"/>
        <w:spacing w:after="0" w:line="266" w:lineRule="auto"/>
        <w:rPr>
          <w:sz w:val="20"/>
          <w:szCs w:val="20"/>
          <w:color w:val="auto"/>
        </w:rPr>
      </w:pPr>
      <w:r>
        <w:rPr>
          <w:rFonts w:ascii="Times New Roman" w:cs="Times New Roman" w:eastAsia="Times New Roman" w:hAnsi="Times New Roman"/>
          <w:sz w:val="18"/>
          <w:szCs w:val="18"/>
          <w:color w:val="auto"/>
        </w:rPr>
        <w:t> (D)            Holder agrees that it will consent to, vote in favor of, and not object to or oppose, any plan of reorganization or liquidation, or any other scheme, arrangement or proposal in any Insolvency Proceeding which is supported or consented to by the Administrative Agent.</w:t>
      </w:r>
    </w:p>
    <w:p>
      <w:pPr>
        <w:spacing w:after="0" w:line="176" w:lineRule="exact"/>
        <w:rPr>
          <w:sz w:val="20"/>
          <w:szCs w:val="20"/>
          <w:color w:val="auto"/>
        </w:rPr>
      </w:pPr>
    </w:p>
    <w:p>
      <w:pPr>
        <w:jc w:val="both"/>
        <w:ind w:left="840" w:firstLine="648"/>
        <w:spacing w:after="0" w:line="256" w:lineRule="auto"/>
        <w:rPr>
          <w:sz w:val="20"/>
          <w:szCs w:val="20"/>
          <w:color w:val="auto"/>
        </w:rPr>
      </w:pPr>
      <w:r>
        <w:rPr>
          <w:rFonts w:ascii="Times New Roman" w:cs="Times New Roman" w:eastAsia="Times New Roman" w:hAnsi="Times New Roman"/>
          <w:sz w:val="18"/>
          <w:szCs w:val="18"/>
          <w:color w:val="auto"/>
        </w:rPr>
        <w:t> (E)             Following payment in full of the Senior Indebtedness, should any payment upon the Senior Indebtedness be rescinded thereafter as a voidable preference, or otherwise by operation of law, upon the insolvency, bankruptcy or reorganization of the Company, all of the rights of the holders of the Senior Indebtedness previously extinguished by full payment of the Senior Indebtedness shall be automatically reinstated, and all rights and benefits hereunder shall be retroactively implemented in favor of the holders of the Senior Indebtedness, all as if the payment had never been made to or received by the holders of the Senior Indebtedness.</w:t>
      </w:r>
    </w:p>
    <w:p>
      <w:pPr>
        <w:spacing w:after="0" w:line="200" w:lineRule="exact"/>
        <w:rPr>
          <w:sz w:val="20"/>
          <w:szCs w:val="20"/>
          <w:color w:val="auto"/>
        </w:rPr>
      </w:pPr>
    </w:p>
    <w:p>
      <w:pPr>
        <w:spacing w:after="0" w:line="20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17" w:name="page18"/>
    <w:bookmarkEnd w:id="17"/>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 (iv)          </w:t>
      </w:r>
      <w:r>
        <w:rPr>
          <w:rFonts w:ascii="Times New Roman" w:cs="Times New Roman" w:eastAsia="Times New Roman" w:hAnsi="Times New Roman"/>
          <w:sz w:val="18"/>
          <w:szCs w:val="18"/>
          <w:i w:val="1"/>
          <w:iCs w:val="1"/>
          <w:color w:val="auto"/>
        </w:rPr>
        <w:t>Return of Certain Payments</w:t>
      </w:r>
      <w:r>
        <w:rPr>
          <w:rFonts w:ascii="Times New Roman" w:cs="Times New Roman" w:eastAsia="Times New Roman" w:hAnsi="Times New Roman"/>
          <w:sz w:val="18"/>
          <w:szCs w:val="18"/>
          <w:color w:val="auto"/>
        </w:rPr>
        <w:t>. In the event that the Holder of this Note receives any payment in respect of this Note in violation of these subordination provisions, such payment shall be held by the Holder in trust for the benefit of, and shall, forthwith upon receipt thereof, be paid over and delivered to the Administrative Agent to the extent necessary to pay the Senior Indebtedness in full in cash.</w:t>
      </w:r>
    </w:p>
    <w:p>
      <w:pPr>
        <w:spacing w:after="0" w:line="180" w:lineRule="exact"/>
        <w:rPr>
          <w:sz w:val="20"/>
          <w:szCs w:val="20"/>
          <w:color w:val="auto"/>
        </w:rPr>
      </w:pPr>
    </w:p>
    <w:p>
      <w:pPr>
        <w:jc w:val="both"/>
        <w:ind w:left="640" w:firstLine="648"/>
        <w:spacing w:after="0" w:line="284" w:lineRule="auto"/>
        <w:rPr>
          <w:sz w:val="20"/>
          <w:szCs w:val="20"/>
          <w:color w:val="auto"/>
        </w:rPr>
      </w:pPr>
      <w:r>
        <w:rPr>
          <w:rFonts w:ascii="Times New Roman" w:cs="Times New Roman" w:eastAsia="Times New Roman" w:hAnsi="Times New Roman"/>
          <w:sz w:val="18"/>
          <w:szCs w:val="18"/>
          <w:color w:val="auto"/>
        </w:rPr>
        <w:t> (v)           </w:t>
      </w:r>
      <w:r>
        <w:rPr>
          <w:rFonts w:ascii="Times New Roman" w:cs="Times New Roman" w:eastAsia="Times New Roman" w:hAnsi="Times New Roman"/>
          <w:sz w:val="18"/>
          <w:szCs w:val="18"/>
          <w:i w:val="1"/>
          <w:iCs w:val="1"/>
          <w:color w:val="auto"/>
        </w:rPr>
        <w:t>Payments in Kind</w:t>
      </w:r>
      <w:r>
        <w:rPr>
          <w:rFonts w:ascii="Times New Roman" w:cs="Times New Roman" w:eastAsia="Times New Roman" w:hAnsi="Times New Roman"/>
          <w:sz w:val="18"/>
          <w:szCs w:val="18"/>
          <w:color w:val="auto"/>
        </w:rPr>
        <w:t>. Notwithstanding anything to the contrary in the foregoing, the Company shall not be prohibited from making, and the Holder shall not be prohibited from receiving, any payments in kind to the extent set forth herein.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(vi)          </w:t>
      </w:r>
      <w:r>
        <w:rPr>
          <w:rFonts w:ascii="Times New Roman" w:cs="Times New Roman" w:eastAsia="Times New Roman" w:hAnsi="Times New Roman"/>
          <w:sz w:val="18"/>
          <w:szCs w:val="18"/>
          <w:i w:val="1"/>
          <w:iCs w:val="1"/>
          <w:color w:val="auto"/>
        </w:rPr>
        <w:t>Mandatory and Elective Conversion of Note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 (A)            In the event of any Restructuring Transaction consented to by the Administrative Agent (and regardless of whether such Restructuring Transaction would otherwise result in a mandatory conversion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but for this Section 11(a)(vi)), the Holder shall be deemed to have consented to such Restructuring Transaction, and all of the outstanding obligations hereunder shall be mandatorily converted into Common Stock as if such conversion were a mandatory conversion of the Note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Any such conversion shall occur simultaneously with (but immediately prior to) the closing of the applicable Restructuring Transaction. The Holder and the Company shall promptly execute and deliver to the Administrative Agent all documents necessary or reasonably requested by the Administrative Agent to effectuate the foregoing conversion.</w:t>
      </w:r>
    </w:p>
    <w:p>
      <w:pPr>
        <w:spacing w:after="0" w:line="189"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 (B)             In furtherance of the foregoing, the Holder hereby irrevocably appoints the Administrative Agent as its attorney-in-fact, with full authority in the place and stead of the Holder and in the name of the Holder, to execute and deliver any document or instrument that the Holder may be required to deliver pursuant to this Section 11(a)(vi) in order to effectuate the foregoing conversion and cause such a conversion, such power of attorney being coupled with an interest and irrevocable until the Senior Indebtedness is paid in full, in cash.</w:t>
      </w:r>
    </w:p>
    <w:p>
      <w:pPr>
        <w:spacing w:after="0" w:line="183"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 (C)             The Company acknowledges and agrees that it shall take any and all action required to cause the mandatory conversion of this Note upon the occurrence of the conditions set forth in this Section 11(a)(vi).</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The subordination provisions of this Note are for the benefit of the holders of the Senior Indebtedness and their successors and assigns and they may enforce such provisions directly against the Holder of this Note in accordance with the terms hereof. No right of any present or future holder of any Senior Indebtedness to enforce subordination as provided herein shall at any time in any way be prejudiced or impaired by any act or omission of the Company or any such holder, unless the holder has expressly waived its rights in writing. The holders of the Senior Indebtedness may, without impairing or releasing the Company or the Holder of this Note from any obligation hereunder, take any and all actions with respect to the Senior Indebtedness, including, without limitation, to (i) change the manner, place or terms of payment or extend the time of payment of, or renew or alter, Senior Indebtedness, or otherwise amend or supplement in any manner Senior Indebtedness or any instrument evidencing the same or any agreement under which Senior Indebtedness is outstanding; (ii) sell, exchange, release or otherwise deal with any property pledged, mortgaged or otherwise securing Senior Indebtedness; (iii) release any Person liable in any manner for the Senior Indebtedness; and (iv) exercise or refrain from exercising any rights against the Company and any other Person.</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Authorization to Effect Subordination</w:t>
      </w:r>
      <w:r>
        <w:rPr>
          <w:rFonts w:ascii="Times New Roman" w:cs="Times New Roman" w:eastAsia="Times New Roman" w:hAnsi="Times New Roman"/>
          <w:sz w:val="18"/>
          <w:szCs w:val="18"/>
          <w:color w:val="auto"/>
        </w:rPr>
        <w:t xml:space="preserve">. The Holder, by its acceptance hereof, solely in its capacity as obligee with respect to Subordinated Debt irrevocably authorizes and empowers (but without imposing any obligation on) the Administrative Agent (through its authorized representatives), on behalf of itself and the Lenders, to demand, sue for, collect and receive such Holder’s ratable share of payments or distributions with respect to Subordinated Debt and take all such other action, in the name of such Holder or otherwise, as such Administrative Agent or authorized representatives may determine to be necessary or appropriate for the enforcement of the provisions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18" w:name="page19"/>
    <w:bookmarkEnd w:id="1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Amendments and Modifications to Note</w:t>
      </w:r>
      <w:r>
        <w:rPr>
          <w:rFonts w:ascii="Times New Roman" w:cs="Times New Roman" w:eastAsia="Times New Roman" w:hAnsi="Times New Roman"/>
          <w:sz w:val="18"/>
          <w:szCs w:val="18"/>
          <w:color w:val="auto"/>
        </w:rPr>
        <w:t xml:space="preserve">. Under no circumstance shall the Company or the Holder amend or modify, or permit the amendment or modification of, any provision of this Note in any way adverse to the interests of the Administrative Agent and the Lenders, including, without limitation, any amendments to </w:t>
      </w:r>
      <w:r>
        <w:rPr>
          <w:rFonts w:ascii="Times New Roman" w:cs="Times New Roman" w:eastAsia="Times New Roman" w:hAnsi="Times New Roman"/>
          <w:sz w:val="18"/>
          <w:szCs w:val="18"/>
          <w:u w:val="single" w:color="auto"/>
          <w:color w:val="auto"/>
        </w:rPr>
        <w:t>Sections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hereof (or any constituent definitions), or otherwise affecting the same or similar substance of such provisions, each of which shall be deemed to be adverse to the Administrative Agent and the Lenders. The Administrative Agent and the Lenders are intended to be, and shall be, express third party beneficiaries of the terms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this Note and may enforce the provisions of Section 11 of this Note directly against the Company and/or any Holder.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Amendments and Modifications to Senior Indebtedness</w:t>
      </w:r>
      <w:r>
        <w:rPr>
          <w:rFonts w:ascii="Times New Roman" w:cs="Times New Roman" w:eastAsia="Times New Roman" w:hAnsi="Times New Roman"/>
          <w:sz w:val="18"/>
          <w:szCs w:val="18"/>
          <w:color w:val="auto"/>
        </w:rPr>
        <w:t>. The Holder agrees that the Company, the Administrative Agent and the Lenders shall have absolute power and discretion, without notice to the Holder, to deal in any manner with the Senior Indebtedness and the related collateral, including, without limitation, the power and discretion to effect any amendment, modification, supplement, restatement, refinancing, renewal, refund, extension or termination of any Senior Indebtedness.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Security for Subordinated Debt</w:t>
      </w:r>
      <w:r>
        <w:rPr>
          <w:rFonts w:ascii="Times New Roman" w:cs="Times New Roman" w:eastAsia="Times New Roman" w:hAnsi="Times New Roman"/>
          <w:sz w:val="18"/>
          <w:szCs w:val="18"/>
          <w:color w:val="auto"/>
        </w:rPr>
        <w:t xml:space="preserve">. Except with the prior written consent of the Administrative Agent and the Lenders, in no event shall the Holder take, accept or receive (and the Company shall not, nor permit any of its Subsidiaries or any other Person to grant to the Holder) any lien or security interest on any asset of Company or its Subsidiaries or any other collateral, guaranty, credit support or security for the Subordinated Debt. In the event in violation of the previous sentence the Holder is granted a security interest or lien on any asset of the Company or any of its Subsidiaries or any guaranty or credit support from the Company or any of its Subsidiaries or any other Person, the Holder does hereby expressly immediately and automatically (without further action of any Person) release such security interest, lien, guaranty or credit support, and the Holder and the Company shall immediately take all actions necessary or desirable to confirm and/or effectuate such release. The Administrative Agent may, in its sole discretion, take all steps necessary or desirable to confirm and/or effectuate the release any such lien, security interest, guaranty or credit support without any further action by or consent of any party, and the Holder and the Company expressly consent to and authorize any such action. In furtherance of the foregoing the Company and the Holder each hereby irrevocably appoint the Administrative Agent as its attorney-in-fact, with full authority in the place and stead of the Company and the Holder, as applicable, and in the name of the Company or the Holder, as applicable, to execute and deliver any document or instrument that the Company may be required to deliver pursuant to this </w:t>
      </w:r>
      <w:r>
        <w:rPr>
          <w:rFonts w:ascii="Times New Roman" w:cs="Times New Roman" w:eastAsia="Times New Roman" w:hAnsi="Times New Roman"/>
          <w:sz w:val="18"/>
          <w:szCs w:val="18"/>
          <w:u w:val="single" w:color="auto"/>
          <w:color w:val="auto"/>
        </w:rPr>
        <w:t>Section 11(f)</w:t>
      </w:r>
      <w:r>
        <w:rPr>
          <w:rFonts w:ascii="Times New Roman" w:cs="Times New Roman" w:eastAsia="Times New Roman" w:hAnsi="Times New Roman"/>
          <w:sz w:val="18"/>
          <w:szCs w:val="18"/>
          <w:color w:val="auto"/>
        </w:rPr>
        <w:t xml:space="preserve"> in connection with any such release, such power of attorney being coupled with an interest and irrevocable until the Senior Indebtedness is paid in full in cash.</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            The Holder agrees that this Section 11 constitutes a “subordination agreement” within the meaning of Section 510(a) of the United States Bankruptcy Code (11 U.S.C. §101, et seq.) and will continue in full force and effect during any Insolvency Proceeding, including after the filing of any petition by or against the Company under the Bankruptcy Code and all converted or succeeding cases in respect thereof. All references herein to the Company or any of its subsidiaries or affiliates shall be deemed to apply to such Person as debtor-in-possession and to any trustee for such Person.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NOTE</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[reserved];</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Notwithstanding anything to the contrary contained herein, the Holder and the Company agree that (i) the total number of shares of Common Stock issuable upon conversion of this Note may not cause the Company to exceed the requirements of Nasdaq Listing Rule 5635(d) (“</w:t>
      </w:r>
      <w:r>
        <w:rPr>
          <w:rFonts w:ascii="Times New Roman" w:cs="Times New Roman" w:eastAsia="Times New Roman" w:hAnsi="Times New Roman"/>
          <w:sz w:val="18"/>
          <w:szCs w:val="18"/>
          <w:b w:val="1"/>
          <w:bCs w:val="1"/>
          <w:color w:val="auto"/>
        </w:rPr>
        <w:t>Nasdaq 20% Cap</w:t>
      </w:r>
      <w:r>
        <w:rPr>
          <w:rFonts w:ascii="Times New Roman" w:cs="Times New Roman" w:eastAsia="Times New Roman" w:hAnsi="Times New Roman"/>
          <w:sz w:val="18"/>
          <w:szCs w:val="18"/>
          <w:color w:val="auto"/>
        </w:rPr>
        <w:t>”), except that such limitation will not apply following Approval (defined below). If the aggregate number of shares of Common Stock issuable upon conversion of the Note, and any other securities required to be aggregated with this Note under applicable rules of the Nasdaq Stock Market (“</w:t>
      </w:r>
      <w:r>
        <w:rPr>
          <w:rFonts w:ascii="Times New Roman" w:cs="Times New Roman" w:eastAsia="Times New Roman" w:hAnsi="Times New Roman"/>
          <w:sz w:val="18"/>
          <w:szCs w:val="18"/>
          <w:b w:val="1"/>
          <w:bCs w:val="1"/>
          <w:color w:val="auto"/>
        </w:rPr>
        <w:t>Additional Securities</w:t>
      </w:r>
      <w:r>
        <w:rPr>
          <w:rFonts w:ascii="Times New Roman" w:cs="Times New Roman" w:eastAsia="Times New Roman" w:hAnsi="Times New Roman"/>
          <w:sz w:val="18"/>
          <w:szCs w:val="18"/>
          <w:color w:val="auto"/>
        </w:rPr>
        <w:t>” and, together with the Equity Financing Securities, the “</w:t>
      </w:r>
      <w:r>
        <w:rPr>
          <w:rFonts w:ascii="Times New Roman" w:cs="Times New Roman" w:eastAsia="Times New Roman" w:hAnsi="Times New Roman"/>
          <w:sz w:val="18"/>
          <w:szCs w:val="18"/>
          <w:b w:val="1"/>
          <w:bCs w:val="1"/>
          <w:color w:val="auto"/>
        </w:rPr>
        <w:t>Other Securities</w:t>
      </w:r>
      <w:r>
        <w:rPr>
          <w:rFonts w:ascii="Times New Roman" w:cs="Times New Roman" w:eastAsia="Times New Roman" w:hAnsi="Times New Roman"/>
          <w:sz w:val="18"/>
          <w:szCs w:val="18"/>
          <w:color w:val="auto"/>
        </w:rPr>
        <w:t>”), reaches the Nasdaq 20% Cap, so as not to violate the 20% limit established in Listing Rule 5635(d), the Company shall as soon as reasonably practicable take all action necessary to obtain stockholder approval for the issuance of shares of Common Stock in excess of the Nasdaq 20% Cap pursuant to the terms of this Note in accordance with the requirements of Nasdaq Listing Rule 5635(d) (the “</w:t>
      </w:r>
      <w:r>
        <w:rPr>
          <w:rFonts w:ascii="Times New Roman" w:cs="Times New Roman" w:eastAsia="Times New Roman" w:hAnsi="Times New Roman"/>
          <w:sz w:val="18"/>
          <w:szCs w:val="18"/>
          <w:b w:val="1"/>
          <w:bCs w:val="1"/>
          <w:color w:val="auto"/>
        </w:rPr>
        <w:t>Approval</w:t>
      </w:r>
      <w:r>
        <w:rPr>
          <w:rFonts w:ascii="Times New Roman" w:cs="Times New Roman" w:eastAsia="Times New Roman" w:hAnsi="Times New Roman"/>
          <w:sz w:val="18"/>
          <w:szCs w:val="18"/>
          <w:color w:val="auto"/>
        </w:rPr>
        <w:t>”). Without limiting the generality of the foregoing sentence, as soon as reasonably practicable after the date of the application of the Nasdaq 20% Cap, but in no event later than 90 days after such occurrence, the Company shall use its reasonable best efforts to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w:t>
      </w:r>
    </w:p>
    <w:p>
      <w:pPr>
        <w:spacing w:after="0" w:line="200" w:lineRule="exact"/>
        <w:rPr>
          <w:sz w:val="20"/>
          <w:szCs w:val="20"/>
          <w:color w:val="auto"/>
        </w:rPr>
      </w:pPr>
    </w:p>
    <w:p>
      <w:pPr>
        <w:spacing w:after="0" w:line="20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b w:val="1"/>
          <w:bCs w:val="1"/>
          <w:color w:val="auto"/>
        </w:rPr>
        <w:t>13.          DISTRIBUTION OF ASSETS.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any adjustments pursuant to Sections 5 and 6 above, if the Company shall declare or make any dividend or other distributions of its assets (or rights to acquire its assets) to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(the “</w:t>
      </w:r>
      <w:r>
        <w:rPr>
          <w:rFonts w:ascii="Times New Roman" w:cs="Times New Roman" w:eastAsia="Times New Roman" w:hAnsi="Times New Roman"/>
          <w:sz w:val="18"/>
          <w:szCs w:val="18"/>
          <w:b w:val="1"/>
          <w:bCs w:val="1"/>
          <w:color w:val="auto"/>
        </w:rPr>
        <w:t>Distributions</w:t>
      </w:r>
      <w:r>
        <w:rPr>
          <w:rFonts w:ascii="Times New Roman" w:cs="Times New Roman" w:eastAsia="Times New Roman" w:hAnsi="Times New Roman"/>
          <w:sz w:val="18"/>
          <w:szCs w:val="18"/>
          <w:color w:val="auto"/>
        </w:rPr>
        <w:t>”), then the Holder will be entitled to such Distributions as if the Holder had held the number of shares of Common Stock acquirable upon complete conversion of this Note (without taking into account any limitations or restrictions on the convertibility of this Note and assuming for such purpose that the Note was converted at the Conversion Price as of the applicable record date) immediately prior to the date on which a record is taken for such Distribution or, if no such record is taken, the date as of which the record holders of Common Stock are to be determined for such Distributions.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14.          AMENDING THE TERMS OF THIS NOTE.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prior written consent of the Holder and the Company shall be required for any change, waiver or amendment to this Note. Any change, waiver or amendment so approved shall be binding upon all existing and future holders of this Note; provided, however, that no such change, waiver or, as applied to any of the Notes held by any particular holder of Notes, shall, without the written consent of that particular holder, (i) reduce the amount of Principal, reduce the amount of accrued and unpaid Interest, or extend the Maturity Date, of the Notes, (ii) disproportionally and adversely affect any rights under the Notes of any holder of Notes; or (iii) modify any of the provisions of, or impair the right of any holder of Notes under, this Section 3.</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15.          TRANSFER.</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Note may not be offered, sold, assigned or transferred by the Holder without the consent of the Company (which shall not be unreasonably withheld).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16.          REISSUANCE OF THIS NOTE.</w:t>
      </w:r>
    </w:p>
    <w:p>
      <w:pPr>
        <w:spacing w:after="0" w:line="229"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Transfer</w:t>
      </w:r>
      <w:r>
        <w:rPr>
          <w:rFonts w:ascii="Times New Roman" w:cs="Times New Roman" w:eastAsia="Times New Roman" w:hAnsi="Times New Roman"/>
          <w:sz w:val="18"/>
          <w:szCs w:val="18"/>
          <w:color w:val="auto"/>
        </w:rPr>
        <w:t>. If this Note is to be transferred, the Holder shall surrender this Note to the Company, whereupon the Company will forthwith issue and deliver upon the order of the Holder a new Note (in accordance with Section 16(d)), registered as the Holder may request, representing the outstanding Principal being transferred by the Holder and, if less than the entire outstanding Principal is being transferred, a new Note (in accordance with Section 16(d)) to the Holder representing the outstanding Principal not being transferred. The Holder and any assignee, by acceptance of this Note, acknowledge and agree that, by reason of the provisions of Section 3(c)(iii) following conversion or redemption of any portion of this Note, the outstanding Principal represented by this Note may be less than the Principal stated on the face of this Note.</w:t>
      </w:r>
    </w:p>
    <w:p>
      <w:pPr>
        <w:spacing w:after="0" w:line="187"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Lost, Stolen or Mutilated Note</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Note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Note, the Company shall execute and deliver to the Holder a new Note (in accordance with Section 16(d)) representing the outstanding Principal.</w:t>
      </w:r>
    </w:p>
    <w:p>
      <w:pPr>
        <w:spacing w:after="0" w:line="18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Note Exchangeable for Different Denominations</w:t>
      </w:r>
      <w:r>
        <w:rPr>
          <w:rFonts w:ascii="Times New Roman" w:cs="Times New Roman" w:eastAsia="Times New Roman" w:hAnsi="Times New Roman"/>
          <w:sz w:val="18"/>
          <w:szCs w:val="18"/>
          <w:color w:val="auto"/>
        </w:rPr>
        <w:t>. This Note is exchangeable, upon the surrender hereof by the Holder at the principal office of the Company, for a new Note or Notes (in accordance with Section 16(d) and in principal amounts of at least $100,000) representing in the aggregate the outstanding Principal of this Note, and each such new Note will represent such portion of such outstanding Principal as is designated by the Holder at the time of such surrender.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Issuance of New Notes</w:t>
      </w:r>
      <w:r>
        <w:rPr>
          <w:rFonts w:ascii="Times New Roman" w:cs="Times New Roman" w:eastAsia="Times New Roman" w:hAnsi="Times New Roman"/>
          <w:sz w:val="17"/>
          <w:szCs w:val="17"/>
          <w:color w:val="auto"/>
        </w:rPr>
        <w:t>. Whenever the Company is required to issue a new Note pursuant to the terms of this Note, such new Note</w:t>
      </w:r>
    </w:p>
    <w:p>
      <w:pPr>
        <w:spacing w:after="0" w:line="39" w:lineRule="exact"/>
        <w:rPr>
          <w:sz w:val="20"/>
          <w:szCs w:val="20"/>
          <w:color w:val="auto"/>
        </w:rPr>
      </w:pPr>
    </w:p>
    <w:p>
      <w:pPr>
        <w:jc w:val="both"/>
        <w:ind w:left="660" w:hanging="4"/>
        <w:spacing w:after="0" w:line="252" w:lineRule="auto"/>
        <w:tabs>
          <w:tab w:leader="none" w:pos="8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of like tenor with this Note, (ii) shall represent, as indicated on the face of such new Note, the Principal remaining outstanding (or in the case of a new Note being issued pursuant to Section 16(a) or Section 16(c),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accrued and unpaid Interest and Late Charges on the Principal and Interest of this Note, from the Issuance Date.</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b w:val="1"/>
          <w:bCs w:val="1"/>
          <w:color w:val="auto"/>
        </w:rPr>
        <w:t>17.          REMEDIES, CHARACTERIZATIONS, OTHER OBLIGATIONS, BREACHES AND INJUNCTIVE RELIEF.</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remedies provided in this Note shall be cumulative and in addition to all other remedies available under this Note and any of the other Transaction Documents at law or in equity (including a decree of specific performance and/or other injunctive relief), and nothing herein (other than the provisions of Section 11) shall limit the Holder’s right to pursue actual and consequential damages for any failure by the Company to comply with the terms of this Note. No failure on the part of the Holder to exercise, and no delay in exercising, any right, power or remedy hereunder shall operate as a waiver thereof; nor shall any single or partial exercise by the Holder of any right, power or remedy preclude any other or further exercise thereof or the exercise of any other right, power or remedy. In addition, the exercise of any right or remedy of the Holder at law or equity or under this Note or any of the documents shall not be deemed to be an election of Holder’s rights or remedies under such documents or at law or equity.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specific performance and/or temporary, preliminary and permanent injunctive or other equitable relief from any court of competent jurisdiction. The Company shall provide all information and documentation to the Holder that is reasonably requested by the Holder to enable the Holder to confirm the Company’s compliance with the terms and conditions of this Note (including, without limitation, compliance with Section 6).</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18.          PAYMENT OF COLLECTION, ENFORCEMENT AND OTHER COSTS.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without limitation, attorneys’ fees and disbursements. The Company expressly acknowledges and agrees that no amounts due under this Note shall be affected, or limited, by the fact that the purchase price paid for this Note was less than the original Principal amount hereof.</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19.          CONSTRUCTION; HEADINGS; COUNSEL</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Note shall be deemed to be jointly drafted by the Company and the initial Holder and shall not be construed against any such Person as the drafter hereof. The headings of this Note are for convenience of reference and shall not form part of, or affect the interpretation of, this Note.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Note instead of just the provision in which they are found. Unless expressly indicated otherwise, all section references are to sections of this Note. Terms used in this Note and not otherwise defined herein, but defined in the other Transaction Documents, shall have the meanings ascribed to such terms on the Closing Date in such other Transaction Documents unless otherwise consented to in writing by the Holder. The Company and the Holder each confirms that it has consulted with counsel or has affirmatively determined that it does not require the advice of counsel.</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20.          FAILURE OR INDULGENCE NOT WAIVER.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b w:val="1"/>
          <w:bCs w:val="1"/>
          <w:color w:val="auto"/>
        </w:rPr>
        <w:t>21.          NOTICES; CURRENCY; PAYMENTS.</w:t>
      </w:r>
    </w:p>
    <w:p>
      <w:pPr>
        <w:spacing w:after="0" w:line="229"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The Company shall provide the Holder with prompt written notice of all actions taken pursuant to this Note, including in reasonable detail a description of such action and the reason therefore. Without limiting the generality of the foregoing, the Company will give written notice to the Holder (i) immediately upon any adjustment of the Conversion Price, setting forth in reasonable detail, and certifying, the calculation of such adjustment and (ii) at least five (5) Trading Days prior to the date on which the Company closes its books or takes a record</w:t>
      </w:r>
    </w:p>
    <w:p>
      <w:pPr>
        <w:spacing w:after="0" w:line="3" w:lineRule="exact"/>
        <w:rPr>
          <w:sz w:val="20"/>
          <w:szCs w:val="20"/>
          <w:color w:val="auto"/>
        </w:rPr>
      </w:pPr>
    </w:p>
    <w:p>
      <w:pPr>
        <w:jc w:val="both"/>
        <w:ind w:left="660" w:hanging="4"/>
        <w:spacing w:after="0" w:line="253" w:lineRule="auto"/>
        <w:tabs>
          <w:tab w:leader="none" w:pos="9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dividend or distribution upon the Common Stock, (B) with respect to any grant, issuances, or sales of any Options, Convertible Securities or rights to purchase stock, warrants, securities or other property to holders of shares of Common Stock or (C) for determining rights to vote with respect to any Strategic Change of Control, dissolution or liquidation, provided in each case that such information shall be made known to the public prior to or in conjunction with such notice being provided to the Holder.</w:t>
      </w:r>
    </w:p>
    <w:p>
      <w:pPr>
        <w:spacing w:after="0" w:line="189"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Payments</w:t>
      </w:r>
      <w:r>
        <w:rPr>
          <w:rFonts w:ascii="Times New Roman" w:cs="Times New Roman" w:eastAsia="Times New Roman" w:hAnsi="Times New Roman"/>
          <w:sz w:val="18"/>
          <w:szCs w:val="18"/>
          <w:color w:val="auto"/>
        </w:rPr>
        <w:t>. Whenever any payment of cash is to be made by the Company to any Person pursuant to this Note, unless otherwise expressly set forth herein, such payment shall be made in lawful money of the United States of America by a certified check drawn on the account of the Company and sent via overnight courier service to such Person at such address as previously provided to the Company in writing, provided that the Holder may elect to receive a payment of cash via wire transfer of immediately available funds by providing the Company with prior written notice setting out such request and the Holder’s wire transfer instructions. Whenever any amount expressed to be due by the terms of this Note is due on any day which is not a Business Day, the same shall instead be due on the next succeeding day which is a Business Day. Any amount of Principal or other amounts due under the Transaction Documents which is not paid when due shall result in a late charge being incurred and payable by the Company in an amount equal to interest on such amount at the rate of seven and one-half percent (7.5%) per annum from the date such amount was due until the same is paid in full (“</w:t>
      </w:r>
      <w:r>
        <w:rPr>
          <w:rFonts w:ascii="Times New Roman" w:cs="Times New Roman" w:eastAsia="Times New Roman" w:hAnsi="Times New Roman"/>
          <w:sz w:val="18"/>
          <w:szCs w:val="18"/>
          <w:b w:val="1"/>
          <w:bCs w:val="1"/>
          <w:color w:val="auto"/>
        </w:rPr>
        <w:t>Late Charge</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22.          CANCELLATION.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After all Principal, accrued Interest, Late Charges and other amounts at any time owed on this Note have been paid in full, this Note shall automatically be deemed canceled, shall be surrendered to the Company for cancellation and shall not be reissued.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23.          WAIVER OF NOTICE.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the extent permitted by law, the Company hereby irrevocably waives demand, notice, presentment, protest and all other demands and notices in connection with the delivery, acceptance, performance, default or enforcement of this Note.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24.          GOVERNING LAW.</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This Note shall be construed and enforced in accordance with, and all questions concerning the construction, validity, interpretation and performance of this Note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18"/>
          <w:szCs w:val="18"/>
          <w:b w:val="1"/>
          <w:bCs w:val="1"/>
          <w:color w:val="auto"/>
        </w:rPr>
        <w:t>THE COMPANY HEREBY IRREVOCABLY WAIVES ANY RIGHT IT MAY HAVE TO, AND AGREES NOT TO</w:t>
      </w:r>
    </w:p>
    <w:p>
      <w:pPr>
        <w:spacing w:after="0" w:line="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REQUEST, A JURY TRIAL FOR THE ADJUDICATION OF ANY DISPUTE HEREUNDER OR IN CONNECTION WITH OR ARISING OUT OF THIS NOTE OR ANY TRANSACTION CONTEMPLATED HEREBY.</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b w:val="1"/>
          <w:bCs w:val="1"/>
          <w:color w:val="auto"/>
        </w:rPr>
        <w:t>25.            SEVERABILITY.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26.          MAXIMUM PAYMENTS.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establish or require the payment of a rate of interest or other charges in excess of the maximum permitted by applicable law. In the event that the rate of interest required to be paid or other charges hereunder exceed the maximum permitted by such law, any payments in excess of such maximum shall be credited against amounts owed by the Company to the Holder and thus refunded to the Company.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27.          REPRESENTATIONS AND WARRANTIES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Representations and Warranties of the Purchaser</w:t>
      </w:r>
      <w:r>
        <w:rPr>
          <w:rFonts w:ascii="Times New Roman" w:cs="Times New Roman" w:eastAsia="Times New Roman" w:hAnsi="Times New Roman"/>
          <w:sz w:val="18"/>
          <w:szCs w:val="18"/>
          <w:color w:val="auto"/>
        </w:rPr>
        <w:t>. The Purchaser hereby represents and warrants as of the date hereof and as of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Closing Date to the Company as follows (unless as of a specific date therein, in which case they shall be accurate as of such date):</w:t>
      </w:r>
    </w:p>
    <w:p>
      <w:pPr>
        <w:spacing w:after="0" w:line="20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Understandings or Arrangements</w:t>
      </w:r>
      <w:r>
        <w:rPr>
          <w:rFonts w:ascii="Times New Roman" w:cs="Times New Roman" w:eastAsia="Times New Roman" w:hAnsi="Times New Roman"/>
          <w:sz w:val="18"/>
          <w:szCs w:val="18"/>
          <w:color w:val="auto"/>
        </w:rPr>
        <w:t>. Such Purchaser is acquiring the Note as principal for its own account and has no direct or indirect arrangement or understandings with any other persons to distribute or regarding the distribution of such Note (this representation and warranty not limiting such Purchaser’s right to sell the conversion shares pursuant to the Registration Statement or otherwise in compliance with applicable federal and state securities laws). Such Purchaser is acquiring the Note hereunder in the ordinary course of its business.</w:t>
      </w:r>
    </w:p>
    <w:p>
      <w:pPr>
        <w:spacing w:after="0" w:line="180"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Purchaser Status</w:t>
      </w:r>
      <w:r>
        <w:rPr>
          <w:rFonts w:ascii="Times New Roman" w:cs="Times New Roman" w:eastAsia="Times New Roman" w:hAnsi="Times New Roman"/>
          <w:sz w:val="18"/>
          <w:szCs w:val="18"/>
          <w:color w:val="auto"/>
        </w:rPr>
        <w:t>. At the time such Purchaser was offered the Note, it was and, as of the date hereof, it is either: (i) an “accredited investor” as defined in Rule 501(a)(1), (a)(2), (a)(3), (a)(5), (a)(6), (a)(7), (a)(8), (a)(9), (a)(12), or (a)(13) under the Securities Act or (ii) a “qualified institutional buyer” as defined in Rule 144(A)(a) under the Securities Act.</w:t>
      </w:r>
    </w:p>
    <w:p>
      <w:pPr>
        <w:spacing w:after="0" w:line="17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Note, and has so evaluated the merits and risks of such investment. Such Purchaser is able to bear the economic risk of an investment in the Note and, at the present time, is able to afford a complete loss of such investment.</w:t>
      </w:r>
    </w:p>
    <w:p>
      <w:pPr>
        <w:spacing w:after="0" w:line="180" w:lineRule="exact"/>
        <w:rPr>
          <w:sz w:val="20"/>
          <w:szCs w:val="20"/>
          <w:color w:val="auto"/>
        </w:rPr>
      </w:pPr>
    </w:p>
    <w:p>
      <w:pPr>
        <w:jc w:val="both"/>
        <w:ind w:left="660" w:firstLine="648"/>
        <w:spacing w:after="0" w:line="28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Exemption from Registration.</w:t>
      </w:r>
      <w:r>
        <w:rPr>
          <w:rFonts w:ascii="Times New Roman" w:cs="Times New Roman" w:eastAsia="Times New Roman" w:hAnsi="Times New Roman"/>
          <w:sz w:val="18"/>
          <w:szCs w:val="18"/>
          <w:color w:val="auto"/>
        </w:rPr>
        <w:t xml:space="preserve"> Such Purchaser has read and acknowledges the legend appearing on the first page of this Note and agrees to comply with the requirements set forth therein.</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reports, schedules, forms, statements and other documents required to be filed by the Company under the Securities Act and the 1934 Act, including pursuant to Section 13(a) or 15(d) thereof, for the two years preceding the date hereof (or such shorter period as the Company was required by law or regulation to file such material) (collectively, the “</w:t>
      </w:r>
      <w:r>
        <w:rPr>
          <w:rFonts w:ascii="Times New Roman" w:cs="Times New Roman" w:eastAsia="Times New Roman" w:hAnsi="Times New Roman"/>
          <w:sz w:val="18"/>
          <w:szCs w:val="18"/>
          <w:b w:val="1"/>
          <w:bCs w:val="1"/>
          <w:color w:val="auto"/>
        </w:rPr>
        <w:t>SEC Reports</w:t>
      </w:r>
      <w:r>
        <w:rPr>
          <w:rFonts w:ascii="Times New Roman" w:cs="Times New Roman" w:eastAsia="Times New Roman" w:hAnsi="Times New Roman"/>
          <w:sz w:val="18"/>
          <w:szCs w:val="18"/>
          <w:color w:val="auto"/>
        </w:rPr>
        <w:t>”) and has been afforded (i) the opportunity to ask such questions as it has deemed necessary of, and to receive answers from, representatives of the Company concerning the terms and conditions of the offering of the Note and the merits and risks of investing in the Note;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spacing w:after="0" w:line="1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28.          CERTAIN DEFINITIONS.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purposes of this Note, the following terms shall have the following meanings:</w:t>
      </w:r>
    </w:p>
    <w:p>
      <w:pPr>
        <w:spacing w:after="0" w:line="221"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means the Securities Exchange Act of 1934, as amended, and the rules and regulations thereunder.</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means Metropolitan Partners Group Administration, LLC, and its successors and assigns in such</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capacity.</w:t>
      </w:r>
    </w:p>
    <w:p>
      <w:pPr>
        <w:spacing w:after="0" w:line="203" w:lineRule="exact"/>
        <w:rPr>
          <w:sz w:val="20"/>
          <w:szCs w:val="20"/>
          <w:color w:val="auto"/>
        </w:rPr>
      </w:pPr>
    </w:p>
    <w:p>
      <w:pPr>
        <w:jc w:val="both"/>
        <w:ind w:left="4" w:firstLine="648"/>
        <w:spacing w:after="0" w:line="26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a majority of the stock having ordinary voting power for the election of directors of such Person or direct or cause the direction of the management and policies of such Person whether by contract or otherwise.</w:t>
      </w:r>
    </w:p>
    <w:p>
      <w:pPr>
        <w:spacing w:after="0" w:line="176" w:lineRule="exact"/>
        <w:rPr>
          <w:sz w:val="20"/>
          <w:szCs w:val="20"/>
          <w:color w:val="auto"/>
        </w:rPr>
      </w:pPr>
    </w:p>
    <w:p>
      <w:pPr>
        <w:jc w:val="both"/>
        <w:ind w:left="4" w:firstLine="648"/>
        <w:spacing w:after="0" w:line="259"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w:t>
      </w:r>
    </w:p>
    <w:p>
      <w:pPr>
        <w:jc w:val="both"/>
        <w:ind w:left="4" w:hanging="4"/>
        <w:spacing w:after="0" w:line="253" w:lineRule="auto"/>
        <w:tabs>
          <w:tab w:leader="none" w:pos="3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185" w:lineRule="exact"/>
        <w:rPr>
          <w:sz w:val="20"/>
          <w:szCs w:val="20"/>
          <w:color w:val="auto"/>
        </w:rPr>
      </w:pPr>
    </w:p>
    <w:p>
      <w:pPr>
        <w:jc w:val="both"/>
        <w:ind w:left="4" w:firstLine="648"/>
        <w:spacing w:after="0" w:line="28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w:t>
      </w:r>
    </w:p>
    <w:p>
      <w:pPr>
        <w:spacing w:after="0" w:line="155"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(i) a consolidation or merger of the Company or PAL with or into any other corporation or other Person, or any other corporate reorganization, other than (x) with an Excluded Person, or (y) any such consolidation, merger or reorganization in which the shares of capital stock of the Parent or PAL immediately prior to such consolidation, merger or reorganization continue to represent a majority of the voting power of the surviving entity immediately after such consolidation, merger or reorganization; (ii) any transaction or series of related transactions to which the Parent or PAL is a party in which in excess of 20% of the Parent’s or PAL’s voting power is transferred (other than to an Excluded Person); (iii) any transaction or series of transactions in which a “person” or a “group” (as such terms are used in Sections 13(d) and 14(d) of the Exchange Act) (other than an Excluded Person) shall (A) become, or obtain rights (whether by means of common stock, warrants options or otherwise) to become, the “beneficial owner” (as defined in Rules 13(d)-3 and 13(d)-5 under the Exchange Act), directly or indirectly, of 25% or more of the ordinary voting power or economic interests of Parent or PAL (determined on a fully diluted basis) or (B) have obtained the power (whether exercised or not) to elect a majority of the members of the board of directors (or any similar governing body) of Parent or PAL, as applicable; or (iv) the sale or transfer of all or substantially all of the Parent’s or PAL’s assets, or the exclusive license of all or substantially all of the Parent’s or PAL’s material assets and/or material intellectual property, in each case, other than to an Excluded Person. A transaction (other than a Restructuring Transaction) that would otherwise be a Change of Control but for the involvement of an Excluded Person is referred to as a “</w:t>
      </w:r>
      <w:r>
        <w:rPr>
          <w:rFonts w:ascii="Times New Roman" w:cs="Times New Roman" w:eastAsia="Times New Roman" w:hAnsi="Times New Roman"/>
          <w:sz w:val="18"/>
          <w:szCs w:val="18"/>
          <w:b w:val="1"/>
          <w:bCs w:val="1"/>
          <w:color w:val="auto"/>
        </w:rPr>
        <w:t>Strategic Change of Control.</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24" w:name="page25"/>
    <w:bookmarkEnd w:id="24"/>
    <w:p>
      <w:pPr>
        <w:ind w:left="644"/>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mean the date hereof upon funding of the amounts set forth in this Note.</w:t>
      </w:r>
    </w:p>
    <w:p>
      <w:pPr>
        <w:spacing w:after="0" w:line="225" w:lineRule="exact"/>
        <w:rPr>
          <w:sz w:val="20"/>
          <w:szCs w:val="20"/>
          <w:color w:val="auto"/>
        </w:rPr>
      </w:pPr>
    </w:p>
    <w:p>
      <w:pPr>
        <w:jc w:val="both"/>
        <w:ind w:left="4" w:firstLine="648"/>
        <w:spacing w:after="0" w:line="28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common stock, $0.0001 par value per share, and (ii) any capital stock into which such common stock shall have been changed or any share capital resulting from a reclassification of such common stock.</w:t>
      </w:r>
    </w:p>
    <w:p>
      <w:pPr>
        <w:spacing w:after="0" w:line="155" w:lineRule="exact"/>
        <w:rPr>
          <w:sz w:val="20"/>
          <w:szCs w:val="20"/>
          <w:color w:val="auto"/>
        </w:rPr>
      </w:pPr>
    </w:p>
    <w:p>
      <w:pPr>
        <w:jc w:val="both"/>
        <w:ind w:left="4" w:firstLine="648"/>
        <w:spacing w:after="0" w:line="268"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71" w:lineRule="exact"/>
        <w:rPr>
          <w:sz w:val="20"/>
          <w:szCs w:val="20"/>
          <w:color w:val="auto"/>
        </w:rPr>
      </w:pPr>
    </w:p>
    <w:p>
      <w:pPr>
        <w:jc w:val="both"/>
        <w:ind w:left="4" w:firstLine="648"/>
        <w:spacing w:after="0" w:line="268"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means that certain Credit Agreement, dated as of September 21, 2022, by and among the Company, PAL, as borrower, the Lenders, and the Administrative Agent, as amended, restated, refinanced, modified or supplemented through the date hereof and hereafter and in effect from time to time.</w:t>
      </w:r>
    </w:p>
    <w:p>
      <w:pPr>
        <w:spacing w:after="0" w:line="171" w:lineRule="exact"/>
        <w:rPr>
          <w:sz w:val="20"/>
          <w:szCs w:val="20"/>
          <w:color w:val="auto"/>
        </w:rPr>
      </w:pPr>
    </w:p>
    <w:p>
      <w:pPr>
        <w:jc w:val="both"/>
        <w:ind w:left="4" w:firstLine="648"/>
        <w:spacing w:after="0" w:line="286"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New York Stock Exchange, the NYSE American, the Nasdaq Global Select Market, the Nasdaq Global Market or the Principal Market.</w:t>
      </w:r>
    </w:p>
    <w:p>
      <w:pPr>
        <w:spacing w:after="0" w:line="155"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b w:val="1"/>
          <w:bCs w:val="1"/>
          <w:color w:val="auto"/>
        </w:rPr>
        <w:t>Excluded Person</w:t>
      </w:r>
      <w:r>
        <w:rPr>
          <w:rFonts w:ascii="Times New Roman" w:cs="Times New Roman" w:eastAsia="Times New Roman" w:hAnsi="Times New Roman"/>
          <w:sz w:val="18"/>
          <w:szCs w:val="18"/>
          <w:color w:val="auto"/>
        </w:rPr>
        <w:t>” means a Person other than a Financial Investor.</w:t>
      </w:r>
    </w:p>
    <w:p>
      <w:pPr>
        <w:spacing w:after="0" w:line="225" w:lineRule="exact"/>
        <w:rPr>
          <w:sz w:val="20"/>
          <w:szCs w:val="20"/>
          <w:color w:val="auto"/>
        </w:rPr>
      </w:pPr>
    </w:p>
    <w:p>
      <w:pPr>
        <w:jc w:val="both"/>
        <w:ind w:left="4" w:firstLine="648"/>
        <w:spacing w:after="0" w:line="268"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means (i) any shares of Common Stock, options, warrants or convertible securities issued or issuable in connection with (A) any equity compensation plan of the Company as in effect on the date hereof or (B) any Restructuring Transaction, or (ii) any other securities outstanding as of the Effective Date.</w:t>
      </w:r>
    </w:p>
    <w:p>
      <w:pPr>
        <w:spacing w:after="0" w:line="171"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b w:val="1"/>
          <w:bCs w:val="1"/>
          <w:color w:val="auto"/>
        </w:rPr>
        <w:t>Financial Investor</w:t>
      </w:r>
      <w:r>
        <w:rPr>
          <w:rFonts w:ascii="Times New Roman" w:cs="Times New Roman" w:eastAsia="Times New Roman" w:hAnsi="Times New Roman"/>
          <w:sz w:val="18"/>
          <w:szCs w:val="18"/>
          <w:color w:val="auto"/>
        </w:rPr>
        <w:t>” means a Person that (i) does not have any strategic or commercial relationship with the Company, and</w:t>
      </w:r>
    </w:p>
    <w:p>
      <w:pPr>
        <w:spacing w:after="0" w:line="31" w:lineRule="exact"/>
        <w:rPr>
          <w:sz w:val="20"/>
          <w:szCs w:val="20"/>
          <w:color w:val="auto"/>
        </w:rPr>
      </w:pPr>
    </w:p>
    <w:p>
      <w:pPr>
        <w:jc w:val="both"/>
        <w:ind w:left="4" w:hanging="4"/>
        <w:spacing w:after="0" w:line="255" w:lineRule="auto"/>
        <w:tabs>
          <w:tab w:leader="none" w:pos="2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itself operate in the Company’s line of business or a line of business that would be considered competitive or synergistic with the Company’s line of business, it being understood that merely holding an investment in another Person that operates in any such line of business shall not cause any Person that would otherwise constitute a Financial Investor to be excluded as a Financial Investor.</w:t>
      </w:r>
    </w:p>
    <w:p>
      <w:pPr>
        <w:spacing w:after="0" w:line="18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United States generally accepted accounting principles, consistently applied.</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 “group” as that term is used in Section 13(d) of the 1934 Act and as defined in Rule 13d-5 thereunder.</w:t>
      </w:r>
    </w:p>
    <w:p>
      <w:pPr>
        <w:spacing w:after="0" w:line="22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(r)             [reserved].</w:t>
      </w:r>
    </w:p>
    <w:p>
      <w:pPr>
        <w:spacing w:after="0" w:line="221"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means collectively the Cash Interest and the PIK Interest.</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b w:val="1"/>
          <w:bCs w:val="1"/>
          <w:color w:val="auto"/>
        </w:rPr>
        <w:t>Interest Date</w:t>
      </w:r>
      <w:r>
        <w:rPr>
          <w:rFonts w:ascii="Times New Roman" w:cs="Times New Roman" w:eastAsia="Times New Roman" w:hAnsi="Times New Roman"/>
          <w:sz w:val="18"/>
          <w:szCs w:val="18"/>
          <w:color w:val="auto"/>
        </w:rPr>
        <w:t>” means, with respect to any given calendar month the last Trading Day in such calendar month.</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means the lenders from time to time party to the Credit Agreement or otherwise holding Senior Indebtedness.</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means the Credit Agreement and the other Loan Documents (as defined in the Credit Agreement).</w:t>
      </w:r>
    </w:p>
    <w:p>
      <w:pPr>
        <w:spacing w:after="0" w:line="200" w:lineRule="exact"/>
        <w:rPr>
          <w:sz w:val="20"/>
          <w:szCs w:val="20"/>
          <w:color w:val="auto"/>
        </w:rPr>
      </w:pPr>
    </w:p>
    <w:p>
      <w:pPr>
        <w:spacing w:after="0" w:line="24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25" w:name="page26"/>
    <w:bookmarkEnd w:id="25"/>
    <w:p>
      <w:pPr>
        <w:ind w:left="644"/>
        <w:spacing w:after="0"/>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shall mean July 19, 2026.</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7"/>
          <w:szCs w:val="17"/>
          <w:color w:val="auto"/>
        </w:rPr>
        <w:t>(x)            “</w:t>
      </w:r>
      <w:r>
        <w:rPr>
          <w:rFonts w:ascii="Times New Roman" w:cs="Times New Roman" w:eastAsia="Times New Roman" w:hAnsi="Times New Roman"/>
          <w:sz w:val="17"/>
          <w:szCs w:val="17"/>
          <w:b w:val="1"/>
          <w:bCs w:val="1"/>
          <w:color w:val="auto"/>
        </w:rPr>
        <w:t>Options</w:t>
      </w:r>
      <w:r>
        <w:rPr>
          <w:rFonts w:ascii="Times New Roman" w:cs="Times New Roman" w:eastAsia="Times New Roman" w:hAnsi="Times New Roman"/>
          <w:sz w:val="17"/>
          <w:szCs w:val="17"/>
          <w:color w:val="auto"/>
        </w:rPr>
        <w:t>” means any rights, warrants or options to subscribe for or purchase shares of Common Stock or Convertible Securities.</w:t>
      </w:r>
    </w:p>
    <w:p>
      <w:pPr>
        <w:spacing w:after="0" w:line="23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b w:val="1"/>
          <w:bCs w:val="1"/>
          <w:color w:val="auto"/>
        </w:rPr>
        <w:t>PAL</w:t>
      </w:r>
      <w:r>
        <w:rPr>
          <w:rFonts w:ascii="Times New Roman" w:cs="Times New Roman" w:eastAsia="Times New Roman" w:hAnsi="Times New Roman"/>
          <w:sz w:val="18"/>
          <w:szCs w:val="18"/>
          <w:color w:val="auto"/>
        </w:rPr>
        <w:t>” means Presto Automation LLC (f/k/a E La Carte, LLC, f/k/a Ventoux Merger Sub II LLC).</w:t>
      </w:r>
    </w:p>
    <w:p>
      <w:pPr>
        <w:spacing w:after="0" w:line="225" w:lineRule="exact"/>
        <w:rPr>
          <w:sz w:val="20"/>
          <w:szCs w:val="20"/>
          <w:color w:val="auto"/>
        </w:rPr>
      </w:pPr>
    </w:p>
    <w:p>
      <w:pPr>
        <w:jc w:val="both"/>
        <w:ind w:left="4" w:firstLine="648"/>
        <w:spacing w:after="0" w:line="268"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a Strategic Change of Control.</w:t>
      </w:r>
    </w:p>
    <w:p>
      <w:pPr>
        <w:spacing w:after="0" w:line="171" w:lineRule="exact"/>
        <w:rPr>
          <w:sz w:val="20"/>
          <w:szCs w:val="20"/>
          <w:color w:val="auto"/>
        </w:rPr>
      </w:pPr>
    </w:p>
    <w:p>
      <w:pPr>
        <w:jc w:val="both"/>
        <w:ind w:left="4" w:firstLine="648"/>
        <w:spacing w:after="0" w:line="286"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5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b w:val="1"/>
          <w:bCs w:val="1"/>
          <w:color w:val="auto"/>
        </w:rPr>
        <w:t>PIK Interest</w:t>
      </w:r>
      <w:r>
        <w:rPr>
          <w:rFonts w:ascii="Times New Roman" w:cs="Times New Roman" w:eastAsia="Times New Roman" w:hAnsi="Times New Roman"/>
          <w:sz w:val="18"/>
          <w:szCs w:val="18"/>
          <w:color w:val="auto"/>
        </w:rPr>
        <w:t>” means the portion of the interest that accrues on the Principal of this Note as the PIK Interest Rate.</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b w:val="1"/>
          <w:bCs w:val="1"/>
          <w:color w:val="auto"/>
        </w:rPr>
        <w:t>PIK Interest Rate</w:t>
      </w:r>
      <w:r>
        <w:rPr>
          <w:rFonts w:ascii="Times New Roman" w:cs="Times New Roman" w:eastAsia="Times New Roman" w:hAnsi="Times New Roman"/>
          <w:sz w:val="18"/>
          <w:szCs w:val="18"/>
          <w:color w:val="auto"/>
        </w:rPr>
        <w:t>” means 7.5% per annum.</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Capital Market.</w:t>
      </w:r>
    </w:p>
    <w:p>
      <w:pPr>
        <w:spacing w:after="0" w:line="22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(ee)          [reserved]</w:t>
      </w:r>
    </w:p>
    <w:p>
      <w:pPr>
        <w:spacing w:after="0" w:line="221" w:lineRule="exact"/>
        <w:rPr>
          <w:sz w:val="20"/>
          <w:szCs w:val="20"/>
          <w:color w:val="auto"/>
        </w:rPr>
      </w:pPr>
    </w:p>
    <w:p>
      <w:pPr>
        <w:jc w:val="both"/>
        <w:ind w:left="4" w:firstLine="648"/>
        <w:spacing w:after="0" w:line="262" w:lineRule="auto"/>
        <w:rPr>
          <w:sz w:val="20"/>
          <w:szCs w:val="20"/>
          <w:color w:val="auto"/>
        </w:rPr>
      </w:pPr>
      <w:r>
        <w:rPr>
          <w:rFonts w:ascii="Times New Roman" w:cs="Times New Roman" w:eastAsia="Times New Roman" w:hAnsi="Times New Roman"/>
          <w:sz w:val="18"/>
          <w:szCs w:val="18"/>
          <w:color w:val="auto"/>
        </w:rPr>
        <w:t>(ff)            “</w:t>
      </w:r>
      <w:r>
        <w:rPr>
          <w:rFonts w:ascii="Times New Roman" w:cs="Times New Roman" w:eastAsia="Times New Roman" w:hAnsi="Times New Roman"/>
          <w:sz w:val="18"/>
          <w:szCs w:val="18"/>
          <w:b w:val="1"/>
          <w:bCs w:val="1"/>
          <w:color w:val="auto"/>
        </w:rPr>
        <w:t>Restructuring Transaction</w:t>
      </w:r>
      <w:r>
        <w:rPr>
          <w:rFonts w:ascii="Times New Roman" w:cs="Times New Roman" w:eastAsia="Times New Roman" w:hAnsi="Times New Roman"/>
          <w:sz w:val="18"/>
          <w:szCs w:val="18"/>
          <w:color w:val="auto"/>
        </w:rPr>
        <w:t>” means any transaction or series of transactions which has the effect of (i) forgiving, reducing, or modifying the principal balance of, or otherwise adjusting the amount of, the Senior Indebtedness, (ii) exchanging all or any portion of the Senior Indebtedness for any other instrument or security, (iii) the exercise of any rights or remedies by the Administrative Agent or any Lender under the Loan Documents, or (iv) replacing or refinancing the Senior Indebtedness, in whole or in part.</w:t>
      </w:r>
    </w:p>
    <w:p>
      <w:pPr>
        <w:spacing w:after="0" w:line="17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(gg)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 or the successor thereto.</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(hh)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Securities Act of 1933, as amended, and the rules and regulations promulgated thereunder.</w:t>
      </w:r>
    </w:p>
    <w:p>
      <w:pPr>
        <w:spacing w:after="0" w:line="22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(ii)            [reserved.]</w:t>
      </w:r>
    </w:p>
    <w:p>
      <w:pPr>
        <w:spacing w:after="0" w:line="221" w:lineRule="exact"/>
        <w:rPr>
          <w:sz w:val="20"/>
          <w:szCs w:val="20"/>
          <w:color w:val="auto"/>
        </w:rPr>
      </w:pPr>
    </w:p>
    <w:p>
      <w:pPr>
        <w:jc w:val="both"/>
        <w:ind w:left="4" w:firstLine="648"/>
        <w:spacing w:after="0" w:line="259" w:lineRule="auto"/>
        <w:rPr>
          <w:sz w:val="20"/>
          <w:szCs w:val="20"/>
          <w:color w:val="auto"/>
        </w:rPr>
      </w:pPr>
      <w:r>
        <w:rPr>
          <w:rFonts w:ascii="Times New Roman" w:cs="Times New Roman" w:eastAsia="Times New Roman" w:hAnsi="Times New Roman"/>
          <w:sz w:val="18"/>
          <w:szCs w:val="18"/>
          <w:color w:val="auto"/>
        </w:rPr>
        <w:t>(jj)            “</w:t>
      </w:r>
      <w:r>
        <w:rPr>
          <w:rFonts w:ascii="Times New Roman" w:cs="Times New Roman" w:eastAsia="Times New Roman" w:hAnsi="Times New Roman"/>
          <w:sz w:val="18"/>
          <w:szCs w:val="18"/>
          <w:b w:val="1"/>
          <w:bCs w:val="1"/>
          <w:color w:val="auto"/>
        </w:rPr>
        <w:t>Senior Indebtedness</w:t>
      </w:r>
      <w:r>
        <w:rPr>
          <w:rFonts w:ascii="Times New Roman" w:cs="Times New Roman" w:eastAsia="Times New Roman" w:hAnsi="Times New Roman"/>
          <w:sz w:val="18"/>
          <w:szCs w:val="18"/>
          <w:color w:val="auto"/>
        </w:rPr>
        <w:t>” means all loans, advances, debts, liabilities, debit balances, covenants and duties at any time or times owed by Company or any other Loan Party to Administrative Agent or any Lender, whether direct or indirect, absolute or contingent, secured or unsecured, primary or secondary, joint or several, liquidated or unliquidated, due or to become due, now existing or hereafter arising, including</w:t>
      </w:r>
    </w:p>
    <w:p>
      <w:pPr>
        <w:jc w:val="both"/>
        <w:ind w:left="4" w:hanging="4"/>
        <w:spacing w:after="0" w:line="251" w:lineRule="auto"/>
        <w:tabs>
          <w:tab w:leader="none" w:pos="2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debts, liabilities and obligations now or hereafter owing by Company or any other Loan Party to Administrative Agent or any Lender under any of the Loan Documents, (b) all debts, liabilities or obligations owing by Company or any other Loan Party to others which Administrative Agent or any Lender may have obtained by assignment, pledge, purchase or otherwise, (c) all loans made or credit extended by Administrative Agent or any Lender to Company or any other Loan Party during the pendency of any bankruptcy or other insolvency proceeding of Company or any other Loan Party, (d) all interest, fees, charges, expenses and attorneys’ fees for which Company or any other Loan Party is now or hereafter becomes liable to pay to Administrative Agent or any Lender under any agreement or by law (including, all interest, legal fees and other charges that accrue or are incurred in connection with any of the Senior Indebtedness during the pendency of any bankruptcy case or other insolvency proceeding of Buyer, whether or not Administrative Agent or such Lender is authorized by 11 U.S.C. § 506 or otherwise to claim or collect any such interest, legal fees or other charges from Buyer), (e) all Obligations (as defined in the Credit Agreement), (f) the secured promissory note between the Company Presto CA, LLC dated March 21, 2024 (g) any renewals, extensions, replacements or refinancings of any of the foregoing.</w:t>
      </w:r>
    </w:p>
    <w:p>
      <w:pPr>
        <w:spacing w:after="0" w:line="18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(kk)          “</w:t>
      </w:r>
      <w:r>
        <w:rPr>
          <w:rFonts w:ascii="Times New Roman" w:cs="Times New Roman" w:eastAsia="Times New Roman" w:hAnsi="Times New Roman"/>
          <w:sz w:val="18"/>
          <w:szCs w:val="18"/>
          <w:b w:val="1"/>
          <w:b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200" w:lineRule="exact"/>
        <w:rPr>
          <w:sz w:val="20"/>
          <w:szCs w:val="20"/>
          <w:color w:val="auto"/>
        </w:rPr>
      </w:pPr>
    </w:p>
    <w:p>
      <w:pPr>
        <w:spacing w:after="0" w:line="24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26" w:name="page27"/>
    <w:bookmarkEnd w:id="26"/>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(ll)            “</w:t>
      </w: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means all amounts payable to the Holder pursuant to this Note or any other documents executed in connection herewith.</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(mm)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means any wholly-owned subsidiaries of the Company.</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(nn)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Strategic Change of Control or the Person (or, if so elected by the Holder, the Parent Entity) with which such Strategic Change of Control shall have been entered into.</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determinations relating to the Common Stock, any day on which The Nasdaq Stock Market (or any successor thereto) is open for trading of securities.</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(pp)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this Note, all exhibits and schedules hereto and any other document, certificate or notice executed by the Company or the Holder in connection with the issuance of this Note.</w:t>
      </w:r>
    </w:p>
    <w:p>
      <w:pPr>
        <w:spacing w:after="0" w:line="15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7"/>
          <w:szCs w:val="17"/>
          <w:color w:val="auto"/>
        </w:rPr>
        <w:t>IN WITNESS WHEREOF, the Company and the Holder have caused this Note to be duly executed as of the Issuance Date set out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Guillaume Lefevre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Guillaume Lefevre</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Interim 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Remus Capital Series B II,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Tincoff</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Tincoff</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Convertible Note – Signature Page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320" w:top="904" w:right="10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PRESTO AUTOMATION INC. CONVERSION NOTICE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Reference is made to the Subordinated Convertible Note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issued to the undersigned by Presto Automation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accordance with and pursuant to the Note, the undersigned hereby elects to convert the Conversion Amount (as defined in the Note) of the Note indicated below into shares of Common Stock, $0.0001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as of the date specified below. Capitalized terms not defined herein shall have the meaning as set forth in the Note.</w:t>
      </w:r>
    </w:p>
    <w:p>
      <w:pPr>
        <w:sectPr>
          <w:pgSz w:w="11900" w:h="16838" w:orient="portrait"/>
          <w:cols w:equalWidth="0" w:num="1">
            <w:col w:w="11240"/>
          </w:cols>
          <w:pgMar w:left="320" w:top="900" w:right="33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Conversion: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to be converted:</w:t>
      </w:r>
    </w:p>
    <w:p>
      <w:pPr>
        <w:spacing w:after="0" w:line="23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Aggregate accrued and unpaid Interest and accrued and unpaid Late Charges with respect to such portion of the Aggregate Principal and such Aggregate Interest to be converted: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CONVERSION AMOUNT TO BE CONVERTED: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Price: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to be issued: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specify the amount of Restricted Principal (if any) being converted: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specify the amount of Restricted OID (if any) being converted: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-1670685</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-1953895</wp:posOffset>
            </wp:positionV>
            <wp:extent cx="3566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-548005</wp:posOffset>
            </wp:positionV>
            <wp:extent cx="3566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-830580</wp:posOffset>
            </wp:positionV>
            <wp:extent cx="3566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-1113790</wp:posOffset>
            </wp:positionV>
            <wp:extent cx="3566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-264795</wp:posOffset>
            </wp:positionV>
            <wp:extent cx="35661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200" w:lineRule="exact"/>
        <w:rPr>
          <w:sz w:val="20"/>
          <w:szCs w:val="20"/>
          <w:color w:val="auto"/>
        </w:rPr>
      </w:pPr>
    </w:p>
    <w:p>
      <w:pPr>
        <w:sectPr>
          <w:pgSz w:w="11900" w:h="16838" w:orient="portrait"/>
          <w:cols w:equalWidth="0" w:num="2">
            <w:col w:w="6040" w:space="720"/>
            <w:col w:w="4480"/>
          </w:cols>
          <w:pgMar w:left="320" w:top="900" w:right="339" w:bottom="1440" w:gutter="0" w:footer="0" w:header="0"/>
          <w:type w:val="continuous"/>
        </w:sect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Please issue the Common Stock into which the Note is being converted to Holder, or for its benefit,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20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91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Check here if requesting delivery as a certificate to the following name and to the following address:</w:t>
            </w:r>
          </w:p>
        </w:tc>
      </w:tr>
      <w:tr>
        <w:trPr>
          <w:trHeight w:val="404"/>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 to:</w:t>
            </w:r>
          </w:p>
        </w:tc>
        <w:tc>
          <w:tcPr>
            <w:tcW w:w="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460"/>
        </w:trPr>
        <w:tc>
          <w:tcPr>
            <w:tcW w:w="20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91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Check here if requesting delivery by Deposit/Withdrawal at Custodian as follows:</w:t>
            </w:r>
          </w:p>
        </w:tc>
      </w:tr>
      <w:tr>
        <w:trPr>
          <w:trHeight w:val="404"/>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DTC Participant:</w:t>
            </w:r>
          </w:p>
        </w:tc>
        <w:tc>
          <w:tcPr>
            <w:tcW w:w="80" w:type="dxa"/>
            <w:vAlign w:val="bottom"/>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r>
        <w:trPr>
          <w:trHeight w:val="426"/>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DTC Number:</w:t>
            </w:r>
          </w:p>
        </w:tc>
        <w:tc>
          <w:tcPr>
            <w:tcW w:w="80" w:type="dxa"/>
            <w:vAlign w:val="bottom"/>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r>
        <w:trPr>
          <w:trHeight w:val="425"/>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 Number:</w:t>
            </w:r>
          </w:p>
        </w:tc>
        <w:tc>
          <w:tcPr>
            <w:tcW w:w="80" w:type="dxa"/>
            <w:vAlign w:val="bottom"/>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r>
        <w:trPr>
          <w:trHeight w:val="426"/>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432"/>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Registered Holder</w:t>
            </w:r>
          </w:p>
        </w:tc>
        <w:tc>
          <w:tcPr>
            <w:tcW w:w="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432"/>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Registered Holder</w:t>
            </w:r>
          </w:p>
        </w:tc>
        <w:tc>
          <w:tcPr>
            <w:tcW w:w="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418"/>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5620" w:type="dxa"/>
            <w:vAlign w:val="bottom"/>
          </w:tcPr>
          <w:p>
            <w:pPr>
              <w:spacing w:after="0"/>
              <w:rPr>
                <w:sz w:val="24"/>
                <w:szCs w:val="24"/>
                <w:color w:val="auto"/>
              </w:rPr>
            </w:pPr>
          </w:p>
        </w:tc>
      </w:tr>
      <w:tr>
        <w:trPr>
          <w:trHeight w:val="191"/>
        </w:trPr>
        <w:tc>
          <w:tcPr>
            <w:tcW w:w="20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5620" w:type="dxa"/>
            <w:vAlign w:val="bottom"/>
          </w:tcPr>
          <w:p>
            <w:pPr>
              <w:spacing w:after="0"/>
              <w:rPr>
                <w:sz w:val="16"/>
                <w:szCs w:val="16"/>
                <w:color w:val="auto"/>
              </w:rPr>
            </w:pPr>
          </w:p>
        </w:tc>
      </w:tr>
      <w:tr>
        <w:trPr>
          <w:trHeight w:val="216"/>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16"/>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ID:</w:t>
            </w:r>
          </w:p>
        </w:tc>
        <w:tc>
          <w:tcPr>
            <w:tcW w:w="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34"/>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648"/>
        </w:trPr>
        <w:tc>
          <w:tcPr>
            <w:tcW w:w="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gridSpan w:val="3"/>
          </w:tcPr>
          <w:p>
            <w:pPr>
              <w:jc w:val="right"/>
              <w:ind w:right="5540"/>
              <w:spacing w:after="0"/>
              <w:rPr>
                <w:sz w:val="20"/>
                <w:szCs w:val="20"/>
                <w:color w:val="auto"/>
              </w:rPr>
            </w:pPr>
            <w:r>
              <w:rPr>
                <w:rFonts w:ascii="Times New Roman" w:cs="Times New Roman" w:eastAsia="Times New Roman" w:hAnsi="Times New Roman"/>
                <w:sz w:val="18"/>
                <w:szCs w:val="18"/>
                <w:color w:val="auto"/>
              </w:rPr>
              <w:t>22</w:t>
            </w:r>
          </w:p>
        </w:tc>
      </w:tr>
    </w:tbl>
    <w:p>
      <w:pPr>
        <w:sectPr>
          <w:pgSz w:w="11900" w:h="16838" w:orient="portrait"/>
          <w:cols w:equalWidth="0" w:num="1">
            <w:col w:w="11240"/>
          </w:cols>
          <w:pgMar w:left="320" w:top="90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EXHIBIT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hereby (a) acknowledges this Conversion Notice, (b) certifies that the above indicated number of shares of Common Stock [are][are not] eligible to be resold by the Holder either (i) pursuant to Rule 144 (subject to the Holder’s execution and delivery to the Company of a customary 144 representation letter) or (ii) an effective and available registration statement and (c) hereby directs to issue the above indicated number of shares of Common Stock in accordance with the Transfer Agent Instructions dated           , 20__ from the Company and acknowledged and agreed to by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8890</wp:posOffset>
            </wp:positionV>
            <wp:extent cx="33515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FIRST AMENDMENT TO COOPERATION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THIS FIRST AMENDMENT TO COOPERATION AGREEMENT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is made as of this 19th day of July, 2024 (the “</w:t>
      </w:r>
      <w:r>
        <w:rPr>
          <w:rFonts w:ascii="Times New Roman" w:cs="Times New Roman" w:eastAsia="Times New Roman" w:hAnsi="Times New Roman"/>
          <w:sz w:val="18"/>
          <w:szCs w:val="18"/>
          <w:b w:val="1"/>
          <w:bCs w:val="1"/>
          <w:i w:val="1"/>
          <w:iCs w:val="1"/>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by and among Presto Automation LLC (f/k/a E La Carte, LLC, f/k/a Ventoux Merger Sub II LLC), a Delaware limited liability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Presto Automation Inc. (f/k/a Ventoux CCM Acquisition Corp.), a Delaware corporation (the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xml:space="preserve">”), Metropolitan Partners Group Administration, LLC, a Delaware limited liability company, in its capacity as </w:t>
      </w:r>
      <w:r>
        <w:rPr>
          <w:rFonts w:ascii="Times New Roman" w:cs="Times New Roman" w:eastAsia="Times New Roman" w:hAnsi="Times New Roman"/>
          <w:sz w:val="18"/>
          <w:szCs w:val="18"/>
          <w:color w:val="231F1F"/>
        </w:rPr>
        <w:t>administrative, payment and collateral agent (in such capacity, the “</w:t>
      </w:r>
      <w:r>
        <w:rPr>
          <w:rFonts w:ascii="Times New Roman" w:cs="Times New Roman" w:eastAsia="Times New Roman" w:hAnsi="Times New Roman"/>
          <w:sz w:val="18"/>
          <w:szCs w:val="18"/>
          <w:b w:val="1"/>
          <w:bCs w:val="1"/>
          <w:i w:val="1"/>
          <w:iCs w:val="1"/>
          <w:color w:val="231F1F"/>
        </w:rPr>
        <w:t>Agent</w:t>
      </w:r>
      <w:r>
        <w:rPr>
          <w:rFonts w:ascii="Times New Roman" w:cs="Times New Roman" w:eastAsia="Times New Roman" w:hAnsi="Times New Roman"/>
          <w:sz w:val="18"/>
          <w:szCs w:val="18"/>
          <w:color w:val="231F1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1F"/>
        </w:rPr>
        <w:t>under the Credit Agreement (as defined below), and the Lenders (as defined below) signatory hereto, and the Significant Stakeholders identified on the signature pages hereto (collectively, the “</w:t>
      </w:r>
      <w:r>
        <w:rPr>
          <w:rFonts w:ascii="Times New Roman" w:cs="Times New Roman" w:eastAsia="Times New Roman" w:hAnsi="Times New Roman"/>
          <w:sz w:val="18"/>
          <w:szCs w:val="18"/>
          <w:b w:val="1"/>
          <w:bCs w:val="1"/>
          <w:i w:val="1"/>
          <w:iCs w:val="1"/>
          <w:color w:val="231F1F"/>
        </w:rPr>
        <w:t>Significant Stakeholders</w:t>
      </w:r>
      <w:r>
        <w:rPr>
          <w:rFonts w:ascii="Times New Roman" w:cs="Times New Roman" w:eastAsia="Times New Roman" w:hAnsi="Times New Roman"/>
          <w:sz w:val="18"/>
          <w:szCs w:val="18"/>
          <w:color w:val="231F1F"/>
        </w:rPr>
        <w:t>,” and each individually, a “</w:t>
      </w:r>
      <w:r>
        <w:rPr>
          <w:rFonts w:ascii="Times New Roman" w:cs="Times New Roman" w:eastAsia="Times New Roman" w:hAnsi="Times New Roman"/>
          <w:sz w:val="18"/>
          <w:szCs w:val="18"/>
          <w:b w:val="1"/>
          <w:bCs w:val="1"/>
          <w:i w:val="1"/>
          <w:iCs w:val="1"/>
          <w:color w:val="231F1F"/>
        </w:rPr>
        <w:t>Significant Stakeholder</w:t>
      </w:r>
      <w:r>
        <w:rPr>
          <w:rFonts w:ascii="Times New Roman" w:cs="Times New Roman" w:eastAsia="Times New Roman" w:hAnsi="Times New Roman"/>
          <w:sz w:val="18"/>
          <w:szCs w:val="18"/>
          <w:color w:val="231F1F"/>
        </w:rPr>
        <w:t>”)</w:t>
      </w:r>
      <w:r>
        <w:rPr>
          <w:rFonts w:ascii="Times New Roman" w:cs="Times New Roman" w:eastAsia="Times New Roman" w:hAnsi="Times New Roman"/>
          <w:sz w:val="18"/>
          <w:szCs w:val="18"/>
          <w:color w:val="000000"/>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Borrower, Parent and the Significant Stakeholders are parties to that certain Cooperation Agreement, dated as of May 16, 2024 (as amended, modified, extended, restated, replaced or supplemented from time to time, the “</w:t>
      </w:r>
      <w:r>
        <w:rPr>
          <w:rFonts w:ascii="Times New Roman" w:cs="Times New Roman" w:eastAsia="Times New Roman" w:hAnsi="Times New Roman"/>
          <w:sz w:val="18"/>
          <w:szCs w:val="18"/>
          <w:b w:val="1"/>
          <w:bCs w:val="1"/>
          <w:i w:val="1"/>
          <w:iCs w:val="1"/>
          <w:color w:val="auto"/>
        </w:rPr>
        <w:t>Cooperation Agreement</w:t>
      </w:r>
      <w:r>
        <w:rPr>
          <w:rFonts w:ascii="Times New Roman" w:cs="Times New Roman" w:eastAsia="Times New Roman" w:hAnsi="Times New Roman"/>
          <w:sz w:val="18"/>
          <w:szCs w:val="18"/>
          <w:color w:val="auto"/>
        </w:rPr>
        <w:t>”) by and among Borrower, Parent, the Significant Stakeholders, Agent and the Lenders.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            The Loan Parties have requested that Agent and Lenders agree to amend certain provisions of the Cooperation Agreement, and Agent has agreed to do so on the terms and conditions set forth herein.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Parent, Agent and Agent’s affiliates are parties to that certain letter agreement, dated as of January 16, 2024 (the “</w:t>
      </w:r>
      <w:r>
        <w:rPr>
          <w:rFonts w:ascii="Times New Roman" w:cs="Times New Roman" w:eastAsia="Times New Roman" w:hAnsi="Times New Roman"/>
          <w:sz w:val="17"/>
          <w:szCs w:val="17"/>
          <w:b w:val="1"/>
          <w:bCs w:val="1"/>
          <w:i w:val="1"/>
          <w:iCs w:val="1"/>
          <w:color w:val="auto"/>
        </w:rPr>
        <w:t>Side Letter Agreement</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condition to Agent’s and Lenders’ willingness to enter into this Amendment, the Side Letter Agreement shall be terminated as set forth herein.</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D.            In consideration of the terms, conditions and covenants set forth below, and other good and valuable consideration, </w:t>
      </w:r>
      <w:r>
        <w:rPr>
          <w:rFonts w:ascii="Times New Roman" w:cs="Times New Roman" w:eastAsia="Times New Roman" w:hAnsi="Times New Roman"/>
          <w:sz w:val="18"/>
          <w:szCs w:val="18"/>
          <w:color w:val="231F1F"/>
        </w:rPr>
        <w:t>the receipt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1F"/>
        </w:rPr>
        <w:t>sufficiency of which are hereby acknowledged, the parties, intending to be legally bound hereby, promise and agree as follows</w:t>
      </w:r>
      <w:r>
        <w:rPr>
          <w:rFonts w:ascii="Times New Roman" w:cs="Times New Roman" w:eastAsia="Times New Roman" w:hAnsi="Times New Roman"/>
          <w:sz w:val="18"/>
          <w:szCs w:val="18"/>
          <w:color w:val="000000"/>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b w:val="1"/>
          <w:bCs w:val="1"/>
          <w:color w:val="auto"/>
        </w:rPr>
        <w:t>Interpretation.</w:t>
      </w:r>
      <w:r>
        <w:rPr>
          <w:rFonts w:ascii="Times New Roman" w:cs="Times New Roman" w:eastAsia="Times New Roman" w:hAnsi="Times New Roman"/>
          <w:sz w:val="18"/>
          <w:szCs w:val="18"/>
          <w:color w:val="auto"/>
        </w:rPr>
        <w:t xml:space="preserve"> All capitalized terms used herein (including the recitals hereto) will have the respective meanings ascribed thereto in the Cooperation Agreement and other Loan Documents unless otherwise defined herein. The foregoing recitals, together with all exhibits attached hereto, are incorporated by this reference and made a part of this Amendment. Unless otherwise provided herein, all section and exhibit references herein are to the corresponding sections and exhibits of this Amendment.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b w:val="1"/>
          <w:bCs w:val="1"/>
          <w:color w:val="auto"/>
        </w:rPr>
        <w:t>Milestones; Additional Agreements.</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(i)            The Loan Parties have informed the Agent that they intend to obtain working capital (the “</w:t>
      </w:r>
      <w:r>
        <w:rPr>
          <w:rFonts w:ascii="Times New Roman" w:cs="Times New Roman" w:eastAsia="Times New Roman" w:hAnsi="Times New Roman"/>
          <w:sz w:val="18"/>
          <w:szCs w:val="18"/>
          <w:b w:val="1"/>
          <w:bCs w:val="1"/>
          <w:i w:val="1"/>
          <w:iCs w:val="1"/>
          <w:color w:val="auto"/>
        </w:rPr>
        <w:t>Capital Raise</w:t>
      </w:r>
      <w:r>
        <w:rPr>
          <w:rFonts w:ascii="Times New Roman" w:cs="Times New Roman" w:eastAsia="Times New Roman" w:hAnsi="Times New Roman"/>
          <w:sz w:val="18"/>
          <w:szCs w:val="18"/>
          <w:color w:val="auto"/>
        </w:rPr>
        <w:t>”) through one or more offerings, which shall be in the form of equity or Parent Subordinated Indebtedness.</w:t>
      </w:r>
    </w:p>
    <w:p>
      <w:pPr>
        <w:spacing w:after="0" w:line="15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(ii)            Each Significant Stakeholder that holds a consent right with respect to the incurrence of any equity financing by Parent pursuant to Section 2.1(a) of that certain Stockholders Agreement, dated as of November 15, 2023, by and among Parent, Presto CA LLC and the REMUS Stockholder (as defined therein) (such provision, the “</w:t>
      </w:r>
      <w:r>
        <w:rPr>
          <w:rFonts w:ascii="Times New Roman" w:cs="Times New Roman" w:eastAsia="Times New Roman" w:hAnsi="Times New Roman"/>
          <w:sz w:val="18"/>
          <w:szCs w:val="18"/>
          <w:b w:val="1"/>
          <w:bCs w:val="1"/>
          <w:i w:val="1"/>
          <w:iCs w:val="1"/>
          <w:color w:val="auto"/>
        </w:rPr>
        <w:t>Consent Right</w:t>
      </w:r>
      <w:r>
        <w:rPr>
          <w:rFonts w:ascii="Times New Roman" w:cs="Times New Roman" w:eastAsia="Times New Roman" w:hAnsi="Times New Roman"/>
          <w:sz w:val="18"/>
          <w:szCs w:val="18"/>
          <w:color w:val="auto"/>
        </w:rPr>
        <w:t>”), hereby agrees to waive and forbear from exercising such Consent Right for a period commencing on the Effective Date and ending on September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2" w:name="page33"/>
    <w:bookmarkEnd w:id="32"/>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b w:val="1"/>
          <w:bCs w:val="1"/>
          <w:color w:val="auto"/>
        </w:rPr>
        <w:t>Monitoring Fees.</w:t>
      </w:r>
      <w:r>
        <w:rPr>
          <w:rFonts w:ascii="Times New Roman" w:cs="Times New Roman" w:eastAsia="Times New Roman" w:hAnsi="Times New Roman"/>
          <w:sz w:val="18"/>
          <w:szCs w:val="18"/>
          <w:color w:val="auto"/>
        </w:rPr>
        <w:t xml:space="preserve"> During the Cooperation Period, payment of Monitoring Fees shall be deferred (the “</w:t>
      </w:r>
      <w:r>
        <w:rPr>
          <w:rFonts w:ascii="Times New Roman" w:cs="Times New Roman" w:eastAsia="Times New Roman" w:hAnsi="Times New Roman"/>
          <w:sz w:val="18"/>
          <w:szCs w:val="18"/>
          <w:b w:val="1"/>
          <w:bCs w:val="1"/>
          <w:i w:val="1"/>
          <w:iCs w:val="1"/>
          <w:color w:val="auto"/>
        </w:rPr>
        <w:t>Deferred Monitoring Fees</w:t>
      </w:r>
      <w:r>
        <w:rPr>
          <w:rFonts w:ascii="Times New Roman" w:cs="Times New Roman" w:eastAsia="Times New Roman" w:hAnsi="Times New Roman"/>
          <w:sz w:val="18"/>
          <w:szCs w:val="18"/>
          <w:color w:val="auto"/>
        </w:rPr>
        <w:t>”). Upon the Termination Date, the Deferred Monitoring Fees shall be immediately due and payable.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b w:val="1"/>
          <w:bCs w:val="1"/>
          <w:color w:val="auto"/>
        </w:rPr>
        <w:t>Termination of Side Letter Agreement.</w:t>
      </w:r>
      <w:r>
        <w:rPr>
          <w:rFonts w:ascii="Times New Roman" w:cs="Times New Roman" w:eastAsia="Times New Roman" w:hAnsi="Times New Roman"/>
          <w:sz w:val="18"/>
          <w:szCs w:val="18"/>
          <w:color w:val="auto"/>
        </w:rPr>
        <w:t xml:space="preserve"> The Side Letter Agreement is hereby terminated and cancelled in its entirety and shall have no further force or effect.</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b w:val="1"/>
          <w:bCs w:val="1"/>
          <w:color w:val="auto"/>
        </w:rPr>
        <w:t>Acknowledgment of Obligations.</w:t>
      </w:r>
      <w:r>
        <w:rPr>
          <w:rFonts w:ascii="Times New Roman" w:cs="Times New Roman" w:eastAsia="Times New Roman" w:hAnsi="Times New Roman"/>
          <w:sz w:val="18"/>
          <w:szCs w:val="18"/>
          <w:color w:val="auto"/>
        </w:rPr>
        <w:t xml:space="preserve"> Each Loan Party signatory hereto hereby acknowledges, confirms and agrees that, as of July 8, 2024, the Loan Parties are indebted to the Lenders in the principal amount of $54,195,835.47, plus accrued and unpaid interest in the amount of $96,348.15, plus fees, costs, expenses and other charges under the Credit Agreement and other Loan Documents, including, but not limited to, Monitoring Fees in the amount of $300,000 (collectively, the “</w:t>
      </w:r>
      <w:r>
        <w:rPr>
          <w:rFonts w:ascii="Times New Roman" w:cs="Times New Roman" w:eastAsia="Times New Roman" w:hAnsi="Times New Roman"/>
          <w:sz w:val="18"/>
          <w:szCs w:val="18"/>
          <w:b w:val="1"/>
          <w:bCs w:val="1"/>
          <w:i w:val="1"/>
          <w:iCs w:val="1"/>
          <w:color w:val="auto"/>
        </w:rPr>
        <w:t>Outstanding Balance</w:t>
      </w:r>
      <w:r>
        <w:rPr>
          <w:rFonts w:ascii="Times New Roman" w:cs="Times New Roman" w:eastAsia="Times New Roman" w:hAnsi="Times New Roman"/>
          <w:sz w:val="18"/>
          <w:szCs w:val="18"/>
          <w:color w:val="auto"/>
        </w:rPr>
        <w:t>”). The Outstanding Balance, together with interest accruing thereon, and all fees, costs, expenses, and other charges now or hereafter payable by the Loan Parties to Lenders pursuant to the Loan Documents and hereunder, is unconditionally owing by the Loan Parties to the Lenders, without offset, defense, or counterclaim of any kind, nature, or description whatsoever.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b w:val="1"/>
          <w:bCs w:val="1"/>
          <w:color w:val="auto"/>
        </w:rPr>
        <w:t>Amendments to Cooperation Agreement.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          </w:t>
      </w:r>
      <w:r>
        <w:rPr>
          <w:rFonts w:ascii="Times New Roman" w:cs="Times New Roman" w:eastAsia="Times New Roman" w:hAnsi="Times New Roman"/>
          <w:sz w:val="17"/>
          <w:szCs w:val="17"/>
          <w:u w:val="single" w:color="auto"/>
          <w:color w:val="auto"/>
        </w:rPr>
        <w:t>  Amendment to Section 8(iii)</w:t>
      </w:r>
      <w:r>
        <w:rPr>
          <w:rFonts w:ascii="Times New Roman" w:cs="Times New Roman" w:eastAsia="Times New Roman" w:hAnsi="Times New Roman"/>
          <w:sz w:val="17"/>
          <w:szCs w:val="17"/>
          <w:color w:val="auto"/>
        </w:rPr>
        <w:t>. Section 8(iii) of the Cooperation Agreement is hereby amended and restated in its entirety as follows:</w:t>
      </w:r>
    </w:p>
    <w:p>
      <w:pPr>
        <w:spacing w:after="0" w:line="233"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As used herein, 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xml:space="preserve">” means the date that is the earliest of: (a) July 22, 2024,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date shall automatically be extended to August 1, 2024 if, on or before July 22, 2024, a Capital Raise (which shall only be accomplished through a private placement) generates Net Cash Proceeds equal to or greater than $1,500,000,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such date shall be automatically extended to August 15, 2024 if, on or before August 1, 2024, a Capital Raise generates additional Net Cash Proceeds equal to or greater than $2,000,000 (for a total of $3,500,000),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such date shall be automatically extended to August 29, 2024 if, on or before August 15, 2024, a Capital Raise generates additional Net Cash Proceeds equal to or greater than $2,000,000 (for a total of $5,500,000),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such date shall be automatically extended to September 15, 2024 if, on or before August 29, 2024, a Capital Raise generates additional Net Cash Proceeds equal to or greater than $2,000,000 (for a total of $7,500,000); (b) the date on which any Loan Party commences, or threatens in writing to commence, any litigation against the Agent or any Lender; (c) the date on which any Loan Party takes any action inconsistent with the Agent’s or any Lender’s interests in the Collateral; (d) the commencement of any Insolvency Proceeding by or against any Loan Party; (e) any amendment to the Loan Parties’ Operating Documents, or any Loan Party’s entry into any stockholders agreement or other Operating Document, which in any way amends or alters (other than such amendments or agreements as are required in order to give effect to the provisions of this Agreement and which shall be reasonably acceptable to the Agent) (A) the composition of the Loan Parties’ Governing Bodies, including providing any stockholder or other Person with any right to designate a director (except as may approved in writing by Agent in its sole discretion), (B) the relative voting rights of members of such Governing Bodies or stockholders, or (C) the terms of the Loan Parties’ governance, (f) Paul Hastings LLP ceases, for any reason, to act as corporate counsel to the Loan Parties, (g) [reserved], or (h) the occurrence or existence of any Default or Event of Default hereunder or under any Loan Document, or any event or circumstance which, with notice or the passage of time, shall become an Event of Default (an “</w:t>
      </w:r>
      <w:r>
        <w:rPr>
          <w:rFonts w:ascii="Times New Roman" w:cs="Times New Roman" w:eastAsia="Times New Roman" w:hAnsi="Times New Roman"/>
          <w:sz w:val="18"/>
          <w:szCs w:val="18"/>
          <w:b w:val="1"/>
          <w:bCs w:val="1"/>
          <w:i w:val="1"/>
          <w:iCs w:val="1"/>
          <w:color w:val="auto"/>
        </w:rPr>
        <w:t>Unmatured Default</w:t>
      </w:r>
      <w:r>
        <w:rPr>
          <w:rFonts w:ascii="Times New Roman" w:cs="Times New Roman" w:eastAsia="Times New Roman" w:hAnsi="Times New Roman"/>
          <w:sz w:val="18"/>
          <w:szCs w:val="18"/>
          <w:color w:val="auto"/>
        </w:rPr>
        <w:t>”), other than the Existing Defaults. For purposes of clarity, failure of the Loan Parties to satisfy any of the covenants herein will constitute an immediate Event of Default for purposes of determining the Termination Date. An “</w:t>
      </w:r>
      <w:r>
        <w:rPr>
          <w:rFonts w:ascii="Times New Roman" w:cs="Times New Roman" w:eastAsia="Times New Roman" w:hAnsi="Times New Roman"/>
          <w:sz w:val="18"/>
          <w:szCs w:val="18"/>
          <w:b w:val="1"/>
          <w:bCs w:val="1"/>
          <w:i w:val="1"/>
          <w:iCs w:val="1"/>
          <w:color w:val="auto"/>
        </w:rPr>
        <w:t>Insolvency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means any case or proceeding commenced by or against a Person under any Debtor Relief Law, or any agreement of such Person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respect to relief available under any Debtor Relief Law.</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ind w:left="64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Amendment to Section 11</w:t>
      </w:r>
      <w:r>
        <w:rPr>
          <w:rFonts w:ascii="Times New Roman" w:cs="Times New Roman" w:eastAsia="Times New Roman" w:hAnsi="Times New Roman"/>
          <w:sz w:val="18"/>
          <w:szCs w:val="18"/>
          <w:color w:val="auto"/>
        </w:rPr>
        <w:t>. Section 11 of the Cooperation Agreement is hereby amended and restated in its entirety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Agreement to Cooperate. </w:t>
      </w:r>
      <w:r>
        <w:rPr>
          <w:rFonts w:ascii="Times New Roman" w:cs="Times New Roman" w:eastAsia="Times New Roman" w:hAnsi="Times New Roman"/>
          <w:sz w:val="18"/>
          <w:szCs w:val="18"/>
          <w:color w:val="auto"/>
        </w:rPr>
        <w:t>At all times from and after the date hereof:</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            The Loan Parties shall fully cooperate with, and shall not impede, contest or otherwise interfere with the Agent, the Lenders and the Lender Professionals (as defined herein) in the exercise of Agent’s and Lenders’ rights and remedies under the Loan Documents, at law or in equity, including, but not limited to, an accelerated sale of the Collateral by the Lender Professionals, a foreclosure or sale process under Article 9 of the Uniform Commercial Code, a sale under section 363 of the Bankruptcy Code (as defined herein), the appointment of a receiver, trustee or other custodian over all or any portion of the Loan Parties’ assets (any of the foregoing, a “</w:t>
      </w:r>
      <w:r>
        <w:rPr>
          <w:rFonts w:ascii="Times New Roman" w:cs="Times New Roman" w:eastAsia="Times New Roman" w:hAnsi="Times New Roman"/>
          <w:sz w:val="18"/>
          <w:szCs w:val="18"/>
          <w:b w:val="1"/>
          <w:bCs w:val="1"/>
          <w:i w:val="1"/>
          <w:iCs w:val="1"/>
          <w:color w:val="auto"/>
        </w:rPr>
        <w:t>Sale Process</w:t>
      </w:r>
      <w:r>
        <w:rPr>
          <w:rFonts w:ascii="Times New Roman" w:cs="Times New Roman" w:eastAsia="Times New Roman" w:hAnsi="Times New Roman"/>
          <w:sz w:val="18"/>
          <w:szCs w:val="18"/>
          <w:color w:val="auto"/>
        </w:rPr>
        <w:t>”), or to sell and assign the Assigned Interest or engage in discussions or negotiations with any other Person with respect to such a sale and assignment of the Assigned Interest (a “</w:t>
      </w:r>
      <w:r>
        <w:rPr>
          <w:rFonts w:ascii="Times New Roman" w:cs="Times New Roman" w:eastAsia="Times New Roman" w:hAnsi="Times New Roman"/>
          <w:sz w:val="18"/>
          <w:szCs w:val="18"/>
          <w:b w:val="1"/>
          <w:bCs w:val="1"/>
          <w:i w:val="1"/>
          <w:iCs w:val="1"/>
          <w:color w:val="auto"/>
        </w:rPr>
        <w:t>Loan Sale</w:t>
      </w:r>
      <w:r>
        <w:rPr>
          <w:rFonts w:ascii="Times New Roman" w:cs="Times New Roman" w:eastAsia="Times New Roman" w:hAnsi="Times New Roman"/>
          <w:sz w:val="18"/>
          <w:szCs w:val="18"/>
          <w:color w:val="auto"/>
        </w:rPr>
        <w:t>”), and the retention of professionals, including, but not limited to, investment bankers (such professionals, collectively, the “</w:t>
      </w:r>
      <w:r>
        <w:rPr>
          <w:rFonts w:ascii="Times New Roman" w:cs="Times New Roman" w:eastAsia="Times New Roman" w:hAnsi="Times New Roman"/>
          <w:sz w:val="18"/>
          <w:szCs w:val="18"/>
          <w:b w:val="1"/>
          <w:bCs w:val="1"/>
          <w:i w:val="1"/>
          <w:iCs w:val="1"/>
          <w:color w:val="auto"/>
        </w:rPr>
        <w:t>Lender Professionals</w:t>
      </w:r>
      <w:r>
        <w:rPr>
          <w:rFonts w:ascii="Times New Roman" w:cs="Times New Roman" w:eastAsia="Times New Roman" w:hAnsi="Times New Roman"/>
          <w:sz w:val="18"/>
          <w:szCs w:val="18"/>
          <w:color w:val="auto"/>
        </w:rPr>
        <w:t>”) to assist with any such Sale Process or Loan Sale; provided, however, that the Lenders will not (A) commence any Insolvency Proceeding, (B) seek the appointment of a receiver, trustee or custodian or (C) consummate a transaction resulting from the Sale Process during the Cooperation Period (although this shall not in any way limit, prohibit or otherwise restrict the consummation of a Loan Sale during the Cooperation Period). The Loan Parties expressly acknowledge and agree not to contest Agent’s and the Lenders’ right and ability to credit bid in connection with any of the foregoing transactions, and expressly waive any defenses, rights, actions or other claims in connection therewith.</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(ii)            The Lender Professionals shall be tasked with facilitating, to the greatest extent permissible by law, any Sale Process or Loan Sale discussed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including, but not limited to, marketing the Loan Parties’ businesses and assets, and engaging with any third parties in the Agent’s and the Lender Professionals’ sole discretion with respect to the Sale Process or a Loan Sale. In the event of a Sale Process under section 363 of the Bankruptcy Code, the Lender Professionals shall provide the requisite information, declarations and testimony necessary for such process to be approved and completed.</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(iii)            The Loan Parties shall (i) provide access to their properties and systems (including remote access as may be requested) to the Lender Professionals as frequently as any Lender Professional reasonably determines to be appropriate in order to perform the agreed scope of work under any applicable engagement agreement or otherwise in connection with any Sale Process or Loan Sale and Agent’s and Lenders’ exercise of remedies; (ii) make the Loan Parties’ directors, officers, employees and advisors available for meetings and discussions with Agent, Lenders, the Lender Professionals and/or potential investors or purchasers at such times as shall be reasonably requested; (iii) permit the Lender Professionals to conduct monitoring and evaluations of the Loan Parties’ finances, financial condition, business and operations in order to perform the agreed scope of work; (iv) furnish information when reasonably requested and permit the Lender Professionals to inspect and obtain copies (including electronic data), as available, from the Loan Parties’ books and records; (v) provide all information necessary or requested to populate a data room or otherwise facilitate due diligence by potential investors and/or purchasers; and (vi) provide timely updates to Agent, the Lenders, and the Lender Professionals on any changes in the business or expected financial performance that could reasonably be expected to have a material effect on the affairs of the Loan Parties. Notwithstanding the foregoing, (1) provision to third-parties of information about the Company which is not publicly available by the Agent, the Lenders or the Lender Professionals shall be undertaken pursuant to a confidentiality agreement in form and substance reasonably acceptable to the Company (the Company agrees that the form of confidentiality agreement attached to the Side Letter Agreement is reasonably acceptable), and (2) the Lender Professionals shall take reasonable efforts to inform counterparties that they have been engaged by the Agent and the Lenders, and not by the Company.</w:t>
      </w:r>
    </w:p>
    <w:p>
      <w:pPr>
        <w:spacing w:after="0" w:line="200" w:lineRule="exact"/>
        <w:rPr>
          <w:sz w:val="20"/>
          <w:szCs w:val="20"/>
          <w:color w:val="auto"/>
        </w:rPr>
      </w:pPr>
    </w:p>
    <w:p>
      <w:pPr>
        <w:spacing w:after="0" w:line="21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4" w:name="page35"/>
    <w:bookmarkEnd w:id="34"/>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i w:val="1"/>
          <w:iCs w:val="1"/>
          <w:color w:val="auto"/>
        </w:rPr>
        <w:t>Budget.</w:t>
      </w:r>
      <w:r>
        <w:rPr>
          <w:rFonts w:ascii="Times New Roman" w:cs="Times New Roman" w:eastAsia="Times New Roman" w:hAnsi="Times New Roman"/>
          <w:sz w:val="18"/>
          <w:szCs w:val="18"/>
          <w:color w:val="auto"/>
        </w:rPr>
        <w:t xml:space="preserve"> The Loan Parties (A) agree that the Lender Professionals will (to the extent requested by the Agent in its sole discretion) develop a budget for the Loan Parties to facilitate the Sale Process, which will be subject to Agent’s approval in form and substance, in the Agent’s sole discretion (the “</w:t>
      </w:r>
      <w:r>
        <w:rPr>
          <w:rFonts w:ascii="Times New Roman" w:cs="Times New Roman" w:eastAsia="Times New Roman" w:hAnsi="Times New Roman"/>
          <w:sz w:val="18"/>
          <w:szCs w:val="18"/>
          <w:b w:val="1"/>
          <w:bCs w:val="1"/>
          <w:i w:val="1"/>
          <w:iCs w:val="1"/>
          <w:color w:val="auto"/>
        </w:rPr>
        <w:t>Budget</w:t>
      </w:r>
      <w:r>
        <w:rPr>
          <w:rFonts w:ascii="Times New Roman" w:cs="Times New Roman" w:eastAsia="Times New Roman" w:hAnsi="Times New Roman"/>
          <w:sz w:val="18"/>
          <w:szCs w:val="18"/>
          <w:color w:val="auto"/>
        </w:rPr>
        <w:t>”), (B) shall implement and operate strictly within the Budget at all times, and (C) agree that any deviations or modifications to the Budget must be approved by the Agent in advance, in writing, in its sole discretion.</w:t>
      </w:r>
    </w:p>
    <w:p>
      <w:pPr>
        <w:spacing w:after="0" w:line="180"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i w:val="1"/>
          <w:iCs w:val="1"/>
          <w:color w:val="auto"/>
        </w:rPr>
        <w:t>Sale Process Plan</w:t>
      </w:r>
      <w:r>
        <w:rPr>
          <w:rFonts w:ascii="Times New Roman" w:cs="Times New Roman" w:eastAsia="Times New Roman" w:hAnsi="Times New Roman"/>
          <w:sz w:val="18"/>
          <w:szCs w:val="18"/>
          <w:color w:val="auto"/>
        </w:rPr>
        <w:t>. The Loan Parties shall implement and operate strictly within the plan developed by the Lender Professionals and approved by the Agent in its sole discretion in connection with the Sale Process, and shall do so strictly in accordance with the Budget (though nothing shall obligate the Agent or any Lender Professional to develop or approve any such plan). Such plan may include, among other things, the hiring of such personnel or managers identified by the Lender Professionals, the use of commercially reasonable efforts to liquidate the Collateral, and winding down operations.</w:t>
      </w:r>
    </w:p>
    <w:p>
      <w:pPr>
        <w:spacing w:after="0" w:line="18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u w:val="single" w:color="auto"/>
          <w:color w:val="auto"/>
        </w:rPr>
        <w:t>  Amendment to Schedule A</w:t>
      </w:r>
      <w:r>
        <w:rPr>
          <w:rFonts w:ascii="Times New Roman" w:cs="Times New Roman" w:eastAsia="Times New Roman" w:hAnsi="Times New Roman"/>
          <w:sz w:val="18"/>
          <w:szCs w:val="18"/>
          <w:color w:val="auto"/>
        </w:rPr>
        <w:t>. The definition of “Existing Defaults” under the Cooperation Agreement, as set forth on Schedule A to the Cooperation Agreement, is hereby amended and restated in its entirety as set forth on the Amended and Restated Schedule A attached hereto.</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b w:val="1"/>
          <w:bCs w:val="1"/>
          <w:color w:val="auto"/>
        </w:rPr>
        <w:t>Subordinated Indebtedness.</w:t>
      </w:r>
      <w:r>
        <w:rPr>
          <w:rFonts w:ascii="Times New Roman" w:cs="Times New Roman" w:eastAsia="Times New Roman" w:hAnsi="Times New Roman"/>
          <w:sz w:val="18"/>
          <w:szCs w:val="18"/>
          <w:color w:val="auto"/>
        </w:rPr>
        <w:t xml:space="preserve"> Agent and Lenders consent to the issuance of the note,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in the amount of $1.675 million, which note is and shall be Subordinated Indebtedness and Parent Subordinated Indebtedness for all purposes under the Loan Documents; provided, that the consent provided for herein shall continue only for so long as such new note remains Parent Subordinated Indebtedness.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b w:val="1"/>
          <w:bCs w:val="1"/>
          <w:color w:val="auto"/>
        </w:rPr>
        <w:t>Representations of Loan Parties and Significant Stakeholders.</w:t>
      </w:r>
      <w:r>
        <w:rPr>
          <w:rFonts w:ascii="Times New Roman" w:cs="Times New Roman" w:eastAsia="Times New Roman" w:hAnsi="Times New Roman"/>
          <w:sz w:val="18"/>
          <w:szCs w:val="18"/>
          <w:color w:val="auto"/>
        </w:rPr>
        <w:t xml:space="preserve"> Each Loan Party and Significant Stakeholder represents and warrants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and the Lenders as follows:</w:t>
      </w:r>
    </w:p>
    <w:p>
      <w:pPr>
        <w:spacing w:after="0" w:line="20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Binding Effect of Documents</w:t>
      </w:r>
      <w:r>
        <w:rPr>
          <w:rFonts w:ascii="Times New Roman" w:cs="Times New Roman" w:eastAsia="Times New Roman" w:hAnsi="Times New Roman"/>
          <w:sz w:val="18"/>
          <w:szCs w:val="18"/>
          <w:color w:val="auto"/>
        </w:rPr>
        <w:t>. This Amendment has been duly authorized, executed, and delivered to Agent and the Lenders by such Loan Party or Significant Stakeholder, as applicable, and is enforceable with respect to such party in accordance with its terms and is in full force and effect.</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No Conflict</w:t>
      </w:r>
      <w:r>
        <w:rPr>
          <w:rFonts w:ascii="Times New Roman" w:cs="Times New Roman" w:eastAsia="Times New Roman" w:hAnsi="Times New Roman"/>
          <w:sz w:val="18"/>
          <w:szCs w:val="18"/>
          <w:color w:val="auto"/>
        </w:rPr>
        <w:t>. The execution, delivery and performance of this Amendment by such Loan Party or Significant Stakeholder will not violate any requirement of Law or contractual obligation of such Loan Party or Significant Stakeholder and will not result in, or require, the creation or imposition of any lien on any of its properties or revenues.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b w:val="1"/>
          <w:bCs w:val="1"/>
          <w:color w:val="auto"/>
        </w:rPr>
        <w:t>Other Waivers; Reservation of Rights.</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            Agent and Lenders have not waived, nor do they have any intention of waiving, any Events of Default or Unmatured Defaults which may be continuing on the Effective Date or any Events of Default which may occur after the Effective Date (whether the same or similar to the Existing Defaults or otherwise), and Agent and Lenders have not agreed to forbear with respect to any of its rights or remedies concerning any other Events of Default or Unmatured Defaults (other than, during the Cooperation Period, the Existing Defaults to the extent expressly set forth in the Cooperation Agreement), occurring at any time.</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(ii)            Agent and Lenders reserve the right, in their discretion, to exercise any or all of their respective rights and remedies under the Loan Documents as a result of any other Events of Default or Unmatured Defaults occurring at any time. Agent and Lenders have not waived any of such rights or remedies, and nothing in this Amendment, and no delay on Agent’s or any Lender’s part in exercising any such rights or remedies, should be construed as a waiver of any such rights or remedies.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5" w:name="page36"/>
    <w:bookmarkEnd w:id="35"/>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(iii)            In consideration of the agreements of Agent and Lenders contained herein, and for other good and valuable consideration, the receipt and sufficiency of which are hereby acknowledged, each Significant Stakeholder hereby agrees to waive, release and abstain from exercising any and all veto rights held by such Significant Stakeholder under the governing organizational documents of any Loan Party with respect to any transaction covered thereby or relevant thereto, including, but not limited to, a Capital Raise, a Sale Process or a sale and assignment of the Assigned Interest.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b w:val="1"/>
          <w:bCs w:val="1"/>
          <w:color w:val="auto"/>
        </w:rPr>
        <w:t>Conditions Precedent to Effectiveness of Agreement.</w:t>
      </w:r>
      <w:r>
        <w:rPr>
          <w:rFonts w:ascii="Times New Roman" w:cs="Times New Roman" w:eastAsia="Times New Roman" w:hAnsi="Times New Roman"/>
          <w:sz w:val="18"/>
          <w:szCs w:val="18"/>
          <w:color w:val="auto"/>
        </w:rPr>
        <w:t xml:space="preserve"> The effectiveness of this Amendment shall be subject to the following conditions precedent:</w:t>
      </w:r>
    </w:p>
    <w:p>
      <w:pPr>
        <w:spacing w:after="0" w:line="15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            Agent’s and each Lender’s receipt of this Amendment, duly authorized, executed, and delivered by each Loan Party and each Significant Stakeholder, together with such other documents, agreements and instruments as Agent or any Lender may require or reasonably request;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All certifications, representations and warranties set forth in this Amendment shall be true and correct.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Payments.</w:t>
      </w:r>
      <w:r>
        <w:rPr>
          <w:rFonts w:ascii="Times New Roman" w:cs="Times New Roman" w:eastAsia="Times New Roman" w:hAnsi="Times New Roman"/>
          <w:sz w:val="18"/>
          <w:szCs w:val="18"/>
          <w:color w:val="auto"/>
        </w:rPr>
        <w:t xml:space="preserve"> The Loan Parties covenant and agree as follows:</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            On or before August 9, 2024, the Loan Parties shall pay in cash all documented fees, expenses and disbursements of Agent and the Lenders required to be reimbursed or paid by the Loan Parties hereunder, under the Cooperation Agreement, under the Credit Agreement, and under any other Loan Document, including, but not limited to, the fees, costs and expenses of K&amp;L Gates LLP, as counsel to the Agent and the Lenders, in the amount of $160,000, and the fees, costs and expenses of Rock Creek Advisors LLC, as financial advisor to the Agent and the Lenders, in the amount of $50,000 (collectively, the “</w:t>
      </w:r>
      <w:r>
        <w:rPr>
          <w:rFonts w:ascii="Times New Roman" w:cs="Times New Roman" w:eastAsia="Times New Roman" w:hAnsi="Times New Roman"/>
          <w:sz w:val="18"/>
          <w:szCs w:val="18"/>
          <w:b w:val="1"/>
          <w:bCs w:val="1"/>
          <w:i w:val="1"/>
          <w:iCs w:val="1"/>
          <w:color w:val="auto"/>
        </w:rPr>
        <w:t>Professional Fees Payments</w:t>
      </w:r>
      <w:r>
        <w:rPr>
          <w:rFonts w:ascii="Times New Roman" w:cs="Times New Roman" w:eastAsia="Times New Roman" w:hAnsi="Times New Roman"/>
          <w:sz w:val="18"/>
          <w:szCs w:val="18"/>
          <w:color w:val="auto"/>
        </w:rPr>
        <w:t>”); and</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(ii)            On or before August 9, 2024, the Loan Parties shall make a cash payment on the Term Loans in the total amount of $375,000 (the “</w:t>
      </w:r>
      <w:r>
        <w:rPr>
          <w:rFonts w:ascii="Times New Roman" w:cs="Times New Roman" w:eastAsia="Times New Roman" w:hAnsi="Times New Roman"/>
          <w:sz w:val="18"/>
          <w:szCs w:val="18"/>
          <w:b w:val="1"/>
          <w:bCs w:val="1"/>
          <w:i w:val="1"/>
          <w:iCs w:val="1"/>
          <w:color w:val="auto"/>
        </w:rPr>
        <w:t>Term Loan Payment</w:t>
      </w:r>
      <w:r>
        <w:rPr>
          <w:rFonts w:ascii="Times New Roman" w:cs="Times New Roman" w:eastAsia="Times New Roman" w:hAnsi="Times New Roman"/>
          <w:sz w:val="18"/>
          <w:szCs w:val="18"/>
          <w:color w:val="auto"/>
        </w:rPr>
        <w:t>,” and together with the Professional Fees Payments, the “</w:t>
      </w:r>
      <w:r>
        <w:rPr>
          <w:rFonts w:ascii="Times New Roman" w:cs="Times New Roman" w:eastAsia="Times New Roman" w:hAnsi="Times New Roman"/>
          <w:sz w:val="18"/>
          <w:szCs w:val="18"/>
          <w:b w:val="1"/>
          <w:bCs w:val="1"/>
          <w:i w:val="1"/>
          <w:iCs w:val="1"/>
          <w:color w:val="auto"/>
        </w:rPr>
        <w:t>August Payments</w:t>
      </w:r>
      <w:r>
        <w:rPr>
          <w:rFonts w:ascii="Times New Roman" w:cs="Times New Roman" w:eastAsia="Times New Roman" w:hAnsi="Times New Roman"/>
          <w:sz w:val="18"/>
          <w:szCs w:val="18"/>
          <w:color w:val="auto"/>
        </w:rPr>
        <w:t>”), to be applied in accordance with the Credit Agreement.</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(iii)            If the Loan Parties shall fail to timely remit the August Payments, in addition to being an Event of Default under the Cooperation Agreement and the Loan Documents, the Interest Rate shall immediately and automatically, without notice from Agent or further action by any party, be increased to eighteen percent (18%) per annum (prior to the application of any Default Rate or Protective Advance Rate), effective from and after May 16, 2024, and the Loans shall accrue at such increased Interest Rate at all times thereafter. For the avoidance of doubt, nothing herein shall alter any provisions of the Loan Documents relating to the Default Rate, including, but not limited to, the accrual of interest at the Default Rate.</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color w:val="auto"/>
        </w:rPr>
        <w:t>Effective Agreement.</w:t>
      </w:r>
      <w:r>
        <w:rPr>
          <w:rFonts w:ascii="Times New Roman" w:cs="Times New Roman" w:eastAsia="Times New Roman" w:hAnsi="Times New Roman"/>
          <w:sz w:val="18"/>
          <w:szCs w:val="18"/>
          <w:color w:val="auto"/>
        </w:rPr>
        <w:t xml:space="preserve"> Except as modified pursuant hereto, no changes or modifications to the Cooperation Agreement or any of the Loan Documents are intended or implied, and in all other respects the Cooperation Agreement and the Loan Documents hereby are ratified and confirmed by each of the Loan Parties and Significant Stakeholders as of the Effective Date. To the extent of conflict between the terms of this Amendment and the Cooperation Agreement, the terms of this Amendment shall govern and control. Subject to the foregoing, the Cooperation Agreement and this Amendment shall be read and construed as one agreement.</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color w:val="auto"/>
        </w:rPr>
        <w:t>Costs and Expenses.</w:t>
      </w:r>
      <w:r>
        <w:rPr>
          <w:rFonts w:ascii="Times New Roman" w:cs="Times New Roman" w:eastAsia="Times New Roman" w:hAnsi="Times New Roman"/>
          <w:sz w:val="18"/>
          <w:szCs w:val="18"/>
          <w:color w:val="auto"/>
        </w:rPr>
        <w:t xml:space="preserve"> Each Loan Party absolutely and unconditionally, jointly and severally, agrees to pay to Agent and the Lenders, on demand at any time, all reasonable fees and disbursements, including, but not limited to, the fees of any counsel to Agent and the Lenders arising out of or in connection with the Existing Defaults and any steps or activities taken in connection therewith in respect of the Loan Documents, evaluating and enforcing its rights and remedies thereunder, and the preparation, negotiation, execution, delivery, or enforcement of this Amendment or the Loan Documents, and any agreements contemplated hereby and expenses which shall be at any time incurred or sustained by Agent or any Lender or any of its respective directors, officers, employees, or agents as a consequence of or in any way in connection with the preparation, negotiation, execution, or delivery of this Amendment and any documents contemplated hereby.</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color w:val="auto"/>
        </w:rPr>
        <w:t>Further Assurances.</w:t>
      </w:r>
      <w:r>
        <w:rPr>
          <w:rFonts w:ascii="Times New Roman" w:cs="Times New Roman" w:eastAsia="Times New Roman" w:hAnsi="Times New Roman"/>
          <w:sz w:val="18"/>
          <w:szCs w:val="18"/>
          <w:color w:val="auto"/>
        </w:rPr>
        <w:t xml:space="preserve"> The Loan Parties and Significant Stakeholders shall execute and deliver such additional documents and take such further action as may be necessary or desirable to effectuate the provisions and purposes of this Amendment.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xml:space="preserve"> This Amendment shall be binding upon and inure to the benefit of the Loan Parties, Significant Stakeholders, Agent, the Lenders and their respective successors and assigns.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color w:val="auto"/>
        </w:rPr>
        <w:t>Survival of Representations and Warranties.</w:t>
      </w:r>
      <w:r>
        <w:rPr>
          <w:rFonts w:ascii="Times New Roman" w:cs="Times New Roman" w:eastAsia="Times New Roman" w:hAnsi="Times New Roman"/>
          <w:sz w:val="18"/>
          <w:szCs w:val="18"/>
          <w:color w:val="auto"/>
        </w:rPr>
        <w:t xml:space="preserve"> All representations and warranties made in this Amendment or any other document furnished in connection with this Amendment shall survive the execution and delivery of this Amendment and the other documents, and no investigation by Agent or any Lender or any closing shall affect the representations and warranties or right of Agent or any Lender to rely upon them.</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color w:val="auto"/>
        </w:rPr>
        <w:t>Release.</w:t>
      </w:r>
    </w:p>
    <w:p>
      <w:pPr>
        <w:spacing w:after="0" w:line="22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(i)            In consideration of the agreements of Agent and Lenders contained herein, and for other good and valuable consideration, the receipt and sufficiency of which are hereby acknowledged, each Loan Party, on behalf of itself and its past, present and future Subsidiaries, successors, assigns, managers, members, officers, directors, agents, employees, professionals and other representatives (the “</w:t>
      </w:r>
      <w:r>
        <w:rPr>
          <w:rFonts w:ascii="Times New Roman" w:cs="Times New Roman" w:eastAsia="Times New Roman" w:hAnsi="Times New Roman"/>
          <w:sz w:val="18"/>
          <w:szCs w:val="18"/>
          <w:b w:val="1"/>
          <w:bCs w:val="1"/>
          <w:i w:val="1"/>
          <w:iCs w:val="1"/>
          <w:color w:val="auto"/>
        </w:rPr>
        <w:t>Loan Party Releasing 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Loan Party Releasing Party</w:t>
      </w:r>
      <w:r>
        <w:rPr>
          <w:rFonts w:ascii="Times New Roman" w:cs="Times New Roman" w:eastAsia="Times New Roman" w:hAnsi="Times New Roman"/>
          <w:sz w:val="18"/>
          <w:szCs w:val="18"/>
          <w:color w:val="auto"/>
        </w:rPr>
        <w:t>”), and each Significant Stakeholder (as identified on the signature pages hereto), on behalf of itself and its past, present and future Subsidiaries, successors, assigns, managers, members, officers, directors, agents, employees, professionals and other representatives (the “</w:t>
      </w:r>
      <w:r>
        <w:rPr>
          <w:rFonts w:ascii="Times New Roman" w:cs="Times New Roman" w:eastAsia="Times New Roman" w:hAnsi="Times New Roman"/>
          <w:sz w:val="18"/>
          <w:szCs w:val="18"/>
          <w:b w:val="1"/>
          <w:bCs w:val="1"/>
          <w:i w:val="1"/>
          <w:iCs w:val="1"/>
          <w:color w:val="auto"/>
        </w:rPr>
        <w:t>Stockholder Releasing 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Stockholder Releasing Party</w:t>
      </w:r>
      <w:r>
        <w:rPr>
          <w:rFonts w:ascii="Times New Roman" w:cs="Times New Roman" w:eastAsia="Times New Roman" w:hAnsi="Times New Roman"/>
          <w:sz w:val="18"/>
          <w:szCs w:val="18"/>
          <w:color w:val="auto"/>
        </w:rPr>
        <w:t>,” and together with the Loan Party Releasing Parties, the “</w:t>
      </w:r>
      <w:r>
        <w:rPr>
          <w:rFonts w:ascii="Times New Roman" w:cs="Times New Roman" w:eastAsia="Times New Roman" w:hAnsi="Times New Roman"/>
          <w:sz w:val="18"/>
          <w:szCs w:val="18"/>
          <w:b w:val="1"/>
          <w:bCs w:val="1"/>
          <w:i w:val="1"/>
          <w:iCs w:val="1"/>
          <w:color w:val="auto"/>
        </w:rPr>
        <w:t>Releasing 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Releasing Party</w:t>
      </w:r>
      <w:r>
        <w:rPr>
          <w:rFonts w:ascii="Times New Roman" w:cs="Times New Roman" w:eastAsia="Times New Roman" w:hAnsi="Times New Roman"/>
          <w:sz w:val="18"/>
          <w:szCs w:val="18"/>
          <w:color w:val="auto"/>
        </w:rPr>
        <w:t>”), hereby absolutely, unconditionally, and irrevocably releases, remises, and forever discharges Agent and each Lender and each of their respective past, present and future stockholders, members, partners, managers, principals, affiliates, subsidiaries, divisions, predecessors, successors, assigns, directors, officers, attorneys, professionals, employees, agents, and other representatives (the “</w:t>
      </w:r>
      <w:r>
        <w:rPr>
          <w:rFonts w:ascii="Times New Roman" w:cs="Times New Roman" w:eastAsia="Times New Roman" w:hAnsi="Times New Roman"/>
          <w:sz w:val="18"/>
          <w:szCs w:val="18"/>
          <w:b w:val="1"/>
          <w:bCs w:val="1"/>
          <w:i w:val="1"/>
          <w:iCs w:val="1"/>
          <w:color w:val="auto"/>
        </w:rPr>
        <w:t>Released 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Released Party</w:t>
      </w:r>
      <w:r>
        <w:rPr>
          <w:rFonts w:ascii="Times New Roman" w:cs="Times New Roman" w:eastAsia="Times New Roman" w:hAnsi="Times New Roman"/>
          <w:sz w:val="18"/>
          <w:szCs w:val="18"/>
          <w:color w:val="auto"/>
        </w:rPr>
        <w:t>”) of and from all demands, actions, causes of action, suits, covenants, contracts, controversies, agreements, promises, sums of money, accounts, bills, reckonings, damages, and any and all other claims, counterclaims, defenses, rights of set off, demands, and liabilities whatsoever (each, individually, a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Claims</w:t>
      </w:r>
      <w:r>
        <w:rPr>
          <w:rFonts w:ascii="Times New Roman" w:cs="Times New Roman" w:eastAsia="Times New Roman" w:hAnsi="Times New Roman"/>
          <w:sz w:val="18"/>
          <w:szCs w:val="18"/>
          <w:color w:val="auto"/>
        </w:rPr>
        <w:t>”) of every kind and nature, known or unknown, suspected or unsuspected, at law or in equity, fixed or contingent, joint and/or several, secured or unsecured, due or not due, primary or secondary, liquidated or unliquidated, contractual or tortious, direct, indirect or derivative, asserted or unasserted, foreseen or unforeseen, suspected or unsuspected, now existing, heretofore existing or which may heretofore accrue against any of the Released Parties, whether held in a personal or representative capacity, which any such Releasing Party may now or hereafter own, hold, have, or claim to have against any Released Party for, upon, or by reason of any circumstance, action, cause, omission, event or thing whatsoever which arises at any time on or prior to the Effective Date, including, without limitation, for or on account of, or in relation to, or in any way in connection with this Amendment, the Cooperation Agreement, the other Loan Documents, or transactions hereunder or thereunder.</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(ii)            Each Releasing Party understands, acknowledges, confirms, and agrees that the release set forth above may be pleaded as a full and complete defense and may be used as a basis for an injunction against any action, suit, or other proceeding which may be instituted, prosecuted, or attempted in breach of the provisions of such release. Each Loan Party acknowledges and agrees that the foregoing release is a material inducement to the Agent’s and the Lenders’ execution of this Amendment, and but for the foregoing release, the Agent and the Lenders would not be willing to enter into this Amendment.</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(iii)            Each Releasing Party agrees that no fact, event, circumstance, evidence, or transaction which could now be asserted or which may hereafter be discovered shall affect, in any manner, the final, absolute, and unconditional nature of the release set forth above.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(iv)            Each Releasing Party covenants and agrees never to institute or cause to be instituted or continue prosecution of, or to support, cooperate with or induce any other Person in connection with, any suit or other form of action or proceeding of any kind or nature whatsoever against any Released Party by reason of or in connection with any of the Claims.</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(v)            Each Releasing Party covenants and agrees that in any suit or other form of action or proceeding brought in violation of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 the Released Parties shall be entitled to payment of all fees, costs and expenses (including fees, costs and expenses of attorneys) incurred in connection with such suit or other action or proceeding from the applicable Releasing Party, and (b) the Releasing Parties shall indemnify and hold harmless the Released Parties with respect thereto to the fullest extent provided to the Indemnitees under Section 8.5 of the Credit Agreement, which the signatories hereto each acknowledge and agree to be bound for purposes of this Amendment, as if fully set forth herein. Any such payments made pursuant to this </w:t>
      </w:r>
      <w:r>
        <w:rPr>
          <w:rFonts w:ascii="Times New Roman" w:cs="Times New Roman" w:eastAsia="Times New Roman" w:hAnsi="Times New Roman"/>
          <w:sz w:val="18"/>
          <w:szCs w:val="18"/>
          <w:u w:val="single" w:color="auto"/>
          <w:color w:val="auto"/>
        </w:rPr>
        <w:t>Section 17(v)</w:t>
      </w:r>
      <w:r>
        <w:rPr>
          <w:rFonts w:ascii="Times New Roman" w:cs="Times New Roman" w:eastAsia="Times New Roman" w:hAnsi="Times New Roman"/>
          <w:sz w:val="18"/>
          <w:szCs w:val="18"/>
          <w:color w:val="auto"/>
        </w:rPr>
        <w:t xml:space="preserve"> shall be made at the time such indemnified amounts are incurred, and in any event within ten (10) Business Days of written demand therefor.</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xml:space="preserve"> The fact that any provision of this Amendment is held by a court of competent jurisdiction to be invalid or unenforceable as to any particular situation shall not impair or invalidate the remainder of this Amendment or the application of such provision to any other situation.</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color w:val="auto"/>
        </w:rPr>
        <w:t>Reviewed by Attorneys.</w:t>
      </w:r>
      <w:r>
        <w:rPr>
          <w:rFonts w:ascii="Times New Roman" w:cs="Times New Roman" w:eastAsia="Times New Roman" w:hAnsi="Times New Roman"/>
          <w:sz w:val="18"/>
          <w:szCs w:val="18"/>
          <w:color w:val="auto"/>
        </w:rPr>
        <w:t xml:space="preserve"> Each Loan Party and Significant Stakeholder represents and warrants to Agent and each Lender that such Loan Party (i) understands fully the terms of this Amendment and the consequences of the execution and delivery of this Amendment, (ii) has been afforded the opportunity to discuss this Amendment with, and have this Amendment reviewed by, such attorneys and other persons as such Loan Party or Significant Stakeholder may wish, and (iii) has entered into this Amendment and executed and delivered all documents in connection herewith of its own free will and accord and without threat, duress, or coercion of any kind by any person. Each Loan Party acknowledges and agrees that neither this Amendment nor the other documents executed pursuant hereto shall be construed more favorably in favor of one party than another based upon which party drafted the same, it being acknowledged that all the parties hereto contributed substantially to the negotiation and preparation of this Amendment and the other documents executed pursuant hereto or in connection herewith.</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1F"/>
        </w:rPr>
        <w:t>This</w:t>
      </w:r>
      <w:r>
        <w:rPr>
          <w:rFonts w:ascii="Times New Roman" w:cs="Times New Roman" w:eastAsia="Times New Roman" w:hAnsi="Times New Roman"/>
          <w:sz w:val="18"/>
          <w:szCs w:val="18"/>
          <w:color w:val="auto"/>
        </w:rPr>
        <w:t xml:space="preserve"> Amendment </w:t>
      </w:r>
      <w:r>
        <w:rPr>
          <w:rFonts w:ascii="Times New Roman" w:cs="Times New Roman" w:eastAsia="Times New Roman" w:hAnsi="Times New Roman"/>
          <w:sz w:val="18"/>
          <w:szCs w:val="18"/>
          <w:color w:val="231F1F"/>
        </w:rPr>
        <w:t>shall be governed by and construed and enforced in accordance with the laws of the State of New York.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1F"/>
        </w:rPr>
        <w:t xml:space="preserve">The terms of Section 8.12 and Section 8.13 of the Credit Agreement are incorporated herein by reference, </w:t>
      </w:r>
      <w:r>
        <w:rPr>
          <w:rFonts w:ascii="Times New Roman" w:cs="Times New Roman" w:eastAsia="Times New Roman" w:hAnsi="Times New Roman"/>
          <w:sz w:val="18"/>
          <w:szCs w:val="18"/>
          <w:i w:val="1"/>
          <w:iCs w:val="1"/>
          <w:color w:val="231F1F"/>
        </w:rPr>
        <w:t>mutatis mutandis</w:t>
      </w:r>
      <w:r>
        <w:rPr>
          <w:rFonts w:ascii="Times New Roman" w:cs="Times New Roman" w:eastAsia="Times New Roman" w:hAnsi="Times New Roman"/>
          <w:sz w:val="18"/>
          <w:szCs w:val="18"/>
          <w:color w:val="231F1F"/>
        </w:rPr>
        <w:t>, and the parties hereto agree to such terms</w:t>
      </w:r>
      <w:r>
        <w:rPr>
          <w:rFonts w:ascii="Times New Roman" w:cs="Times New Roman" w:eastAsia="Times New Roman" w:hAnsi="Times New Roman"/>
          <w:sz w:val="18"/>
          <w:szCs w:val="18"/>
          <w:color w:val="000000"/>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xml:space="preserve"> This Amendment may be executed in any number of counterparts, and by each party on separate counterparts, but all of such counterparts shall together constitute but one and the same agreement. Delivery of an executed counterpart of a signature page to this Amendment by PDF shall be effective as delivery of a manually executed counterpart of this Amendment.</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Amendment as of the date first above written.</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PRESTO AUTOMATION LLC</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(F/K/A E LA CARTE, LLC)</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(F/K/A VENTOUX MERGER SUB II LLC)</w:t>
      </w:r>
    </w:p>
    <w:p>
      <w:pPr>
        <w:spacing w:after="0" w:line="20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Guillaume Lefevre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Guillaume Lefevre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9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(F/K/A VENTOUX CCM ACQUISITION CORP.)</w:t>
      </w:r>
    </w:p>
    <w:p>
      <w:pPr>
        <w:spacing w:after="0" w:line="218"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Guillaume Lefevre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Guillaume Lefevre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[Signature Page to Amendment to Cooperation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40" w:name="page41"/>
    <w:bookmarkEnd w:id="40"/>
    <w:p>
      <w:pPr>
        <w:ind w:left="4520"/>
        <w:spacing w:after="0"/>
        <w:rPr>
          <w:sz w:val="20"/>
          <w:szCs w:val="20"/>
          <w:color w:val="auto"/>
        </w:rPr>
      </w:pPr>
      <w:r>
        <w:rPr>
          <w:rFonts w:ascii="Times New Roman" w:cs="Times New Roman" w:eastAsia="Times New Roman" w:hAnsi="Times New Roman"/>
          <w:sz w:val="18"/>
          <w:szCs w:val="18"/>
          <w:b w:val="1"/>
          <w:bCs w:val="1"/>
          <w:color w:val="auto"/>
        </w:rPr>
        <w:t>AGENT: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METROPOLITAN PARTNERS GROUP ADMINISTRATION, LLC</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Lisiak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Paul Lisiak</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Partner</w:t>
      </w:r>
    </w:p>
    <w:p>
      <w:pPr>
        <w:spacing w:after="0" w:line="20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[Signature Page to Amendment to Cooperation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20"/>
          </w:cols>
          <w:pgMar w:left="1440" w:top="900" w:right="639" w:bottom="1440" w:gutter="0" w:footer="0" w:header="0"/>
        </w:sectPr>
      </w:pPr>
    </w:p>
    <w:bookmarkStart w:id="41" w:name="page42"/>
    <w:bookmarkEnd w:id="41"/>
    <w:p>
      <w:pPr>
        <w:ind w:left="4520"/>
        <w:spacing w:after="0"/>
        <w:rPr>
          <w:sz w:val="20"/>
          <w:szCs w:val="20"/>
          <w:color w:val="auto"/>
        </w:rPr>
      </w:pPr>
      <w:r>
        <w:rPr>
          <w:rFonts w:ascii="Times New Roman" w:cs="Times New Roman" w:eastAsia="Times New Roman" w:hAnsi="Times New Roman"/>
          <w:sz w:val="18"/>
          <w:szCs w:val="18"/>
          <w:b w:val="1"/>
          <w:bCs w:val="1"/>
          <w:color w:val="auto"/>
        </w:rPr>
        <w:t>LENDERS:</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METROPOLITAN LEVERED PARTNERS FUND VII, LP</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MPF VII GP, LLC its General Partner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Lisiak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Paul K. Lisiak</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Partner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METROPOLITAN PARTNERS FUND VII, LP</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MPF VII GP, LLC its General Partner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Lisiak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Paul K. Lisiak</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Partner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METROPOLITAN OFFSHORE PARTNERS FUND VII, LP</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MPF VII GP, LLC its General Partner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Lisiak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Paul K. Lisiak</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Partner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CEOF HOLDINGS LP</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CORBIN CAPITAL PARTNERS, L.P., its Investment Manager:</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Daniel Friedman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[Signature Page to Amendment to Cooperation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680"/>
          </w:cols>
          <w:pgMar w:left="1440" w:top="900" w:right="779" w:bottom="1440" w:gutter="0" w:footer="0" w:header="0"/>
        </w:sectPr>
      </w:pPr>
    </w:p>
    <w:bookmarkStart w:id="42" w:name="page43"/>
    <w:bookmarkEnd w:id="42"/>
    <w:p>
      <w:pPr>
        <w:ind w:left="4520"/>
        <w:spacing w:after="0"/>
        <w:rPr>
          <w:sz w:val="20"/>
          <w:szCs w:val="20"/>
          <w:color w:val="auto"/>
        </w:rPr>
      </w:pPr>
      <w:r>
        <w:rPr>
          <w:rFonts w:ascii="Times New Roman" w:cs="Times New Roman" w:eastAsia="Times New Roman" w:hAnsi="Times New Roman"/>
          <w:sz w:val="18"/>
          <w:szCs w:val="18"/>
          <w:b w:val="1"/>
          <w:bCs w:val="1"/>
          <w:color w:val="auto"/>
        </w:rPr>
        <w:t>SIGNIFICANT STAKEHOLDERS:</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ROMULUS CAPITAL I, L.P.</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Romulus Capital Partners I, LLC, its General Partner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ROMULUS CAPITAL II, L.P.</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Romulus Capital Partners II, LLC, its General Partner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ROMULUS CAPITAL III, L.P.</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Romulus Capital Partners II, LLC, its General Partner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REMUS CAPITAL IV, L.P.</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Remus Capital IV GP, LLC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Krishna K. Gupta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Krishna K. Gupta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[Signature Page to Amendment to Cooperation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3" w:name="page44"/>
    <w:bookmarkEnd w:id="43"/>
    <w:p>
      <w:pPr>
        <w:jc w:val="right"/>
        <w:ind w:right="579"/>
        <w:spacing w:after="0"/>
        <w:rPr>
          <w:sz w:val="20"/>
          <w:szCs w:val="20"/>
          <w:color w:val="auto"/>
        </w:rPr>
      </w:pPr>
      <w:r>
        <w:rPr>
          <w:rFonts w:ascii="Times New Roman" w:cs="Times New Roman" w:eastAsia="Times New Roman" w:hAnsi="Times New Roman"/>
          <w:sz w:val="18"/>
          <w:szCs w:val="18"/>
          <w:color w:val="auto"/>
        </w:rPr>
        <w:t>ROMULUS ELC B3 SPECIAL OPPORTUNITY, L.P.</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ROMULUS ELC B3 SPECIAL OPPORTUNITY, L.P.</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Romulus GP, its General Partner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ZAFFRAN SPECIAL OPPORTUNITIES LLC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KKG ENTERPRISES LLC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PRESTO CA LLC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McCoy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Joseph McCoy</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REMUS CAPITAL SERIES B II, L.P.</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Remus Capital IV GP, LLC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KRISHNA GUPTA</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Krishna Gupta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Amendment to Cooperation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4" w:name="page45"/>
    <w:bookmarkEnd w:id="44"/>
    <w:p>
      <w:pPr>
        <w:jc w:val="center"/>
        <w:ind w:right="312"/>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SCHEDULE A</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u w:val="single" w:color="auto"/>
          <w:color w:val="auto"/>
        </w:rPr>
        <w:t>Existing Defaults</w:t>
      </w:r>
    </w:p>
    <w:p>
      <w:pPr>
        <w:spacing w:after="0" w:line="229" w:lineRule="exact"/>
        <w:rPr>
          <w:sz w:val="20"/>
          <w:szCs w:val="20"/>
          <w:color w:val="auto"/>
        </w:rPr>
      </w:pPr>
    </w:p>
    <w:p>
      <w:pPr>
        <w:jc w:val="both"/>
        <w:ind w:left="328" w:hanging="328"/>
        <w:spacing w:after="0" w:line="266"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of Default pursuant to Section 7.1(a) of the Credit Agreement as a result of the Borrowers’ failure to timely make payment of the Monitoring Fee for the periods ended December 31, 2023, April 1, 2024 and July 1, 2024, as defined in the Third Amended and Restated Fee Letter, as and when due pursuant to Section 2.3 of the Credit Agreement.</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pursuant to Section 7.1(c)(i) of the Credit Agreement as a result of the Loan Parties’ failure to provide, on or prior to December 31, 2023, either (i) newly-executed MSAs for all existing customers, implementing an upgrade to the Next Generation Technology</w:t>
      </w:r>
    </w:p>
    <w:p>
      <w:pPr>
        <w:ind w:left="328" w:hanging="4"/>
        <w:spacing w:after="0" w:line="260" w:lineRule="auto"/>
        <w:tabs>
          <w:tab w:leader="none" w:pos="60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Touch Business Plan that has been approved by the Agent, to wind-down the Touch Business as required pursuant to Section 5.20 of the Credit Agreement.</w:t>
      </w:r>
    </w:p>
    <w:p>
      <w:pPr>
        <w:spacing w:after="0" w:line="18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pursuant to Section 7.1(p) of the Credit Agreement as a result of the Loan Parties’ failure to appoint a new Chief Executive Officer that is a chief restructuring officer or person with significant restructuring, turnaround and insolvency experience reasonably acceptable to the Agent on or prior to February 16, 2024 following Xavier Casanova’s resignation.</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pursuant to Section 7.1(c) of the Credit Agreement as a result of the Loan Parties’ failure to deliver certain financial reports to the Agent pursuant to Section 5.1(i) of the Credit Agreement for the periods from the Fourth Amendment Effective Date until the Fifth Amendment Effective Date, resulting in an immediate Event of Default under the Fourth Amendment.</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of Default pursuant to Section 7.1(c) of the Credit Agreement as a result of the Loan Parties’ failure to maintain Unrestricted Cash, measured as of the close of business on each of March 1, 2024 and March 8, 2024, at or above the Minimum Unrestricted Cash Amount as required pursuant to Section 6.17(a) of the Credit Agreement.</w:t>
      </w:r>
    </w:p>
    <w:p>
      <w:pPr>
        <w:spacing w:after="0" w:line="175" w:lineRule="exact"/>
        <w:rPr>
          <w:rFonts w:ascii="Times New Roman" w:cs="Times New Roman" w:eastAsia="Times New Roman" w:hAnsi="Times New Roman"/>
          <w:sz w:val="18"/>
          <w:szCs w:val="18"/>
          <w:color w:val="auto"/>
        </w:rPr>
      </w:pPr>
    </w:p>
    <w:p>
      <w:pPr>
        <w:jc w:val="both"/>
        <w:ind w:left="328" w:right="20" w:hanging="328"/>
        <w:spacing w:after="0" w:line="266"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pursuant to Section 7.1(a) of the Credit Agreement as a result of the Loan Parties’ failure to pay the reasonable and documented expenses of counsel to the Agent, as required pursuant to Section 8.5 of the Credit Agreement and Section 10 of the Seventh Amendment.</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pursuant to Section 7.1(c) of the Credit Agreement as a result of the Loan Parties’ failure to deliver the accounts payable aging reports due and deliverable prior to February 26, 2024 pursuant to Section 5.1(i) of the Credit Agreement.</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of Default pursuant to Section 7.1(c) of the Credit Agreement as a result of the Loan Parties’ failure to comply with Section 6.17(b) of the Credit Agreement, and specifically, the failures identified in the accounts payable aging reports dated as of April 5, 2024, April 26, 2024, May 3, 2024, May 10, 2024, May 17, 2024, May 24, 2024, May 31, 2024, June 7, 2024, June 14, 2024, June 21, 2024 and June 28, 2024 which reports were delivered pursuant to Section 5.1(i) of the Credit Agreement.</w:t>
      </w:r>
    </w:p>
    <w:p>
      <w:pPr>
        <w:spacing w:after="0" w:line="18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445770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EXTENSION NO. 2 OF SENIOR SECURED PROMISSORY NOTE</w:t>
      </w:r>
    </w:p>
    <w:p>
      <w:pPr>
        <w:spacing w:after="0" w:line="225" w:lineRule="exact"/>
        <w:rPr>
          <w:sz w:val="20"/>
          <w:szCs w:val="20"/>
          <w:color w:val="auto"/>
        </w:rPr>
      </w:pPr>
    </w:p>
    <w:p>
      <w:pPr>
        <w:ind w:right="540" w:firstLine="648"/>
        <w:spacing w:after="0" w:line="268" w:lineRule="auto"/>
        <w:rPr>
          <w:sz w:val="20"/>
          <w:szCs w:val="20"/>
          <w:color w:val="auto"/>
        </w:rPr>
      </w:pPr>
      <w:r>
        <w:rPr>
          <w:rFonts w:ascii="Times New Roman" w:cs="Times New Roman" w:eastAsia="Times New Roman" w:hAnsi="Times New Roman"/>
          <w:sz w:val="18"/>
          <w:szCs w:val="18"/>
          <w:color w:val="auto"/>
        </w:rPr>
        <w:t>This Extension No. 2 of Senior Secured Promissory Note (“</w:t>
      </w:r>
      <w:r>
        <w:rPr>
          <w:rFonts w:ascii="Times New Roman" w:cs="Times New Roman" w:eastAsia="Times New Roman" w:hAnsi="Times New Roman"/>
          <w:sz w:val="18"/>
          <w:szCs w:val="18"/>
          <w:b w:val="1"/>
          <w:bCs w:val="1"/>
          <w:color w:val="auto"/>
        </w:rPr>
        <w:t>Note Extension</w:t>
      </w:r>
      <w:r>
        <w:rPr>
          <w:rFonts w:ascii="Times New Roman" w:cs="Times New Roman" w:eastAsia="Times New Roman" w:hAnsi="Times New Roman"/>
          <w:sz w:val="18"/>
          <w:szCs w:val="18"/>
          <w:color w:val="auto"/>
        </w:rPr>
        <w:t>”) is made and entered into as of July 19, 2024, by and between PRESTO AUTOMATION INC., a Delaware corporation and PRESTO AUTOMATION LLC, a Delaware limited liability company (collectively, “</w:t>
      </w:r>
      <w:r>
        <w:rPr>
          <w:rFonts w:ascii="Times New Roman" w:cs="Times New Roman" w:eastAsia="Times New Roman" w:hAnsi="Times New Roman"/>
          <w:sz w:val="18"/>
          <w:szCs w:val="18"/>
          <w:b w:val="1"/>
          <w:bCs w:val="1"/>
          <w:color w:val="auto"/>
        </w:rPr>
        <w:t>Maker</w:t>
      </w:r>
      <w:r>
        <w:rPr>
          <w:rFonts w:ascii="Times New Roman" w:cs="Times New Roman" w:eastAsia="Times New Roman" w:hAnsi="Times New Roman"/>
          <w:sz w:val="18"/>
          <w:szCs w:val="18"/>
          <w:color w:val="auto"/>
        </w:rPr>
        <w:t>”) and PRESTO CA LLC, a Delaware limited liability company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Maker and Lender are parties to the certain Senior Secured Promissory Note dated March 21, 2024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Maker and Lender extended the Note on May 15,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Maker and Lender wish to further extend the Note on the terms and conditions set forth herein.</w:t>
      </w:r>
    </w:p>
    <w:p>
      <w:pPr>
        <w:spacing w:after="0" w:line="225" w:lineRule="exact"/>
        <w:rPr>
          <w:sz w:val="20"/>
          <w:szCs w:val="20"/>
          <w:color w:val="auto"/>
        </w:rPr>
      </w:pPr>
    </w:p>
    <w:p>
      <w:pPr>
        <w:ind w:right="5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set forth herein and other good and valuable consideration,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are hereby acknowledged, the parties hereto hereby agree as follows:</w:t>
      </w:r>
    </w:p>
    <w:p>
      <w:pPr>
        <w:spacing w:after="0" w:line="159" w:lineRule="exact"/>
        <w:rPr>
          <w:sz w:val="20"/>
          <w:szCs w:val="20"/>
          <w:color w:val="auto"/>
        </w:rPr>
      </w:pPr>
    </w:p>
    <w:p>
      <w:pPr>
        <w:ind w:right="60" w:firstLine="656"/>
        <w:spacing w:after="0" w:line="266" w:lineRule="auto"/>
        <w:tabs>
          <w:tab w:leader="none" w:pos="1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of Maturity Date</w:t>
      </w:r>
      <w:r>
        <w:rPr>
          <w:rFonts w:ascii="Times New Roman" w:cs="Times New Roman" w:eastAsia="Times New Roman" w:hAnsi="Times New Roman"/>
          <w:sz w:val="18"/>
          <w:szCs w:val="18"/>
          <w:color w:val="auto"/>
        </w:rPr>
        <w:t>. The Maturity Date of the Note as defined in Section 2 thereof is hereby extended to be the same as the Termination Date pursuant to that certain First Amendment to Cooperation Agreement, dated July 19, 2024, by and among Presto Automation LLC, Presto Automation Inc., the lenders party thereto and Metropolitan Partners Group Administration, LLC.</w:t>
      </w:r>
    </w:p>
    <w:p>
      <w:pPr>
        <w:spacing w:after="0" w:line="17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Further Amendment</w:t>
      </w:r>
      <w:r>
        <w:rPr>
          <w:rFonts w:ascii="Times New Roman" w:cs="Times New Roman" w:eastAsia="Times New Roman" w:hAnsi="Times New Roman"/>
          <w:sz w:val="18"/>
          <w:szCs w:val="18"/>
          <w:color w:val="auto"/>
        </w:rPr>
        <w:t>. Except as expressly set forth herein, the Note shall remain unmodified and in full force and effect.</w:t>
      </w:r>
    </w:p>
    <w:p>
      <w:pPr>
        <w:spacing w:after="0" w:line="225" w:lineRule="exact"/>
        <w:rPr>
          <w:rFonts w:ascii="Times New Roman" w:cs="Times New Roman" w:eastAsia="Times New Roman" w:hAnsi="Times New Roman"/>
          <w:sz w:val="18"/>
          <w:szCs w:val="18"/>
          <w:color w:val="auto"/>
        </w:rPr>
      </w:pPr>
    </w:p>
    <w:p>
      <w:pPr>
        <w:ind w:right="80" w:firstLine="656"/>
        <w:spacing w:after="0" w:line="258" w:lineRule="auto"/>
        <w:tabs>
          <w:tab w:leader="none" w:pos="1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 Integration; Amendment</w:t>
      </w:r>
      <w:r>
        <w:rPr>
          <w:rFonts w:ascii="Times New Roman" w:cs="Times New Roman" w:eastAsia="Times New Roman" w:hAnsi="Times New Roman"/>
          <w:sz w:val="18"/>
          <w:szCs w:val="18"/>
          <w:color w:val="auto"/>
        </w:rPr>
        <w:t>. The Note, as amended by this Note Extension, constitutes the entire agreement between Maker and Lender with respect to its subject matter and the parties hereby ratify and affirm that the Note remains in full force and effect, enforceable in accordance with its terms as amended by this Note Extension. There are no oral or other agreements, including but not limited to any representations or warranties, which modify or affect the Note (as amended by this Note Extension). No modification, termination or amendment of the Note (as amended by this Note Extension) may be made except by written agreement executed by both Maker and Lender.</w:t>
      </w:r>
    </w:p>
    <w:p>
      <w:pPr>
        <w:spacing w:after="0" w:line="183" w:lineRule="exact"/>
        <w:rPr>
          <w:rFonts w:ascii="Times New Roman" w:cs="Times New Roman" w:eastAsia="Times New Roman" w:hAnsi="Times New Roman"/>
          <w:sz w:val="18"/>
          <w:szCs w:val="18"/>
          <w:color w:val="auto"/>
        </w:rPr>
      </w:pPr>
    </w:p>
    <w:p>
      <w:pPr>
        <w:ind w:right="160" w:firstLine="656"/>
        <w:spacing w:after="0" w:line="282" w:lineRule="auto"/>
        <w:tabs>
          <w:tab w:leader="none" w:pos="1323" w:val="left"/>
        </w:tabs>
        <w:numPr>
          <w:ilvl w:val="0"/>
          <w:numId w:val="9"/>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Note Extension may be executed and delivered in any number of counterparts and via facsimile with the same effect as if all parties had executed the same original. All such counterparts, when taken together, shall constitute one and the same instrument.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FOLLOW ON NEXT PAGE]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0A0A0A"/>
              </w:rPr>
              <w:t>DATED as of the date and year first above written.</w:t>
            </w:r>
          </w:p>
        </w:tc>
        <w:tc>
          <w:tcPr>
            <w:tcW w:w="78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Maker:</w:t>
            </w:r>
          </w:p>
        </w:tc>
        <w:tc>
          <w:tcPr>
            <w:tcW w:w="494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Holder:</w:t>
            </w:r>
          </w:p>
        </w:tc>
        <w:tc>
          <w:tcPr>
            <w:tcW w:w="4940" w:type="dxa"/>
            <w:vAlign w:val="bottom"/>
          </w:tcPr>
          <w:p>
            <w:pPr>
              <w:spacing w:after="0"/>
              <w:rPr>
                <w:sz w:val="24"/>
                <w:szCs w:val="24"/>
                <w:color w:val="auto"/>
              </w:rPr>
            </w:pPr>
          </w:p>
        </w:tc>
      </w:tr>
      <w:tr>
        <w:trPr>
          <w:trHeight w:val="41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PRESTO AUTOMATION INC.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PRESTO CA LLC</w:t>
            </w: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Delaware limited liability company</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 Delaware limited liability company</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Guillaume Lefevre</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McCoy</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Guillaume Lefevre</w:t>
            </w:r>
          </w:p>
        </w:tc>
        <w:tc>
          <w:tcPr>
            <w:tcW w:w="78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McCoy</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PRESTO AUTOMATION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Guillaume Lefevre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1375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Guillaume Lefevre</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Interim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July 19, 2024, by and between Presto Automation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Remus Capital Series B II, L.P. (the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is made pursuant to the Subordinated Convertible Note, dated as of the date hereof, between the Company and the Buyer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the Buyer hereby agrees as follows: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              DEFINITIONS.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Capitalized terms used and not otherwise defined herein that are defined in the Purchase Agreement shall have the meanings given such terms in the Purchase Agreement. As used in this Agreement, the following terms shall have the following meanings: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shall have the meaning set forth in Section 6(c).</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xml:space="preserve">” means, with respect to the Initial Registration Statement required to be filed hereunder, the 150th calendar day following the date hereof and with respect to any additional Registration Statements which may be required pursuant to Section 2(c) or Section 3(c), the 30th calendar day following the date on which an additional Registration Statement is required to be filed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Company is notified by the SEC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shall have the meaning set forth in Section 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shall have the meaning set forth in Section 2(d).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shall have the meaning set forth in Section 2(d).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means the 90th calendar day following the Closing Date (as such term is defined in the Purchase Agreement), and (2) with respect to any additional Registration Statements which may be required pursuant to Section 2(c) or Section 3(c), the earliest practical date on which the Company is permitted by SEC Guidance to file such additional Registration Statement related to the Registrable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means the holder or holders, as the case may be, from time to time of Registrable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means the initial Registration Statement filed pursuant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set forth in Section 5(a).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shall have the meaning set forth in Section 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SEC pursuant to the 1933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means, as of any date of determination, all Conversion Shares, and (b) any securities issued or then issuable upon any stock split, dividend or other distribution, recapitalization or similar event with respect to the foregoing;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SEC under the 1933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 effective amendments, all exhibits thereto, and all material incorporated by reference or deemed to be incorporated by reference in any such registration statement.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means Rule 415 promulgated by the SEC pursuant to the 1933 Act, as such Rule may be amended or interpreted from time to time, or any similar rule or regulation hereafter adopted by the SEC having substantially the same purpose and effect as such Rule.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SEC pursuant to the 1933 Act, as such Rule may be amended or interpreted from time to time, or any similar rule or regulation hereafter adopted by the SEC having substantially the same purpose and effect as such Rule.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shall have the meaning set forth in Section 3(a).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means (i) any publicly-available written or oral guidance of the SEC staff, or any comments, requirements or requests of the SEC staff and (ii) the 1933 Act.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              SHELF REGISTRATION.</w:t>
      </w:r>
    </w:p>
    <w:p>
      <w:pPr>
        <w:spacing w:after="0" w:line="229"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7"/>
          <w:szCs w:val="17"/>
          <w:color w:val="auto"/>
        </w:rPr>
        <w:t>(a)            On or prior to each Filing Date, the Company shall prepare and file with the SEC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another appropriate form in accordance herewith, subject to the provisions of Section 2(d)) and shall contain (unless otherwise directed by at least 50% in interest of the Holders) substantially the “</w:t>
      </w:r>
      <w:r>
        <w:rPr>
          <w:rFonts w:ascii="Times New Roman" w:cs="Times New Roman" w:eastAsia="Times New Roman" w:hAnsi="Times New Roman"/>
          <w:sz w:val="17"/>
          <w:szCs w:val="17"/>
          <w:u w:val="single" w:color="auto"/>
          <w:color w:val="auto"/>
        </w:rPr>
        <w:t>Plan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Distribution</w:t>
      </w:r>
      <w:r>
        <w:rPr>
          <w:rFonts w:ascii="Times New Roman" w:cs="Times New Roman" w:eastAsia="Times New Roman" w:hAnsi="Times New Roman"/>
          <w:sz w:val="17"/>
          <w:szCs w:val="17"/>
          <w:color w:val="auto"/>
        </w:rPr>
        <w:t xml:space="preserve">” attached hereto as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and substantially the “</w:t>
      </w:r>
      <w:r>
        <w:rPr>
          <w:rFonts w:ascii="Times New Roman" w:cs="Times New Roman" w:eastAsia="Times New Roman" w:hAnsi="Times New Roman"/>
          <w:sz w:val="17"/>
          <w:szCs w:val="17"/>
          <w:u w:val="single" w:color="auto"/>
          <w:color w:val="auto"/>
        </w:rPr>
        <w:t>Selling Stockholder</w:t>
      </w:r>
      <w:r>
        <w:rPr>
          <w:rFonts w:ascii="Times New Roman" w:cs="Times New Roman" w:eastAsia="Times New Roman" w:hAnsi="Times New Roman"/>
          <w:sz w:val="17"/>
          <w:szCs w:val="17"/>
          <w:color w:val="auto"/>
        </w:rPr>
        <w:t xml:space="preserve">” section attached hereto as </w:t>
      </w:r>
      <w:r>
        <w:rPr>
          <w:rFonts w:ascii="Times New Roman" w:cs="Times New Roman" w:eastAsia="Times New Roman" w:hAnsi="Times New Roman"/>
          <w:sz w:val="17"/>
          <w:szCs w:val="17"/>
          <w:u w:val="single" w:color="auto"/>
          <w:color w:val="auto"/>
        </w:rPr>
        <w:t>Annex 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 Holder shall be required to be named as an “underwriter” without such Holder’s express prior written consent. Subject to the terms of this Agreement, the Company shall use its reasonable best efforts to cause a Registration Statement filed under this Agreement (including, without limitation, under Section 3(c)) to be declared effective under the 1933 Act as promptly as possible after the filing thereof, but in any event no later than the applicable Effectiveness Date, and shall use its reasonable best efforts to keep such Registration Statement continuously effective under the 1933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 w:cs="Times New Roman" w:eastAsia="Times New Roman" w:hAnsi="Times New Roman"/>
          <w:sz w:val="17"/>
          <w:szCs w:val="17"/>
          <w:u w:val="single" w:color="auto"/>
          <w:color w:val="auto"/>
        </w:rPr>
        <w:t>Effectiveness Period</w:t>
      </w:r>
      <w:r>
        <w:rPr>
          <w:rFonts w:ascii="Times New Roman" w:cs="Times New Roman" w:eastAsia="Times New Roman" w:hAnsi="Times New Roman"/>
          <w:sz w:val="17"/>
          <w:szCs w:val="17"/>
          <w:color w:val="auto"/>
        </w:rPr>
        <w:t>”). The Company shall telephonically request effectiveness of a Registration Statement as of 5:00 p.m. (New York City time) on a Trading Day. The Company shall promptly notify the Holders via e-mail of the effectiveness of a Registration Statement on the same Trading Day that the Company telephonically confirms effectiveness with the SEC. The Company shall, by 9:30 a.m. (New York City time) on the Trading Day after the effective date of such Registration Statement, file a final Prospectus with the SEC as required by Rule 424. Failure to so notify the Holder within one (1) Trading Day of such notification of effectiveness or failure to file a final Prospectus as foresaid shall be deemed an Event under Section 2(d).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Notwithstanding the registration obligations set forth in Section 2(a), if the SEC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SEC, covering the maximum number of Registrable Securities permitted to be registered by the SEC, on Form S-3 or such other form available to register for resale the Registrable Securities as a secondary offering; with respect to filing on Form S-3 or other appropriate form, and subject to the provisions of Section 2(d) with respect to the payment of liquidated damages;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filing such amendment, the Company shall be obligated to use diligent efforts to advocate with the SEC for the registration of all of the Registrable Securities in accordance with the SEC Guidance, including without limitation, Compliance and Disclosure Interpretation 612.09.</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            Notwithstanding any other provision of this Agreement and subject to the payment of liquidated damages pursuant to Section 2(d), if the SEC or any SEC Guidance sets forth a limitation on the number of Registrable Securities permitted to be registered on a particular Registration Statement as a secondary offering (and notwithstanding that the Company used diligent efforts to advocate with the SEC for the registration of all or a greater portion of Registrable Securities), unless otherwise directed in writing by a Holder as to its Registrable Securities, the number of Registrable Securities to be registered on such Registration Statement will be reduced by the Company reducing or eliminating any securities to be included other than Registrable Securities.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of a cutback hereunder, the Company shall give the Holder at least five (5) Trading Days prior written notice along with the calculations as to such Holder’s allotment. In the event the Company amends the Initial Registration Statement in accordance with the foregoing, the Company will use its reasonable best efforts to file with the SEC, as promptly as allowed by SEC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SEC.</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            Notwithstanding anything to the contrary contained herein, in no event shall the Company be permitted to name any Holder or affiliate of a Holder as any Underwriter without the prior written consent of such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405765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0" w:name="page51"/>
    <w:bookmarkEnd w:id="50"/>
    <w:p>
      <w:pPr>
        <w:ind w:left="4"/>
        <w:spacing w:after="0"/>
        <w:rPr>
          <w:sz w:val="20"/>
          <w:szCs w:val="20"/>
          <w:color w:val="auto"/>
        </w:rPr>
      </w:pPr>
      <w:r>
        <w:rPr>
          <w:rFonts w:ascii="Times New Roman" w:cs="Times New Roman" w:eastAsia="Times New Roman" w:hAnsi="Times New Roman"/>
          <w:sz w:val="18"/>
          <w:szCs w:val="18"/>
          <w:b w:val="1"/>
          <w:bCs w:val="1"/>
          <w:color w:val="auto"/>
        </w:rPr>
        <w:t>3.              REGISTRATION PROCEDURES.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connection with the Company’s registration obligations hereunder, the Company shall:</w:t>
      </w:r>
    </w:p>
    <w:p>
      <w:pPr>
        <w:spacing w:after="0" w:line="225" w:lineRule="exact"/>
        <w:rPr>
          <w:sz w:val="20"/>
          <w:szCs w:val="20"/>
          <w:color w:val="auto"/>
        </w:rPr>
      </w:pPr>
    </w:p>
    <w:p>
      <w:pPr>
        <w:jc w:val="both"/>
        <w:ind w:left="4" w:firstLine="648"/>
        <w:spacing w:after="0" w:line="268" w:lineRule="auto"/>
        <w:rPr>
          <w:sz w:val="20"/>
          <w:szCs w:val="20"/>
          <w:color w:val="auto"/>
        </w:rPr>
      </w:pPr>
      <w:r>
        <w:rPr>
          <w:rFonts w:ascii="Times New Roman" w:cs="Times New Roman" w:eastAsia="Times New Roman" w:hAnsi="Times New Roman"/>
          <w:sz w:val="17"/>
          <w:szCs w:val="17"/>
          <w:color w:val="auto"/>
        </w:rPr>
        <w:t>(a)            Not less than three (3)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furnish to each Holder copies of all such documents proposed to be filed, which documents (other than those incorporated or deemed to be incorporated by reference) will be subject to the review of such Holders.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two</w:t>
      </w:r>
    </w:p>
    <w:p>
      <w:pPr>
        <w:spacing w:after="0" w:line="5" w:lineRule="exact"/>
        <w:rPr>
          <w:sz w:val="20"/>
          <w:szCs w:val="20"/>
          <w:color w:val="auto"/>
        </w:rPr>
      </w:pPr>
    </w:p>
    <w:p>
      <w:pPr>
        <w:jc w:val="both"/>
        <w:ind w:left="4" w:hanging="4"/>
        <w:spacing w:after="0" w:line="250" w:lineRule="auto"/>
        <w:tabs>
          <w:tab w:leader="none" w:pos="26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Trading Days after the Holders have been so furnished copies of a Registration Statement or one (1) Trading Day after the Holders have been so furnished copies of any related Prospectus or amendments or supplements thereto. Each Holder agrees to furnish to the Company a completed questionnaire in the form attached to this Agreement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on a date that is not less than two</w:t>
      </w:r>
    </w:p>
    <w:p>
      <w:pPr>
        <w:spacing w:after="0" w:line="1" w:lineRule="exact"/>
        <w:rPr>
          <w:rFonts w:ascii="Times New Roman" w:cs="Times New Roman" w:eastAsia="Times New Roman" w:hAnsi="Times New Roman"/>
          <w:sz w:val="18"/>
          <w:szCs w:val="18"/>
          <w:color w:val="auto"/>
        </w:rPr>
      </w:pPr>
    </w:p>
    <w:p>
      <w:pPr>
        <w:ind w:left="4" w:right="20" w:hanging="4"/>
        <w:spacing w:after="0" w:line="260"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prior to the Filing Date or by the end of the second (2nd) Trading Day following the date on which such Holder receives draft materials in accordance with this Section.</w:t>
      </w:r>
    </w:p>
    <w:p>
      <w:pPr>
        <w:spacing w:after="0" w:line="181"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(b)            (i) Prepare and file with the SEC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SEC such additional Registration Statements in order to register for resale under the 1933 Act all of the Registrable Securities, (ii) cause the related Prospectus to be amended or supplemented by any required Prospectus supplement (subject to the terms of this Agreement), and, as so supplemented or amended, to be filed pursuant to Rule 424,</w:t>
      </w:r>
    </w:p>
    <w:p>
      <w:pPr>
        <w:spacing w:after="0" w:line="3" w:lineRule="exact"/>
        <w:rPr>
          <w:sz w:val="20"/>
          <w:szCs w:val="20"/>
          <w:color w:val="auto"/>
        </w:rPr>
      </w:pPr>
    </w:p>
    <w:p>
      <w:pPr>
        <w:jc w:val="both"/>
        <w:ind w:left="4" w:hanging="4"/>
        <w:spacing w:after="0" w:line="252" w:lineRule="auto"/>
        <w:tabs>
          <w:tab w:leader="none" w:pos="3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as promptly as reasonably possible to any comments received from the SEC with respect to a Registration Statement or any amendment thereto and provide as promptly as reasonably possible to the Holders true and complete copies of all correspondence from and to the SEC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1933 Act and the 1934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188"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(c)            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p>
    <w:p>
      <w:pPr>
        <w:spacing w:after="0" w:line="180"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 xml:space="preserve">(d)            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clause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SEC notifies the Company whether there will be a “review” of such Registration Statement and whenever the SEC comments in writing on such Registration Statement, and (C) with respect to a Registration Statement or any post-effective amendment, when the same has become effective, (ii) of any request by the SEC or any other federal or state governmental authority for amendments or supplements to a Registration Statement or Prospectus or for additional information, (iii) of the issuance by the SEC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such notice contain any information which would constitute material, non-public information regarding the Company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422275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51" w:name="page52"/>
    <w:bookmarkEnd w:id="5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Use its reasonable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            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SEC, provided that any such item which is available on the EDGAR system (or successor thereto) need not be furnished in physical form.</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            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If requested by a Holder, cooperate with such Holder to facilitate the timely preparation and delivery of book entry notifications setting out the ownership of the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(j)            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its reasonable best efforts to ensure that the use of the Prospectus may be resumed as promptly as is practicable. The Company shall be entitled to exercise its right under this Section 3(j) to suspend the availability of a Registration Statement and Prospectus for a period not to exceed an aggregate of 90 calendar days (which need not be consecutive days) in any 12- 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424815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2" w:name="page53"/>
    <w:bookmarkEnd w:id="52"/>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(k)            Otherwise use commercially reasonable efforts to 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187"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(l)            The Company may require each selling Holder to furnish to the Company a certified statement as to the number of shares of Common Stock beneficially owned by such Holder and, if required by the SEC,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              REGISTRATION EXPENSES.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SEC, (B) with respect to filings required to be made with any Eligible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1933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ind w:left="4"/>
        <w:spacing w:after="0"/>
        <w:rPr>
          <w:sz w:val="20"/>
          <w:szCs w:val="20"/>
          <w:color w:val="auto"/>
        </w:rPr>
      </w:pPr>
      <w:r>
        <w:rPr>
          <w:rFonts w:ascii="Times New Roman" w:cs="Times New Roman" w:eastAsia="Times New Roman" w:hAnsi="Times New Roman"/>
          <w:sz w:val="18"/>
          <w:szCs w:val="18"/>
          <w:b w:val="1"/>
          <w:bCs w:val="1"/>
          <w:color w:val="auto"/>
        </w:rPr>
        <w:t>5.              INDEMNIFICATION.</w:t>
      </w:r>
    </w:p>
    <w:p>
      <w:pPr>
        <w:spacing w:after="0" w:line="229" w:lineRule="exact"/>
        <w:rPr>
          <w:sz w:val="20"/>
          <w:szCs w:val="20"/>
          <w:color w:val="auto"/>
        </w:rPr>
      </w:pPr>
    </w:p>
    <w:p>
      <w:pPr>
        <w:jc w:val="both"/>
        <w:ind w:left="4" w:firstLine="648"/>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Indemnification by the Company</w:t>
      </w:r>
      <w:r>
        <w:rPr>
          <w:rFonts w:ascii="Times New Roman" w:cs="Times New Roman" w:eastAsia="Times New Roman" w:hAnsi="Times New Roman"/>
          <w:sz w:val="18"/>
          <w:szCs w:val="18"/>
          <w:color w:val="auto"/>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1933 Act or Section 20 of the 1934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“Losses”),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1933 Act, the 1934 Act or any state securities law, or any rule or regulation thereunder, in connection with the performance of its obligations under this Agreement, except to the extent, but only to the extent, that</w:t>
      </w:r>
    </w:p>
    <w:p>
      <w:pPr>
        <w:spacing w:after="0" w:line="12" w:lineRule="exact"/>
        <w:rPr>
          <w:sz w:val="20"/>
          <w:szCs w:val="20"/>
          <w:color w:val="auto"/>
        </w:rPr>
      </w:pPr>
    </w:p>
    <w:p>
      <w:pPr>
        <w:jc w:val="both"/>
        <w:ind w:left="4" w:hanging="4"/>
        <w:spacing w:after="0" w:line="250" w:lineRule="auto"/>
        <w:tabs>
          <w:tab w:leader="none" w:pos="2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w:t>
      </w:r>
    </w:p>
    <w:p>
      <w:pPr>
        <w:spacing w:after="0" w:line="1"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28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6(c).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6(e).</w:t>
      </w:r>
    </w:p>
    <w:p>
      <w:pPr>
        <w:spacing w:after="0" w:line="188"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Indemnification by Holders</w:t>
      </w:r>
      <w:r>
        <w:rPr>
          <w:rFonts w:ascii="Times New Roman" w:cs="Times New Roman" w:eastAsia="Times New Roman" w:hAnsi="Times New Roman"/>
          <w:sz w:val="18"/>
          <w:szCs w:val="18"/>
          <w:color w:val="auto"/>
        </w:rPr>
        <w:t>. Each Holder shall, severally and not jointly, indemnify and hold harmless the Company, its directors, officers, agents and employees, each Person who controls the Company (within the meaning of Section 15 of the 1933 Act and Section 20 of the 1934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195"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Conduct of Indemnification Proceedings</w:t>
      </w:r>
      <w:r>
        <w:rPr>
          <w:rFonts w:ascii="Times New Roman" w:cs="Times New Roman" w:eastAsia="Times New Roman" w:hAnsi="Times New Roman"/>
          <w:sz w:val="18"/>
          <w:szCs w:val="18"/>
          <w:color w:val="auto"/>
        </w:rPr>
        <w:t>. If any Proceeding shall be brought or asserted against any Person entitled to indemnity hereunder (an “Indemnified Party”), such Indemnified Party shall promptly notify the Person from whom indemnity is sought (the “Indemnifying Party”)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422910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54" w:name="page55"/>
    <w:bookmarkEnd w:id="54"/>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9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thirty (30)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187"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Contribution</w:t>
      </w:r>
      <w:r>
        <w:rPr>
          <w:rFonts w:ascii="Times New Roman" w:cs="Times New Roman" w:eastAsia="Times New Roman" w:hAnsi="Times New Roman"/>
          <w:sz w:val="18"/>
          <w:szCs w:val="18"/>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indemnity and contribution agreements contained in this Section are in addition to any liability that the Indemnifying Parties may have to the Indemnified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6.              MISCELLANEOUS.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Remedies</w:t>
      </w:r>
      <w:r>
        <w:rPr>
          <w:rFonts w:ascii="Times New Roman" w:cs="Times New Roman" w:eastAsia="Times New Roman" w:hAnsi="Times New Roman"/>
          <w:sz w:val="18"/>
          <w:szCs w:val="18"/>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Discontinued Disposition</w:t>
      </w:r>
      <w:r>
        <w:rPr>
          <w:rFonts w:ascii="Times New Roman" w:cs="Times New Roman" w:eastAsia="Times New Roman" w:hAnsi="Times New Roman"/>
          <w:sz w:val="18"/>
          <w:szCs w:val="18"/>
          <w:color w:val="auto"/>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“Advice”) by the Company that the use of the applicable Prospectus (as it may have been supplemented or amended) may be resumed. The Company will use its reasonable best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2(d).</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Amendments and Waivers</w:t>
      </w:r>
      <w:r>
        <w:rPr>
          <w:rFonts w:ascii="Times New Roman" w:cs="Times New Roman" w:eastAsia="Times New Roman" w:hAnsi="Times New Roman"/>
          <w:sz w:val="18"/>
          <w:szCs w:val="18"/>
          <w:color w:val="auto"/>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(for purposes of clarification, this includes any Registrable Securities issuable upon exercise or conversion of any Security),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provisions of this sentence may not be amended, modified, or supplemented except in accordance with the provisions of the first sentence of this Section 6(c). No consideration shall be offered or paid to any Person to amend or consent to a waiver or modification of any provision of this Agreement unless the same consideration also is offered to all of the parties to this Agreement.</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Any and all notices or other communications or deliveries required or permitted to be provided hereunder shall be delivered as set forth in the Purchase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15 of the Purchase Agreement.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No Inconsistent Agreements</w:t>
      </w:r>
      <w:r>
        <w:rPr>
          <w:rFonts w:ascii="Times New Roman" w:cs="Times New Roman" w:eastAsia="Times New Roman" w:hAnsi="Times New Roman"/>
          <w:sz w:val="18"/>
          <w:szCs w:val="18"/>
          <w:color w:val="auto"/>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Neither the Company nor any of its Subsidiaries has previously entered into any agreement granting any registration rights with respect to any of its securities to any Person that have not been satisfied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419735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56" w:name="page57"/>
    <w:bookmarkEnd w:id="5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Execution and Counterparts</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All questions concerning the construction, validity, enforcement and interpretation of this Agreement shall be determined in accordance with the applicable provisions of the Purchase Agreement.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Cumulative Remedies</w:t>
      </w:r>
      <w:r>
        <w:rPr>
          <w:rFonts w:ascii="Times New Roman" w:cs="Times New Roman" w:eastAsia="Times New Roman" w:hAnsi="Times New Roman"/>
          <w:sz w:val="18"/>
          <w:szCs w:val="18"/>
          <w:color w:val="auto"/>
        </w:rPr>
        <w:t>. The remedies provided herein are cumulative and not exclusive of any other remedies provided by law.</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headings in this Agreement are for convenience only, do not constitute a part of the Agreement and shall not be deemed to limit or affect any of the provisions hereof.</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Independent Nature of Holders’ Obligations and Rights</w:t>
      </w:r>
      <w:r>
        <w:rPr>
          <w:rFonts w:ascii="Times New Roman" w:cs="Times New Roman" w:eastAsia="Times New Roman" w:hAnsi="Times New Roman"/>
          <w:sz w:val="18"/>
          <w:szCs w:val="18"/>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18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7"/>
          <w:szCs w:val="17"/>
          <w:color w:val="auto"/>
        </w:rPr>
        <w:t>IN WITNESS WHEREOF, the parties have executed this Registration Rights Agreement as of the date first written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Guillaume Lefevre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8580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Guillaume Lefevre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Interim Chief Executive Officer</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of Holders follows.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of Holders to Presto Automation Inc. RRA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336"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Name of Holder: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Remus Capital Series B II,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Signatory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Tincoff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294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John Tincoff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Authorized Signatory</w:t>
      </w:r>
    </w:p>
    <w:p>
      <w:pPr>
        <w:spacing w:after="0" w:line="205" w:lineRule="exact"/>
        <w:rPr>
          <w:sz w:val="20"/>
          <w:szCs w:val="20"/>
          <w:color w:val="auto"/>
        </w:rPr>
      </w:pPr>
    </w:p>
    <w:p>
      <w:pPr>
        <w:jc w:val="right"/>
        <w:ind w:right="23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of Holders to Presto Automation Inc. RRA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Selling Stockholder (the “</w:t>
      </w:r>
      <w:r>
        <w:rPr>
          <w:rFonts w:ascii="Times New Roman" w:cs="Times New Roman" w:eastAsia="Times New Roman" w:hAnsi="Times New Roman"/>
          <w:sz w:val="18"/>
          <w:szCs w:val="18"/>
          <w:u w:val="single" w:color="auto"/>
          <w:color w:val="auto"/>
        </w:rPr>
        <w:t>Selling Stockholders</w:t>
      </w:r>
      <w:r>
        <w:rPr>
          <w:rFonts w:ascii="Times New Roman" w:cs="Times New Roman" w:eastAsia="Times New Roman" w:hAnsi="Times New Roman"/>
          <w:sz w:val="18"/>
          <w:szCs w:val="18"/>
          <w:color w:val="auto"/>
        </w:rPr>
        <w:t>”) of the securities and any of their pledgees, assignees and successors-in-interest may, from time to time, sell any or all of their securities covered hereby on the Principal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80"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260" w:right="20" w:hanging="252"/>
        <w:spacing w:after="0" w:line="282" w:lineRule="auto"/>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260" w:right="20" w:hanging="252"/>
        <w:spacing w:after="0" w:line="282" w:lineRule="auto"/>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of 1933, as amended (the “</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if available, rather than under this prospectus.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1933 Act in connection with such sales. In such event, any commissions received by such broker-dealers or agents and any profit on the resale of the securities purchased by them may be deemed to be underwriting commissions or discounts under the 1933 Act. Each Selling Stockholder has informed the Company that it does not have any written or oral agreement or understanding, directly or indirectly, with any person to distribute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1933 Act.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1933 Act or any other rule of similar effect or (ii) all of the securities have been sold pursuant to this prospectus or Rule 144 under the 1933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1934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1934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1933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common stock being offered by the selling shareholders are those issuable to the selling shareholders pursuant to the terms of certain of the Company’s promissory notes. For additional information regarding the issuances of those notes, see “Private Placement of Notes” above. We are registering the shares of common stock in order to permit the selling shareholders to offer the shares for resale from time to time. Except for the ownership of the notes, the selling shareholders have not had any material relationship with us within the past three years.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table below lists the selling shareholders and other information regarding the beneficial ownership of our shares of common stock by each of the selling shareholders. The second column lists the number of shares of common stock beneficially owned by each selling shareholder, based on its ownership of the notes, as of [●], 2024, assuming the conversion of the notes held by the selling shareholders on that date, without regard to any limitations on exercises.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third column lists the shares of common stock being offered by this prospectus by the selling shareholders.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selling shareholders, this prospectus generally covers the resale of the maximum number of shares of common stock issuable pursuant to the notes, determined as if the notes were converted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conversion or exercise, as applicable, in the notes. The fourth column assumes the sale of all of the shares offered by the selling shareholders pursuant to this prospectus.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 of Selling</w:t>
            </w:r>
          </w:p>
        </w:tc>
        <w:tc>
          <w:tcPr>
            <w:tcW w:w="2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Number of shares of</w:t>
            </w:r>
          </w:p>
        </w:tc>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Maximum Number of</w:t>
            </w:r>
          </w:p>
        </w:tc>
        <w:tc>
          <w:tcPr>
            <w:tcW w:w="37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Number of shares of</w:t>
            </w:r>
          </w:p>
        </w:tc>
      </w:tr>
      <w:tr>
        <w:trPr>
          <w:trHeight w:val="216"/>
        </w:trPr>
        <w:tc>
          <w:tcPr>
            <w:tcW w:w="1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Shareholder</w:t>
            </w:r>
          </w:p>
        </w:tc>
        <w:tc>
          <w:tcPr>
            <w:tcW w:w="2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Common Stock</w:t>
            </w:r>
          </w:p>
        </w:tc>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shares of Common</w:t>
            </w:r>
          </w:p>
        </w:tc>
        <w:tc>
          <w:tcPr>
            <w:tcW w:w="37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Common Stock Owned</w:t>
            </w:r>
          </w:p>
        </w:tc>
      </w:tr>
      <w:tr>
        <w:trPr>
          <w:trHeight w:val="216"/>
        </w:trPr>
        <w:tc>
          <w:tcPr>
            <w:tcW w:w="1860" w:type="dxa"/>
            <w:vAlign w:val="bottom"/>
          </w:tcPr>
          <w:p>
            <w:pPr>
              <w:spacing w:after="0"/>
              <w:rPr>
                <w:sz w:val="18"/>
                <w:szCs w:val="18"/>
                <w:color w:val="auto"/>
              </w:rPr>
            </w:pPr>
          </w:p>
        </w:tc>
        <w:tc>
          <w:tcPr>
            <w:tcW w:w="2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Owned Prior to</w:t>
            </w:r>
          </w:p>
        </w:tc>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 to be Sold</w:t>
            </w:r>
          </w:p>
        </w:tc>
        <w:tc>
          <w:tcPr>
            <w:tcW w:w="37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After Offering</w:t>
            </w:r>
          </w:p>
        </w:tc>
      </w:tr>
      <w:tr>
        <w:trPr>
          <w:trHeight w:val="216"/>
        </w:trPr>
        <w:tc>
          <w:tcPr>
            <w:tcW w:w="1860" w:type="dxa"/>
            <w:vAlign w:val="bottom"/>
          </w:tcPr>
          <w:p>
            <w:pPr>
              <w:spacing w:after="0"/>
              <w:rPr>
                <w:sz w:val="18"/>
                <w:szCs w:val="18"/>
                <w:color w:val="auto"/>
              </w:rPr>
            </w:pPr>
          </w:p>
        </w:tc>
        <w:tc>
          <w:tcPr>
            <w:tcW w:w="2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Offering</w:t>
            </w:r>
          </w:p>
        </w:tc>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Pursuant to this</w:t>
            </w:r>
          </w:p>
        </w:tc>
        <w:tc>
          <w:tcPr>
            <w:tcW w:w="3720" w:type="dxa"/>
            <w:vAlign w:val="bottom"/>
          </w:tcPr>
          <w:p>
            <w:pPr>
              <w:spacing w:after="0"/>
              <w:rPr>
                <w:sz w:val="18"/>
                <w:szCs w:val="18"/>
                <w:color w:val="auto"/>
              </w:rPr>
            </w:pPr>
          </w:p>
        </w:tc>
      </w:tr>
      <w:tr>
        <w:trPr>
          <w:trHeight w:val="234"/>
        </w:trPr>
        <w:tc>
          <w:tcPr>
            <w:tcW w:w="18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Prospectus</w:t>
            </w:r>
          </w:p>
        </w:tc>
        <w:tc>
          <w:tcPr>
            <w:tcW w:w="3720" w:type="dxa"/>
            <w:vAlign w:val="bottom"/>
          </w:tcPr>
          <w:p>
            <w:pPr>
              <w:spacing w:after="0"/>
              <w:rPr>
                <w:sz w:val="20"/>
                <w:szCs w:val="20"/>
                <w:color w:val="auto"/>
              </w:rPr>
            </w:pPr>
          </w:p>
        </w:tc>
      </w:tr>
      <w:tr>
        <w:trPr>
          <w:trHeight w:val="675"/>
        </w:trPr>
        <w:tc>
          <w:tcPr>
            <w:tcW w:w="18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 NOTICE AND QUESTIONNAIRE</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beneficial owner of common stock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of Presto Automation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understands that the Company has filed or intends to file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for the registration and resale under Rule 415 of the Securities Act of 1933, as amended (the “</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of the Registrable Securities, in accordance with the terms of the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undersigned beneficial owner (the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of Registrable Securities hereby elects to include the Registrable Securities owned by it in the Registration Statement.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undersigned hereby provides the following information to the Company and represents and warrants that such information is accurate: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QUESTIONNAIRE</w:t>
      </w:r>
    </w:p>
    <w:p>
      <w:pPr>
        <w:spacing w:after="0" w:line="229"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1300" w:right="7920" w:hanging="1292"/>
        <w:spacing w:after="0" w:line="500" w:lineRule="auto"/>
        <w:tabs>
          <w:tab w:leader="none" w:pos="38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Selling Stockholder: [●]</w:t>
      </w:r>
    </w:p>
    <w:p>
      <w:pPr>
        <w:spacing w:after="0" w:line="1" w:lineRule="exact"/>
        <w:rPr>
          <w:rFonts w:ascii="Times New Roman" w:cs="Times New Roman" w:eastAsia="Times New Roman" w:hAnsi="Times New Roman"/>
          <w:sz w:val="18"/>
          <w:szCs w:val="18"/>
          <w:color w:val="auto"/>
        </w:rPr>
      </w:pPr>
    </w:p>
    <w:p>
      <w:pPr>
        <w:ind w:left="1300" w:right="2560" w:hanging="1292"/>
        <w:spacing w:after="0" w:line="500" w:lineRule="auto"/>
        <w:tabs>
          <w:tab w:leader="none" w:pos="38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Registered Holder (if not the same as (a) above) through which Registrable Securities are held: [●]</w:t>
      </w:r>
    </w:p>
    <w:p>
      <w:pPr>
        <w:spacing w:after="0" w:line="1"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right="7720" w:hanging="1292"/>
        <w:spacing w:after="0" w:line="500" w:lineRule="auto"/>
        <w:tabs>
          <w:tab w:leader="none" w:pos="38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for Notices to Selling Stockholder: Telephone: [●]</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Fax: [●]</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Person: [●]</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 Status:</w:t>
      </w:r>
    </w:p>
    <w:p>
      <w:pPr>
        <w:spacing w:after="0" w:line="22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Are you a broker-dealer?</w:t>
      </w:r>
    </w:p>
    <w:p>
      <w:pPr>
        <w:spacing w:after="0" w:line="184" w:lineRule="exact"/>
        <w:rPr>
          <w:sz w:val="20"/>
          <w:szCs w:val="20"/>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spacing w:after="0"/>
        <w:tabs>
          <w:tab w:leader="none" w:pos="360" w:val="left"/>
        </w:tabs>
        <w:rPr>
          <w:sz w:val="20"/>
          <w:szCs w:val="20"/>
          <w:color w:val="auto"/>
        </w:rPr>
      </w:pPr>
      <w:r>
        <w:rPr>
          <w:rFonts w:ascii="Times New Roman" w:cs="Times New Roman" w:eastAsia="Times New Roman" w:hAnsi="Times New Roman"/>
          <w:sz w:val="18"/>
          <w:szCs w:val="18"/>
          <w:color w:val="auto"/>
        </w:rPr>
        <w:t>(b)</w:t>
        <w:tab/>
        <w:t>If “yes” to Section 3(a), did you receive your Registrable Securities as compensation for investment banking services to the Company?</w:t>
      </w:r>
    </w:p>
    <w:p>
      <w:pPr>
        <w:spacing w:after="0" w:line="184" w:lineRule="exact"/>
        <w:rPr>
          <w:sz w:val="20"/>
          <w:szCs w:val="20"/>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Note: If “no” to Section 3(b), the SEC’s staff has indicated that you should be identified as an underwriter in the Registration Statement.</w:t>
      </w:r>
    </w:p>
    <w:p>
      <w:pPr>
        <w:spacing w:after="0" w:line="22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(c)</w:t>
        <w:tab/>
        <w:t>Are you an affiliate of a broker-dealer?</w:t>
      </w:r>
    </w:p>
    <w:p>
      <w:pPr>
        <w:spacing w:after="0" w:line="184" w:lineRule="exact"/>
        <w:rPr>
          <w:sz w:val="20"/>
          <w:szCs w:val="20"/>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jc w:val="both"/>
        <w:ind w:left="380" w:hanging="372"/>
        <w:spacing w:after="0" w:line="26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35" w:lineRule="exact"/>
        <w:rPr>
          <w:sz w:val="20"/>
          <w:szCs w:val="20"/>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Note: If “no” to Section 3(d), the SEC’s staff has indicated that you should be identified as an underwriter in the Registration Statement.</w:t>
      </w:r>
    </w:p>
    <w:p>
      <w:pPr>
        <w:spacing w:after="0" w:line="225"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of Securities of the Company Owned by the Selling Stockholder.</w:t>
      </w:r>
    </w:p>
    <w:p>
      <w:pPr>
        <w:spacing w:after="0" w:line="225" w:lineRule="exact"/>
        <w:rPr>
          <w:sz w:val="20"/>
          <w:szCs w:val="20"/>
          <w:color w:val="auto"/>
        </w:rPr>
      </w:pPr>
    </w:p>
    <w:p>
      <w:pPr>
        <w:ind w:left="400"/>
        <w:spacing w:after="0" w:line="282" w:lineRule="auto"/>
        <w:rPr>
          <w:sz w:val="20"/>
          <w:szCs w:val="20"/>
          <w:color w:val="auto"/>
        </w:rPr>
      </w:pPr>
      <w:r>
        <w:rPr>
          <w:rFonts w:ascii="Times New Roman" w:cs="Times New Roman" w:eastAsia="Times New Roman" w:hAnsi="Times New Roman"/>
          <w:sz w:val="18"/>
          <w:szCs w:val="18"/>
          <w:color w:val="auto"/>
        </w:rPr>
        <w:t>Except as set forth below in this Item 4, the undersigned is not the beneficial or registered owner of any securities of the Company other than the securities issuable pursuant to the Purchase Agreement.</w:t>
      </w:r>
    </w:p>
    <w:p>
      <w:pPr>
        <w:spacing w:after="0" w:line="16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Type and Amount of other securities beneficially owned by the Selling Stockholder:</w:t>
      </w:r>
    </w:p>
    <w:p>
      <w:pPr>
        <w:spacing w:after="0" w:line="225"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the Company:</w:t>
      </w:r>
    </w:p>
    <w:p>
      <w:pPr>
        <w:spacing w:after="0" w:line="225"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State any exceptions here:</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76" w:lineRule="exact"/>
        <w:rPr>
          <w:sz w:val="20"/>
          <w:szCs w:val="20"/>
          <w:color w:val="auto"/>
        </w:rPr>
      </w:pPr>
    </w:p>
    <w:p>
      <w:pPr>
        <w:jc w:val="both"/>
        <w:ind w:right="20" w:firstLine="389"/>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Notice and Questionnaire to be executed and delivered either in person or by its duly authorized agent.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Owner: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17145</wp:posOffset>
            </wp:positionV>
            <wp:extent cx="12426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EMAIL A COPY OF THE COMPLETED AND EXECUTED NOTICE AND QUESTIONNAIRE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Roman"/>
      <w:start w:val="1"/>
    </w:lvl>
  </w:abstractNum>
  <w:abstractNum w:abstractNumId="3">
    <w:nsid w:val="66EF438D"/>
    <w:multiLevelType w:val="hybridMultilevel"/>
    <w:lvl w:ilvl="0">
      <w:lvlJc w:val="left"/>
      <w:lvlText w:val="(%1)"/>
      <w:numFmt w:val="upperLetter"/>
      <w:start w:val="1"/>
    </w:lvl>
  </w:abstractNum>
  <w:abstractNum w:abstractNumId="4">
    <w:nsid w:val="140E0F76"/>
    <w:multiLevelType w:val="hybridMultilevel"/>
    <w:lvl w:ilvl="0">
      <w:lvlJc w:val="left"/>
      <w:lvlText w:val="(%1)"/>
      <w:numFmt w:val="lowerRoman"/>
      <w:start w:val="3"/>
    </w:lvl>
  </w:abstractNum>
  <w:abstractNum w:abstractNumId="5">
    <w:nsid w:val="3352255A"/>
    <w:multiLevelType w:val="hybridMultilevel"/>
    <w:lvl w:ilvl="0">
      <w:lvlJc w:val="left"/>
      <w:lvlText w:val="(%1)"/>
      <w:numFmt w:val="lowerRoman"/>
      <w:start w:val="2"/>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
      <w:numFmt w:val="bullet"/>
      <w:start w:val="1"/>
    </w:lvl>
    <w:lvl w:ilvl="1">
      <w:lvlJc w:val="left"/>
      <w:lvlText w:val="(%2)"/>
      <w:numFmt w:val="lowerRoman"/>
      <w:start w:val="2"/>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2"/>
    </w:lvl>
  </w:abstractNum>
  <w:abstractNum w:abstractNumId="10">
    <w:nsid w:val="41A7C4C9"/>
    <w:multiLevelType w:val="hybridMultilevel"/>
    <w:lvl w:ilvl="0">
      <w:lvlJc w:val="left"/>
      <w:lvlText w:val="(%1)"/>
      <w:numFmt w:val="decimal"/>
      <w:start w:val="2"/>
    </w:lvl>
  </w:abstractNum>
  <w:abstractNum w:abstractNumId="11">
    <w:nsid w:val="6B68079A"/>
    <w:multiLevelType w:val="hybridMultilevel"/>
    <w:lvl w:ilvl="0">
      <w:lvlJc w:val="left"/>
      <w:lvlText w:val="(%1)"/>
      <w:numFmt w:val="lowerRoman"/>
      <w:start w:val="3"/>
    </w:lvl>
  </w:abstractNum>
  <w:abstractNum w:abstractNumId="12">
    <w:nsid w:val="4E6AFB66"/>
    <w:multiLevelType w:val="hybridMultilevel"/>
    <w:lvl w:ilvl="0">
      <w:lvlJc w:val="left"/>
      <w:lvlText w:val="(%1)"/>
      <w:numFmt w:val="lowerRoman"/>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2"/>
    </w:lvl>
  </w:abstractNum>
  <w:abstractNum w:abstractNumId="17">
    <w:nsid w:val="7C83E458"/>
    <w:multiLevelType w:val="hybridMultilevel"/>
    <w:lvl w:ilvl="0">
      <w:lvlJc w:val="left"/>
      <w:lvlText w:val="(%1)"/>
      <w:numFmt w:val="lowerLetter"/>
      <w:start w:val="4"/>
    </w:lvl>
  </w:abstractNum>
  <w:abstractNum w:abstractNumId="18">
    <w:nsid w:val="257130A3"/>
    <w:multiLevelType w:val="hybridMultilevel"/>
    <w:lvl w:ilvl="0">
      <w:lvlJc w:val="left"/>
      <w:lvlText w:val="%1."/>
      <w:numFmt w:val="decimal"/>
      <w:start w:val="4"/>
    </w:lvl>
  </w:abstractNum>
  <w:abstractNum w:abstractNumId="19">
    <w:nsid w:val="62BBD95A"/>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2024-07-22T16:25:58Z</dcterms:created>
  <dcterms:modified xsi:type="dcterms:W3CDTF">2024-07-22T16:25:58Z</dcterms:modified>
</cp:coreProperties>
</file>