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Arial" w:cs="Arial" w:eastAsia="Arial" w:hAnsi="Arial"/>
          <w:sz w:val="18"/>
          <w:szCs w:val="18"/>
          <w:b w:val="1"/>
          <w:bCs w:val="1"/>
          <w:color w:val="auto"/>
        </w:rPr>
        <w:t>As filed with the Securities and Exchange Commission on December 14, 2020.</w:t>
      </w:r>
    </w:p>
    <w:p>
      <w:pPr>
        <w:spacing w:after="0" w:line="36" w:lineRule="exact"/>
        <w:rPr>
          <w:sz w:val="24"/>
          <w:szCs w:val="24"/>
          <w:color w:val="auto"/>
        </w:rPr>
      </w:pPr>
    </w:p>
    <w:p>
      <w:pPr>
        <w:ind w:left="6380"/>
        <w:spacing w:after="0"/>
        <w:rPr>
          <w:sz w:val="20"/>
          <w:szCs w:val="20"/>
          <w:color w:val="auto"/>
        </w:rPr>
      </w:pPr>
      <w:r>
        <w:rPr>
          <w:rFonts w:ascii="Arial" w:cs="Arial" w:eastAsia="Arial" w:hAnsi="Arial"/>
          <w:sz w:val="18"/>
          <w:szCs w:val="18"/>
          <w:b w:val="1"/>
          <w:bCs w:val="1"/>
          <w:color w:val="auto"/>
        </w:rPr>
        <w:t>Registration No. 333-251048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68580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ind w:left="940"/>
              <w:spacing w:after="0"/>
              <w:rPr>
                <w:sz w:val="20"/>
                <w:szCs w:val="20"/>
                <w:color w:val="auto"/>
              </w:rPr>
            </w:pPr>
            <w:r>
              <w:rPr>
                <w:rFonts w:ascii="Arial" w:cs="Arial" w:eastAsia="Arial" w:hAnsi="Arial"/>
                <w:sz w:val="16"/>
                <w:szCs w:val="16"/>
                <w:b w:val="1"/>
                <w:bCs w:val="1"/>
                <w:color w:val="auto"/>
              </w:rPr>
              <w:t>Delaware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8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1"/>
              </w:rPr>
              <w:t>84-2968594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Classification Code Number)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3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Edward Scheetz</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81"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Mitchell S. Nussbaum</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Alan I. Annex</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Giovanni Caruso</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Philip R. Weingold</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Loeb &amp; Loeb LLP</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Jason T. Simon</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345 Park Avenue</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10154</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0"/>
              </w:rPr>
              <w:t>200 Park Avenue</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(212) 407-4000</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New York, New York 10166</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(212) 407-4990 — Facsimile</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(212) 801-8200</w:t>
            </w:r>
          </w:p>
        </w:tc>
      </w:tr>
      <w:tr>
        <w:trPr>
          <w:trHeight w:val="234"/>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Arial" w:cs="Arial" w:eastAsia="Arial" w:hAnsi="Arial"/>
                <w:sz w:val="18"/>
                <w:szCs w:val="18"/>
                <w:b w:val="1"/>
                <w:bCs w:val="1"/>
                <w:color w:val="auto"/>
                <w:w w:val="90"/>
              </w:rPr>
              <w:t>_____________________</w:t>
            </w:r>
          </w:p>
        </w:tc>
      </w:tr>
    </w:tbl>
    <w:p>
      <w:pPr>
        <w:spacing w:after="0" w:line="135" w:lineRule="exact"/>
        <w:rPr>
          <w:sz w:val="24"/>
          <w:szCs w:val="24"/>
          <w:color w:val="auto"/>
        </w:rPr>
      </w:pPr>
    </w:p>
    <w:p>
      <w:pPr>
        <w:jc w:val="both"/>
        <w:ind w:left="460" w:right="479" w:firstLine="432"/>
        <w:spacing w:after="0" w:line="293"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offering.</w:t>
      </w:r>
    </w:p>
    <w:p>
      <w:pPr>
        <w:jc w:val="both"/>
        <w:ind w:left="460" w:right="479" w:firstLine="432"/>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0"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9" w:lineRule="exact"/>
        <w:rPr>
          <w:sz w:val="24"/>
          <w:szCs w:val="24"/>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9"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3"/>
        </w:trPr>
        <w:tc>
          <w:tcPr>
            <w:tcW w:w="1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9"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398"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Proposed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Offering</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7"/>
        </w:trPr>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 of Security being registered</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6" w:lineRule="exact"/>
              <w:rPr>
                <w:sz w:val="20"/>
                <w:szCs w:val="20"/>
                <w:color w:val="auto"/>
              </w:rPr>
            </w:pPr>
            <w:r>
              <w:rPr>
                <w:rFonts w:ascii="Arial" w:cs="Arial" w:eastAsia="Arial" w:hAnsi="Arial"/>
                <w:sz w:val="29"/>
                <w:szCs w:val="29"/>
                <w:b w:val="1"/>
                <w:bCs w:val="1"/>
                <w:color w:val="auto"/>
                <w:w w:val="83"/>
                <w:vertAlign w:val="subscript"/>
              </w:rPr>
              <w:t>Price</w:t>
            </w:r>
            <w:r>
              <w:rPr>
                <w:rFonts w:ascii="Arial" w:cs="Arial" w:eastAsia="Arial" w:hAnsi="Arial"/>
                <w:sz w:val="9"/>
                <w:szCs w:val="9"/>
                <w:b w:val="1"/>
                <w:bCs w:val="1"/>
                <w:color w:val="auto"/>
                <w:w w:val="83"/>
              </w:rPr>
              <w:t>(1)(2)</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95"/>
        </w:trPr>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$0.0001 par value, one right, and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warrant entitling the holder to purchase one-half</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one share of common stock</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18,819.75</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Shares of common stock, $0.0001 par value,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0"/>
                <w:szCs w:val="10"/>
                <w:color w:val="auto"/>
                <w:w w:val="95"/>
              </w:rPr>
              <w:t>(3)</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Shares of common stock underlying the rights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included in the units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862,500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0"/>
                <w:szCs w:val="10"/>
                <w:color w:val="auto"/>
                <w:w w:val="95"/>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172,500,000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18,819.75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66" w:lineRule="auto"/>
        <w:tabs>
          <w:tab w:leader="none" w:pos="887"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6"/>
          <w:szCs w:val="16"/>
          <w:color w:val="auto"/>
        </w:rPr>
      </w:pPr>
    </w:p>
    <w:p>
      <w:pPr>
        <w:jc w:val="both"/>
        <w:ind w:left="880" w:right="479" w:hanging="426"/>
        <w:spacing w:after="0" w:line="264" w:lineRule="auto"/>
        <w:tabs>
          <w:tab w:leader="none" w:pos="1045"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41" w:lineRule="exact"/>
        <w:rPr>
          <w:sz w:val="20"/>
          <w:szCs w:val="20"/>
          <w:color w:val="auto"/>
        </w:rPr>
      </w:pPr>
    </w:p>
    <w:p>
      <w:pPr>
        <w:jc w:val="both"/>
        <w:ind w:left="460" w:right="459" w:firstLine="432"/>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8" w:lineRule="exact"/>
        <w:rPr>
          <w:sz w:val="20"/>
          <w:szCs w:val="20"/>
          <w:color w:val="auto"/>
        </w:rPr>
      </w:pPr>
    </w:p>
    <w:p>
      <w:pPr>
        <w:ind w:left="460"/>
        <w:spacing w:after="0"/>
        <w:tabs>
          <w:tab w:leader="none" w:pos="366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DECEMBER 14,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$150,000,000</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 UNITS</w:t>
      </w:r>
    </w:p>
    <w:p>
      <w:pPr>
        <w:spacing w:after="0" w:line="54" w:lineRule="exact"/>
        <w:rPr>
          <w:sz w:val="20"/>
          <w:szCs w:val="20"/>
          <w:color w:val="auto"/>
        </w:rPr>
      </w:pPr>
    </w:p>
    <w:p>
      <w:pPr>
        <w:jc w:val="both"/>
        <w:ind w:left="460" w:right="459" w:firstLine="432"/>
        <w:spacing w:after="0" w:line="226" w:lineRule="auto"/>
        <w:rPr>
          <w:sz w:val="20"/>
          <w:szCs w:val="20"/>
          <w:color w:val="auto"/>
        </w:rPr>
      </w:pPr>
      <w:r>
        <w:rPr>
          <w:rFonts w:ascii="Arial" w:cs="Arial" w:eastAsia="Arial" w:hAnsi="Arial"/>
          <w:sz w:val="14"/>
          <w:szCs w:val="14"/>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 w:lineRule="exact"/>
        <w:rPr>
          <w:sz w:val="20"/>
          <w:szCs w:val="20"/>
          <w:color w:val="auto"/>
        </w:rPr>
      </w:pPr>
    </w:p>
    <w:p>
      <w:pPr>
        <w:jc w:val="both"/>
        <w:ind w:left="460" w:right="459" w:firstLine="432"/>
        <w:spacing w:after="0" w:line="223" w:lineRule="auto"/>
        <w:rPr>
          <w:sz w:val="20"/>
          <w:szCs w:val="20"/>
          <w:color w:val="auto"/>
        </w:rPr>
      </w:pPr>
      <w:r>
        <w:rPr>
          <w:rFonts w:ascii="Arial" w:cs="Arial" w:eastAsia="Arial" w:hAnsi="Arial"/>
          <w:sz w:val="14"/>
          <w:szCs w:val="14"/>
          <w:color w:val="auto"/>
        </w:rPr>
        <w:t>This is an initial public offering of our securities. We are offering 15,000,000 units at an offering price of $10.00 per unit. Each unit consists of one share of common stock, par value $0.0001, one right, which we refer throughout this prospectus as “rights,” and one warrant, which we refer to throughout this prospectus as “warrants” or the “public warrants.” Each right entitles the holder thereof to receive one-twentieth (1/20) of one share of common stock upon the consummation of an initial business combination, as described in more detail in this prospectus. Each warrant entitles the holder thereof to purchase one-half of one share of common stock at a price of $11.50 per whole share, subject to adjustment as described in the prospectus. We will not issue fractional shares. As a result, you must have 20 rights to receive a share of common stock at the closing of the initial business combination and 2 warrants to receive a share of common stock when exercising your warrants.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3" w:lineRule="exact"/>
        <w:rPr>
          <w:sz w:val="20"/>
          <w:szCs w:val="20"/>
          <w:color w:val="auto"/>
        </w:rPr>
      </w:pPr>
    </w:p>
    <w:p>
      <w:pPr>
        <w:jc w:val="both"/>
        <w:ind w:left="460" w:right="459" w:firstLine="432"/>
        <w:spacing w:after="0" w:line="237" w:lineRule="auto"/>
        <w:rPr>
          <w:sz w:val="20"/>
          <w:szCs w:val="20"/>
          <w:color w:val="auto"/>
        </w:rPr>
      </w:pPr>
      <w:r>
        <w:rPr>
          <w:rFonts w:ascii="Arial" w:cs="Arial" w:eastAsia="Arial" w:hAnsi="Arial"/>
          <w:sz w:val="14"/>
          <w:szCs w:val="14"/>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3"/>
          <w:szCs w:val="13"/>
          <w:color w:val="auto"/>
        </w:rPr>
        <w:t>We will provide the holders of our outstanding shares of common stock that were sold as part of the units in this offering, or the “public stockholders,”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3"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14"/>
          <w:szCs w:val="14"/>
          <w:color w:val="auto"/>
        </w:rPr>
        <w:t>We have 15 months (or up to 18 months if we have extended the period of time as described in this prospectus)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line="224" w:lineRule="auto"/>
        <w:rPr>
          <w:sz w:val="20"/>
          <w:szCs w:val="20"/>
          <w:color w:val="auto"/>
        </w:rPr>
      </w:pPr>
      <w:r>
        <w:rPr>
          <w:rFonts w:ascii="Arial" w:cs="Arial" w:eastAsia="Arial" w:hAnsi="Arial"/>
          <w:sz w:val="14"/>
          <w:szCs w:val="14"/>
          <w:color w:val="auto"/>
        </w:rPr>
        <w:t>Ventoux Acquisition Holdings LLC (“Ventoux Acquisition”), our co-sponsor and an affiliate of certain of our directors and officers, has committed to purchase from us an aggregate of 4,000,000 warrants (or 4,450,000 warrants if the over-allotment option is exercised in full), and Chardan International Investments, LLC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4"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3"/>
          <w:szCs w:val="13"/>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spacing w:after="0" w:line="3" w:lineRule="exact"/>
        <w:rPr>
          <w:sz w:val="20"/>
          <w:szCs w:val="20"/>
          <w:color w:val="auto"/>
        </w:rPr>
      </w:pPr>
    </w:p>
    <w:p>
      <w:pPr>
        <w:jc w:val="both"/>
        <w:ind w:left="460" w:right="459" w:firstLine="432"/>
        <w:spacing w:after="0" w:line="242" w:lineRule="auto"/>
        <w:rPr>
          <w:sz w:val="20"/>
          <w:szCs w:val="20"/>
          <w:color w:val="auto"/>
        </w:rPr>
      </w:pPr>
      <w:r>
        <w:rPr>
          <w:rFonts w:ascii="Arial" w:cs="Arial" w:eastAsia="Arial" w:hAnsi="Arial"/>
          <w:sz w:val="13"/>
          <w:szCs w:val="13"/>
          <w:color w:val="auto"/>
        </w:rPr>
        <w:t>There is presently no public market for our units, common stock, rights or warrants. We intend to apply to have our units listed on the Nasdaq Capital Market, or Nasdaq, under the symbol “VTAQU” on or promptly after the date of this prospectus. We cannot guarantee that our securities will be approved for listing on Nasdaq. Once the securities comprising the units begin separate trading as described in this prospectus, the shares of common stock, rights and warrants will be traded on Nasdaq under the symbols “VTAQ,” “VTAQR” and “VTAQW,” respectively. We cannot assure you that our securities will continue to be listed on Nasdaq after this offering.</w:t>
      </w:r>
    </w:p>
    <w:p>
      <w:pPr>
        <w:spacing w:after="0" w:line="2" w:lineRule="exact"/>
        <w:rPr>
          <w:sz w:val="20"/>
          <w:szCs w:val="20"/>
          <w:color w:val="auto"/>
        </w:rPr>
      </w:pPr>
    </w:p>
    <w:p>
      <w:pPr>
        <w:jc w:val="both"/>
        <w:ind w:left="460" w:right="459" w:firstLine="432"/>
        <w:spacing w:after="0" w:line="237" w:lineRule="auto"/>
        <w:rPr>
          <w:sz w:val="20"/>
          <w:szCs w:val="20"/>
          <w:color w:val="auto"/>
        </w:rPr>
      </w:pPr>
      <w:r>
        <w:rPr>
          <w:rFonts w:ascii="Arial" w:cs="Arial" w:eastAsia="Arial" w:hAnsi="Arial"/>
          <w:sz w:val="14"/>
          <w:szCs w:val="14"/>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79" w:firstLine="432"/>
        <w:spacing w:after="0" w:line="235" w:lineRule="auto"/>
        <w:rPr>
          <w:sz w:val="20"/>
          <w:szCs w:val="20"/>
          <w:color w:val="auto"/>
        </w:rPr>
      </w:pPr>
      <w:r>
        <w:rPr>
          <w:rFonts w:ascii="Arial" w:cs="Arial" w:eastAsia="Arial" w:hAnsi="Arial"/>
          <w:sz w:val="14"/>
          <w:szCs w:val="14"/>
          <w:b w:val="1"/>
          <w:bCs w:val="1"/>
          <w:color w:val="auto"/>
        </w:rPr>
        <w:t>Investing in our securities involves a high degree of risk. See “Risk Factors” beginning on page 22 of this prospectus for a discussion of information that should be considered in connection with an investment in our securities.</w:t>
      </w:r>
    </w:p>
    <w:p>
      <w:pPr>
        <w:jc w:val="both"/>
        <w:ind w:left="460" w:right="459" w:firstLine="432"/>
        <w:spacing w:after="0" w:line="232" w:lineRule="auto"/>
        <w:rPr>
          <w:sz w:val="20"/>
          <w:szCs w:val="20"/>
          <w:color w:val="auto"/>
        </w:rPr>
      </w:pPr>
      <w:r>
        <w:rPr>
          <w:rFonts w:ascii="Arial" w:cs="Arial" w:eastAsia="Arial" w:hAnsi="Arial"/>
          <w:sz w:val="14"/>
          <w:szCs w:val="14"/>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b w:val="1"/>
                <w:bCs w:val="1"/>
                <w:color w:val="auto"/>
                <w:w w:val="86"/>
              </w:rPr>
              <w:t>Proceeds,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4"/>
                <w:szCs w:val="14"/>
                <w:b w:val="1"/>
                <w:bCs w:val="1"/>
                <w:color w:val="auto"/>
                <w:w w:val="84"/>
              </w:rPr>
              <w:t>Commissions</w:t>
            </w:r>
            <w:r>
              <w:rPr>
                <w:rFonts w:ascii="Arial" w:cs="Arial" w:eastAsia="Arial" w:hAnsi="Arial"/>
                <w:sz w:val="21"/>
                <w:szCs w:val="21"/>
                <w:b w:val="1"/>
                <w:bCs w:val="1"/>
                <w:color w:val="auto"/>
                <w:w w:val="8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Expenses, to us</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58"/>
        </w:trPr>
        <w:tc>
          <w:tcPr>
            <w:tcW w:w="28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150,000,000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3,000,000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147,000,000</w:t>
            </w:r>
          </w:p>
        </w:tc>
        <w:tc>
          <w:tcPr>
            <w:tcW w:w="0" w:type="dxa"/>
            <w:vAlign w:val="bottom"/>
          </w:tcPr>
          <w:p>
            <w:pPr>
              <w:spacing w:after="0"/>
              <w:rPr>
                <w:sz w:val="1"/>
                <w:szCs w:val="1"/>
                <w:color w:val="auto"/>
              </w:rPr>
            </w:pPr>
          </w:p>
        </w:tc>
      </w:tr>
      <w:tr>
        <w:trPr>
          <w:trHeight w:val="276"/>
        </w:trPr>
        <w:tc>
          <w:tcPr>
            <w:tcW w:w="2800" w:type="dxa"/>
            <w:vAlign w:val="bottom"/>
          </w:tcPr>
          <w:p>
            <w:pPr>
              <w:spacing w:after="0"/>
              <w:rPr>
                <w:sz w:val="20"/>
                <w:szCs w:val="20"/>
                <w:color w:val="auto"/>
              </w:rPr>
            </w:pPr>
            <w:r>
              <w:rPr>
                <w:rFonts w:ascii="Arial" w:cs="Arial" w:eastAsia="Arial" w:hAnsi="Arial"/>
                <w:sz w:val="16"/>
                <w:szCs w:val="16"/>
                <w:color w:val="auto"/>
              </w:rPr>
              <w:t>____________</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880" w:right="459" w:hanging="426"/>
        <w:spacing w:after="0" w:line="227" w:lineRule="auto"/>
        <w:tabs>
          <w:tab w:leader="none" w:pos="89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$100,000 payable to B. Riley Securities, Inc. for acting as a qualified independent underwriter. Please see the section titled “Underwriting (Conflicts of Interest)” for further information relating to the underwriting arrangements agreed to between us and the underwriters in this offering.</w:t>
      </w:r>
    </w:p>
    <w:p>
      <w:pPr>
        <w:ind w:left="880" w:right="459" w:hanging="426"/>
        <w:spacing w:after="0" w:line="231" w:lineRule="auto"/>
        <w:tabs>
          <w:tab w:leader="none" w:pos="889"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underwriters will receive compensation in addition to the underwriting discount. See “Underwriting (Conflict of Interest)” for a description of compensation and other items of value payable to the underwriters.</w:t>
      </w:r>
    </w:p>
    <w:p>
      <w:pPr>
        <w:spacing w:after="0" w:line="1"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14"/>
          <w:szCs w:val="14"/>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 w:lineRule="exact"/>
        <w:rPr>
          <w:sz w:val="20"/>
          <w:szCs w:val="20"/>
          <w:color w:val="auto"/>
        </w:rPr>
      </w:pPr>
    </w:p>
    <w:p>
      <w:pPr>
        <w:jc w:val="both"/>
        <w:ind w:left="460" w:right="479" w:firstLine="432"/>
        <w:spacing w:after="0" w:line="237" w:lineRule="auto"/>
        <w:rPr>
          <w:sz w:val="20"/>
          <w:szCs w:val="20"/>
          <w:color w:val="auto"/>
        </w:rPr>
      </w:pPr>
      <w:r>
        <w:rPr>
          <w:rFonts w:ascii="Arial" w:cs="Arial" w:eastAsia="Arial" w:hAnsi="Arial"/>
          <w:sz w:val="14"/>
          <w:szCs w:val="14"/>
          <w:color w:val="auto"/>
        </w:rPr>
        <w:t xml:space="preserve">The underwriters are offering the units on a firm commitment basis. Chardan Capital Markets, LLC, acting as the representative of the underwriters, expects to deliver the units to purchasers on or about </w:t>
      </w:r>
      <w:r>
        <w:rPr>
          <w:rFonts w:ascii="Arial" w:cs="Arial" w:eastAsia="Arial" w:hAnsi="Arial"/>
          <w:sz w:val="14"/>
          <w:szCs w:val="14"/>
          <w:b w:val="1"/>
          <w:bCs w:val="1"/>
          <w:color w:val="auto"/>
        </w:rPr>
        <w:t>___________,</w:t>
      </w:r>
      <w:r>
        <w:rPr>
          <w:rFonts w:ascii="Arial" w:cs="Arial" w:eastAsia="Arial" w:hAnsi="Arial"/>
          <w:sz w:val="14"/>
          <w:szCs w:val="14"/>
          <w:color w:val="auto"/>
        </w:rPr>
        <w:t xml:space="preserve"> 2020</w:t>
      </w:r>
      <w:r>
        <w:rPr>
          <w:rFonts w:ascii="Arial" w:cs="Arial" w:eastAsia="Arial" w:hAnsi="Arial"/>
          <w:sz w:val="14"/>
          <w:szCs w:val="14"/>
          <w:b w:val="1"/>
          <w:bCs w:val="1"/>
          <w:color w:val="auto"/>
        </w:rPr>
        <w:t>.</w:t>
      </w:r>
    </w:p>
    <w:p>
      <w:pPr>
        <w:sectPr>
          <w:pgSz w:w="11900" w:h="16838" w:orient="portrait"/>
          <w:cols w:equalWidth="0" w:num="1">
            <w:col w:w="9019"/>
          </w:cols>
          <w:pgMar w:left="1440" w:top="274" w:right="1440"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i w:val="1"/>
          <w:iCs w:val="1"/>
          <w:color w:val="auto"/>
        </w:rPr>
        <w:t>Sole Book-Running Manager</w:t>
      </w:r>
    </w:p>
    <w:p>
      <w:pPr>
        <w:sectPr>
          <w:pgSz w:w="11900" w:h="16838" w:orient="portrait"/>
          <w:cols w:equalWidth="0" w:num="1">
            <w:col w:w="9019"/>
          </w:cols>
          <w:pgMar w:left="1440" w:top="125" w:right="1440" w:bottom="144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Chardan</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87</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99</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EXPERTS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68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680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20" w:lineRule="exact"/>
        <w:rPr>
          <w:sz w:val="20"/>
          <w:szCs w:val="20"/>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“our” or “our company” refers to Ventoux CCM Acquisition Corp.;</w:t>
      </w:r>
    </w:p>
    <w:p>
      <w:pPr>
        <w:spacing w:after="0" w:line="144" w:lineRule="exact"/>
        <w:rPr>
          <w:rFonts w:ascii="Arial" w:cs="Arial" w:eastAsia="Arial" w:hAnsi="Arial"/>
          <w:sz w:val="18"/>
          <w:szCs w:val="18"/>
          <w:color w:val="auto"/>
        </w:rPr>
      </w:pPr>
    </w:p>
    <w:p>
      <w:pPr>
        <w:jc w:val="both"/>
        <w:ind w:left="1400" w:right="559" w:hanging="424"/>
        <w:spacing w:after="0" w:line="263"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116" w:lineRule="exact"/>
        <w:rPr>
          <w:rFonts w:ascii="Arial" w:cs="Arial" w:eastAsia="Arial" w:hAnsi="Arial"/>
          <w:sz w:val="18"/>
          <w:szCs w:val="18"/>
          <w:color w:val="auto"/>
        </w:rPr>
      </w:pPr>
    </w:p>
    <w:p>
      <w:pPr>
        <w:jc w:val="both"/>
        <w:ind w:left="1400" w:right="559" w:hanging="424"/>
        <w:spacing w:after="0" w:line="279" w:lineRule="auto"/>
        <w:tabs>
          <w:tab w:leader="none" w:pos="140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“founder shares” or “insider shares” refers to the 4,312,500 shares of common stock held by our co-sponsors, our directors, and affiliates of our management team prior to this offering (including up to an aggregate of 562,500 shares of common stock subject to forfeiture to the extent that the underwriters’ over-allotment option is not exercised in full or in part);</w:t>
      </w:r>
    </w:p>
    <w:p>
      <w:pPr>
        <w:spacing w:after="0" w:line="103" w:lineRule="exact"/>
        <w:rPr>
          <w:rFonts w:ascii="Arial" w:cs="Arial" w:eastAsia="Arial" w:hAnsi="Arial"/>
          <w:sz w:val="17"/>
          <w:szCs w:val="17"/>
          <w:color w:val="auto"/>
        </w:rPr>
      </w:pPr>
    </w:p>
    <w:p>
      <w:pPr>
        <w:ind w:left="1400" w:right="559" w:hanging="424"/>
        <w:spacing w:after="0" w:line="308" w:lineRule="auto"/>
        <w:tabs>
          <w:tab w:leader="none" w:pos="163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warrants” refers to the warrants we are selling privately to Ventoux Acquisition, Chardan Investments, and/or their designees upon consummation of this offering;</w:t>
      </w:r>
    </w:p>
    <w:p>
      <w:pPr>
        <w:spacing w:after="0" w:line="65" w:lineRule="exact"/>
        <w:rPr>
          <w:rFonts w:ascii="Arial" w:cs="Arial" w:eastAsia="Arial" w:hAnsi="Arial"/>
          <w:sz w:val="17"/>
          <w:szCs w:val="17"/>
          <w:color w:val="auto"/>
        </w:rPr>
      </w:pPr>
    </w:p>
    <w:p>
      <w:pPr>
        <w:jc w:val="both"/>
        <w:ind w:left="1400" w:right="559" w:hanging="424"/>
        <w:spacing w:after="0" w:line="263"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warrants, which includes the public warrants as well as the private warrants to the extent they are no longer held by the initial purchasers of the private warrants or their permitted transferees;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“rights” refers to the rights sold as part of the units in this offering (whether they are purchased in this offering or thereafter in the open market);</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“co-sponsors” refers to Ventoux Acquisition and Chardan Investments;</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“Ventoux Acquisition” refers to Ventoux Acquisition Holdings LLC, an entity affiliated with certain of our director and officers;</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Investments” refers to Chardan International Investments, LLC, an entity affiliated with certain of our investors and Chardan Capital Markets, LLC;</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48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or “Chardan Capital Markets, LLC” refers to Chardan Capital Markets, LLC, the representative of the underwriters;</w:t>
      </w:r>
    </w:p>
    <w:p>
      <w:pPr>
        <w:spacing w:after="0" w:line="89" w:lineRule="exact"/>
        <w:rPr>
          <w:rFonts w:ascii="Arial" w:cs="Arial" w:eastAsia="Arial" w:hAnsi="Arial"/>
          <w:sz w:val="18"/>
          <w:szCs w:val="18"/>
          <w:color w:val="auto"/>
        </w:rPr>
      </w:pPr>
    </w:p>
    <w:p>
      <w:pPr>
        <w:jc w:val="both"/>
        <w:ind w:left="1400" w:right="559" w:hanging="424"/>
        <w:spacing w:after="0" w:line="275" w:lineRule="auto"/>
        <w:tabs>
          <w:tab w:leader="none" w:pos="149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08" w:lineRule="exact"/>
        <w:rPr>
          <w:rFonts w:ascii="Arial" w:cs="Arial" w:eastAsia="Arial" w:hAnsi="Arial"/>
          <w:sz w:val="17"/>
          <w:szCs w:val="17"/>
          <w:color w:val="auto"/>
        </w:rPr>
      </w:pPr>
    </w:p>
    <w:p>
      <w:pPr>
        <w:ind w:left="1400" w:right="559" w:hanging="424"/>
        <w:spacing w:after="0" w:line="277" w:lineRule="auto"/>
        <w:tabs>
          <w:tab w:leader="none" w:pos="15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information in this prospectus assumes that the underwriters will not exercise their over-allotment option (unless otherwise indicated).</w:t>
      </w:r>
    </w:p>
    <w:p>
      <w:pPr>
        <w:spacing w:after="0" w:line="103"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03"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9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19"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95"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13"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9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9"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10"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1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30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7306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10"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83"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77"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board of directors will include Woodrow (“Woody”) H. Levin, Julie Atkinson, Christian (“Chris”) Ahrens and Bernard Van der Lande.</w:t>
      </w:r>
    </w:p>
    <w:p>
      <w:pPr>
        <w:spacing w:after="0" w:line="89"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00" w:lineRule="exact"/>
        <w:rPr>
          <w:sz w:val="20"/>
          <w:szCs w:val="20"/>
          <w:color w:val="auto"/>
        </w:rPr>
      </w:pPr>
    </w:p>
    <w:p>
      <w:pPr>
        <w:jc w:val="both"/>
        <w:ind w:left="540" w:right="559" w:firstLine="432"/>
        <w:spacing w:after="0" w:line="293" w:lineRule="auto"/>
        <w:rPr>
          <w:sz w:val="20"/>
          <w:szCs w:val="20"/>
          <w:color w:val="auto"/>
        </w:rPr>
      </w:pPr>
      <w:r>
        <w:rPr>
          <w:rFonts w:ascii="Arial" w:cs="Arial" w:eastAsia="Arial" w:hAnsi="Arial"/>
          <w:sz w:val="16"/>
          <w:szCs w:val="16"/>
          <w:color w:val="auto"/>
        </w:rPr>
        <w:t>Chris Ahrens is an Advisor with Certares Management LLC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83"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Bernard Van der Lande is Managing Director of Cindat USA, LLC (“Cindat”), a global private equity investment platform for whom Mr. Van der Lande oversees US and European operations as well as strategy and fund formation initiatives. Consistently in the vanguard of cross-border and digitized capital formation strategies, Mr. Van der</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953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9535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 Mr. Van der Lande began his career with The Coca-Cola Company, and spent a half decade working in Asia.</w:t>
      </w:r>
    </w:p>
    <w:p>
      <w:pPr>
        <w:spacing w:after="0" w:line="83"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Mr. Robert Martin will serve as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0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7"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83"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7"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5"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93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2937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144" w:lineRule="exact"/>
        <w:rPr>
          <w:sz w:val="20"/>
          <w:szCs w:val="20"/>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93"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41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103"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95" w:lineRule="exact"/>
        <w:rPr>
          <w:sz w:val="20"/>
          <w:szCs w:val="20"/>
          <w:color w:val="auto"/>
        </w:rPr>
      </w:pPr>
    </w:p>
    <w:p>
      <w:pPr>
        <w:ind w:left="1400" w:right="559" w:hanging="424"/>
        <w:spacing w:after="0" w:line="277" w:lineRule="auto"/>
        <w:tabs>
          <w:tab w:leader="none" w:pos="1418"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418"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102" w:lineRule="exact"/>
        <w:rPr>
          <w:rFonts w:ascii="Arial" w:cs="Arial" w:eastAsia="Arial" w:hAnsi="Arial"/>
          <w:sz w:val="18"/>
          <w:szCs w:val="18"/>
          <w:color w:val="auto"/>
        </w:rPr>
      </w:pPr>
    </w:p>
    <w:p>
      <w:pPr>
        <w:jc w:val="both"/>
        <w:ind w:left="1400" w:right="559" w:hanging="424"/>
        <w:spacing w:after="0" w:line="286" w:lineRule="auto"/>
        <w:tabs>
          <w:tab w:leader="none" w:pos="1634"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84" w:lineRule="exact"/>
        <w:rPr>
          <w:rFonts w:ascii="Arial" w:cs="Arial" w:eastAsia="Arial" w:hAnsi="Arial"/>
          <w:sz w:val="17"/>
          <w:szCs w:val="17"/>
          <w:color w:val="auto"/>
        </w:rPr>
      </w:pPr>
    </w:p>
    <w:p>
      <w:pPr>
        <w:ind w:left="1400" w:right="559" w:hanging="424"/>
        <w:spacing w:after="0" w:line="277" w:lineRule="auto"/>
        <w:tabs>
          <w:tab w:leader="none" w:pos="148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 in these challenging times for the industry sectors;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44" w:lineRule="exact"/>
        <w:rPr>
          <w:rFonts w:ascii="Arial" w:cs="Arial" w:eastAsia="Arial" w:hAnsi="Arial"/>
          <w:sz w:val="18"/>
          <w:szCs w:val="18"/>
          <w:color w:val="auto"/>
        </w:rPr>
      </w:pPr>
    </w:p>
    <w:p>
      <w:pPr>
        <w:ind w:left="1400" w:right="559" w:hanging="424"/>
        <w:spacing w:after="0" w:line="308" w:lineRule="auto"/>
        <w:tabs>
          <w:tab w:leader="none" w:pos="1539"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an operating model that has adapted or has an executable strategy to be able to meet the changing consumer or business behaviors in a COVID-19 or post-COVID 19 environment;</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31"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85"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90"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Each business combination will be approved by a majority of our independent directors.</w:t>
      </w:r>
    </w:p>
    <w:p>
      <w:pPr>
        <w:spacing w:after="0" w:line="84" w:lineRule="exact"/>
        <w:rPr>
          <w:sz w:val="20"/>
          <w:szCs w:val="20"/>
          <w:color w:val="auto"/>
        </w:rPr>
      </w:pPr>
    </w:p>
    <w:p>
      <w:pPr>
        <w:jc w:val="both"/>
        <w:ind w:left="540" w:right="559" w:firstLine="432"/>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274" w:right="1440"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founder shares are identical to the public shares. However, our initial stockholders have agreed</w:t>
      </w:r>
    </w:p>
    <w:p>
      <w:pPr>
        <w:spacing w:after="0" w:line="46" w:lineRule="exact"/>
        <w:rPr>
          <w:sz w:val="20"/>
          <w:szCs w:val="20"/>
          <w:color w:val="auto"/>
        </w:rPr>
      </w:pPr>
    </w:p>
    <w:p>
      <w:pPr>
        <w:jc w:val="both"/>
        <w:ind w:left="540" w:right="559" w:firstLine="4"/>
        <w:spacing w:after="0" w:line="286" w:lineRule="auto"/>
        <w:tabs>
          <w:tab w:leader="none" w:pos="8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of the closing of this offering (or up to 18 months, as applicable),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02"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522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14"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91"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15 months (or up to 18 months, as applicable), the proceeds from the sale of the private warrants will be included in the liquidating distribution to the holders of our public shares.</w:t>
      </w:r>
    </w:p>
    <w:p>
      <w:pPr>
        <w:spacing w:after="0" w:line="109"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4"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03"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executive offices are located at 1 East Putnam Avenue, Floor 4, Greenwich, CT, 06830, and our telephone number is 646-465-9000.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511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511030"/>
                    </a:xfrm>
                    <a:prstGeom prst="rect">
                      <a:avLst/>
                    </a:prstGeom>
                    <a:noFill/>
                  </pic:spPr>
                </pic:pic>
              </a:graphicData>
            </a:graphic>
          </wp:anchor>
        </w:drawing>
      </w:r>
    </w:p>
    <w:p>
      <w:pPr>
        <w:sectPr>
          <w:pgSz w:w="11900" w:h="16838" w:orient="portrait"/>
          <w:cols w:equalWidth="0" w:num="1">
            <w:col w:w="9019"/>
          </w:cols>
          <w:pgMar w:left="1440" w:top="274" w:right="1440" w:bottom="474"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22 of this prospectus.</w:t>
      </w:r>
    </w:p>
    <w:p>
      <w:pPr>
        <w:spacing w:after="0" w:line="133"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15,000,000 units, at $10.00 per unit, each unit consisting of one share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of common stock, one right and one warrant. Each right entitles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holder thereof to receive one-twentieth (1/20) of one share of common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stock upon the consummation of an initial business combination. Each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warrant entitles the holder thereof to purchase one-half of one share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common stock at a price of $11.50 per whole share, subject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adjustment as described in this prospectus.</w:t>
      </w:r>
    </w:p>
    <w:p>
      <w:pPr>
        <w:sectPr>
          <w:pgSz w:w="11900" w:h="16838" w:orient="portrait"/>
          <w:cols w:equalWidth="0" w:num="1">
            <w:col w:w="9019"/>
          </w:cols>
          <w:pgMar w:left="1440" w:top="274" w:right="1440" w:bottom="474" w:gutter="0" w:footer="0" w:header="0"/>
          <w:type w:val="continuous"/>
        </w:sectPr>
      </w:pPr>
    </w:p>
    <w:p>
      <w:pPr>
        <w:spacing w:after="0" w:line="180"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We anticipate the units and the shares of common stock, the rights and the warrants, once they begin separate trading, will be listed on Nasdaq under the symbols “VTAQU,” “VTAQ,” “VTAR” and “VTAQW,” respectively.</w:t>
      </w:r>
    </w:p>
    <w:p>
      <w:pPr>
        <w:spacing w:after="0" w:line="160"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Each of the shares of common stock, rights and warrants may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rights and warrants until we file an audited balance sheet reflecting our receipt of the gross proceeds of this offering.</w:t>
      </w:r>
    </w:p>
    <w:p>
      <w:pPr>
        <w:spacing w:after="0" w:line="146" w:lineRule="exact"/>
        <w:rPr>
          <w:sz w:val="20"/>
          <w:szCs w:val="20"/>
          <w:color w:val="auto"/>
        </w:rPr>
      </w:pPr>
    </w:p>
    <w:p>
      <w:pPr>
        <w:jc w:val="both"/>
        <w:ind w:right="559"/>
        <w:spacing w:after="0" w:line="254" w:lineRule="auto"/>
        <w:rPr>
          <w:sz w:val="20"/>
          <w:szCs w:val="20"/>
          <w:color w:val="auto"/>
        </w:rPr>
      </w:pPr>
      <w:r>
        <w:rPr>
          <w:rFonts w:ascii="Arial" w:cs="Arial" w:eastAsia="Arial" w:hAnsi="Arial"/>
          <w:sz w:val="18"/>
          <w:szCs w:val="18"/>
          <w:color w:val="auto"/>
        </w:rPr>
        <w:t>Once the shares of common stock, rights and warrants commence separate trading, holders will have the option to continue to hold units or separate their units into shares of common stock, rights and warrants. Holders will need to have their brokers contact our transfer agent, Continental Stock Transfer &amp; Trust Company, in order to separate the units into separately trading shares of common stock, rights and warrants.</w:t>
      </w:r>
    </w:p>
    <w:p>
      <w:pPr>
        <w:spacing w:after="0" w:line="168"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rights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79"/>
        <w:spacing w:after="0" w:line="286" w:lineRule="auto"/>
        <w:rPr>
          <w:sz w:val="20"/>
          <w:szCs w:val="20"/>
          <w:color w:val="auto"/>
        </w:rPr>
      </w:pPr>
      <w:r>
        <w:rPr>
          <w:rFonts w:ascii="Arial" w:cs="Arial" w:eastAsia="Arial" w:hAnsi="Arial"/>
          <w:sz w:val="17"/>
          <w:szCs w:val="17"/>
          <w:color w:val="auto"/>
        </w:rPr>
        <w:t>In connection with the completion of our initial business combination, we may, at our discretion, mandatorily separate all issued and outstanding units into shares of common stock, rights and warrants.</w:t>
      </w:r>
    </w:p>
    <w:p>
      <w:pPr>
        <w:spacing w:after="0" w:line="134" w:lineRule="exact"/>
        <w:rPr>
          <w:sz w:val="20"/>
          <w:szCs w:val="20"/>
          <w:color w:val="auto"/>
        </w:rPr>
      </w:pPr>
    </w:p>
    <w:p>
      <w:pPr>
        <w:sectPr>
          <w:pgSz w:w="11900" w:h="16838" w:orient="portrait"/>
          <w:cols w:equalWidth="0" w:num="2">
            <w:col w:w="2700" w:space="560"/>
            <w:col w:w="5759"/>
          </w:cols>
          <w:pgMar w:left="1440" w:top="274" w:right="1440" w:bottom="474"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Shares of common stock:</w:t>
            </w:r>
          </w:p>
        </w:tc>
        <w:tc>
          <w:tcPr>
            <w:tcW w:w="1540" w:type="dxa"/>
            <w:vAlign w:val="bottom"/>
          </w:tcPr>
          <w:p>
            <w:pPr>
              <w:spacing w:after="0"/>
              <w:rPr>
                <w:sz w:val="20"/>
                <w:szCs w:val="20"/>
                <w:color w:val="auto"/>
              </w:rPr>
            </w:pPr>
          </w:p>
        </w:tc>
      </w:tr>
      <w:tr>
        <w:trPr>
          <w:trHeight w:val="387"/>
        </w:trPr>
        <w:tc>
          <w:tcPr>
            <w:tcW w:w="2600" w:type="dxa"/>
            <w:vAlign w:val="bottom"/>
          </w:tcPr>
          <w:p>
            <w:pPr>
              <w:spacing w:after="0"/>
              <w:rPr>
                <w:sz w:val="20"/>
                <w:szCs w:val="20"/>
                <w:color w:val="auto"/>
              </w:rPr>
            </w:pPr>
            <w:r>
              <w:rPr>
                <w:rFonts w:ascii="Arial" w:cs="Arial" w:eastAsia="Arial" w:hAnsi="Arial"/>
                <w:sz w:val="18"/>
                <w:szCs w:val="18"/>
                <w:b w:val="1"/>
                <w:bCs w:val="1"/>
                <w:color w:val="auto"/>
                <w:w w:val="93"/>
              </w:rPr>
              <w:t>Number issued and outstanding</w:t>
            </w:r>
          </w:p>
        </w:tc>
        <w:tc>
          <w:tcPr>
            <w:tcW w:w="15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before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w w:val="90"/>
              </w:rPr>
              <w:t>4,312,500 shares</w:t>
            </w:r>
            <w:r>
              <w:rPr>
                <w:rFonts w:ascii="Arial" w:cs="Arial" w:eastAsia="Arial" w:hAnsi="Arial"/>
                <w:sz w:val="20"/>
                <w:szCs w:val="20"/>
                <w:color w:val="auto"/>
                <w:w w:val="90"/>
                <w:vertAlign w:val="superscript"/>
              </w:rPr>
              <w:t>(1)</w:t>
            </w:r>
          </w:p>
        </w:tc>
      </w:tr>
      <w:tr>
        <w:trPr>
          <w:trHeight w:val="339"/>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 to be issued and</w:t>
            </w:r>
          </w:p>
        </w:tc>
        <w:tc>
          <w:tcPr>
            <w:tcW w:w="15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w w:val="93"/>
              </w:rPr>
              <w:t>outstanding after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w w:val="84"/>
              </w:rPr>
              <w:t>18,750,000 shares</w:t>
            </w:r>
            <w:r>
              <w:rPr>
                <w:rFonts w:ascii="Arial" w:cs="Arial" w:eastAsia="Arial" w:hAnsi="Arial"/>
                <w:sz w:val="20"/>
                <w:szCs w:val="20"/>
                <w:color w:val="auto"/>
                <w:w w:val="84"/>
                <w:vertAlign w:val="superscript"/>
              </w:rPr>
              <w:t>(2)</w:t>
            </w:r>
          </w:p>
        </w:tc>
      </w:tr>
    </w:tbl>
    <w:p>
      <w:pPr>
        <w:spacing w:after="0" w:line="200" w:lineRule="exact"/>
        <w:rPr>
          <w:sz w:val="20"/>
          <w:szCs w:val="20"/>
          <w:color w:val="auto"/>
        </w:rPr>
      </w:pPr>
    </w:p>
    <w:p>
      <w:pPr>
        <w:sectPr>
          <w:pgSz w:w="11900" w:h="16838" w:orient="portrait"/>
          <w:cols w:equalWidth="0" w:num="1">
            <w:col w:w="9019"/>
          </w:cols>
          <w:pgMar w:left="1440" w:top="274" w:right="1440" w:bottom="474"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74"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90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4" w:right="1440" w:bottom="1114"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Rights:</w:t>
            </w:r>
          </w:p>
        </w:tc>
        <w:tc>
          <w:tcPr>
            <w:tcW w:w="1040" w:type="dxa"/>
            <w:vAlign w:val="bottom"/>
          </w:tcPr>
          <w:p>
            <w:pPr>
              <w:spacing w:after="0"/>
              <w:rPr>
                <w:sz w:val="20"/>
                <w:szCs w:val="20"/>
                <w:color w:val="auto"/>
              </w:rPr>
            </w:pPr>
          </w:p>
        </w:tc>
      </w:tr>
      <w:tr>
        <w:trPr>
          <w:trHeight w:val="387"/>
        </w:trPr>
        <w:tc>
          <w:tcPr>
            <w:tcW w:w="2600" w:type="dxa"/>
            <w:vAlign w:val="bottom"/>
          </w:tcPr>
          <w:p>
            <w:pPr>
              <w:spacing w:after="0"/>
              <w:rPr>
                <w:sz w:val="20"/>
                <w:szCs w:val="20"/>
                <w:color w:val="auto"/>
              </w:rPr>
            </w:pPr>
            <w:r>
              <w:rPr>
                <w:rFonts w:ascii="Arial" w:cs="Arial" w:eastAsia="Arial" w:hAnsi="Arial"/>
                <w:sz w:val="18"/>
                <w:szCs w:val="18"/>
                <w:b w:val="1"/>
                <w:bCs w:val="1"/>
                <w:color w:val="auto"/>
                <w:w w:val="93"/>
              </w:rPr>
              <w:t>Number issued and outstanding</w:t>
            </w:r>
          </w:p>
        </w:tc>
        <w:tc>
          <w:tcPr>
            <w:tcW w:w="1040" w:type="dxa"/>
            <w:vAlign w:val="bottom"/>
          </w:tcPr>
          <w:p>
            <w:pPr>
              <w:spacing w:after="0"/>
              <w:rPr>
                <w:sz w:val="24"/>
                <w:szCs w:val="24"/>
                <w:color w:val="auto"/>
              </w:rPr>
            </w:pPr>
          </w:p>
        </w:tc>
      </w:tr>
      <w:tr>
        <w:trPr>
          <w:trHeight w:val="248"/>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before this offering</w:t>
            </w:r>
          </w:p>
        </w:tc>
        <w:tc>
          <w:tcPr>
            <w:tcW w:w="1040" w:type="dxa"/>
            <w:vAlign w:val="bottom"/>
          </w:tcPr>
          <w:p>
            <w:pPr>
              <w:ind w:left="120"/>
              <w:spacing w:after="0"/>
              <w:rPr>
                <w:sz w:val="20"/>
                <w:szCs w:val="20"/>
                <w:color w:val="auto"/>
              </w:rPr>
            </w:pPr>
            <w:r>
              <w:rPr>
                <w:rFonts w:ascii="Arial" w:cs="Arial" w:eastAsia="Arial" w:hAnsi="Arial"/>
                <w:sz w:val="18"/>
                <w:szCs w:val="18"/>
                <w:color w:val="auto"/>
              </w:rPr>
              <w:t>0 rights</w:t>
            </w:r>
          </w:p>
        </w:tc>
      </w:tr>
      <w:tr>
        <w:trPr>
          <w:trHeight w:val="400"/>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 to be issued and</w:t>
            </w:r>
          </w:p>
        </w:tc>
        <w:tc>
          <w:tcPr>
            <w:tcW w:w="10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w w:val="93"/>
              </w:rPr>
              <w:t>outstanding after this offering</w:t>
            </w:r>
          </w:p>
        </w:tc>
        <w:tc>
          <w:tcPr>
            <w:tcW w:w="1040" w:type="dxa"/>
            <w:vAlign w:val="bottom"/>
          </w:tcPr>
          <w:p>
            <w:pPr>
              <w:ind w:left="120"/>
              <w:spacing w:after="0"/>
              <w:rPr>
                <w:sz w:val="20"/>
                <w:szCs w:val="20"/>
                <w:color w:val="auto"/>
              </w:rPr>
            </w:pPr>
            <w:r>
              <w:rPr>
                <w:rFonts w:ascii="Arial" w:cs="Arial" w:eastAsia="Arial" w:hAnsi="Arial"/>
                <w:sz w:val="18"/>
                <w:szCs w:val="18"/>
                <w:color w:val="auto"/>
                <w:w w:val="84"/>
              </w:rPr>
              <w:t>15,000,000</w:t>
            </w:r>
            <w:r>
              <w:rPr>
                <w:rFonts w:ascii="Arial" w:cs="Arial" w:eastAsia="Arial" w:hAnsi="Arial"/>
                <w:sz w:val="20"/>
                <w:szCs w:val="20"/>
                <w:color w:val="auto"/>
                <w:w w:val="84"/>
                <w:vertAlign w:val="superscript"/>
              </w:rPr>
              <w:t>(3)</w:t>
            </w:r>
          </w:p>
        </w:tc>
      </w:tr>
      <w:tr>
        <w:trPr>
          <w:trHeight w:val="357"/>
        </w:trPr>
        <w:tc>
          <w:tcPr>
            <w:tcW w:w="2600" w:type="dxa"/>
            <w:vAlign w:val="bottom"/>
          </w:tcPr>
          <w:p>
            <w:pPr>
              <w:spacing w:after="0"/>
              <w:rPr>
                <w:sz w:val="20"/>
                <w:szCs w:val="20"/>
                <w:color w:val="auto"/>
              </w:rPr>
            </w:pPr>
            <w:r>
              <w:rPr>
                <w:rFonts w:ascii="Arial" w:cs="Arial" w:eastAsia="Arial" w:hAnsi="Arial"/>
                <w:sz w:val="18"/>
                <w:szCs w:val="18"/>
                <w:b w:val="1"/>
                <w:bCs w:val="1"/>
                <w:color w:val="auto"/>
              </w:rPr>
              <w:t>Redeemable Warrants:</w:t>
            </w:r>
          </w:p>
        </w:tc>
        <w:tc>
          <w:tcPr>
            <w:tcW w:w="1040" w:type="dxa"/>
            <w:vAlign w:val="bottom"/>
          </w:tcPr>
          <w:p>
            <w:pPr>
              <w:spacing w:after="0"/>
              <w:rPr>
                <w:sz w:val="24"/>
                <w:szCs w:val="24"/>
                <w:color w:val="auto"/>
              </w:rPr>
            </w:pPr>
          </w:p>
        </w:tc>
      </w:tr>
    </w:tbl>
    <w:p>
      <w:pPr>
        <w:spacing w:after="0" w:line="171" w:lineRule="exact"/>
        <w:rPr>
          <w:sz w:val="20"/>
          <w:szCs w:val="20"/>
          <w:color w:val="auto"/>
        </w:rPr>
      </w:pPr>
    </w:p>
    <w:p>
      <w:pPr>
        <w:sectPr>
          <w:pgSz w:w="11900" w:h="16838" w:orient="portrait"/>
          <w:cols w:equalWidth="0" w:num="1">
            <w:col w:w="9019"/>
          </w:cols>
          <w:pgMar w:left="1440" w:top="274" w:right="1440" w:bottom="1114" w:gutter="0" w:footer="0" w:header="0"/>
          <w:type w:val="continuous"/>
        </w:sectPr>
      </w:pPr>
    </w:p>
    <w:p>
      <w:pPr>
        <w:ind w:left="720" w:right="40" w:hanging="179"/>
        <w:spacing w:after="0" w:line="386" w:lineRule="auto"/>
        <w:rPr>
          <w:sz w:val="20"/>
          <w:szCs w:val="20"/>
          <w:color w:val="auto"/>
        </w:rPr>
      </w:pPr>
      <w:r>
        <w:rPr>
          <w:rFonts w:ascii="Arial" w:cs="Arial" w:eastAsia="Arial" w:hAnsi="Arial"/>
          <w:sz w:val="15"/>
          <w:szCs w:val="15"/>
          <w:b w:val="1"/>
          <w:bCs w:val="1"/>
          <w:color w:val="auto"/>
        </w:rPr>
        <w:t>Number issued and outstanding before this offering</w:t>
      </w:r>
    </w:p>
    <w:p>
      <w:pPr>
        <w:spacing w:after="0" w:line="66" w:lineRule="exact"/>
        <w:rPr>
          <w:sz w:val="20"/>
          <w:szCs w:val="20"/>
          <w:color w:val="auto"/>
        </w:rPr>
      </w:pPr>
    </w:p>
    <w:p>
      <w:pPr>
        <w:ind w:left="720" w:hanging="179"/>
        <w:spacing w:after="0" w:line="314" w:lineRule="auto"/>
        <w:rPr>
          <w:sz w:val="20"/>
          <w:szCs w:val="20"/>
          <w:color w:val="auto"/>
        </w:rPr>
      </w:pPr>
      <w:r>
        <w:rPr>
          <w:rFonts w:ascii="Arial" w:cs="Arial" w:eastAsia="Arial" w:hAnsi="Arial"/>
          <w:sz w:val="16"/>
          <w:szCs w:val="16"/>
          <w:b w:val="1"/>
          <w:bCs w:val="1"/>
          <w:color w:val="auto"/>
        </w:rPr>
        <w:t>Number to be issued and outstanding after this offering and sale of private warrants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15,000,000 public warrants and 6,000,000 private warrants</w:t>
      </w:r>
      <w:r>
        <w:rPr>
          <w:rFonts w:ascii="Arial" w:cs="Arial" w:eastAsia="Arial" w:hAnsi="Arial"/>
          <w:sz w:val="20"/>
          <w:szCs w:val="20"/>
          <w:color w:val="auto"/>
          <w:vertAlign w:val="superscript"/>
        </w:rPr>
        <w:t>(4)</w:t>
      </w:r>
    </w:p>
    <w:p>
      <w:pPr>
        <w:spacing w:after="0" w:line="175" w:lineRule="exact"/>
        <w:rPr>
          <w:sz w:val="20"/>
          <w:szCs w:val="20"/>
          <w:color w:val="auto"/>
        </w:rPr>
      </w:pPr>
    </w:p>
    <w:p>
      <w:pPr>
        <w:jc w:val="both"/>
        <w:ind w:right="579"/>
        <w:spacing w:after="0" w:line="296" w:lineRule="auto"/>
        <w:rPr>
          <w:sz w:val="20"/>
          <w:szCs w:val="20"/>
          <w:color w:val="auto"/>
        </w:rPr>
      </w:pPr>
      <w:r>
        <w:rPr>
          <w:rFonts w:ascii="Arial" w:cs="Arial" w:eastAsia="Arial" w:hAnsi="Arial"/>
          <w:sz w:val="16"/>
          <w:szCs w:val="16"/>
          <w:color w:val="auto"/>
        </w:rPr>
        <w:t>Each redeemable public warrant entitles the holder thereof to purchase one-half of one share of common stock. We will not issue fractional shares. As a result, you must have two warrants to receive a share of common stock when exercising your warrants. Each private warrant entitles the holder thereof to purchase one share of common stock.</w:t>
      </w:r>
    </w:p>
    <w:p>
      <w:pPr>
        <w:spacing w:after="0" w:line="130" w:lineRule="exact"/>
        <w:rPr>
          <w:sz w:val="20"/>
          <w:szCs w:val="20"/>
          <w:color w:val="auto"/>
        </w:rPr>
      </w:pPr>
    </w:p>
    <w:p>
      <w:pPr>
        <w:sectPr>
          <w:pgSz w:w="11900" w:h="16838" w:orient="portrait"/>
          <w:cols w:equalWidth="0" w:num="2">
            <w:col w:w="3020" w:space="240"/>
            <w:col w:w="5759"/>
          </w:cols>
          <w:pgMar w:left="1440" w:top="274" w:right="1440" w:bottom="1114" w:gutter="0" w:footer="0" w:header="0"/>
          <w:type w:val="continuous"/>
        </w:sect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6"/>
          <w:szCs w:val="16"/>
          <w:color w:val="auto"/>
        </w:rPr>
        <w:t>$11.50 per whole share, subject to adjustment as described herein. If we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issue additional shares of common stock or equity-linked securities for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capital raising purposes in connection with the closing of our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at an issue price or effective issue price of less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effective issue price to be determined in good faith by our board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directors  and,  in  the  case  of  any  such  issuance  to  our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stockholders or their affiliates, without taking into account any founder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shares or private warrants held by them, as applicable, prior to such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issuance) (the “newly issued price”), the exercise price of the warrants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will be adjusted (to the nearest cent) to be equal to 115% of the newly</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issued price and the $16.50 per share redemption trigger price described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below under “— Redemption (Warrants)” will be adjusted (to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nearest cent) to be equal to 165% of the market value (the volume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weighted average trading price of the common stock during the 20</w:t>
      </w:r>
    </w:p>
    <w:p>
      <w:pPr>
        <w:spacing w:after="0" w:line="21" w:lineRule="exact"/>
        <w:rPr>
          <w:sz w:val="20"/>
          <w:szCs w:val="20"/>
          <w:color w:val="auto"/>
        </w:rPr>
      </w:pPr>
    </w:p>
    <w:p>
      <w:pPr>
        <w:ind w:left="3260"/>
        <w:spacing w:after="0"/>
        <w:tabs>
          <w:tab w:leader="none" w:pos="3900" w:val="left"/>
          <w:tab w:leader="none" w:pos="4320" w:val="left"/>
          <w:tab w:leader="none" w:pos="4920" w:val="left"/>
          <w:tab w:leader="none" w:pos="5620" w:val="left"/>
          <w:tab w:leader="none" w:pos="5960" w:val="left"/>
          <w:tab w:leader="none" w:pos="6340" w:val="left"/>
          <w:tab w:leader="none" w:pos="7000" w:val="left"/>
          <w:tab w:leader="none" w:pos="7420" w:val="left"/>
          <w:tab w:leader="none" w:pos="7920" w:val="left"/>
          <w:tab w:leader="none" w:pos="8200" w:val="left"/>
        </w:tabs>
        <w:rPr>
          <w:sz w:val="20"/>
          <w:szCs w:val="20"/>
          <w:color w:val="auto"/>
        </w:rPr>
      </w:pPr>
      <w:r>
        <w:rPr>
          <w:rFonts w:ascii="Arial" w:cs="Arial" w:eastAsia="Arial" w:hAnsi="Arial"/>
          <w:sz w:val="18"/>
          <w:szCs w:val="18"/>
          <w:color w:val="auto"/>
        </w:rPr>
        <w:t>trading</w:t>
        <w:tab/>
        <w:t>day</w:t>
        <w:tab/>
        <w:t>period</w:t>
        <w:tab/>
        <w:t>starting</w:t>
        <w:tab/>
        <w:t>on</w:t>
        <w:tab/>
        <w:t>the</w:t>
        <w:tab/>
        <w:t>trading</w:t>
        <w:tab/>
        <w:t>day</w:t>
        <w:tab/>
        <w:t>prior</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an initial business combination).</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No public warrants will be exercisable for cash unless we have an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effective and current registration statement covering the shares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issuable upon exercise of the warrants and a current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prospectus relating to such shares of common stock. It is our current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intention  to  have  an  effective  and  current  registration  statement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covering the shares of common stock issuable upon exercise of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public warrants and a current prospectus relating to such shares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in effect promptly following consummation of an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Notwithstanding the foregoing, if a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statement covering the shares of common stock issuable upon exercise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of the public warrants is not effective within 120 days following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holders may, until such</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559" w:hanging="436"/>
        <w:spacing w:after="0" w:line="284" w:lineRule="auto"/>
        <w:tabs>
          <w:tab w:leader="none" w:pos="101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64"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If the over-allotment option is exercised, there would be 17,250,000 rights outstanding.</w:t>
      </w:r>
    </w:p>
    <w:p>
      <w:pPr>
        <w:ind w:left="980" w:right="559" w:hanging="436"/>
        <w:spacing w:after="0" w:line="288"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If the over-allotment option is exercised, there would be 17,250,000 public warrants outstanding and 6,675,000 private warrants outstanding.</w:t>
      </w:r>
    </w:p>
    <w:p>
      <w:pPr>
        <w:sectPr>
          <w:pgSz w:w="11900" w:h="16838" w:orient="portrait"/>
          <w:cols w:equalWidth="0" w:num="1">
            <w:col w:w="9019"/>
          </w:cols>
          <w:pgMar w:left="1440" w:top="274" w:right="1440" w:bottom="1114"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14"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905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90536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time as there is an effective registration statement and during any period</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when  we  shall  have  failed  to  maintain  an  effective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statement, exercise warrants on a cashless basis pursuant to an available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exemption from registration under the Securities Act. In such event,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each holder would pay the exercise price by surrendering the whole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warrants for that number of shares of common stock equal to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quotient obtained by dividing (x) the product of the number of shares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underlying the warrants, multiplied by the difference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exercise price of the warrants and the “fair market value”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by (y) the fair market value. The “fair market value” shall mean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average reported last sale price of the shares of common stock for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10 trading days ending on the day prior to the date of exercise. For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example, if a holder held 300 warrants to purchase 150 shares and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fair market value on the date prior to exercise was $15.00, that holder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would receive 35 shares without the payment of any additional cash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consideration.</w:t>
      </w:r>
    </w:p>
    <w:p>
      <w:pPr>
        <w:spacing w:after="0" w:line="166"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6"/>
          <w:szCs w:val="16"/>
          <w:color w:val="auto"/>
        </w:rPr>
        <w:t>The warrants will become exercisable on the later of one year after the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closing of this offering or the consummation of an initial business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combination. The warrants will expire at 5:00 p.m., New York City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time, on the fifth anniversary of our completion of an initial business</w:t>
      </w:r>
    </w:p>
    <w:p>
      <w:pPr>
        <w:spacing w:after="0" w:line="21" w:lineRule="exact"/>
        <w:rPr>
          <w:sz w:val="20"/>
          <w:szCs w:val="20"/>
          <w:color w:val="auto"/>
        </w:rPr>
      </w:pPr>
    </w:p>
    <w:p>
      <w:pPr>
        <w:ind w:left="3260"/>
        <w:spacing w:after="0"/>
        <w:tabs>
          <w:tab w:leader="none" w:pos="4320" w:val="left"/>
          <w:tab w:leader="none" w:pos="4620" w:val="left"/>
          <w:tab w:leader="none" w:pos="5220" w:val="left"/>
          <w:tab w:leader="none" w:pos="5740" w:val="left"/>
          <w:tab w:leader="none" w:pos="6740" w:val="left"/>
          <w:tab w:leader="none" w:pos="7160" w:val="left"/>
          <w:tab w:leader="none" w:pos="7820" w:val="left"/>
        </w:tabs>
        <w:rPr>
          <w:sz w:val="20"/>
          <w:szCs w:val="20"/>
          <w:color w:val="auto"/>
        </w:rPr>
      </w:pPr>
      <w:r>
        <w:rPr>
          <w:rFonts w:ascii="Arial" w:cs="Arial" w:eastAsia="Arial" w:hAnsi="Arial"/>
          <w:sz w:val="18"/>
          <w:szCs w:val="18"/>
          <w:color w:val="auto"/>
        </w:rPr>
        <w:t>combination,</w:t>
        <w:tab/>
        <w:t>or</w:t>
        <w:tab/>
        <w:t>earlier</w:t>
        <w:tab/>
        <w:t>upon</w:t>
        <w:tab/>
        <w:t>redemption.</w:t>
        <w:tab/>
        <w:t>The</w:t>
        <w:tab/>
        <w:t>private</w:t>
      </w:r>
      <w:r>
        <w:rPr>
          <w:sz w:val="20"/>
          <w:szCs w:val="20"/>
          <w:color w:val="auto"/>
        </w:rPr>
        <w:tab/>
      </w:r>
      <w:r>
        <w:rPr>
          <w:rFonts w:ascii="Arial" w:cs="Arial" w:eastAsia="Arial" w:hAnsi="Arial"/>
          <w:sz w:val="16"/>
          <w:szCs w:val="16"/>
          <w:color w:val="auto"/>
        </w:rPr>
        <w:t>warrants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purchased by Chardan Investments will not be exercisable more than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five years from the effective date of the registration statement, of which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this prospectus forms a part, in accordance with FINRA Rule 5110(g)</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(8), as long as Chardan Capital Markets, LLC or any of its related</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persons beneficially own these private warrants.</w:t>
      </w:r>
    </w:p>
    <w:p>
      <w:pPr>
        <w:spacing w:after="0" w:line="180"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Redemption (Warrants)</w:t>
      </w:r>
      <w:r>
        <w:rPr>
          <w:sz w:val="20"/>
          <w:szCs w:val="20"/>
          <w:color w:val="auto"/>
        </w:rPr>
        <w:tab/>
      </w:r>
      <w:r>
        <w:rPr>
          <w:rFonts w:ascii="Arial" w:cs="Arial" w:eastAsia="Arial" w:hAnsi="Arial"/>
          <w:sz w:val="17"/>
          <w:szCs w:val="17"/>
          <w:color w:val="auto"/>
        </w:rPr>
        <w:t>We  may  redeem  the  outstanding  warrants  (excluding  the  private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warrants), in whole and not in part, at a price of $0.01 per warrant:</w:t>
      </w:r>
    </w:p>
    <w:p>
      <w:pPr>
        <w:spacing w:after="0" w:line="11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at any time while the warrants are exercisable,</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  upon a minimum of 30 days’ prior written notice of redemption,</w:t>
      </w:r>
    </w:p>
    <w:p>
      <w:pPr>
        <w:spacing w:after="0" w:line="129" w:lineRule="exact"/>
        <w:rPr>
          <w:sz w:val="20"/>
          <w:szCs w:val="20"/>
          <w:color w:val="auto"/>
        </w:rPr>
      </w:pPr>
    </w:p>
    <w:p>
      <w:pPr>
        <w:ind w:left="348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and only if, the last sales price of our common stock equals or</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exceeds $16.50 per share for any 20 trading days within a 30</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trading day period ending three business days before we send the</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notice of redemption, and</w:t>
      </w:r>
    </w:p>
    <w:p>
      <w:pPr>
        <w:spacing w:after="0" w:line="103" w:lineRule="exact"/>
        <w:rPr>
          <w:sz w:val="20"/>
          <w:szCs w:val="20"/>
          <w:color w:val="auto"/>
        </w:rPr>
      </w:pPr>
    </w:p>
    <w:p>
      <w:pPr>
        <w:ind w:left="3480"/>
        <w:spacing w:after="0"/>
        <w:tabs>
          <w:tab w:leader="none" w:pos="3700" w:val="left"/>
        </w:tabs>
        <w:rPr>
          <w:sz w:val="20"/>
          <w:szCs w:val="20"/>
          <w:color w:val="auto"/>
        </w:rPr>
      </w:pPr>
      <w:r>
        <w:rPr>
          <w:rFonts w:ascii="Arial" w:cs="Arial" w:eastAsia="Arial" w:hAnsi="Arial"/>
          <w:sz w:val="17"/>
          <w:szCs w:val="17"/>
          <w:color w:val="auto"/>
        </w:rPr>
        <w:t>•</w:t>
        <w:tab/>
        <w:t>if, and only if, there is a current registration statement in effect</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with respect to the shares of common stock underlying such</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warrants at the time of redemption and for the entire 30-day</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trading  period  referred  to  above  and  continuing  each  day</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thereafter until the date of redemption.</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If the foregoing conditions are satisfied and we issue a notice of</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redemption, each warrant holder can exercise his, her or its warrant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prior to the scheduled redemption date. However, the price of our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may fall below the $16.50 trigger price, as well as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$11.50 warrant exercise price, after the redemption notice is issued.</w:t>
      </w:r>
    </w:p>
    <w:p>
      <w:pPr>
        <w:spacing w:after="0" w:line="11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The redemption criteria for our warrants have been established at a</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price which is intended to provide warrant holders a reasonable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premium to the initial exercise price and provide a sufficient differential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then-prevailing share price and the warrant exercise price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so that if the share price declines as a result of our redemption call,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redemption will not cause the share price to drop below the exercise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price of the warrants.</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If  we  call  the  warrants  for  redemption  as  described  above,  our</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management will have the option to require all holders that wish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exercise warrants to do so on a “cashless basis.” In such event, each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holder would pay the exercise price by surrendering the whole warrants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for that number of shares of common stock equal to the quotient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underlying the warrants, multiplied by the difference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exercise price of the warrants and the “fair market value”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by (y) the fair market value. The “fair market value” shall mean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average reported last sale price of the shares of common stock for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10 trading days ending on the third trading day prior to the date 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which</w:t>
      </w:r>
    </w:p>
    <w:p>
      <w:pPr>
        <w:sectPr>
          <w:pgSz w:w="11900" w:h="16838" w:orient="portrait"/>
          <w:cols w:equalWidth="0" w:num="1">
            <w:col w:w="9019"/>
          </w:cols>
          <w:pgMar w:left="1440" w:top="27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83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3678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137"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Each holder of a right will receive one-twentieth (1/20) of a share of common stock upon consummation of our initial business combination. In the event we will not be the survivor upon completion of our initial business combination, each holder of a right will be required to affirmatively convert his, her or its rights in order to receive the one-twentieth (1/20) share underlying each right (without paying any additional consideration) upon consummation of the business combination. If we are unable to complete an initial business combination within the required time period and we liquidate the funds held in the trust account, holders of rights will not receive any of such funds for their rights, and the rights will expire worthless. No fractional shares will be issued upon conversion of any rights. As a result, you must have 20 rights to receive a share of common stock at the closing of the initial business combination.</w:t>
      </w:r>
    </w:p>
    <w:p>
      <w:pPr>
        <w:spacing w:after="0" w:line="373"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$151,500,000 of the net proceeds of this offering (or $174,225,000 if the over-allotment option is exercised in full), including $6,000,000 we will receive from the sale of the private warrants (or $6,675,000 if the over-allotment option is exercised in full), or $10.10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47" w:lineRule="exact"/>
        <w:rPr>
          <w:sz w:val="20"/>
          <w:szCs w:val="20"/>
          <w:color w:val="auto"/>
        </w:rPr>
      </w:pPr>
    </w:p>
    <w:p>
      <w:pPr>
        <w:jc w:val="both"/>
        <w:ind w:right="559"/>
        <w:spacing w:after="0" w:line="288" w:lineRule="auto"/>
        <w:rPr>
          <w:sz w:val="20"/>
          <w:szCs w:val="20"/>
          <w:color w:val="auto"/>
        </w:rPr>
      </w:pPr>
      <w:r>
        <w:rPr>
          <w:rFonts w:ascii="Arial" w:cs="Arial" w:eastAsia="Arial" w:hAnsi="Arial"/>
          <w:sz w:val="16"/>
          <w:szCs w:val="16"/>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41"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w:t>
      </w:r>
    </w:p>
    <w:p>
      <w:pPr>
        <w:spacing w:after="0" w:line="200" w:lineRule="exact"/>
        <w:rPr>
          <w:sz w:val="20"/>
          <w:szCs w:val="20"/>
          <w:color w:val="auto"/>
        </w:rPr>
      </w:pPr>
    </w:p>
    <w:p>
      <w:pPr>
        <w:sectPr>
          <w:pgSz w:w="11900" w:h="16838" w:orient="portrait"/>
          <w:cols w:equalWidth="0" w:num="2">
            <w:col w:w="2720" w:space="540"/>
            <w:col w:w="5759"/>
          </w:cols>
          <w:pgMar w:left="1440" w:top="27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27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227820"/>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sectPr>
      </w:pPr>
    </w:p>
    <w:p>
      <w:pPr>
        <w:spacing w:after="0" w:line="200" w:lineRule="exact"/>
        <w:rPr>
          <w:sz w:val="20"/>
          <w:szCs w:val="20"/>
          <w:color w:val="auto"/>
        </w:rPr>
      </w:pPr>
    </w:p>
    <w:p>
      <w:pPr>
        <w:spacing w:after="0" w:line="345" w:lineRule="exact"/>
        <w:rPr>
          <w:sz w:val="20"/>
          <w:szCs w:val="20"/>
          <w:color w:val="auto"/>
        </w:rPr>
      </w:pPr>
    </w:p>
    <w:p>
      <w:pPr>
        <w:jc w:val="both"/>
        <w:ind w:left="3260" w:right="559"/>
        <w:spacing w:after="0" w:line="253" w:lineRule="auto"/>
        <w:rPr>
          <w:sz w:val="20"/>
          <w:szCs w:val="20"/>
          <w:color w:val="auto"/>
        </w:rPr>
      </w:pPr>
      <w:r>
        <w:rPr>
          <w:rFonts w:ascii="Arial" w:cs="Arial" w:eastAsia="Arial" w:hAnsi="Arial"/>
          <w:sz w:val="18"/>
          <w:szCs w:val="18"/>
          <w:color w:val="auto"/>
        </w:rPr>
        <w:t>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6" w:lineRule="exact"/>
        <w:rPr>
          <w:sz w:val="20"/>
          <w:szCs w:val="20"/>
          <w:color w:val="auto"/>
        </w:rPr>
      </w:pPr>
    </w:p>
    <w:p>
      <w:pPr>
        <w:jc w:val="both"/>
        <w:ind w:left="3260" w:right="559" w:hanging="2713"/>
        <w:spacing w:after="0" w:line="255" w:lineRule="auto"/>
        <w:tabs>
          <w:tab w:leader="none" w:pos="32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15" w:lineRule="exact"/>
        <w:rPr>
          <w:sz w:val="20"/>
          <w:szCs w:val="20"/>
          <w:color w:val="auto"/>
        </w:rPr>
      </w:pPr>
    </w:p>
    <w:p>
      <w:pPr>
        <w:ind w:left="3680" w:right="579" w:hanging="207"/>
        <w:spacing w:after="0" w:line="277" w:lineRule="auto"/>
        <w:tabs>
          <w:tab w:leader="none" w:pos="371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loans of up to $1,000,000 made to us by our co-sponsors;</w:t>
      </w:r>
    </w:p>
    <w:p>
      <w:pPr>
        <w:spacing w:after="0" w:line="102" w:lineRule="exact"/>
        <w:rPr>
          <w:rFonts w:ascii="Arial" w:cs="Arial" w:eastAsia="Arial" w:hAnsi="Arial"/>
          <w:sz w:val="18"/>
          <w:szCs w:val="18"/>
          <w:color w:val="auto"/>
        </w:rPr>
      </w:pPr>
    </w:p>
    <w:p>
      <w:pPr>
        <w:jc w:val="both"/>
        <w:ind w:left="3680" w:right="579" w:hanging="207"/>
        <w:spacing w:after="0" w:line="263" w:lineRule="auto"/>
        <w:tabs>
          <w:tab w:leader="none" w:pos="3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$10,000 per month to Chardan Capital Markets, LLC for office space and related services, subject to deferral as described herein;</w:t>
      </w:r>
    </w:p>
    <w:p>
      <w:pPr>
        <w:spacing w:after="0" w:line="116" w:lineRule="exact"/>
        <w:rPr>
          <w:rFonts w:ascii="Arial" w:cs="Arial" w:eastAsia="Arial" w:hAnsi="Arial"/>
          <w:sz w:val="18"/>
          <w:szCs w:val="18"/>
          <w:color w:val="auto"/>
        </w:rPr>
      </w:pPr>
    </w:p>
    <w:p>
      <w:pPr>
        <w:jc w:val="both"/>
        <w:ind w:left="3680" w:right="559" w:hanging="207"/>
        <w:spacing w:after="0" w:line="259" w:lineRule="auto"/>
        <w:tabs>
          <w:tab w:leader="none" w:pos="3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05" w:lineRule="exact"/>
        <w:rPr>
          <w:rFonts w:ascii="Arial" w:cs="Arial" w:eastAsia="Arial" w:hAnsi="Arial"/>
          <w:sz w:val="18"/>
          <w:szCs w:val="18"/>
          <w:color w:val="auto"/>
        </w:rPr>
      </w:pPr>
    </w:p>
    <w:p>
      <w:pPr>
        <w:jc w:val="both"/>
        <w:ind w:left="3680" w:right="559" w:hanging="207"/>
        <w:spacing w:after="0" w:line="259" w:lineRule="auto"/>
        <w:tabs>
          <w:tab w:leader="none" w:pos="375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119" w:lineRule="exact"/>
        <w:rPr>
          <w:rFonts w:ascii="Arial" w:cs="Arial" w:eastAsia="Arial" w:hAnsi="Arial"/>
          <w:sz w:val="18"/>
          <w:szCs w:val="18"/>
          <w:color w:val="auto"/>
        </w:rPr>
      </w:pPr>
    </w:p>
    <w:p>
      <w:pPr>
        <w:jc w:val="both"/>
        <w:ind w:left="3680" w:right="559" w:hanging="207"/>
        <w:spacing w:after="0" w:line="257" w:lineRule="auto"/>
        <w:tabs>
          <w:tab w:leader="none" w:pos="395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20" w:lineRule="exact"/>
        <w:rPr>
          <w:sz w:val="20"/>
          <w:szCs w:val="20"/>
          <w:color w:val="auto"/>
        </w:rPr>
      </w:pPr>
    </w:p>
    <w:p>
      <w:pPr>
        <w:jc w:val="both"/>
        <w:ind w:left="3260" w:right="559"/>
        <w:spacing w:after="0" w:line="269" w:lineRule="auto"/>
        <w:rPr>
          <w:sz w:val="20"/>
          <w:szCs w:val="20"/>
          <w:color w:val="auto"/>
        </w:rPr>
      </w:pPr>
      <w:r>
        <w:rPr>
          <w:rFonts w:ascii="Arial" w:cs="Arial" w:eastAsia="Arial" w:hAnsi="Arial"/>
          <w:sz w:val="17"/>
          <w:szCs w:val="17"/>
          <w:color w:val="auto"/>
        </w:rPr>
        <w:t>We have also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01"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019"/>
          </w:cols>
          <w:pgMar w:left="1440" w:top="274" w:right="1440" w:bottom="898"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408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408160"/>
                    </a:xfrm>
                    <a:prstGeom prst="rect">
                      <a:avLst/>
                    </a:prstGeom>
                    <a:noFill/>
                  </pic:spPr>
                </pic:pic>
              </a:graphicData>
            </a:graphic>
          </wp:anchor>
        </w:drawing>
      </w:r>
    </w:p>
    <w:p>
      <w:pPr>
        <w:sectPr>
          <w:pgSz w:w="11900" w:h="16838" w:orient="portrait"/>
          <w:cols w:equalWidth="0" w:num="1">
            <w:col w:w="9019"/>
          </w:cols>
          <w:pgMar w:left="1440" w:top="274" w:right="1440" w:bottom="615" w:gutter="0" w:footer="0" w:header="0"/>
        </w:sectPr>
      </w:pPr>
    </w:p>
    <w:p>
      <w:pPr>
        <w:spacing w:after="0" w:line="200" w:lineRule="exact"/>
        <w:rPr>
          <w:sz w:val="20"/>
          <w:szCs w:val="20"/>
          <w:color w:val="auto"/>
        </w:rPr>
      </w:pPr>
    </w:p>
    <w:p>
      <w:pPr>
        <w:spacing w:after="0" w:line="341"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Potential revisions to agreements with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720" w:right="60" w:hanging="179"/>
        <w:spacing w:after="0" w:line="314" w:lineRule="auto"/>
        <w:rPr>
          <w:sz w:val="20"/>
          <w:szCs w:val="20"/>
          <w:color w:val="auto"/>
        </w:rPr>
      </w:pPr>
      <w:r>
        <w:rPr>
          <w:rFonts w:ascii="Arial" w:cs="Arial" w:eastAsia="Arial" w:hAnsi="Arial"/>
          <w:sz w:val="16"/>
          <w:szCs w:val="16"/>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200" w:lineRule="exact"/>
        <w:rPr>
          <w:sz w:val="20"/>
          <w:szCs w:val="20"/>
          <w:color w:val="auto"/>
        </w:rPr>
      </w:pPr>
    </w:p>
    <w:p>
      <w:pPr>
        <w:spacing w:after="0" w:line="252"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w:t>
      </w:r>
    </w:p>
    <w:p>
      <w:pPr>
        <w:spacing w:after="0" w:line="2" w:lineRule="exact"/>
        <w:rPr>
          <w:sz w:val="20"/>
          <w:szCs w:val="20"/>
          <w:color w:val="auto"/>
        </w:rPr>
      </w:pPr>
    </w:p>
    <w:p>
      <w:pPr>
        <w:jc w:val="both"/>
        <w:ind w:right="559" w:firstLine="2"/>
        <w:spacing w:after="0" w:line="265" w:lineRule="auto"/>
        <w:tabs>
          <w:tab w:leader="none" w:pos="283"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460" w:space="200"/>
            <w:col w:w="5359"/>
          </w:cols>
          <w:pgMar w:left="1440" w:top="274" w:right="1440" w:bottom="615" w:gutter="0" w:footer="0" w:header="0"/>
          <w:type w:val="continuous"/>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615"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36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6366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There will be no redemption rights upon the completion of our initial business combination with respect to our rights or warrants.</w:t>
      </w:r>
    </w:p>
    <w:p>
      <w:pPr>
        <w:spacing w:after="0" w:line="127" w:lineRule="exact"/>
        <w:rPr>
          <w:sz w:val="20"/>
          <w:szCs w:val="20"/>
          <w:color w:val="auto"/>
        </w:rPr>
      </w:pPr>
    </w:p>
    <w:p>
      <w:pPr>
        <w:jc w:val="both"/>
        <w:ind w:left="3260" w:right="559"/>
        <w:spacing w:after="0" w:line="268" w:lineRule="auto"/>
        <w:rPr>
          <w:sz w:val="20"/>
          <w:szCs w:val="20"/>
          <w:color w:val="auto"/>
        </w:rPr>
      </w:pPr>
      <w:r>
        <w:rPr>
          <w:rFonts w:ascii="Arial" w:cs="Arial" w:eastAsia="Arial" w:hAnsi="Arial"/>
          <w:sz w:val="17"/>
          <w:szCs w:val="17"/>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55" w:lineRule="exact"/>
        <w:rPr>
          <w:sz w:val="20"/>
          <w:szCs w:val="20"/>
          <w:color w:val="auto"/>
        </w:rPr>
      </w:pPr>
    </w:p>
    <w:p>
      <w:pPr>
        <w:jc w:val="both"/>
        <w:ind w:left="3260" w:right="579"/>
        <w:spacing w:after="0" w:line="291"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w:t>
      </w:r>
    </w:p>
    <w:p>
      <w:pPr>
        <w:jc w:val="both"/>
        <w:ind w:left="3260" w:right="559" w:hanging="3"/>
        <w:spacing w:after="0" w:line="283" w:lineRule="auto"/>
        <w:tabs>
          <w:tab w:leader="none" w:pos="3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18 months, as applicable)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98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9877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completing our</w:t>
      </w:r>
    </w:p>
    <w:p>
      <w:pPr>
        <w:spacing w:after="0" w:line="27" w:lineRule="exact"/>
        <w:rPr>
          <w:sz w:val="20"/>
          <w:szCs w:val="20"/>
          <w:color w:val="auto"/>
        </w:rPr>
      </w:pPr>
    </w:p>
    <w:p>
      <w:pPr>
        <w:ind w:left="720"/>
        <w:spacing w:after="0"/>
        <w:tabs>
          <w:tab w:leader="none" w:pos="3240" w:val="left"/>
        </w:tabs>
        <w:rPr>
          <w:sz w:val="20"/>
          <w:szCs w:val="20"/>
          <w:color w:val="auto"/>
        </w:rPr>
      </w:pPr>
      <w:r>
        <w:rPr>
          <w:rFonts w:ascii="Arial" w:cs="Arial" w:eastAsia="Arial" w:hAnsi="Arial"/>
          <w:sz w:val="18"/>
          <w:szCs w:val="18"/>
          <w:b w:val="1"/>
          <w:bCs w:val="1"/>
          <w:color w:val="auto"/>
        </w:rPr>
        <w:t>initial business combination</w:t>
      </w:r>
      <w:r>
        <w:rPr>
          <w:sz w:val="20"/>
          <w:szCs w:val="20"/>
          <w:color w:val="auto"/>
        </w:rPr>
        <w:tab/>
      </w:r>
      <w:r>
        <w:rPr>
          <w:rFonts w:ascii="Arial" w:cs="Arial" w:eastAsia="Arial" w:hAnsi="Arial"/>
          <w:sz w:val="17"/>
          <w:szCs w:val="17"/>
          <w:color w:val="auto"/>
        </w:rPr>
        <w:t>There is no limitation on our ability to raise funds privately or through</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loans  in  connection  with  our  initial  business  combination.  Each</w:t>
      </w:r>
    </w:p>
    <w:p>
      <w:pPr>
        <w:spacing w:after="0" w:line="21" w:lineRule="exact"/>
        <w:rPr>
          <w:sz w:val="20"/>
          <w:szCs w:val="20"/>
          <w:color w:val="auto"/>
        </w:rPr>
      </w:pPr>
    </w:p>
    <w:p>
      <w:pPr>
        <w:ind w:left="3260"/>
        <w:spacing w:after="0"/>
        <w:tabs>
          <w:tab w:leader="none" w:pos="4000" w:val="left"/>
          <w:tab w:leader="none" w:pos="5040" w:val="left"/>
          <w:tab w:leader="none" w:pos="5460" w:val="left"/>
          <w:tab w:leader="none" w:pos="5780" w:val="left"/>
          <w:tab w:leader="none" w:pos="6600" w:val="left"/>
          <w:tab w:leader="none" w:pos="6920" w:val="left"/>
          <w:tab w:leader="none" w:pos="7140" w:val="left"/>
          <w:tab w:leader="none" w:pos="7900" w:val="left"/>
          <w:tab w:leader="none" w:pos="8200" w:val="left"/>
        </w:tabs>
        <w:rPr>
          <w:sz w:val="20"/>
          <w:szCs w:val="20"/>
          <w:color w:val="auto"/>
        </w:rPr>
      </w:pPr>
      <w:r>
        <w:rPr>
          <w:rFonts w:ascii="Arial" w:cs="Arial" w:eastAsia="Arial" w:hAnsi="Arial"/>
          <w:sz w:val="18"/>
          <w:szCs w:val="18"/>
          <w:color w:val="auto"/>
        </w:rPr>
        <w:t>business</w:t>
        <w:tab/>
        <w:t>combination</w:t>
        <w:tab/>
        <w:t>will</w:t>
        <w:tab/>
        <w:t>be</w:t>
        <w:tab/>
        <w:t>approved</w:t>
        <w:tab/>
        <w:t>by</w:t>
        <w:tab/>
        <w:t>a</w:t>
        <w:tab/>
        <w:t>majority</w:t>
        <w:tab/>
        <w:t>of</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independent directors. Our initial business combination must occur with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one or more target businesses that together have an aggregate fair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market value of at least 80% of the value of the trust account (excluding</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any taxes payable on the income earned on the trust account) at the time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agreement to enter into the initial business combination. If we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no longer listed on Nasdaq, we will not be required to satisfy the 80%</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test.</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If our board is not able to independently determine the fair market value</w:t>
      </w:r>
    </w:p>
    <w:p>
      <w:pPr>
        <w:spacing w:after="0" w:line="46"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target business or businesses, we may obtain an opinion from an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independent investment banking or accounting firm as to the fair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market value of the target business. We will complete our initial</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combination only if the post-transaction company in which our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public stockholders own shares will own or acquire 50% or more of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outstanding voting securities of the target or otherwise acquires a</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controlling interest in the target sufficient for it not to be required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register as an investment company under the Investment Company Act.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Even if the post-transaction company owns 50% or more of the voting</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of  the  target,  our  stockholders  prior  to  the  business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combination may collectively own a minority interest in the post-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combination company, depending on valuations ascribed to the</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target and us in the business combination transaction. If less than 100%</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equity interests or assets of a target business or businesses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owned or acquired by the post-transaction company, the portion of such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or businesses that is owned or acquired is what will be valued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for purposes of the 80% test, provided that in the event that the business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combination involves more than one target business, the 80% test will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be based on the aggregate value of all of the target businesses.</w:t>
      </w:r>
    </w:p>
    <w:p>
      <w:pPr>
        <w:spacing w:after="0" w:line="166"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Conversion rights</w:t>
      </w:r>
      <w:r>
        <w:rPr>
          <w:sz w:val="20"/>
          <w:szCs w:val="20"/>
          <w:color w:val="auto"/>
        </w:rPr>
        <w:tab/>
      </w:r>
      <w:r>
        <w:rPr>
          <w:rFonts w:ascii="Arial" w:cs="Arial" w:eastAsia="Arial" w:hAnsi="Arial"/>
          <w:sz w:val="18"/>
          <w:szCs w:val="18"/>
          <w:color w:val="auto"/>
        </w:rPr>
        <w:t>In connection with any stockholder meeting called to approve a</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proposed initial business combination, each public stockholder will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have the right, regardless of whether he, she or it is voting for or against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such proposed business combination, to demand that we convert his,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 xml:space="preserve">her or its public shares into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upon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the business combination.</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 may require public stockholders wishing to exercise conversion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rights, whether they are a record holder or hold their shares in “street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name,” to either tender the certificates they are seeking to convert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our transfer agent or to deliver the shares they are seeking to convert to</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the transfer agent electronically using Depository Trust Company’s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DWAC (Deposit/Withdrawal At Custodian) System, at the holder’s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option, at any time at or prior to the vote on the business combination.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There is a nominal cost associated with this tendering process and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act of certificating the shares or delivering them through the DWAC</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System. The transfer agent will typically charge the tendering broker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$45, and it would be up to the broker whether or not to pass this cost 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to  the  converting  holder.  However,  this  fee  would  be  incurred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regardless of whether or not we require holders to deliver their shares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prior to the vote on the business combination in order to exercise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conversion rights. This is because a holder would need to deliver shares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to exercise conversion rights regardless of the timing of when such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delivery  must  be  effectuated.  However,  in  the  event  we  require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stockholders to deliver their shares prior to the vote on the proposed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and the proposed business combination is not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consummated, this may result in an increased cost to stockholders.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conversion rights will include the requirement that a beneficial holder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must identify itself in order to validly redeem its shares.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6827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179"/>
        <w:spacing w:after="0" w:line="289" w:lineRule="auto"/>
        <w:rPr>
          <w:sz w:val="20"/>
          <w:szCs w:val="20"/>
          <w:color w:val="auto"/>
        </w:rPr>
      </w:pPr>
      <w:r>
        <w:rPr>
          <w:rFonts w:ascii="Arial" w:cs="Arial" w:eastAsia="Arial" w:hAnsi="Arial"/>
          <w:sz w:val="17"/>
          <w:szCs w:val="17"/>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13"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379"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45" w:lineRule="exact"/>
        <w:rPr>
          <w:sz w:val="20"/>
          <w:szCs w:val="20"/>
          <w:color w:val="auto"/>
        </w:rPr>
      </w:pPr>
    </w:p>
    <w:p>
      <w:pPr>
        <w:sectPr>
          <w:pgSz w:w="11900" w:h="16838" w:orient="portrait"/>
          <w:cols w:equalWidth="0" w:num="2">
            <w:col w:w="3040" w:space="2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auto"/>
        </w:rPr>
        <w:t>Insider purchases of public</w:t>
      </w:r>
    </w:p>
    <w:p>
      <w:pPr>
        <w:spacing w:after="0" w:line="27" w:lineRule="exact"/>
        <w:rPr>
          <w:sz w:val="20"/>
          <w:szCs w:val="20"/>
          <w:color w:val="auto"/>
        </w:rPr>
      </w:pPr>
    </w:p>
    <w:p>
      <w:pPr>
        <w:jc w:val="both"/>
        <w:ind w:left="3260" w:right="559" w:hanging="2539"/>
        <w:spacing w:after="0" w:line="268" w:lineRule="auto"/>
        <w:tabs>
          <w:tab w:leader="none" w:pos="3240" w:val="left"/>
        </w:tabs>
        <w:rPr>
          <w:sz w:val="20"/>
          <w:szCs w:val="20"/>
          <w:color w:val="auto"/>
        </w:rPr>
      </w:pPr>
      <w:r>
        <w:rPr>
          <w:rFonts w:ascii="Arial" w:cs="Arial" w:eastAsia="Arial" w:hAnsi="Arial"/>
          <w:sz w:val="17"/>
          <w:szCs w:val="17"/>
          <w:b w:val="1"/>
          <w:bCs w:val="1"/>
          <w:color w:val="auto"/>
        </w:rPr>
        <w:t>securities</w:t>
      </w:r>
      <w:r>
        <w:rPr>
          <w:sz w:val="20"/>
          <w:szCs w:val="20"/>
          <w:color w:val="auto"/>
        </w:rPr>
        <w:tab/>
      </w:r>
      <w:r>
        <w:rPr>
          <w:rFonts w:ascii="Arial" w:cs="Arial" w:eastAsia="Arial" w:hAnsi="Arial"/>
          <w:sz w:val="17"/>
          <w:szCs w:val="17"/>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5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35076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Liquidation if no business</w:t>
      </w:r>
    </w:p>
    <w:p>
      <w:pPr>
        <w:spacing w:after="0" w:line="27" w:lineRule="exact"/>
        <w:rPr>
          <w:sz w:val="20"/>
          <w:szCs w:val="20"/>
          <w:color w:val="auto"/>
        </w:rPr>
      </w:pPr>
    </w:p>
    <w:p>
      <w:pPr>
        <w:jc w:val="both"/>
        <w:ind w:left="3260" w:right="559" w:hanging="2539"/>
        <w:spacing w:after="0" w:line="281" w:lineRule="auto"/>
        <w:tabs>
          <w:tab w:leader="none" w:pos="3240" w:val="left"/>
        </w:tabs>
        <w:rPr>
          <w:sz w:val="20"/>
          <w:szCs w:val="20"/>
          <w:color w:val="auto"/>
        </w:rPr>
      </w:pPr>
      <w:r>
        <w:rPr>
          <w:rFonts w:ascii="Arial" w:cs="Arial" w:eastAsia="Arial" w:hAnsi="Arial"/>
          <w:sz w:val="16"/>
          <w:szCs w:val="16"/>
          <w:b w:val="1"/>
          <w:bCs w:val="1"/>
          <w:color w:val="auto"/>
        </w:rPr>
        <w:t>combination</w:t>
      </w:r>
      <w:r>
        <w:rPr>
          <w:sz w:val="20"/>
          <w:szCs w:val="20"/>
          <w:color w:val="auto"/>
        </w:rPr>
        <w:tab/>
      </w:r>
      <w:r>
        <w:rPr>
          <w:rFonts w:ascii="Arial" w:cs="Arial" w:eastAsia="Arial" w:hAnsi="Arial"/>
          <w:sz w:val="16"/>
          <w:szCs w:val="16"/>
          <w:color w:val="auto"/>
        </w:rPr>
        <w:t>If we are unable to complete our initial business combination within 15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w:t>
      </w:r>
    </w:p>
    <w:p>
      <w:pPr>
        <w:spacing w:after="0" w:line="9" w:lineRule="exact"/>
        <w:rPr>
          <w:sz w:val="20"/>
          <w:szCs w:val="20"/>
          <w:color w:val="auto"/>
        </w:rPr>
      </w:pPr>
    </w:p>
    <w:p>
      <w:pPr>
        <w:jc w:val="both"/>
        <w:ind w:left="3260" w:right="559" w:hanging="3"/>
        <w:spacing w:after="0" w:line="283" w:lineRule="auto"/>
        <w:tabs>
          <w:tab w:leader="none" w:pos="35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above) to our obligations to provide for claims of creditors and the requirements of applicable law. However, if we anticipate that we may not be able to consummate our initial business combination within 15 months, our initial stockholders or their affiliates may, but are not obligated to, extend the period of time to consummate a business combination one time by up to an additional three months (for a total of up to 18 months to complete our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w:t>
      </w:r>
    </w:p>
    <w:p>
      <w:pPr>
        <w:spacing w:after="0" w:line="140"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613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613900"/>
                    </a:xfrm>
                    <a:prstGeom prst="rect">
                      <a:avLst/>
                    </a:prstGeom>
                    <a:noFill/>
                  </pic:spPr>
                </pic:pic>
              </a:graphicData>
            </a:graphic>
          </wp:anchor>
        </w:drawing>
      </w:r>
    </w:p>
    <w:p>
      <w:pPr>
        <w:sectPr>
          <w:pgSz w:w="11900" w:h="16838" w:orient="portrait"/>
          <w:cols w:equalWidth="0" w:num="1">
            <w:col w:w="9019"/>
          </w:cols>
          <w:pgMar w:left="1440" w:top="274" w:right="1440" w:bottom="291" w:gutter="0" w:footer="0" w:header="0"/>
        </w:sectPr>
      </w:pPr>
    </w:p>
    <w:p>
      <w:pPr>
        <w:spacing w:after="0" w:line="200" w:lineRule="exact"/>
        <w:rPr>
          <w:sz w:val="20"/>
          <w:szCs w:val="20"/>
          <w:color w:val="auto"/>
        </w:rPr>
      </w:pPr>
    </w:p>
    <w:p>
      <w:pPr>
        <w:spacing w:after="0" w:line="34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 connection with our redemption of 100% of our outstanding public</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shares for a portion of the funds held in the trust account, each holder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will receive a pro rata portion of the amount then in the trust account,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plus any pro rata interest earned on the funds held in the trust account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and not necessary to pay our taxes payable on such funds. Holders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rights or warrants will receive no proceeds in connection with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liquidation with respect to such rights or warrants, which will expire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worthless.</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 may not have funds sufficient to pay or provide for all creditors’</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claims. Although we will seek to have all third parties (including any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vendors or other entities we engage after this offering) and any</w:t>
      </w:r>
    </w:p>
    <w:p>
      <w:pPr>
        <w:spacing w:after="0" w:line="9" w:lineRule="exact"/>
        <w:rPr>
          <w:sz w:val="20"/>
          <w:szCs w:val="20"/>
          <w:color w:val="auto"/>
        </w:rPr>
      </w:pPr>
    </w:p>
    <w:p>
      <w:pPr>
        <w:ind w:left="3260"/>
        <w:spacing w:after="0"/>
        <w:tabs>
          <w:tab w:leader="none" w:pos="4220" w:val="left"/>
          <w:tab w:leader="none" w:pos="4780" w:val="left"/>
          <w:tab w:leader="none" w:pos="5700" w:val="left"/>
          <w:tab w:leader="none" w:pos="6220" w:val="left"/>
          <w:tab w:leader="none" w:pos="6660" w:val="left"/>
          <w:tab w:leader="none" w:pos="7180" w:val="left"/>
          <w:tab w:leader="none" w:pos="7580" w:val="left"/>
        </w:tabs>
        <w:rPr>
          <w:sz w:val="20"/>
          <w:szCs w:val="20"/>
          <w:color w:val="auto"/>
        </w:rPr>
      </w:pPr>
      <w:r>
        <w:rPr>
          <w:rFonts w:ascii="Arial" w:cs="Arial" w:eastAsia="Arial" w:hAnsi="Arial"/>
          <w:sz w:val="18"/>
          <w:szCs w:val="18"/>
          <w:color w:val="auto"/>
        </w:rPr>
        <w:t>prospective</w:t>
        <w:tab/>
        <w:t>target</w:t>
        <w:tab/>
        <w:t>businesses</w:t>
        <w:tab/>
        <w:t>enter</w:t>
        <w:tab/>
        <w:t>into</w:t>
        <w:tab/>
        <w:t>valid</w:t>
        <w:tab/>
        <w:t>and</w:t>
      </w:r>
      <w:r>
        <w:rPr>
          <w:sz w:val="20"/>
          <w:szCs w:val="20"/>
          <w:color w:val="auto"/>
        </w:rPr>
        <w:tab/>
      </w:r>
      <w:r>
        <w:rPr>
          <w:rFonts w:ascii="Arial" w:cs="Arial" w:eastAsia="Arial" w:hAnsi="Arial"/>
          <w:sz w:val="16"/>
          <w:szCs w:val="16"/>
          <w:color w:val="auto"/>
        </w:rPr>
        <w:t>enforceable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agreements with us waiving any right, title, interest or claim of any kind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 or to any monies held in the trust account, there is no guarantee that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they will execute such agreements. There is also no guarantee that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third parties would not challenge the enforceability of these waivers and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bring claims against the trust account for monies owed them.</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The holders of the founder shares and private warrants will not</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participate in any redemption distribution with respect to their founder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shares and private warrants, but may have any public shares redeemed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upon liquidation.</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If we are unable to conclude our initial business combination and we</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expend all of the net proceeds of this offering not deposited in the trust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account, without taking into account any interest earned on the trust</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account, we expect that the initial per-share redemption price will be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approximately $10.10. The proceeds deposited in the trust account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could, however, become subject to claims of our creditors that are in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preference  to  the  claims  of  our  stockholders.  Furthermore,  our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underwriters may seek recourse against the proceeds in the trust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account relating to any future claims they may have against us. In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addition, if we are forced to file a bankruptcy case or an involuntary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bankruptcy case is filed against us that is not dismissed, the proceeds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held in the trust account could be subject to applicable bankruptcy law,</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and may be included in our bankruptcy estate and subject to the claims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of third parties with priority over the claims of our stockholders.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Therefore, the actual per-share redemption price may be less than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estimated $10.10. We will pay the costs of any subsequent liquidation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from our remaining assets outside of the trust account. If such funds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insufficient, our co-sponsors have agreed to pay the funds necessary to</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complete such liquidation and has agreed not to seek repayment for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such expenses. We currently do not anticipate that such funds will be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insufficient.</w:t>
      </w:r>
    </w:p>
    <w:p>
      <w:pPr>
        <w:spacing w:after="0" w:line="180"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Conflict of Interest</w:t>
      </w:r>
      <w:r>
        <w:rPr>
          <w:sz w:val="20"/>
          <w:szCs w:val="20"/>
          <w:color w:val="auto"/>
        </w:rPr>
        <w:tab/>
      </w:r>
      <w:r>
        <w:rPr>
          <w:rFonts w:ascii="Arial" w:cs="Arial" w:eastAsia="Arial" w:hAnsi="Arial"/>
          <w:sz w:val="16"/>
          <w:szCs w:val="16"/>
          <w:color w:val="auto"/>
        </w:rPr>
        <w:t>Chardan Capital Markets, LLC, the representative of the underwriters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 this offering and an affiliate of one of our co-sponsors and one of our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directors, is a beneficial owner of our co-sponsor, Chardan Investments.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 result, Chardan Capital Markets, LLC is deemed to have a</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“conflict  of  interest”  within  the  meaning  of  FINRA  Rule  5121</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(“Rule 5121”). Accordingly, this offering is being made in compliance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with the applicable requirements of Rule 5121.</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Rule 5121 requires that a “qualified independent underwriter,” as</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defined in Rule 5121, participate in the preparation of the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statement and prospectus and exercise the usual standards of due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diligence with respect thereto. B. Riley Securities, Inc. has agreed to act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 “qualified independent underwriter” for this offering. B. Riley</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Inc.  will  receive  $100,000  for  acting  as  a  qualified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independent  underwriter.  We  have  agreed  to  indemnify  B.  Riley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Inc. against certain liabilities incurred in connection with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acting as a “qualified independent underwriter,” including liabilities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under the Securities Act. In addition, no underwriter with a conflict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interest will confirm sales to any account over which it exercises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discretionary authority without the specific prior written approval of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account holder.</w:t>
      </w:r>
    </w:p>
    <w:p>
      <w:pPr>
        <w:sectPr>
          <w:pgSz w:w="11900" w:h="16838" w:orient="portrait"/>
          <w:cols w:equalWidth="0" w:num="1">
            <w:col w:w="9019"/>
          </w:cols>
          <w:pgMar w:left="1440" w:top="274" w:right="1440" w:bottom="291"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291"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6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6"/>
          <w:szCs w:val="16"/>
          <w:i w:val="1"/>
          <w:iCs w:val="1"/>
          <w:color w:val="auto"/>
        </w:rPr>
        <w:t>Proposed Business — Comparison to Offerings of Blank Check</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 Subject to Rule 419</w:t>
      </w:r>
      <w:r>
        <w:rPr>
          <w:rFonts w:ascii="Arial" w:cs="Arial" w:eastAsia="Arial" w:hAnsi="Arial"/>
          <w:sz w:val="16"/>
          <w:szCs w:val="16"/>
          <w:color w:val="auto"/>
        </w:rPr>
        <w:t>.” You should carefully consider these and the other risks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entitled “Risk Factors” beginning on page 22 of this prospectus.</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A brief summary of some of the risk factors that make an investment in us speculative or risky include:</w:t>
      </w:r>
    </w:p>
    <w:p>
      <w:pPr>
        <w:spacing w:after="0" w:line="167" w:lineRule="exact"/>
        <w:rPr>
          <w:sz w:val="20"/>
          <w:szCs w:val="20"/>
          <w:color w:val="auto"/>
        </w:rPr>
      </w:pPr>
    </w:p>
    <w:p>
      <w:pPr>
        <w:ind w:left="1400" w:right="559" w:hanging="424"/>
        <w:spacing w:after="0" w:line="277" w:lineRule="auto"/>
        <w:tabs>
          <w:tab w:leader="none" w:pos="15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able to complete our initial business combination, particularly in light of disruption that may result from limitations imposed by the COVID-19 pandemic;</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5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successful in retaining or recruiting, or making changes required in, our officers, key employees or directors following our initial business combination;</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How much time our officers and directors allocate to us and potentially having conflicts of interest with our business or in approving our initial business combination, as a result of which they would then receive expense reimbursements and other benefits;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we will need to obtain additional financing to complete our initial business combination;</w:t>
      </w:r>
    </w:p>
    <w:p>
      <w:pPr>
        <w:spacing w:after="0" w:line="180" w:lineRule="exact"/>
        <w:rPr>
          <w:rFonts w:ascii="Arial" w:cs="Arial" w:eastAsia="Arial" w:hAnsi="Arial"/>
          <w:sz w:val="16"/>
          <w:szCs w:val="16"/>
          <w:color w:val="auto"/>
        </w:rPr>
      </w:pPr>
    </w:p>
    <w:p>
      <w:pPr>
        <w:ind w:left="1400" w:right="559" w:hanging="424"/>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there is a sufficient pool of prospective target businesses for us to acquire, given competition;</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6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our officers and directors are able to generate a number of potential investment opportunities;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our securities are delisted from Nasdaq prior to our business combination or an inability to have our securities listed on Nasdaq following a business combination;</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that we may have limited liquidity in our securities;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there has not previously been a market for our securities; and</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performance following our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04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540448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Actual</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9"/>
              </w:rPr>
              <w:t>As Adjusted</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Arial" w:cs="Arial" w:eastAsia="Arial" w:hAnsi="Arial"/>
                <w:sz w:val="16"/>
                <w:szCs w:val="16"/>
                <w:color w:val="auto"/>
                <w:w w:val="98"/>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6"/>
                <w:szCs w:val="16"/>
                <w:color w:val="auto"/>
                <w:w w:val="95"/>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23,550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(88,378)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152,523,465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177,483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152,523,465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conversion/tender</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147,523,458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23,465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5,000,007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right="559" w:hanging="436"/>
        <w:spacing w:after="0" w:line="293" w:lineRule="auto"/>
        <w:tabs>
          <w:tab w:leader="none" w:pos="10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$6,000,000 we will receive from the sale of the private warrants (without exercise of over-allotment option).</w:t>
      </w:r>
    </w:p>
    <w:p>
      <w:pPr>
        <w:spacing w:after="0" w:line="100"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07"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The “as adjusted” working capital and total assets amounts include the $151,500,000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9"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225"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We are a newly formed blank check company in the early stage with no operating history and no revenues, and you have no basis on which to evaluate our ability to achieve our business objective.</w:t>
      </w:r>
    </w:p>
    <w:p>
      <w:pPr>
        <w:spacing w:after="0" w:line="7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76"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0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Nasdaq listing rules,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$10.10 per share.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9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80"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7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73"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8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8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1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requirement that we complete our initial business combination within 15 months (or up to 18 months, as applicable) from the closing of this offering may give potential target businesses leverage over us in negotiating our initial business combination.</w:t>
      </w:r>
    </w:p>
    <w:p>
      <w:pPr>
        <w:spacing w:after="0" w:line="9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potential target business with which we enter into negotiations concerning our initial business combination will be aware that we must consummate our initial business combination within 15 months (or up to 18 months, as applicable)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6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co-sponsors, officers and directors have agreed that we must complete our initial business combination within 15 months (or up to 18 months, as applicable)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8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9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initial business combination, where it appears that such requirement would otherwise not be met. This may result in the consummation of an initial business combination that may not otherwise have been possible.</w:t>
      </w:r>
    </w:p>
    <w:p>
      <w:pPr>
        <w:spacing w:after="0" w:line="17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rights or warrants, potentially at a loss.</w:t>
      </w:r>
    </w:p>
    <w:p>
      <w:pPr>
        <w:spacing w:after="0" w:line="9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15 months (or up to 18 months, as applicable) of the closing of this offering.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In no other circumstances will a stockholder have any right or interest of any kind to the funds in the trust account. Accordingly, to liquidate your investment, you may be forced to sell your public shares, rights or warrants, potentially at a loss.</w:t>
      </w:r>
    </w:p>
    <w:p>
      <w:pPr>
        <w:spacing w:after="0" w:line="17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75"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 Furthermore,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next 15 months (or up to 18 months, as applicable), we may be unable to complete our initial business combination.</w:t>
      </w:r>
    </w:p>
    <w:p>
      <w:pPr>
        <w:spacing w:after="0" w:line="9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next 15 months (or up to 18 months, as applicable),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$10.10 per share) (whether or not the underwriters’ over-allotment option is exercised in full) on our redemption, and our rights and warrants will expire worthless.</w:t>
      </w:r>
    </w:p>
    <w:p>
      <w:pPr>
        <w:spacing w:after="0" w:line="16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Subsequent to our consummation of our initial business combination, we may be required to take write-downs or write-offs, restructuring and impairment or other charges.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75"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the event that the proceeds in the trust account are reduced below $10.10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$10.10 per share.</w:t>
      </w:r>
    </w:p>
    <w:p>
      <w:pPr>
        <w:spacing w:after="0" w:line="19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80"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If we are unable to consummate our initial business combination, our public stockholders may be forced to wait up to 15 months (or up to 18 months, as applicable) or longer before redemption from our trust account.</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unable to consummate our initial business combination within 15 months (or up to 18 months, as applicable)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7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units or their respective permitted transferees are registered.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7"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9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Completing a Business Combination</w:t>
      </w:r>
    </w:p>
    <w:p>
      <w:pPr>
        <w:spacing w:after="0" w:line="225"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A public stockholder who fails to vote either in favor of or against a proposed business combination may not be able to have his, her or its shares redeemed for cash.</w:t>
      </w:r>
    </w:p>
    <w:p>
      <w:pPr>
        <w:spacing w:after="0" w:line="9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ectPr>
          <w:pgSz w:w="11900" w:h="16838" w:orient="portrait"/>
          <w:cols w:equalWidth="0" w:num="1">
            <w:col w:w="9019"/>
          </w:cols>
          <w:pgMar w:left="1440" w:top="274"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Redeeming stockholders may be unable to sell their securities when they wish to in the event that the proposed business combination is not approved.</w:t>
      </w:r>
    </w:p>
    <w:p>
      <w:pPr>
        <w:spacing w:after="0" w:line="8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7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7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Our Certificate of Incorporation contains provisions that prohibit our engaging in business combinations with interested stockholders in certain circumstances.</w:t>
      </w:r>
    </w:p>
    <w:p>
      <w:pPr>
        <w:spacing w:after="0" w:line="9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6" w:lineRule="exact"/>
        <w:rPr>
          <w:sz w:val="20"/>
          <w:szCs w:val="20"/>
          <w:color w:val="auto"/>
        </w:rPr>
      </w:pPr>
    </w:p>
    <w:p>
      <w:pPr>
        <w:ind w:left="1320" w:right="459" w:hanging="434"/>
        <w:spacing w:after="0" w:line="277" w:lineRule="auto"/>
        <w:tabs>
          <w:tab w:leader="none" w:pos="16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3"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$10.10 per share or even less (whether or not the underwriters’ over-allotment option is exercised in full) on our redemption, and the rights and warrants will expire worthless.</w:t>
      </w:r>
    </w:p>
    <w:p>
      <w:pPr>
        <w:spacing w:after="0" w:line="12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$10.10 per share or even less (whether or not the underwriters’ over-allotment option is exercised in full) on our redemption, and the rights and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1"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Our co-sponsors control a substantial interest in us and thus may exert a substantial influence on actions requiring a stockholder vote, potentially in a manner that you do not support.</w:t>
      </w:r>
    </w:p>
    <w:p>
      <w:pPr>
        <w:spacing w:after="0" w:line="7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Factors that would be considered in making such additional purchases would include consideration of the current trading price of our shares of common stock.</w:t>
      </w:r>
    </w:p>
    <w:p>
      <w:pPr>
        <w:spacing w:after="0" w:line="174"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7"/>
          <w:szCs w:val="17"/>
          <w:b w:val="1"/>
          <w:bCs w:val="1"/>
          <w:color w:val="auto"/>
        </w:rPr>
        <w:t>Our initial stockholders paid an aggregate of $25,000 for their shares, and, accordingly, you will experience immediate and substantial dilution from the purchase of our shares of common stock.</w:t>
      </w:r>
    </w:p>
    <w:p>
      <w:pPr>
        <w:spacing w:after="0" w:line="6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shares of common stock included in a unit and none to the rights and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$8.50 per share (the difference between the pro forma net tangible book value per share of $1.02 and the initial offering price of $9.52 per share immediately upon the closing of this offering (including the shares of common stock issuable upon conversion of rights)), or approximately 90.6% dilution or $8.62 per share (the difference between the pro forma net tangible book value per share of $0.90 and the initial offering price of $9.52 per share (including the shares of common stock issuable upon conversion of rights)) if the over-allotment is fully exercised.</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8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74"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80"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7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75"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65"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386" w:lineRule="auto"/>
        <w:rPr>
          <w:sz w:val="20"/>
          <w:szCs w:val="20"/>
          <w:color w:val="auto"/>
        </w:rPr>
      </w:pPr>
      <w:r>
        <w:rPr>
          <w:rFonts w:ascii="Arial" w:cs="Arial" w:eastAsia="Arial" w:hAnsi="Arial"/>
          <w:sz w:val="15"/>
          <w:szCs w:val="15"/>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78"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1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9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62"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74"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84"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7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8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Our officers and directors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Any conflict of interest may not be resolved in our favor, and potential target businesses may be presented to another entity prior to their presentation to us.</w:t>
      </w:r>
    </w:p>
    <w:p>
      <w:pPr>
        <w:spacing w:after="0" w:line="166" w:lineRule="exact"/>
        <w:rPr>
          <w:sz w:val="20"/>
          <w:szCs w:val="20"/>
          <w:color w:val="auto"/>
        </w:rPr>
      </w:pPr>
    </w:p>
    <w:p>
      <w:pPr>
        <w:jc w:val="both"/>
        <w:ind w:left="460" w:right="479"/>
        <w:spacing w:after="0" w:line="289" w:lineRule="auto"/>
        <w:rPr>
          <w:sz w:val="20"/>
          <w:szCs w:val="20"/>
          <w:color w:val="auto"/>
        </w:rPr>
      </w:pPr>
      <w:r>
        <w:rPr>
          <w:rFonts w:ascii="Arial" w:cs="Arial" w:eastAsia="Arial" w:hAnsi="Arial"/>
          <w:sz w:val="17"/>
          <w:szCs w:val="17"/>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6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1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65"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84" w:lineRule="auto"/>
        <w:rPr>
          <w:sz w:val="20"/>
          <w:szCs w:val="20"/>
          <w:color w:val="auto"/>
        </w:rPr>
      </w:pPr>
      <w:r>
        <w:rPr>
          <w:rFonts w:ascii="Arial" w:cs="Arial" w:eastAsia="Arial" w:hAnsi="Arial"/>
          <w:sz w:val="16"/>
          <w:szCs w:val="16"/>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4,000,000 warrants (or 4,450,000 warrants if the over-allotment option is exercised in full), and Chardan Investments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The founder shares, private warrants and warrants will be worthless if we do not consummate an initial business combination.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120" w:lineRule="exact"/>
        <w:rPr>
          <w:sz w:val="20"/>
          <w:szCs w:val="20"/>
          <w:color w:val="auto"/>
        </w:rPr>
      </w:pPr>
    </w:p>
    <w:p>
      <w:pPr>
        <w:ind w:left="1320" w:right="479" w:hanging="434"/>
        <w:spacing w:after="0" w:line="277" w:lineRule="auto"/>
        <w:tabs>
          <w:tab w:leader="none" w:pos="1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shares of common stock;</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419"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0"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7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net proceeds from this offering together with the funds we will receive from the sale of the private warrants (excluding $1,000,000 of net proceeds that will not be held in the trust account) will provide us with approximately $151,500,000 (or approximately $174,225,000 if the underwriters’ over-allotment option is exercised in full) that we may use to complete our initial business combination.</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83"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We may attempt to consummate our initial business combination with a private company about which little information is available.</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We may not be able to maintain control of a target business after our initial business combination.</w:t>
      </w:r>
    </w:p>
    <w:p>
      <w:pPr>
        <w:spacing w:after="0" w:line="16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7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116"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5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rights and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rights and warrants underlying the units, include:</w:t>
      </w:r>
    </w:p>
    <w:p>
      <w:pPr>
        <w:spacing w:after="0" w:line="110" w:lineRule="exact"/>
        <w:rPr>
          <w:sz w:val="20"/>
          <w:szCs w:val="20"/>
          <w:color w:val="auto"/>
        </w:rPr>
      </w:pPr>
    </w:p>
    <w:p>
      <w:pPr>
        <w:ind w:left="1320" w:right="479" w:hanging="434"/>
        <w:spacing w:after="0" w:line="277" w:lineRule="auto"/>
        <w:tabs>
          <w:tab w:leader="none" w:pos="15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3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including with respect to the impact from the COVID-19 pandemic;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Holders of rights or warrants will not participate in liquidating distributions if we are unable to complete an initial business combination within the required time period.</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the rights and warrants will expire, and holders will not receive any of such proceeds with respect to the rights or warrants. The foregoing may provide a financial incentive to public stockholders to vote in favor of any proposed initial business combination as each of their rights and warrants would entitle the holder to receive or purchase additional shares of common stock, resulting in an increase in their overall economic stake in us. If a business combination is not approved, the rights and warrants will expire and be worthless.</w:t>
      </w:r>
    </w:p>
    <w:p>
      <w:pPr>
        <w:spacing w:after="0" w:line="191"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and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pacing w:after="0" w:line="173"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11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6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Chardan Investments and/or their respective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73"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We may amend the terms of the rights or warrants, respectively in a way that may be adverse to holders with the approval by the holders of a majority of the then outstanding rights or warrants, respectively.</w:t>
      </w:r>
    </w:p>
    <w:p>
      <w:pPr>
        <w:spacing w:after="0" w:line="3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rights will be issued in registered form under a rights agreement, and our warrants will be issued in registered form under a warrant agreement, each between Continental Stock Transfer &amp; Trust Company, as rights or warrant agent, as applicable, and us. Each of the rights agreement and the warrant agreement provides that the terms of the rights or warrants, as applicable, may be amended without the consent of any holder to cure any ambiguity or correct any defective provision. Each of the rights and the warrant agreement requires the approval by the holders of a majority of the then outstanding rights or warrants (including the private warrants), as applicable, in order to make any change that adversely affects the interests of the registered holders of the rights or warrants, as applicable.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have no obligation to net cash settle the warrants.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no event will we have any obligation to net cash settle the warrants. Accordingly, the warrants may expire worthless.</w:t>
      </w:r>
    </w:p>
    <w:p>
      <w:pPr>
        <w:spacing w:after="0" w:line="166"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98"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83"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87"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is not be deemed to be a waiver by our stockholders of our obligation to comply with federal securities laws, rules and regulations, and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Acquiring and Operating a Business outside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effect our initial business combination with a company located outside of the United States.</w:t>
      </w:r>
    </w:p>
    <w:p>
      <w:pPr>
        <w:spacing w:after="0" w:line="17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6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9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8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Many countries have difficult and unpredictable legal systems and underdeveloped laws and regulations that are unclear and subject to corruption and inexperience.</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9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80"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If relations between the United States and foreign governments deteriorate, it could cause potential target businesses or their goods and services to become less attractive.</w:t>
      </w:r>
    </w:p>
    <w:p>
      <w:pPr>
        <w:spacing w:after="0" w:line="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57"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If our management following our initial business combination is unfamiliar with United States securities laws, they may have to expend time and resources becoming familiar with such laws.</w:t>
      </w:r>
    </w:p>
    <w:p>
      <w:pPr>
        <w:spacing w:after="0" w:line="3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8"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Currency policies may cause a target business’ ability to succeed in the international markets to be diminished.</w:t>
      </w:r>
    </w:p>
    <w:p>
      <w:pPr>
        <w:spacing w:after="0" w:line="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Because foreign law could govern our material agreements, we may not be able to enforce our rights within such jurisdiction or elsewhere.</w:t>
      </w:r>
    </w:p>
    <w:p>
      <w:pPr>
        <w:spacing w:after="0" w:line="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27"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reduced liquidity with respect to our securities;</w:t>
      </w:r>
    </w:p>
    <w:p>
      <w:pPr>
        <w:spacing w:after="0" w:line="144" w:lineRule="exact"/>
        <w:rPr>
          <w:rFonts w:ascii="Arial" w:cs="Arial" w:eastAsia="Arial" w:hAnsi="Arial"/>
          <w:sz w:val="18"/>
          <w:szCs w:val="18"/>
          <w:color w:val="auto"/>
        </w:rPr>
      </w:pPr>
    </w:p>
    <w:p>
      <w:pPr>
        <w:jc w:val="both"/>
        <w:ind w:left="1320" w:right="479" w:hanging="434"/>
        <w:spacing w:after="0" w:line="311" w:lineRule="auto"/>
        <w:tabs>
          <w:tab w:leader="none" w:pos="14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We are an “emerging growth company” and we cannot be certain if the reduced disclosure requirements applicable to emerging growth companies will make our securities less attractive to investors.</w:t>
      </w:r>
    </w:p>
    <w:p>
      <w:pPr>
        <w:spacing w:after="0" w:line="5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4" w:lineRule="exact"/>
        <w:rPr>
          <w:sz w:val="20"/>
          <w:szCs w:val="20"/>
          <w:color w:val="auto"/>
        </w:rPr>
      </w:pPr>
    </w:p>
    <w:p>
      <w:pPr>
        <w:ind w:left="1320" w:right="479" w:hanging="434"/>
        <w:spacing w:after="0" w:line="277" w:lineRule="auto"/>
        <w:tabs>
          <w:tab w:leader="none" w:pos="13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our officers and directors to generate a number of potential investment opportunities;</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a market for our securities;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6"/>
              </w:rPr>
              <w:t>Option</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87"/>
              </w:rPr>
              <w:t>Exercised</w:t>
            </w:r>
          </w:p>
        </w:tc>
        <w:tc>
          <w:tcPr>
            <w:tcW w:w="0" w:type="dxa"/>
            <w:vAlign w:val="bottom"/>
          </w:tcPr>
          <w:p>
            <w:pPr>
              <w:spacing w:after="0"/>
              <w:rPr>
                <w:sz w:val="1"/>
                <w:szCs w:val="1"/>
                <w:color w:val="auto"/>
              </w:rPr>
            </w:pPr>
          </w:p>
        </w:tc>
      </w:tr>
      <w:tr>
        <w:trPr>
          <w:trHeight w:val="46"/>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150,000,000</w:t>
            </w:r>
          </w:p>
        </w:tc>
        <w:tc>
          <w:tcPr>
            <w:tcW w:w="1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172,500,000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6,675,000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156,000,000</w:t>
            </w:r>
          </w:p>
        </w:tc>
        <w:tc>
          <w:tcPr>
            <w:tcW w:w="1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179,175,000</w:t>
            </w:r>
          </w:p>
        </w:tc>
        <w:tc>
          <w:tcPr>
            <w:tcW w:w="0" w:type="dxa"/>
            <w:vAlign w:val="bottom"/>
          </w:tcPr>
          <w:p>
            <w:pPr>
              <w:spacing w:after="0"/>
              <w:rPr>
                <w:sz w:val="1"/>
                <w:szCs w:val="1"/>
                <w:color w:val="auto"/>
              </w:rPr>
            </w:pPr>
          </w:p>
        </w:tc>
      </w:tr>
      <w:tr>
        <w:trPr>
          <w:trHeight w:val="271"/>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78,305</w:t>
            </w:r>
          </w:p>
        </w:tc>
        <w:tc>
          <w:tcPr>
            <w:tcW w:w="0" w:type="dxa"/>
            <w:vAlign w:val="bottom"/>
          </w:tcPr>
          <w:p>
            <w:pPr>
              <w:spacing w:after="0"/>
              <w:rPr>
                <w:sz w:val="1"/>
                <w:szCs w:val="1"/>
                <w:color w:val="auto"/>
              </w:rPr>
            </w:pPr>
          </w:p>
        </w:tc>
      </w:tr>
      <w:tr>
        <w:trPr>
          <w:trHeight w:val="224"/>
        </w:trPr>
        <w:tc>
          <w:tcPr>
            <w:tcW w:w="5500" w:type="dxa"/>
            <w:vAlign w:val="bottom"/>
          </w:tcPr>
          <w:p>
            <w:pPr>
              <w:ind w:left="180"/>
              <w:spacing w:after="0"/>
              <w:rPr>
                <w:sz w:val="20"/>
                <w:szCs w:val="20"/>
                <w:color w:val="auto"/>
              </w:rPr>
            </w:pPr>
            <w:r>
              <w:rPr>
                <w:rFonts w:ascii="Arial" w:cs="Arial" w:eastAsia="Arial" w:hAnsi="Arial"/>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151,500,000</w:t>
            </w:r>
            <w:r>
              <w:rPr>
                <w:rFonts w:ascii="Arial" w:cs="Arial" w:eastAsia="Arial" w:hAnsi="Arial"/>
                <w:sz w:val="20"/>
                <w:szCs w:val="20"/>
                <w:color w:val="auto"/>
                <w:w w:val="87"/>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174,225,000</w:t>
            </w:r>
            <w:r>
              <w:rPr>
                <w:rFonts w:ascii="Arial" w:cs="Arial" w:eastAsia="Arial" w:hAnsi="Arial"/>
                <w:sz w:val="20"/>
                <w:szCs w:val="20"/>
                <w:color w:val="auto"/>
                <w:w w:val="94"/>
                <w:vertAlign w:val="superscript"/>
              </w:rPr>
              <w:t>(2)</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r>
              <w:rPr>
                <w:rFonts w:ascii="Arial" w:cs="Arial" w:eastAsia="Arial" w:hAnsi="Arial"/>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152,500,000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175,225,000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4"/>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w w:val="94"/>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and 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per month for up to 15 months), subject to deferral as described herein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2"/>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82" w:lineRule="auto"/>
        <w:tabs>
          <w:tab w:leader="none" w:pos="985"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portion of the offering expenses, including the SEC registration fee, the FINRA filing fee, the non-refundable portion of the Nasdaq listing fee and a portion of the legal and audit fees, have been paid from the funds we borrowed from Ventoux Acquisition, as further described below. These funds will be repaid out of the proceeds of this offering available to us.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 w:lineRule="exact"/>
        <w:rPr>
          <w:rFonts w:ascii="Arial" w:cs="Arial" w:eastAsia="Arial" w:hAnsi="Arial"/>
          <w:sz w:val="15"/>
          <w:szCs w:val="15"/>
          <w:color w:val="auto"/>
        </w:rPr>
      </w:pPr>
    </w:p>
    <w:p>
      <w:pPr>
        <w:jc w:val="both"/>
        <w:ind w:left="880" w:right="459" w:hanging="426"/>
        <w:spacing w:after="0" w:line="268" w:lineRule="auto"/>
        <w:tabs>
          <w:tab w:leader="none" w:pos="8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ectPr>
          <w:pgSz w:w="11900" w:h="16838" w:orient="portrait"/>
          <w:cols w:equalWidth="0" w:num="1">
            <w:col w:w="9019"/>
          </w:cols>
          <w:pgMar w:left="1440" w:top="274" w:right="1440" w:bottom="1101"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01"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hanging="426"/>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$1,000,000 even if the over-allotment is exercised.</w:t>
      </w:r>
    </w:p>
    <w:p>
      <w:pPr>
        <w:spacing w:after="0" w:line="24"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9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 total of $10.10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15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20"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11"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7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18 months, as applicable) following the closing of this offering, subject to applicable law, or</w:t>
      </w:r>
    </w:p>
    <w:p>
      <w:pPr>
        <w:spacing w:after="0" w:line="2" w:lineRule="exact"/>
        <w:rPr>
          <w:sz w:val="20"/>
          <w:szCs w:val="20"/>
          <w:color w:val="auto"/>
        </w:rPr>
      </w:pPr>
    </w:p>
    <w:p>
      <w:pPr>
        <w:jc w:val="both"/>
        <w:ind w:left="460" w:right="459" w:hanging="6"/>
        <w:spacing w:after="0" w:line="267" w:lineRule="auto"/>
        <w:tabs>
          <w:tab w:leader="none" w:pos="7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seek to amend our certificate of incorporation to affect the substance or timing of our obligation to redeem all public shares if we cannot complete an initial business combination within 15 months (or up to 18 months, as applicable) of the closing of this offering and such amendment is duly approved. In no other circumstances will a public stockholder have any right or interest of any kind to or in the trust account.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15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The difference between the public offering price per share, assuming no value is attributed to the rights and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8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At September 30, 2020, our net tangible book value deficit was $88,378 or approximately $(0.02) per share. For the purposes of the dilution calculation, in order to present the maximum estimated dilution as a result of this offering, we have assumed (i) the issuance of 0.05 of a share for each right outstanding, as such issuance will occur upon a business combination without the payment of additional consideration and (ii) the number of shares included in the units offered hereby will be deemed to be 15,750,000 (consisting of 15,000,000 shares included in the units we are offering by this prospectus and 750,000 shares for the outstanding rights), and the price per share in this offering will be deemed to be $9.52. After giving effect to the sale of 15,000,000 shares of common stock included in the units we are offering by this prospectus and the proceeds received from the sale of the private warrants the deduction of underwriting discounts and estimated expenses of this offering, our pro forma net tangible book value at September 30, 2020 would have been $5,000,007 or $1.02 per share, representing an immediate increase in net tangible book value of $1.04 per share to the initial stockholders and an immediate dilution of 89.3% per share or $8.50 to new investors not exercising their conversion/tender rights. For purposes of presentation, our pro forma net tangible book value after this offering is $147,523,458 less than it otherwise would have been because, if we effect a business combination, the ability of public stockholders to exercise conversion rights or sell their shares to us in any tender offer may result in the conversion or tender of up to 14,606,283 shares sold in this offering.</w:t>
      </w:r>
    </w:p>
    <w:p>
      <w:pPr>
        <w:spacing w:after="0" w:line="9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rights or redeemable warrants, including the private warrants: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Increase attributable to new investors, private sales and capital contribution</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5"/>
              </w:rPr>
              <w:t>8.50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93"/>
              </w:rPr>
              <w:t>89.3%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initial stockholders and the new investors: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260" w:type="dxa"/>
            <w:vAlign w:val="bottom"/>
            <w:gridSpan w:val="3"/>
          </w:tcPr>
          <w:p>
            <w:pPr>
              <w:ind w:left="200"/>
              <w:spacing w:after="0"/>
              <w:rPr>
                <w:sz w:val="20"/>
                <w:szCs w:val="20"/>
                <w:color w:val="auto"/>
              </w:rPr>
            </w:pPr>
            <w:r>
              <w:rPr>
                <w:rFonts w:ascii="Arial" w:cs="Arial" w:eastAsia="Arial" w:hAnsi="Arial"/>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0.007</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0"/>
                <w:szCs w:val="20"/>
                <w:color w:val="auto"/>
              </w:rPr>
            </w:pPr>
            <w:r>
              <w:rPr>
                <w:rFonts w:ascii="Arial" w:cs="Arial" w:eastAsia="Arial" w:hAnsi="Arial"/>
                <w:sz w:val="18"/>
                <w:szCs w:val="18"/>
                <w:color w:val="auto"/>
              </w:rPr>
              <w:t>New investors</w:t>
            </w:r>
            <w:r>
              <w:rPr>
                <w:rFonts w:ascii="Arial" w:cs="Arial" w:eastAsia="Arial" w:hAnsi="Arial"/>
                <w:sz w:val="20"/>
                <w:szCs w:val="20"/>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15,750,000</w:t>
            </w: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150,000,000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150,025,000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66" w:lineRule="auto"/>
        <w:tabs>
          <w:tab w:leader="none" w:pos="8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issuance of an additional 750,000 shares underlying the rights included in the public units.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pro forma net tangible book value after the offering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514350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Numerator:</w:t>
      </w:r>
      <w:r>
        <w:rPr>
          <w:rFonts w:ascii="Arial" w:cs="Arial" w:eastAsia="Arial" w:hAnsi="Arial"/>
          <w:sz w:val="20"/>
          <w:szCs w:val="20"/>
          <w:color w:val="auto"/>
          <w:vertAlign w:val="superscript"/>
        </w:rPr>
        <w:t>(1)</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tangible book value before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proceeds from this offering and private placement of private warrants</w:t>
      </w:r>
    </w:p>
    <w:p>
      <w:pPr>
        <w:spacing w:after="0" w:line="50" w:lineRule="exact"/>
        <w:rPr>
          <w:sz w:val="20"/>
          <w:szCs w:val="20"/>
          <w:color w:val="auto"/>
        </w:rPr>
      </w:pPr>
    </w:p>
    <w:p>
      <w:pPr>
        <w:ind w:left="640" w:hanging="179"/>
        <w:spacing w:after="0" w:line="277" w:lineRule="auto"/>
        <w:rPr>
          <w:sz w:val="20"/>
          <w:szCs w:val="20"/>
          <w:color w:val="auto"/>
        </w:rPr>
      </w:pPr>
      <w:r>
        <w:rPr>
          <w:rFonts w:ascii="Arial" w:cs="Arial" w:eastAsia="Arial" w:hAnsi="Arial"/>
          <w:sz w:val="18"/>
          <w:szCs w:val="18"/>
          <w:color w:val="auto"/>
        </w:rPr>
        <w:t>Plus: Offering costs accrued for and paid in advance, excluded from tangible book value before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Proceeds held in trust subject to conversion/tender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common stock issued and outstanding prior to this offering</w:t>
      </w:r>
      <w:r>
        <w:rPr>
          <w:rFonts w:ascii="Arial" w:cs="Arial" w:eastAsia="Arial" w:hAnsi="Arial"/>
          <w:sz w:val="20"/>
          <w:szCs w:val="20"/>
          <w:color w:val="auto"/>
          <w:vertAlign w:val="superscript"/>
        </w:rPr>
        <w:t>(1)</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common stock to be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right="640"/>
        <w:spacing w:after="0" w:line="355" w:lineRule="auto"/>
        <w:rPr>
          <w:sz w:val="20"/>
          <w:szCs w:val="20"/>
          <w:color w:val="auto"/>
        </w:rPr>
      </w:pPr>
      <w:r>
        <w:rPr>
          <w:rFonts w:ascii="Arial" w:cs="Arial" w:eastAsia="Arial" w:hAnsi="Arial"/>
          <w:sz w:val="18"/>
          <w:szCs w:val="18"/>
          <w:color w:val="auto"/>
        </w:rPr>
        <w:t>Shares of common stock underlying the rights to be included in the public units Less: Shares subject to conversion/tender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 w:hanging="548"/>
        <w:spacing w:after="0"/>
        <w:tabs>
          <w:tab w:leader="none" w:pos="5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(88,378)</w:t>
      </w:r>
    </w:p>
    <w:p>
      <w:pPr>
        <w:spacing w:after="0" w:line="99" w:lineRule="exact"/>
        <w:rPr>
          <w:rFonts w:ascii="Arial" w:cs="Arial" w:eastAsia="Arial" w:hAnsi="Arial"/>
          <w:sz w:val="16"/>
          <w:szCs w:val="16"/>
          <w:color w:val="auto"/>
        </w:rPr>
      </w:pPr>
    </w:p>
    <w:p>
      <w:pPr>
        <w:ind w:left="208"/>
        <w:spacing w:after="0"/>
        <w:rPr>
          <w:rFonts w:ascii="Arial" w:cs="Arial" w:eastAsia="Arial" w:hAnsi="Arial"/>
          <w:sz w:val="16"/>
          <w:szCs w:val="16"/>
          <w:color w:val="auto"/>
        </w:rPr>
      </w:pPr>
      <w:r>
        <w:rPr>
          <w:rFonts w:ascii="Arial" w:cs="Arial" w:eastAsia="Arial" w:hAnsi="Arial"/>
          <w:sz w:val="17"/>
          <w:szCs w:val="17"/>
          <w:color w:val="auto"/>
        </w:rPr>
        <w:t>152,500,000</w:t>
      </w:r>
    </w:p>
    <w:p>
      <w:pPr>
        <w:spacing w:after="0" w:line="2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111,843</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(147,523,458)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0" w:lineRule="exact"/>
        <w:rPr>
          <w:sz w:val="20"/>
          <w:szCs w:val="20"/>
          <w:color w:val="auto"/>
        </w:rPr>
      </w:pPr>
    </w:p>
    <w:p>
      <w:pPr>
        <w:ind w:left="388" w:hanging="388"/>
        <w:spacing w:after="0"/>
        <w:tabs>
          <w:tab w:leader="none" w:pos="388" w:val="left"/>
        </w:tabs>
        <w:numPr>
          <w:ilvl w:val="0"/>
          <w:numId w:val="27"/>
        </w:numPr>
        <w:rPr>
          <w:rFonts w:ascii="Arial" w:cs="Arial" w:eastAsia="Arial" w:hAnsi="Arial"/>
          <w:sz w:val="17"/>
          <w:szCs w:val="17"/>
          <w:color w:val="auto"/>
        </w:rPr>
      </w:pPr>
      <w:r>
        <w:rPr>
          <w:rFonts w:ascii="Arial" w:cs="Arial" w:eastAsia="Arial" w:hAnsi="Arial"/>
          <w:sz w:val="17"/>
          <w:szCs w:val="17"/>
          <w:color w:val="auto"/>
        </w:rPr>
        <w:t>5,000,007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02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3,750,000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15,000,000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750,000</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(14,606,283)</w:t>
      </w:r>
    </w:p>
    <w:p>
      <w:pPr>
        <w:spacing w:after="0" w:line="90"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4,893,717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6820" w:space="492"/>
            <w:col w:w="1707"/>
          </w:cols>
          <w:pgMar w:left="1440" w:top="274" w:right="1440" w:bottom="1440" w:gutter="0" w:footer="0" w:header="0"/>
        </w:sectPr>
      </w:pPr>
    </w:p>
    <w:p>
      <w:pPr>
        <w:ind w:left="880" w:right="479" w:hanging="426"/>
        <w:spacing w:after="0" w:line="293" w:lineRule="auto"/>
        <w:tabs>
          <w:tab w:leader="none" w:pos="8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by us as a result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our capitalization at September 30, 2020 and as adjusted to give effect to the sale of our units and the private warrants and the application of the estimated net proceeds derived from the sale of such securities.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2" w:lineRule="exact"/>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Actual</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600" w:type="dxa"/>
            <w:vAlign w:val="bottom"/>
          </w:tcPr>
          <w:p>
            <w:pPr>
              <w:spacing w:after="0" w:line="182" w:lineRule="exact"/>
              <w:rPr>
                <w:sz w:val="20"/>
                <w:szCs w:val="20"/>
                <w:color w:val="auto"/>
              </w:rPr>
            </w:pPr>
            <w:r>
              <w:rPr>
                <w:rFonts w:ascii="Arial" w:cs="Arial" w:eastAsia="Arial" w:hAnsi="Arial"/>
                <w:sz w:val="18"/>
                <w:szCs w:val="18"/>
                <w:color w:val="auto"/>
                <w:w w:val="94"/>
              </w:rPr>
              <w:t>Shares of common stock, $0.0001 par value, none and 14,606,283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are subject to possible conversion/tender, respectively</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147,523,458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actual; 50,000,000 shares authorized, as adjusted; 4,312,500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w w:val="99"/>
              </w:rPr>
              <w:t>and outstanding, actual; 4,143,717 shares issued and outstanding</w:t>
            </w:r>
            <w:r>
              <w:rPr>
                <w:rFonts w:ascii="Arial" w:cs="Arial" w:eastAsia="Arial" w:hAnsi="Arial"/>
                <w:sz w:val="20"/>
                <w:szCs w:val="20"/>
                <w:color w:val="auto"/>
                <w:w w:val="99"/>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(excluding 14,606,283 shares subject to possible conversion/tender),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6"/>
              </w:rPr>
              <w:t>Shares of preferred stock, $0.001 par value, 0 shares authorized, actual;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1,000,000 shares authorized, as adjusted; no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176,483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  152,523,465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66" w:lineRule="auto"/>
        <w:tabs>
          <w:tab w:leader="none" w:pos="9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the $6,000,000 we will receive from the sale of the private warrants (assumes the over-allotment option has not been exercised).</w:t>
      </w:r>
    </w:p>
    <w:p>
      <w:pPr>
        <w:spacing w:after="0" w:line="1" w:lineRule="exact"/>
        <w:rPr>
          <w:rFonts w:ascii="Arial" w:cs="Arial" w:eastAsia="Arial" w:hAnsi="Arial"/>
          <w:sz w:val="16"/>
          <w:szCs w:val="16"/>
          <w:color w:val="auto"/>
        </w:rPr>
      </w:pPr>
    </w:p>
    <w:p>
      <w:pPr>
        <w:ind w:left="880" w:right="479" w:hanging="426"/>
        <w:spacing w:after="0" w:line="288" w:lineRule="auto"/>
        <w:tabs>
          <w:tab w:leader="none" w:pos="89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as a result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10" w:lineRule="exact"/>
        <w:rPr>
          <w:sz w:val="20"/>
          <w:szCs w:val="20"/>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indicated in the accompanying financial statements, at September 30, 2020, we had $65,640 in cash and $111,843 in deferred offering costs. Further, we expect to continue to incur significant costs in the pursuit of our acquisition plans. Our plans to raise capital or to consummate our initial business combination may not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indicated in the accompanying financial statements, at September 30, 2020, we had $65,640 in cash and a working capital deficit of $88,378.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underwriting fees and qualified independent underwriter fees of $3,000,000 (or $3,450,000 if the over-allotment option is exercised in full) and (2) the sale of the private warrants for a purchase price of $6,000,000 will be $152,500,000 (or $175,225,000 if the over-allotment option is exercised in full). Of this amount, $151,500,000 (or $174,225,000 if the over-allotment option is exercised in full), or “the net offering proceeds,” will be held in the trust account. The remaining $1,000,000 (whether or not the over-allotment option is exercised in full) will not be held in the trust account.</w:t>
      </w:r>
    </w:p>
    <w:p>
      <w:pPr>
        <w:spacing w:after="0" w:line="11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Over the next 15 months (or up to 18 months, as applicable),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14" w:lineRule="exact"/>
        <w:rPr>
          <w:sz w:val="20"/>
          <w:szCs w:val="20"/>
          <w:color w:val="auto"/>
        </w:rPr>
      </w:pPr>
    </w:p>
    <w:p>
      <w:pPr>
        <w:jc w:val="both"/>
        <w:ind w:left="1320" w:right="459" w:hanging="434"/>
        <w:spacing w:after="0" w:line="263" w:lineRule="auto"/>
        <w:tabs>
          <w:tab w:leader="none" w:pos="1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$30,000 of expenses for the due diligence and investigation of a target business by our officers, directors and initial stockholders;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$150,000 for the payment of the administrative fee to Chardan Capital Markets, LLC (of $10,000 per month for up to 15 months), subject to deferral as described herein;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$710,000 for general working capital that will be used for miscellaneous expenses, including director and officer liability insurance premiums.</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1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18" w:lineRule="exact"/>
        <w:rPr>
          <w:sz w:val="20"/>
          <w:szCs w:val="20"/>
          <w:color w:val="auto"/>
        </w:rPr>
      </w:pPr>
    </w:p>
    <w:p>
      <w:pPr>
        <w:ind w:left="1300" w:hanging="41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As of September 30, 2020,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9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13" w:lineRule="exact"/>
        <w:rPr>
          <w:sz w:val="20"/>
          <w:szCs w:val="20"/>
          <w:color w:val="auto"/>
        </w:rPr>
      </w:pPr>
    </w:p>
    <w:p>
      <w:pPr>
        <w:jc w:val="both"/>
        <w:ind w:left="460" w:right="479" w:firstLine="432"/>
        <w:spacing w:after="0" w:line="284" w:lineRule="auto"/>
        <w:rPr>
          <w:sz w:val="20"/>
          <w:szCs w:val="20"/>
          <w:color w:val="auto"/>
        </w:rPr>
      </w:pPr>
      <w:r>
        <w:rPr>
          <w:rFonts w:ascii="Arial" w:cs="Arial" w:eastAsia="Arial" w:hAnsi="Arial"/>
          <w:sz w:val="16"/>
          <w:szCs w:val="16"/>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0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72"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8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7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9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Mr. Grossman has nearly two decades of SPAC expertise. Mr. Grossman has provided underwriting and business combination advisory services to more than 80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companies, as a leader in Citi’s corporate strategy and M&amp;A group, UBS Financial Institutions Group’s investmentv bank, and General Electric’s corporate development group, and at boutique investment banking advisors, such as Lazard Middle Market and William Blair.</w:t>
      </w:r>
    </w:p>
    <w:p>
      <w:pPr>
        <w:spacing w:after="0" w:line="11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0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Our board of directors will include Woody H. Levin, Julie Atkinson, Chris Ahrens and Bernard Van der Lande.</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Bernard Van der Lande is Managing Director of Cindat, a global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 Mr. Van der Lande began his career with The Coca-Cola Company, and spent a half decade working in Asia.</w:t>
      </w:r>
    </w:p>
    <w:p>
      <w:pPr>
        <w:spacing w:after="0" w:line="11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Robert Martin will serve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27"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144" w:lineRule="exact"/>
        <w:rPr>
          <w:sz w:val="20"/>
          <w:szCs w:val="20"/>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130"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75" w:lineRule="exact"/>
        <w:rPr>
          <w:rFonts w:ascii="Arial" w:cs="Arial" w:eastAsia="Arial" w:hAnsi="Arial"/>
          <w:sz w:val="18"/>
          <w:szCs w:val="18"/>
          <w:color w:val="auto"/>
        </w:rPr>
      </w:pPr>
    </w:p>
    <w:p>
      <w:pPr>
        <w:jc w:val="both"/>
        <w:ind w:left="1320" w:right="479" w:hanging="434"/>
        <w:spacing w:after="0" w:line="263" w:lineRule="auto"/>
        <w:tabs>
          <w:tab w:leader="none" w:pos="15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7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3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7" w:lineRule="exact"/>
        <w:rPr>
          <w:sz w:val="20"/>
          <w:szCs w:val="20"/>
          <w:color w:val="auto"/>
        </w:rPr>
      </w:pPr>
    </w:p>
    <w:p>
      <w:pPr>
        <w:ind w:left="1320" w:right="479" w:hanging="434"/>
        <w:spacing w:after="0" w:line="277" w:lineRule="auto"/>
        <w:tabs>
          <w:tab w:leader="none" w:pos="1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75" w:lineRule="exact"/>
        <w:rPr>
          <w:rFonts w:ascii="Arial" w:cs="Arial" w:eastAsia="Arial" w:hAnsi="Arial"/>
          <w:sz w:val="18"/>
          <w:szCs w:val="18"/>
          <w:color w:val="auto"/>
        </w:rPr>
      </w:pPr>
    </w:p>
    <w:p>
      <w:pPr>
        <w:jc w:val="both"/>
        <w:ind w:left="1320" w:right="479" w:hanging="434"/>
        <w:spacing w:after="0" w:line="286" w:lineRule="auto"/>
        <w:tabs>
          <w:tab w:leader="none" w:pos="13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84" w:lineRule="exact"/>
        <w:rPr>
          <w:rFonts w:ascii="Arial" w:cs="Arial" w:eastAsia="Arial" w:hAnsi="Arial"/>
          <w:sz w:val="17"/>
          <w:szCs w:val="17"/>
          <w:color w:val="auto"/>
        </w:rPr>
      </w:pPr>
    </w:p>
    <w:p>
      <w:pPr>
        <w:ind w:left="1320" w:right="479" w:hanging="434"/>
        <w:spacing w:after="0" w:line="277" w:lineRule="auto"/>
        <w:tabs>
          <w:tab w:leader="none" w:pos="14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 in these challenging times for the industry sectors;</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an operating model that has adapted to meet the changing consumer or business behaviors in a post-COVID 19 environment;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Process</w:t>
      </w:r>
    </w:p>
    <w:p>
      <w:pPr>
        <w:spacing w:after="0" w:line="13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Value Creation Post Merger</w:t>
      </w:r>
    </w:p>
    <w:p>
      <w:pPr>
        <w:spacing w:after="0" w:line="135"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86"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0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not identified any acquisition targets. From the period prior to our formation through the date of this prospectus, there have been no communications, evaluations or discussions between any of our officers, directors or our</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32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opinion from an independent investment banking firm, or another independent entity that commonly renders valuation opinions on the type of target business we seek to acquire, that the price we are paying is fair to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5" w:lineRule="exact"/>
        <w:rPr>
          <w:sz w:val="20"/>
          <w:szCs w:val="20"/>
          <w:color w:val="auto"/>
        </w:rPr>
      </w:pPr>
    </w:p>
    <w:p>
      <w:pPr>
        <w:jc w:val="both"/>
        <w:ind w:left="1320" w:right="459" w:hanging="434"/>
        <w:spacing w:after="0" w:line="263" w:lineRule="auto"/>
        <w:tabs>
          <w:tab w:leader="none" w:pos="1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w:t>
      </w:r>
    </w:p>
    <w:p>
      <w:pPr>
        <w:spacing w:after="0" w:line="1" w:lineRule="exact"/>
        <w:rPr>
          <w:sz w:val="20"/>
          <w:szCs w:val="20"/>
          <w:color w:val="auto"/>
        </w:rPr>
      </w:pPr>
    </w:p>
    <w:p>
      <w:pPr>
        <w:jc w:val="both"/>
        <w:ind w:left="460" w:right="459" w:hanging="6"/>
        <w:spacing w:after="0" w:line="252" w:lineRule="auto"/>
        <w:tabs>
          <w:tab w:leader="none" w:pos="7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his, her or its shares. The decision as to whether we will seek stockholder approval of a proposed business combination or will allow stockholders to sell</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this offering in order to be able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13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0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9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8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we do not complete a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w:t>
      </w:r>
    </w:p>
    <w:p>
      <w:pPr>
        <w:spacing w:after="0" w:line="2" w:lineRule="exact"/>
        <w:rPr>
          <w:sz w:val="20"/>
          <w:szCs w:val="20"/>
          <w:color w:val="auto"/>
        </w:rPr>
      </w:pPr>
    </w:p>
    <w:p>
      <w:pPr>
        <w:jc w:val="both"/>
        <w:ind w:left="460" w:right="459" w:hanging="6"/>
        <w:spacing w:after="0" w:line="302" w:lineRule="auto"/>
        <w:tabs>
          <w:tab w:leader="none" w:pos="7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8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11"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(or up to the 18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as applicable)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0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0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10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04" w:lineRule="exact"/>
        <w:rPr>
          <w:sz w:val="20"/>
          <w:szCs w:val="20"/>
          <w:color w:val="auto"/>
        </w:rPr>
      </w:pPr>
    </w:p>
    <w:p>
      <w:pPr>
        <w:jc w:val="both"/>
        <w:ind w:left="1320" w:right="459" w:hanging="434"/>
        <w:spacing w:after="0" w:line="271" w:lineRule="auto"/>
        <w:tabs>
          <w:tab w:leader="none" w:pos="13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4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05" w:lineRule="exact"/>
        <w:rPr>
          <w:rFonts w:ascii="Arial" w:cs="Arial" w:eastAsia="Arial" w:hAnsi="Arial"/>
          <w:sz w:val="18"/>
          <w:szCs w:val="18"/>
          <w:color w:val="auto"/>
        </w:rPr>
      </w:pPr>
    </w:p>
    <w:p>
      <w:pPr>
        <w:jc w:val="both"/>
        <w:ind w:left="1320" w:right="479" w:hanging="434"/>
        <w:spacing w:after="0" w:line="286" w:lineRule="auto"/>
        <w:tabs>
          <w:tab w:leader="none" w:pos="14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15 months (or up to 18 months, as applicable) of the closing of this offering, then our existence will terminate and we will distribute all amounts in the trust account to all of our public holders of shares of common stock;</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consummation of this offering, $151,500,000, or $174,225,000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92" w:lineRule="exact"/>
        <w:rPr>
          <w:sz w:val="20"/>
          <w:szCs w:val="20"/>
          <w:color w:val="auto"/>
        </w:rPr>
      </w:pPr>
    </w:p>
    <w:p>
      <w:pPr>
        <w:jc w:val="both"/>
        <w:ind w:left="1320" w:right="459" w:hanging="434"/>
        <w:spacing w:after="0" w:line="263" w:lineRule="auto"/>
        <w:tabs>
          <w:tab w:leader="none" w:pos="15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9" w:lineRule="exact"/>
        <w:rPr>
          <w:rFonts w:ascii="Arial" w:cs="Arial" w:eastAsia="Arial" w:hAnsi="Arial"/>
          <w:sz w:val="18"/>
          <w:szCs w:val="18"/>
          <w:color w:val="auto"/>
        </w:rPr>
      </w:pPr>
    </w:p>
    <w:p>
      <w:pPr>
        <w:jc w:val="both"/>
        <w:ind w:left="1320" w:right="459" w:hanging="434"/>
        <w:spacing w:after="0" w:line="279" w:lineRule="auto"/>
        <w:tabs>
          <w:tab w:leader="none" w:pos="143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59" w:hanging="434"/>
        <w:spacing w:after="0" w:line="277" w:lineRule="auto"/>
        <w:tabs>
          <w:tab w:leader="none" w:pos="1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75" w:lineRule="exact"/>
        <w:rPr>
          <w:rFonts w:ascii="Arial" w:cs="Arial" w:eastAsia="Arial" w:hAnsi="Arial"/>
          <w:sz w:val="18"/>
          <w:szCs w:val="18"/>
          <w:color w:val="auto"/>
        </w:rPr>
      </w:pPr>
    </w:p>
    <w:p>
      <w:pPr>
        <w:ind w:left="1320" w:right="459" w:hanging="434"/>
        <w:spacing w:after="0" w:line="308" w:lineRule="auto"/>
        <w:tabs>
          <w:tab w:leader="none" w:pos="16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obligation of our management team to not propose amendments to our organizational documents could be amended to allow them to propose such changes to our stockholders;</w:t>
      </w:r>
    </w:p>
    <w:p>
      <w:pPr>
        <w:spacing w:after="0" w:line="65" w:lineRule="exact"/>
        <w:rPr>
          <w:rFonts w:ascii="Arial" w:cs="Arial" w:eastAsia="Arial" w:hAnsi="Arial"/>
          <w:sz w:val="17"/>
          <w:szCs w:val="17"/>
          <w:color w:val="auto"/>
        </w:rPr>
      </w:pPr>
    </w:p>
    <w:p>
      <w:pPr>
        <w:ind w:left="1320" w:right="459" w:hanging="434"/>
        <w:spacing w:after="0" w:line="308" w:lineRule="auto"/>
        <w:tabs>
          <w:tab w:leader="none" w:pos="1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 and</w:t>
      </w:r>
    </w:p>
    <w:p>
      <w:pPr>
        <w:spacing w:after="0" w:line="51"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76" w:lineRule="exact"/>
        <w:rPr>
          <w:sz w:val="20"/>
          <w:szCs w:val="20"/>
          <w:color w:val="auto"/>
        </w:rPr>
      </w:pPr>
    </w:p>
    <w:p>
      <w:pPr>
        <w:jc w:val="both"/>
        <w:ind w:left="1320" w:right="459" w:hanging="434"/>
        <w:spacing w:after="0" w:line="263" w:lineRule="auto"/>
        <w:tabs>
          <w:tab w:leader="none" w:pos="13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4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currently have 4 executive officers. These individuals are not obligated to devote any specific number of hours to our matters but they intend to devote as much of their time as they deem necessary to our affairs until we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Periodic Reporting and Audited Financial Statements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will register our units, shares of common stock, rights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460" w:right="459" w:hanging="6"/>
        <w:spacing w:after="0" w:line="290"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4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68" w:lineRule="auto"/>
        <w:rPr>
          <w:sz w:val="20"/>
          <w:szCs w:val="20"/>
          <w:color w:val="auto"/>
        </w:rPr>
      </w:pPr>
      <w:r>
        <w:rPr>
          <w:rFonts w:ascii="Arial" w:cs="Arial" w:eastAsia="Arial" w:hAnsi="Arial"/>
          <w:sz w:val="17"/>
          <w:szCs w:val="17"/>
          <w:color w:val="auto"/>
        </w:rPr>
        <w:t>$151,500,000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-692150</wp:posOffset>
            </wp:positionV>
            <wp:extent cx="40633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Arial" w:cs="Arial" w:eastAsia="Arial" w:hAnsi="Arial"/>
          <w:sz w:val="18"/>
          <w:szCs w:val="18"/>
          <w:color w:val="auto"/>
        </w:rPr>
        <w:t>Company, acting as trustee.</w:t>
      </w:r>
      <w:r>
        <w:rPr>
          <w:sz w:val="20"/>
          <w:szCs w:val="20"/>
          <w:color w:val="auto"/>
        </w:rPr>
        <w:tab/>
      </w:r>
      <w:r>
        <w:rPr>
          <w:rFonts w:ascii="Arial" w:cs="Arial" w:eastAsia="Arial" w:hAnsi="Arial"/>
          <w:sz w:val="17"/>
          <w:szCs w:val="17"/>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persons having the beneficial interests in the</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account.</w:t>
      </w:r>
    </w:p>
    <w:p>
      <w:pPr>
        <w:spacing w:after="0" w:line="166" w:lineRule="exact"/>
        <w:rPr>
          <w:sz w:val="20"/>
          <w:szCs w:val="20"/>
          <w:color w:val="auto"/>
        </w:rPr>
      </w:pPr>
    </w:p>
    <w:p>
      <w:pPr>
        <w:sectPr>
          <w:pgSz w:w="11900" w:h="16838" w:orient="portrait"/>
          <w:cols w:equalWidth="0" w:num="2">
            <w:col w:w="1860" w:space="300"/>
            <w:col w:w="685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200" w:type="dxa"/>
            <w:vAlign w:val="bottom"/>
          </w:tcPr>
          <w:p>
            <w:pPr>
              <w:ind w:left="60"/>
              <w:spacing w:after="0"/>
              <w:rPr>
                <w:sz w:val="20"/>
                <w:szCs w:val="20"/>
                <w:color w:val="auto"/>
              </w:rPr>
            </w:pPr>
            <w:r>
              <w:rPr>
                <w:rFonts w:ascii="Arial" w:cs="Arial" w:eastAsia="Arial" w:hAnsi="Arial"/>
                <w:sz w:val="18"/>
                <w:szCs w:val="18"/>
                <w:color w:val="auto"/>
                <w:w w:val="98"/>
              </w:rPr>
              <w:t>The  $151,500,000  of  the  net  offering</w:t>
            </w:r>
          </w:p>
        </w:tc>
        <w:tc>
          <w:tcPr>
            <w:tcW w:w="3260" w:type="dxa"/>
            <w:vAlign w:val="bottom"/>
          </w:tcPr>
          <w:p>
            <w:pPr>
              <w:ind w:left="60"/>
              <w:spacing w:after="0"/>
              <w:rPr>
                <w:sz w:val="20"/>
                <w:szCs w:val="20"/>
                <w:color w:val="auto"/>
              </w:rPr>
            </w:pPr>
            <w:r>
              <w:rPr>
                <w:rFonts w:ascii="Arial" w:cs="Arial" w:eastAsia="Arial" w:hAnsi="Arial"/>
                <w:sz w:val="18"/>
                <w:szCs w:val="18"/>
                <w:color w:val="auto"/>
                <w:w w:val="89"/>
              </w:rPr>
              <w:t>Proceeds could be invested only in specified</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proceeds</w:t>
            </w:r>
          </w:p>
        </w:tc>
        <w:tc>
          <w:tcPr>
            <w:tcW w:w="3200" w:type="dxa"/>
            <w:vAlign w:val="bottom"/>
          </w:tcPr>
          <w:p>
            <w:pPr>
              <w:ind w:left="60"/>
              <w:spacing w:after="0"/>
              <w:rPr>
                <w:sz w:val="20"/>
                <w:szCs w:val="20"/>
                <w:color w:val="auto"/>
              </w:rPr>
            </w:pPr>
            <w:r>
              <w:rPr>
                <w:rFonts w:ascii="Arial" w:cs="Arial" w:eastAsia="Arial" w:hAnsi="Arial"/>
                <w:sz w:val="18"/>
                <w:szCs w:val="18"/>
                <w:color w:val="auto"/>
                <w:w w:val="89"/>
              </w:rPr>
              <w:t>proceeds and proceeds from the sale of the</w:t>
            </w:r>
          </w:p>
        </w:tc>
        <w:tc>
          <w:tcPr>
            <w:tcW w:w="3260" w:type="dxa"/>
            <w:vAlign w:val="bottom"/>
          </w:tcPr>
          <w:p>
            <w:pPr>
              <w:ind w:left="60"/>
              <w:spacing w:after="0"/>
              <w:rPr>
                <w:sz w:val="20"/>
                <w:szCs w:val="20"/>
                <w:color w:val="auto"/>
              </w:rPr>
            </w:pPr>
            <w:r>
              <w:rPr>
                <w:rFonts w:ascii="Arial" w:cs="Arial" w:eastAsia="Arial" w:hAnsi="Arial"/>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private warrants held in trust will only be</w:t>
            </w:r>
          </w:p>
        </w:tc>
        <w:tc>
          <w:tcPr>
            <w:tcW w:w="3260" w:type="dxa"/>
            <w:vAlign w:val="bottom"/>
          </w:tcPr>
          <w:p>
            <w:pPr>
              <w:ind w:left="60"/>
              <w:spacing w:after="0"/>
              <w:rPr>
                <w:sz w:val="20"/>
                <w:szCs w:val="20"/>
                <w:color w:val="auto"/>
              </w:rPr>
            </w:pPr>
            <w:r>
              <w:rPr>
                <w:rFonts w:ascii="Arial" w:cs="Arial" w:eastAsia="Arial" w:hAnsi="Arial"/>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invested  in  United  States  government</w:t>
            </w:r>
          </w:p>
        </w:tc>
        <w:tc>
          <w:tcPr>
            <w:tcW w:w="3260" w:type="dxa"/>
            <w:vAlign w:val="bottom"/>
          </w:tcPr>
          <w:p>
            <w:pPr>
              <w:ind w:left="60"/>
              <w:spacing w:after="0"/>
              <w:rPr>
                <w:sz w:val="20"/>
                <w:szCs w:val="20"/>
                <w:color w:val="auto"/>
              </w:rPr>
            </w:pPr>
            <w:r>
              <w:rPr>
                <w:rFonts w:ascii="Arial" w:cs="Arial" w:eastAsia="Arial" w:hAnsi="Arial"/>
                <w:sz w:val="18"/>
                <w:szCs w:val="18"/>
                <w:color w:val="auto"/>
                <w:w w:val="92"/>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treasury  bills,  bonds  or  notes  with  a</w:t>
            </w:r>
          </w:p>
        </w:tc>
        <w:tc>
          <w:tcPr>
            <w:tcW w:w="3260" w:type="dxa"/>
            <w:vAlign w:val="bottom"/>
          </w:tcPr>
          <w:p>
            <w:pPr>
              <w:ind w:left="60"/>
              <w:spacing w:after="0"/>
              <w:rPr>
                <w:sz w:val="20"/>
                <w:szCs w:val="20"/>
                <w:color w:val="auto"/>
              </w:rPr>
            </w:pPr>
            <w:r>
              <w:rPr>
                <w:rFonts w:ascii="Arial" w:cs="Arial" w:eastAsia="Arial" w:hAnsi="Arial"/>
                <w:sz w:val="18"/>
                <w:szCs w:val="18"/>
                <w:color w:val="auto"/>
                <w:w w:val="92"/>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maturity of 183 days or less or in money</w:t>
            </w:r>
          </w:p>
        </w:tc>
        <w:tc>
          <w:tcPr>
            <w:tcW w:w="3260" w:type="dxa"/>
            <w:vAlign w:val="bottom"/>
          </w:tcPr>
          <w:p>
            <w:pPr>
              <w:ind w:left="60"/>
              <w:spacing w:after="0"/>
              <w:rPr>
                <w:sz w:val="20"/>
                <w:szCs w:val="20"/>
                <w:color w:val="auto"/>
              </w:rPr>
            </w:pPr>
            <w:r>
              <w:rPr>
                <w:rFonts w:ascii="Arial" w:cs="Arial" w:eastAsia="Arial" w:hAnsi="Arial"/>
                <w:sz w:val="18"/>
                <w:szCs w:val="18"/>
                <w:color w:val="auto"/>
                <w:w w:val="91"/>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that  invest  solely  in  United  States</w:t>
            </w:r>
          </w:p>
        </w:tc>
        <w:tc>
          <w:tcPr>
            <w:tcW w:w="32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government treasuries.</w:t>
            </w:r>
          </w:p>
        </w:tc>
        <w:tc>
          <w:tcPr>
            <w:tcW w:w="3260" w:type="dxa"/>
            <w:vAlign w:val="bottom"/>
          </w:tcPr>
          <w:p>
            <w:pPr>
              <w:spacing w:after="0"/>
              <w:rPr>
                <w:sz w:val="20"/>
                <w:szCs w:val="20"/>
                <w:color w:val="auto"/>
              </w:rPr>
            </w:pPr>
          </w:p>
        </w:tc>
      </w:tr>
      <w:tr>
        <w:trPr>
          <w:trHeight w:val="387"/>
        </w:trPr>
        <w:tc>
          <w:tcPr>
            <w:tcW w:w="164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200" w:type="dxa"/>
            <w:vAlign w:val="bottom"/>
          </w:tcPr>
          <w:p>
            <w:pPr>
              <w:ind w:left="60"/>
              <w:spacing w:after="0"/>
              <w:rPr>
                <w:sz w:val="20"/>
                <w:szCs w:val="20"/>
                <w:color w:val="auto"/>
              </w:rPr>
            </w:pPr>
            <w:r>
              <w:rPr>
                <w:rFonts w:ascii="Arial" w:cs="Arial" w:eastAsia="Arial" w:hAnsi="Arial"/>
                <w:sz w:val="18"/>
                <w:szCs w:val="18"/>
                <w:color w:val="auto"/>
                <w:w w:val="94"/>
              </w:rPr>
              <w:t>The initial target business that we acquire</w:t>
            </w:r>
          </w:p>
        </w:tc>
        <w:tc>
          <w:tcPr>
            <w:tcW w:w="3260" w:type="dxa"/>
            <w:vAlign w:val="bottom"/>
          </w:tcPr>
          <w:p>
            <w:pPr>
              <w:ind w:left="60"/>
              <w:spacing w:after="0"/>
              <w:rPr>
                <w:sz w:val="20"/>
                <w:szCs w:val="20"/>
                <w:color w:val="auto"/>
              </w:rPr>
            </w:pPr>
            <w:r>
              <w:rPr>
                <w:rFonts w:ascii="Arial" w:cs="Arial" w:eastAsia="Arial" w:hAnsi="Arial"/>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fair value or net</w:t>
            </w:r>
          </w:p>
        </w:tc>
        <w:tc>
          <w:tcPr>
            <w:tcW w:w="3200" w:type="dxa"/>
            <w:vAlign w:val="bottom"/>
          </w:tcPr>
          <w:p>
            <w:pPr>
              <w:ind w:left="60"/>
              <w:spacing w:after="0"/>
              <w:rPr>
                <w:sz w:val="20"/>
                <w:szCs w:val="20"/>
                <w:color w:val="auto"/>
              </w:rPr>
            </w:pPr>
            <w:r>
              <w:rPr>
                <w:rFonts w:ascii="Arial" w:cs="Arial" w:eastAsia="Arial" w:hAnsi="Arial"/>
                <w:sz w:val="18"/>
                <w:szCs w:val="18"/>
                <w:color w:val="auto"/>
                <w:w w:val="95"/>
              </w:rPr>
              <w:t>must have a fair market value equal to at</w:t>
            </w:r>
          </w:p>
        </w:tc>
        <w:tc>
          <w:tcPr>
            <w:tcW w:w="3260" w:type="dxa"/>
            <w:vAlign w:val="bottom"/>
          </w:tcPr>
          <w:p>
            <w:pPr>
              <w:ind w:left="60"/>
              <w:spacing w:after="0"/>
              <w:rPr>
                <w:sz w:val="20"/>
                <w:szCs w:val="20"/>
                <w:color w:val="auto"/>
              </w:rPr>
            </w:pPr>
            <w:r>
              <w:rPr>
                <w:rFonts w:ascii="Arial" w:cs="Arial" w:eastAsia="Arial" w:hAnsi="Arial"/>
                <w:sz w:val="18"/>
                <w:szCs w:val="18"/>
                <w:color w:val="auto"/>
                <w:w w:val="90"/>
              </w:rPr>
              <w:t>target business unless the fair value of such</w:t>
            </w: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assets of target</w:t>
            </w:r>
          </w:p>
        </w:tc>
        <w:tc>
          <w:tcPr>
            <w:tcW w:w="3200" w:type="dxa"/>
            <w:vAlign w:val="bottom"/>
          </w:tcPr>
          <w:p>
            <w:pPr>
              <w:ind w:left="60"/>
              <w:spacing w:after="0"/>
              <w:rPr>
                <w:sz w:val="20"/>
                <w:szCs w:val="20"/>
                <w:color w:val="auto"/>
              </w:rPr>
            </w:pPr>
            <w:r>
              <w:rPr>
                <w:rFonts w:ascii="Arial" w:cs="Arial" w:eastAsia="Arial" w:hAnsi="Arial"/>
                <w:sz w:val="18"/>
                <w:szCs w:val="18"/>
                <w:color w:val="auto"/>
              </w:rPr>
              <w:t>least 80% of the balance in our trust</w:t>
            </w:r>
          </w:p>
        </w:tc>
        <w:tc>
          <w:tcPr>
            <w:tcW w:w="3260" w:type="dxa"/>
            <w:vAlign w:val="bottom"/>
          </w:tcPr>
          <w:p>
            <w:pPr>
              <w:ind w:left="60"/>
              <w:spacing w:after="0"/>
              <w:rPr>
                <w:sz w:val="20"/>
                <w:szCs w:val="20"/>
                <w:color w:val="auto"/>
              </w:rPr>
            </w:pPr>
            <w:r>
              <w:rPr>
                <w:rFonts w:ascii="Arial" w:cs="Arial" w:eastAsia="Arial" w:hAnsi="Arial"/>
                <w:sz w:val="18"/>
                <w:szCs w:val="18"/>
                <w:color w:val="auto"/>
                <w:w w:val="96"/>
              </w:rPr>
              <w:t>business  or  net  assets  to  be  acquired</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business</w:t>
            </w:r>
          </w:p>
        </w:tc>
        <w:tc>
          <w:tcPr>
            <w:tcW w:w="3200" w:type="dxa"/>
            <w:vAlign w:val="bottom"/>
          </w:tcPr>
          <w:p>
            <w:pPr>
              <w:ind w:left="60"/>
              <w:spacing w:after="0"/>
              <w:rPr>
                <w:sz w:val="20"/>
                <w:szCs w:val="20"/>
                <w:color w:val="auto"/>
              </w:rPr>
            </w:pPr>
            <w:r>
              <w:rPr>
                <w:rFonts w:ascii="Arial" w:cs="Arial" w:eastAsia="Arial" w:hAnsi="Arial"/>
                <w:sz w:val="18"/>
                <w:szCs w:val="18"/>
                <w:color w:val="auto"/>
                <w:w w:val="92"/>
              </w:rPr>
              <w:t>account net of taxes payable at the time of</w:t>
            </w:r>
          </w:p>
        </w:tc>
        <w:tc>
          <w:tcPr>
            <w:tcW w:w="3260" w:type="dxa"/>
            <w:vAlign w:val="bottom"/>
          </w:tcPr>
          <w:p>
            <w:pPr>
              <w:ind w:left="60"/>
              <w:spacing w:after="0"/>
              <w:rPr>
                <w:sz w:val="20"/>
                <w:szCs w:val="20"/>
                <w:color w:val="auto"/>
              </w:rPr>
            </w:pPr>
            <w:r>
              <w:rPr>
                <w:rFonts w:ascii="Arial" w:cs="Arial" w:eastAsia="Arial" w:hAnsi="Arial"/>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3"/>
              </w:rPr>
              <w:t>the execution of a definitive agreement for</w:t>
            </w:r>
          </w:p>
        </w:tc>
        <w:tc>
          <w:tcPr>
            <w:tcW w:w="3260" w:type="dxa"/>
            <w:vAlign w:val="bottom"/>
          </w:tcPr>
          <w:p>
            <w:pPr>
              <w:ind w:left="60"/>
              <w:spacing w:after="0"/>
              <w:rPr>
                <w:sz w:val="20"/>
                <w:szCs w:val="20"/>
                <w:color w:val="auto"/>
              </w:rPr>
            </w:pPr>
            <w:r>
              <w:rPr>
                <w:rFonts w:ascii="Arial" w:cs="Arial" w:eastAsia="Arial" w:hAnsi="Arial"/>
                <w:sz w:val="18"/>
                <w:szCs w:val="18"/>
                <w:color w:val="auto"/>
              </w:rPr>
              <w:t>offering proceeds.</w:t>
            </w: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our initial business combination.</w:t>
            </w:r>
          </w:p>
        </w:tc>
        <w:tc>
          <w:tcPr>
            <w:tcW w:w="3260" w:type="dxa"/>
            <w:vAlign w:val="bottom"/>
          </w:tcPr>
          <w:p>
            <w:pPr>
              <w:spacing w:after="0"/>
              <w:rPr>
                <w:sz w:val="20"/>
                <w:szCs w:val="20"/>
                <w:color w:val="auto"/>
              </w:rPr>
            </w:pPr>
          </w:p>
        </w:tc>
      </w:tr>
      <w:tr>
        <w:trPr>
          <w:trHeight w:val="387"/>
        </w:trPr>
        <w:tc>
          <w:tcPr>
            <w:tcW w:w="1640" w:type="dxa"/>
            <w:vAlign w:val="bottom"/>
          </w:tcPr>
          <w:p>
            <w:pPr>
              <w:spacing w:after="0"/>
              <w:rPr>
                <w:sz w:val="20"/>
                <w:szCs w:val="20"/>
                <w:color w:val="auto"/>
              </w:rPr>
            </w:pPr>
            <w:r>
              <w:rPr>
                <w:rFonts w:ascii="Arial" w:cs="Arial" w:eastAsia="Arial" w:hAnsi="Arial"/>
                <w:sz w:val="18"/>
                <w:szCs w:val="18"/>
                <w:b w:val="1"/>
                <w:bCs w:val="1"/>
                <w:color w:val="auto"/>
                <w:w w:val="91"/>
              </w:rPr>
              <w:t>Trading of securities</w:t>
            </w:r>
          </w:p>
        </w:tc>
        <w:tc>
          <w:tcPr>
            <w:tcW w:w="3200" w:type="dxa"/>
            <w:vAlign w:val="bottom"/>
          </w:tcPr>
          <w:p>
            <w:pPr>
              <w:ind w:left="60"/>
              <w:spacing w:after="0"/>
              <w:rPr>
                <w:sz w:val="20"/>
                <w:szCs w:val="20"/>
                <w:color w:val="auto"/>
              </w:rPr>
            </w:pPr>
            <w:r>
              <w:rPr>
                <w:rFonts w:ascii="Arial" w:cs="Arial" w:eastAsia="Arial" w:hAnsi="Arial"/>
                <w:sz w:val="18"/>
                <w:szCs w:val="18"/>
                <w:color w:val="auto"/>
                <w:w w:val="99"/>
              </w:rPr>
              <w:t>The units may commence trading on or</w:t>
            </w:r>
          </w:p>
        </w:tc>
        <w:tc>
          <w:tcPr>
            <w:tcW w:w="3260" w:type="dxa"/>
            <w:vAlign w:val="bottom"/>
          </w:tcPr>
          <w:p>
            <w:pPr>
              <w:ind w:left="60"/>
              <w:spacing w:after="0"/>
              <w:rPr>
                <w:sz w:val="20"/>
                <w:szCs w:val="20"/>
                <w:color w:val="auto"/>
              </w:rPr>
            </w:pPr>
            <w:r>
              <w:rPr>
                <w:rFonts w:ascii="Arial" w:cs="Arial" w:eastAsia="Arial" w:hAnsi="Arial"/>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issued</w:t>
            </w:r>
          </w:p>
        </w:tc>
        <w:tc>
          <w:tcPr>
            <w:tcW w:w="3200" w:type="dxa"/>
            <w:vAlign w:val="bottom"/>
          </w:tcPr>
          <w:p>
            <w:pPr>
              <w:ind w:left="60"/>
              <w:spacing w:after="0"/>
              <w:rPr>
                <w:sz w:val="20"/>
                <w:szCs w:val="20"/>
                <w:color w:val="auto"/>
              </w:rPr>
            </w:pPr>
            <w:r>
              <w:rPr>
                <w:rFonts w:ascii="Arial" w:cs="Arial" w:eastAsia="Arial" w:hAnsi="Arial"/>
                <w:sz w:val="18"/>
                <w:szCs w:val="18"/>
                <w:color w:val="auto"/>
                <w:w w:val="94"/>
              </w:rPr>
              <w:t>promptly after the date of this prospectus.</w:t>
            </w:r>
          </w:p>
        </w:tc>
        <w:tc>
          <w:tcPr>
            <w:tcW w:w="3260" w:type="dxa"/>
            <w:vAlign w:val="bottom"/>
          </w:tcPr>
          <w:p>
            <w:pPr>
              <w:ind w:left="60"/>
              <w:spacing w:after="0"/>
              <w:rPr>
                <w:sz w:val="20"/>
                <w:szCs w:val="20"/>
                <w:color w:val="auto"/>
              </w:rPr>
            </w:pPr>
            <w:r>
              <w:rPr>
                <w:rFonts w:ascii="Arial" w:cs="Arial" w:eastAsia="Arial" w:hAnsi="Arial"/>
                <w:sz w:val="18"/>
                <w:szCs w:val="18"/>
                <w:color w:val="auto"/>
                <w:w w:val="97"/>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The shares of common stock, rights and</w:t>
            </w:r>
          </w:p>
        </w:tc>
        <w:tc>
          <w:tcPr>
            <w:tcW w:w="3260" w:type="dxa"/>
            <w:vAlign w:val="bottom"/>
          </w:tcPr>
          <w:p>
            <w:pPr>
              <w:ind w:left="60"/>
              <w:spacing w:after="0"/>
              <w:rPr>
                <w:sz w:val="20"/>
                <w:szCs w:val="20"/>
                <w:color w:val="auto"/>
              </w:rPr>
            </w:pPr>
            <w:r>
              <w:rPr>
                <w:rFonts w:ascii="Arial" w:cs="Arial" w:eastAsia="Arial" w:hAnsi="Arial"/>
                <w:sz w:val="18"/>
                <w:szCs w:val="18"/>
                <w:color w:val="auto"/>
                <w:w w:val="97"/>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3"/>
              </w:rPr>
              <w:t>warrants comprising the units will begin to</w:t>
            </w:r>
          </w:p>
        </w:tc>
        <w:tc>
          <w:tcPr>
            <w:tcW w:w="3260" w:type="dxa"/>
            <w:vAlign w:val="bottom"/>
          </w:tcPr>
          <w:p>
            <w:pPr>
              <w:ind w:left="60"/>
              <w:spacing w:after="0"/>
              <w:rPr>
                <w:sz w:val="20"/>
                <w:szCs w:val="20"/>
                <w:color w:val="auto"/>
              </w:rPr>
            </w:pPr>
            <w:r>
              <w:rPr>
                <w:rFonts w:ascii="Arial" w:cs="Arial" w:eastAsia="Arial" w:hAnsi="Arial"/>
                <w:sz w:val="18"/>
                <w:szCs w:val="18"/>
                <w:color w:val="auto"/>
                <w:w w:val="95"/>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Arial" w:cs="Arial" w:eastAsia="Arial" w:hAnsi="Arial"/>
                <w:sz w:val="18"/>
                <w:szCs w:val="18"/>
                <w:color w:val="auto"/>
                <w:w w:val="94"/>
              </w:rPr>
              <w:t>trade separately on the 90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w:t>
            </w:r>
          </w:p>
        </w:tc>
        <w:tc>
          <w:tcPr>
            <w:tcW w:w="3260" w:type="dxa"/>
            <w:vAlign w:val="bottom"/>
          </w:tcPr>
          <w:p>
            <w:pPr>
              <w:ind w:left="60"/>
              <w:spacing w:after="0"/>
              <w:rPr>
                <w:sz w:val="20"/>
                <w:szCs w:val="20"/>
                <w:color w:val="auto"/>
              </w:rPr>
            </w:pPr>
            <w:r>
              <w:rPr>
                <w:rFonts w:ascii="Arial" w:cs="Arial" w:eastAsia="Arial" w:hAnsi="Arial"/>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date of this prospectus unless Chardan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informs us of its decision to allow earlier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separate   trading   (based   upon   its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assessment of the relative strengths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securities markets and small capitalization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0"/>
              </w:rPr>
              <w:t>and blank check companies in general,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the trading pattern of, and demand for, our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4"/>
              </w:rPr>
              <w:t>securities in particular), provided we have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filed with the SEC a Current Report 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Form  8-K,  which  includes  an  audited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4"/>
              </w:rPr>
              <w:t>balance sheet reflecting our receipt of the</w:t>
            </w:r>
          </w:p>
        </w:tc>
        <w:tc>
          <w:tcPr>
            <w:tcW w:w="32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proceeds of this offering.</w:t>
            </w:r>
          </w:p>
        </w:tc>
        <w:tc>
          <w:tcPr>
            <w:tcW w:w="3260" w:type="dxa"/>
            <w:vAlign w:val="bottom"/>
          </w:tcPr>
          <w:p>
            <w:pPr>
              <w:spacing w:after="0"/>
              <w:rPr>
                <w:sz w:val="20"/>
                <w:szCs w:val="20"/>
                <w:color w:val="auto"/>
              </w:rPr>
            </w:pPr>
          </w:p>
        </w:tc>
      </w:tr>
      <w:tr>
        <w:trPr>
          <w:trHeight w:val="445"/>
        </w:trPr>
        <w:tc>
          <w:tcPr>
            <w:tcW w:w="1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71</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Arial" w:cs="Arial" w:eastAsia="Arial" w:hAnsi="Arial"/>
                <w:sz w:val="16"/>
                <w:szCs w:val="16"/>
                <w:b w:val="1"/>
                <w:bCs w:val="1"/>
                <w:color w:val="auto"/>
                <w:w w:val="97"/>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960" w:type="dxa"/>
            <w:vAlign w:val="bottom"/>
            <w:gridSpan w:val="5"/>
          </w:tcPr>
          <w:p>
            <w:pPr>
              <w:spacing w:after="0" w:line="195" w:lineRule="exact"/>
              <w:rPr>
                <w:sz w:val="20"/>
                <w:szCs w:val="20"/>
                <w:color w:val="auto"/>
              </w:rPr>
            </w:pPr>
            <w:r>
              <w:rPr>
                <w:rFonts w:ascii="Arial" w:cs="Arial" w:eastAsia="Arial" w:hAnsi="Arial"/>
                <w:sz w:val="18"/>
                <w:szCs w:val="18"/>
                <w:color w:val="auto"/>
                <w:w w:val="95"/>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5" w:lineRule="exact"/>
              <w:rPr>
                <w:sz w:val="20"/>
                <w:szCs w:val="20"/>
                <w:color w:val="auto"/>
              </w:rPr>
            </w:pPr>
            <w:r>
              <w:rPr>
                <w:rFonts w:ascii="Arial" w:cs="Arial" w:eastAsia="Arial" w:hAnsi="Arial"/>
                <w:sz w:val="18"/>
                <w:szCs w:val="18"/>
                <w:color w:val="auto"/>
                <w:w w:val="95"/>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Arial" w:cs="Arial" w:eastAsia="Arial" w:hAnsi="Arial"/>
                <w:sz w:val="18"/>
                <w:szCs w:val="18"/>
                <w:color w:val="auto"/>
              </w:rPr>
              <w:t>the</w:t>
            </w:r>
          </w:p>
        </w:tc>
        <w:tc>
          <w:tcPr>
            <w:tcW w:w="1100" w:type="dxa"/>
            <w:vAlign w:val="bottom"/>
          </w:tcPr>
          <w:p>
            <w:pPr>
              <w:ind w:left="14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640" w:type="dxa"/>
            <w:vAlign w:val="bottom"/>
          </w:tcPr>
          <w:p>
            <w:pPr>
              <w:ind w:left="40"/>
              <w:spacing w:after="0"/>
              <w:rPr>
                <w:sz w:val="20"/>
                <w:szCs w:val="20"/>
                <w:color w:val="auto"/>
              </w:rPr>
            </w:pPr>
            <w:r>
              <w:rPr>
                <w:rFonts w:ascii="Arial" w:cs="Arial" w:eastAsia="Arial" w:hAnsi="Arial"/>
                <w:sz w:val="18"/>
                <w:szCs w:val="18"/>
                <w:color w:val="auto"/>
                <w:w w:val="81"/>
              </w:rPr>
              <w:t>business</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1"/>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Arial" w:cs="Arial" w:eastAsia="Arial" w:hAnsi="Arial"/>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7"/>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Arial" w:cs="Arial" w:eastAsia="Arial" w:hAnsi="Arial"/>
                <w:sz w:val="18"/>
                <w:szCs w:val="18"/>
                <w:color w:val="auto"/>
                <w:w w:val="90"/>
              </w:rPr>
              <w:t>exercised only after the trust account has</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connection with the exercise would be</w:t>
            </w:r>
          </w:p>
        </w:tc>
        <w:tc>
          <w:tcPr>
            <w:tcW w:w="0" w:type="dxa"/>
            <w:vAlign w:val="bottom"/>
          </w:tcPr>
          <w:p>
            <w:pPr>
              <w:spacing w:after="0"/>
              <w:rPr>
                <w:sz w:val="1"/>
                <w:szCs w:val="1"/>
                <w:color w:val="auto"/>
              </w:rPr>
            </w:pPr>
          </w:p>
        </w:tc>
      </w:tr>
      <w:tr>
        <w:trPr>
          <w:trHeight w:val="230"/>
        </w:trPr>
        <w:tc>
          <w:tcPr>
            <w:tcW w:w="2340" w:type="dxa"/>
            <w:vAlign w:val="bottom"/>
            <w:gridSpan w:val="5"/>
          </w:tcPr>
          <w:p>
            <w:pPr>
              <w:spacing w:after="0"/>
              <w:rPr>
                <w:sz w:val="20"/>
                <w:szCs w:val="20"/>
                <w:color w:val="auto"/>
              </w:rPr>
            </w:pPr>
            <w:r>
              <w:rPr>
                <w:rFonts w:ascii="Arial" w:cs="Arial" w:eastAsia="Arial" w:hAnsi="Arial"/>
                <w:sz w:val="18"/>
                <w:szCs w:val="18"/>
                <w:color w:val="auto"/>
                <w:w w:val="8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5"/>
              </w:rPr>
              <w:t>deposited in the escrow or trust account.</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1740" w:space="640"/>
            <w:col w:w="6639"/>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w w:val="97"/>
              </w:rPr>
              <w:t>Election to remain an</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We will either (1) give our stockholders</w:t>
            </w:r>
          </w:p>
        </w:tc>
        <w:tc>
          <w:tcPr>
            <w:tcW w:w="280" w:type="dxa"/>
            <w:vAlign w:val="bottom"/>
          </w:tcPr>
          <w:p>
            <w:pPr>
              <w:ind w:left="40"/>
              <w:spacing w:after="0"/>
              <w:rPr>
                <w:sz w:val="20"/>
                <w:szCs w:val="20"/>
                <w:color w:val="auto"/>
              </w:rPr>
            </w:pPr>
            <w:r>
              <w:rPr>
                <w:rFonts w:ascii="Arial" w:cs="Arial" w:eastAsia="Arial" w:hAnsi="Arial"/>
                <w:sz w:val="18"/>
                <w:szCs w:val="18"/>
                <w:color w:val="auto"/>
              </w:rPr>
              <w:t>A</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99"/>
              </w:rPr>
              <w:t>prospectus</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9"/>
              </w:rPr>
              <w:t>containing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information</w:t>
            </w:r>
          </w:p>
        </w:tc>
      </w:tr>
      <w:tr>
        <w:trPr>
          <w:trHeight w:val="220"/>
        </w:trPr>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investor</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the opportunity to vote on the business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89"/>
              </w:rPr>
              <w:t>required by the SEC would be sent to each</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combination or (2) provide our public</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investor. Each investor would be given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stockholders with the opportunity to sell</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opportunity  to  notify  the  company,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their public shares to us in a tender offer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4"/>
              </w:rPr>
              <w:t>writing, within a period of no less than 20</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 xml:space="preserve">for cash equal to their </w:t>
            </w:r>
            <w:r>
              <w:rPr>
                <w:rFonts w:ascii="Arial" w:cs="Arial" w:eastAsia="Arial" w:hAnsi="Arial"/>
                <w:sz w:val="18"/>
                <w:szCs w:val="18"/>
                <w:i w:val="1"/>
                <w:iCs w:val="1"/>
                <w:color w:val="auto"/>
                <w:w w:val="97"/>
              </w:rPr>
              <w:t>pro rata</w:t>
            </w:r>
            <w:r>
              <w:rPr>
                <w:rFonts w:ascii="Arial" w:cs="Arial" w:eastAsia="Arial" w:hAnsi="Arial"/>
                <w:sz w:val="18"/>
                <w:szCs w:val="18"/>
                <w:color w:val="auto"/>
                <w:w w:val="97"/>
              </w:rPr>
              <w:t xml:space="preserve"> share of</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business</w:t>
            </w:r>
          </w:p>
        </w:tc>
        <w:tc>
          <w:tcPr>
            <w:tcW w:w="460" w:type="dxa"/>
            <w:vAlign w:val="bottom"/>
          </w:tcPr>
          <w:p>
            <w:pPr>
              <w:ind w:left="60"/>
              <w:spacing w:after="0"/>
              <w:rPr>
                <w:sz w:val="20"/>
                <w:szCs w:val="20"/>
                <w:color w:val="auto"/>
              </w:rPr>
            </w:pPr>
            <w:r>
              <w:rPr>
                <w:rFonts w:ascii="Arial" w:cs="Arial" w:eastAsia="Arial" w:hAnsi="Arial"/>
                <w:sz w:val="18"/>
                <w:szCs w:val="18"/>
                <w:color w:val="auto"/>
                <w:w w:val="99"/>
              </w:rPr>
              <w:t>days</w:t>
            </w:r>
          </w:p>
        </w:tc>
        <w:tc>
          <w:tcPr>
            <w:tcW w:w="440" w:type="dxa"/>
            <w:vAlign w:val="bottom"/>
          </w:tcPr>
          <w:p>
            <w:pPr>
              <w:ind w:left="140"/>
              <w:spacing w:after="0"/>
              <w:rPr>
                <w:sz w:val="20"/>
                <w:szCs w:val="20"/>
                <w:color w:val="auto"/>
              </w:rPr>
            </w:pPr>
            <w:r>
              <w:rPr>
                <w:rFonts w:ascii="Arial" w:cs="Arial" w:eastAsia="Arial" w:hAnsi="Arial"/>
                <w:sz w:val="18"/>
                <w:szCs w:val="18"/>
                <w:color w:val="auto"/>
                <w:w w:val="93"/>
              </w:rPr>
              <w:t>and</w:t>
            </w:r>
          </w:p>
        </w:tc>
        <w:tc>
          <w:tcPr>
            <w:tcW w:w="460" w:type="dxa"/>
            <w:vAlign w:val="bottom"/>
          </w:tcPr>
          <w:p>
            <w:pPr>
              <w:ind w:left="160"/>
              <w:spacing w:after="0"/>
              <w:rPr>
                <w:sz w:val="20"/>
                <w:szCs w:val="20"/>
                <w:color w:val="auto"/>
              </w:rPr>
            </w:pPr>
            <w:r>
              <w:rPr>
                <w:rFonts w:ascii="Arial" w:cs="Arial" w:eastAsia="Arial" w:hAnsi="Arial"/>
                <w:sz w:val="18"/>
                <w:szCs w:val="18"/>
                <w:color w:val="auto"/>
              </w:rPr>
              <w:t>no</w:t>
            </w:r>
          </w:p>
        </w:tc>
        <w:tc>
          <w:tcPr>
            <w:tcW w:w="460" w:type="dxa"/>
            <w:vAlign w:val="bottom"/>
          </w:tcPr>
          <w:p>
            <w:pPr>
              <w:ind w:left="80"/>
              <w:spacing w:after="0"/>
              <w:rPr>
                <w:sz w:val="20"/>
                <w:szCs w:val="20"/>
                <w:color w:val="auto"/>
              </w:rPr>
            </w:pPr>
            <w:r>
              <w:rPr>
                <w:rFonts w:ascii="Arial" w:cs="Arial" w:eastAsia="Arial" w:hAnsi="Arial"/>
                <w:sz w:val="18"/>
                <w:szCs w:val="18"/>
                <w:color w:val="auto"/>
                <w:w w:val="87"/>
              </w:rPr>
              <w:t>more</w:t>
            </w:r>
          </w:p>
        </w:tc>
        <w:tc>
          <w:tcPr>
            <w:tcW w:w="520" w:type="dxa"/>
            <w:vAlign w:val="bottom"/>
          </w:tcPr>
          <w:p>
            <w:pPr>
              <w:jc w:val="right"/>
              <w:spacing w:after="0"/>
              <w:rPr>
                <w:sz w:val="20"/>
                <w:szCs w:val="20"/>
                <w:color w:val="auto"/>
              </w:rPr>
            </w:pPr>
            <w:r>
              <w:rPr>
                <w:rFonts w:ascii="Arial" w:cs="Arial" w:eastAsia="Arial" w:hAnsi="Arial"/>
                <w:sz w:val="18"/>
                <w:szCs w:val="18"/>
                <w:color w:val="auto"/>
              </w:rPr>
              <w:t>than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the aggregate amount then on deposit in</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89"/>
              </w:rPr>
              <w:t>45 business days from the effective date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the trust account, less taxes. If we hold a</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the post-effective amendment, to decide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meeting to approve a proposed business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9"/>
              </w:rPr>
              <w:t>whether he, she or it elects to remain a</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combination,   we   will   send   each</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stockholder of the company or require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stockholder a proxy statement containing</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return of his or her investment. If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information required by the SEC. Under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company has not received the notification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Delaware law, we must provide at least</w:t>
            </w:r>
          </w:p>
        </w:tc>
        <w:tc>
          <w:tcPr>
            <w:tcW w:w="3140" w:type="dxa"/>
            <w:vAlign w:val="bottom"/>
            <w:gridSpan w:val="7"/>
          </w:tcPr>
          <w:p>
            <w:pPr>
              <w:ind w:left="40"/>
              <w:spacing w:after="0" w:line="216" w:lineRule="exact"/>
              <w:rPr>
                <w:sz w:val="20"/>
                <w:szCs w:val="20"/>
                <w:color w:val="auto"/>
              </w:rPr>
            </w:pPr>
            <w:r>
              <w:rPr>
                <w:rFonts w:ascii="Arial" w:cs="Arial" w:eastAsia="Arial" w:hAnsi="Arial"/>
                <w:sz w:val="18"/>
                <w:szCs w:val="18"/>
                <w:color w:val="auto"/>
                <w:w w:val="92"/>
              </w:rPr>
              <w:t>by the end of the 45</w:t>
            </w:r>
            <w:r>
              <w:rPr>
                <w:rFonts w:ascii="Arial" w:cs="Arial" w:eastAsia="Arial" w:hAnsi="Arial"/>
                <w:sz w:val="20"/>
                <w:szCs w:val="20"/>
                <w:color w:val="auto"/>
                <w:w w:val="92"/>
                <w:vertAlign w:val="superscript"/>
              </w:rPr>
              <w:t>th</w:t>
            </w:r>
            <w:r>
              <w:rPr>
                <w:rFonts w:ascii="Arial" w:cs="Arial" w:eastAsia="Arial" w:hAnsi="Arial"/>
                <w:sz w:val="18"/>
                <w:szCs w:val="18"/>
                <w:color w:val="auto"/>
                <w:w w:val="92"/>
              </w:rPr>
              <w:t xml:space="preserve"> business day, funds</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10 days’ advance notice of any meeting</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and interest or dividends, if any, held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of stockholders. Accordingly, this is the</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the  trust  or  escrow  account  would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minimum amount of time we would need</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automatically   be   returned   to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to provide holders to determine whether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stockholder. Unless a sufficient number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to exercise their rights to convert their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investors elect to remain investors, all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shares into cash at such a meeting or to</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the deposited funds in the escrow account</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remain  an  investor  in  our  company.</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must be returned to all investors and none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Alternatively,  if  we  do  not  hold  a</w:t>
            </w:r>
          </w:p>
        </w:tc>
        <w:tc>
          <w:tcPr>
            <w:tcW w:w="280" w:type="dxa"/>
            <w:vAlign w:val="bottom"/>
          </w:tcPr>
          <w:p>
            <w:pPr>
              <w:ind w:left="40"/>
              <w:spacing w:after="0"/>
              <w:rPr>
                <w:sz w:val="20"/>
                <w:szCs w:val="20"/>
                <w:color w:val="auto"/>
              </w:rPr>
            </w:pPr>
            <w:r>
              <w:rPr>
                <w:rFonts w:ascii="Arial" w:cs="Arial" w:eastAsia="Arial" w:hAnsi="Arial"/>
                <w:sz w:val="18"/>
                <w:szCs w:val="18"/>
                <w:color w:val="auto"/>
              </w:rPr>
              <w:t>of</w:t>
            </w:r>
          </w:p>
        </w:tc>
        <w:tc>
          <w:tcPr>
            <w:tcW w:w="520" w:type="dxa"/>
            <w:vAlign w:val="bottom"/>
          </w:tcPr>
          <w:p>
            <w:pPr>
              <w:ind w:left="140"/>
              <w:spacing w:after="0"/>
              <w:rPr>
                <w:sz w:val="20"/>
                <w:szCs w:val="20"/>
                <w:color w:val="auto"/>
              </w:rPr>
            </w:pPr>
            <w:r>
              <w:rPr>
                <w:rFonts w:ascii="Arial" w:cs="Arial" w:eastAsia="Arial" w:hAnsi="Arial"/>
                <w:sz w:val="18"/>
                <w:szCs w:val="18"/>
                <w:color w:val="auto"/>
              </w:rPr>
              <w:t>the</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460" w:type="dxa"/>
            <w:vAlign w:val="bottom"/>
          </w:tcPr>
          <w:p>
            <w:pPr>
              <w:ind w:left="40"/>
              <w:spacing w:after="0"/>
              <w:rPr>
                <w:sz w:val="20"/>
                <w:szCs w:val="20"/>
                <w:color w:val="auto"/>
              </w:rPr>
            </w:pPr>
            <w:r>
              <w:rPr>
                <w:rFonts w:ascii="Arial" w:cs="Arial" w:eastAsia="Arial" w:hAnsi="Arial"/>
                <w:sz w:val="18"/>
                <w:szCs w:val="18"/>
                <w:color w:val="auto"/>
              </w:rPr>
              <w:t>will</w:t>
            </w:r>
          </w:p>
        </w:tc>
        <w:tc>
          <w:tcPr>
            <w:tcW w:w="460" w:type="dxa"/>
            <w:vAlign w:val="bottom"/>
          </w:tcPr>
          <w:p>
            <w:pPr>
              <w:ind w:left="80"/>
              <w:spacing w:after="0"/>
              <w:rPr>
                <w:sz w:val="20"/>
                <w:szCs w:val="20"/>
                <w:color w:val="auto"/>
              </w:rPr>
            </w:pPr>
            <w:r>
              <w:rPr>
                <w:rFonts w:ascii="Arial" w:cs="Arial" w:eastAsia="Arial" w:hAnsi="Arial"/>
                <w:sz w:val="18"/>
                <w:szCs w:val="18"/>
                <w:color w:val="auto"/>
              </w:rPr>
              <w:t>be</w:t>
            </w:r>
          </w:p>
        </w:tc>
        <w:tc>
          <w:tcPr>
            <w:tcW w:w="520" w:type="dxa"/>
            <w:vAlign w:val="bottom"/>
          </w:tcPr>
          <w:p>
            <w:pPr>
              <w:jc w:val="right"/>
              <w:spacing w:after="0"/>
              <w:rPr>
                <w:sz w:val="20"/>
                <w:szCs w:val="20"/>
                <w:color w:val="auto"/>
              </w:rPr>
            </w:pPr>
            <w:r>
              <w:rPr>
                <w:rFonts w:ascii="Arial" w:cs="Arial" w:eastAsia="Arial" w:hAnsi="Arial"/>
                <w:sz w:val="18"/>
                <w:szCs w:val="18"/>
                <w:color w:val="auto"/>
                <w:w w:val="84"/>
              </w:rPr>
              <w:t>issued.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meeting and instead conduct a tender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offer, we will conduct such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in accordance with the tender offer rules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of  the  SEC  and  file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9"/>
              </w:rPr>
              <w:t>documents  with  the  SEC  which  will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contain substantially the same financial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and other information about the initial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business combination as we would have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included</w:t>
            </w:r>
          </w:p>
        </w:tc>
        <w:tc>
          <w:tcPr>
            <w:tcW w:w="380" w:type="dxa"/>
            <w:vAlign w:val="bottom"/>
          </w:tcPr>
          <w:p>
            <w:pPr>
              <w:ind w:left="100"/>
              <w:spacing w:after="0"/>
              <w:rPr>
                <w:sz w:val="20"/>
                <w:szCs w:val="20"/>
                <w:color w:val="auto"/>
              </w:rPr>
            </w:pPr>
            <w:r>
              <w:rPr>
                <w:rFonts w:ascii="Arial" w:cs="Arial" w:eastAsia="Arial" w:hAnsi="Arial"/>
                <w:sz w:val="18"/>
                <w:szCs w:val="18"/>
                <w:color w:val="auto"/>
              </w:rPr>
              <w:t>in</w:t>
            </w:r>
          </w:p>
        </w:tc>
        <w:tc>
          <w:tcPr>
            <w:tcW w:w="420" w:type="dxa"/>
            <w:vAlign w:val="bottom"/>
          </w:tcPr>
          <w:p>
            <w:pPr>
              <w:ind w:left="100"/>
              <w:spacing w:after="0"/>
              <w:rPr>
                <w:sz w:val="20"/>
                <w:szCs w:val="20"/>
                <w:color w:val="auto"/>
              </w:rPr>
            </w:pPr>
            <w:r>
              <w:rPr>
                <w:rFonts w:ascii="Arial" w:cs="Arial" w:eastAsia="Arial" w:hAnsi="Arial"/>
                <w:sz w:val="18"/>
                <w:szCs w:val="18"/>
                <w:color w:val="auto"/>
              </w:rPr>
              <w:t>a</w:t>
            </w:r>
          </w:p>
        </w:tc>
        <w:tc>
          <w:tcPr>
            <w:tcW w:w="146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80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The tender offer rules require us to hold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the tender offer open for at least 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9"/>
              </w:rPr>
              <w:t>business days. Accordingly, this is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minimum amount of time we would need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to provide holders to determine whether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they want to sell their shares to us in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tender offer or remain an investor in our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w w:val="97"/>
              </w:rPr>
              <w:t>company.</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7"/>
        </w:trPr>
        <w:tc>
          <w:tcPr>
            <w:tcW w:w="1800" w:type="dxa"/>
            <w:vAlign w:val="bottom"/>
          </w:tcPr>
          <w:p>
            <w:pPr>
              <w:spacing w:after="0"/>
              <w:rPr>
                <w:sz w:val="20"/>
                <w:szCs w:val="20"/>
                <w:color w:val="auto"/>
              </w:rPr>
            </w:pPr>
            <w:r>
              <w:rPr>
                <w:rFonts w:ascii="Arial" w:cs="Arial" w:eastAsia="Arial" w:hAnsi="Arial"/>
                <w:sz w:val="18"/>
                <w:szCs w:val="18"/>
                <w:b w:val="1"/>
                <w:bCs w:val="1"/>
                <w:color w:val="auto"/>
                <w:w w:val="92"/>
              </w:rPr>
              <w:t>Business combination</w:t>
            </w:r>
          </w:p>
        </w:tc>
        <w:tc>
          <w:tcPr>
            <w:tcW w:w="900" w:type="dxa"/>
            <w:vAlign w:val="bottom"/>
          </w:tcPr>
          <w:p>
            <w:pPr>
              <w:ind w:left="120"/>
              <w:spacing w:after="0"/>
              <w:rPr>
                <w:sz w:val="20"/>
                <w:szCs w:val="20"/>
                <w:color w:val="auto"/>
              </w:rPr>
            </w:pPr>
            <w:r>
              <w:rPr>
                <w:rFonts w:ascii="Arial" w:cs="Arial" w:eastAsia="Arial" w:hAnsi="Arial"/>
                <w:sz w:val="18"/>
                <w:szCs w:val="18"/>
                <w:color w:val="auto"/>
              </w:rPr>
              <w:t>Pursuant</w:t>
            </w:r>
          </w:p>
        </w:tc>
        <w:tc>
          <w:tcPr>
            <w:tcW w:w="380" w:type="dxa"/>
            <w:vAlign w:val="bottom"/>
          </w:tcPr>
          <w:p>
            <w:pPr>
              <w:ind w:left="120"/>
              <w:spacing w:after="0"/>
              <w:rPr>
                <w:sz w:val="20"/>
                <w:szCs w:val="20"/>
                <w:color w:val="auto"/>
              </w:rPr>
            </w:pPr>
            <w:r>
              <w:rPr>
                <w:rFonts w:ascii="Arial" w:cs="Arial" w:eastAsia="Arial" w:hAnsi="Arial"/>
                <w:sz w:val="18"/>
                <w:szCs w:val="18"/>
                <w:color w:val="auto"/>
              </w:rPr>
              <w:t>to</w:t>
            </w:r>
          </w:p>
        </w:tc>
        <w:tc>
          <w:tcPr>
            <w:tcW w:w="420" w:type="dxa"/>
            <w:vAlign w:val="bottom"/>
          </w:tcPr>
          <w:p>
            <w:pPr>
              <w:ind w:left="160"/>
              <w:spacing w:after="0"/>
              <w:rPr>
                <w:sz w:val="20"/>
                <w:szCs w:val="20"/>
                <w:color w:val="auto"/>
              </w:rPr>
            </w:pPr>
            <w:r>
              <w:rPr>
                <w:rFonts w:ascii="Arial" w:cs="Arial" w:eastAsia="Arial" w:hAnsi="Arial"/>
                <w:sz w:val="18"/>
                <w:szCs w:val="18"/>
                <w:color w:val="auto"/>
                <w:w w:val="92"/>
              </w:rPr>
              <w:t>our</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certificate</w:t>
            </w:r>
          </w:p>
        </w:tc>
        <w:tc>
          <w:tcPr>
            <w:tcW w:w="340" w:type="dxa"/>
            <w:vAlign w:val="bottom"/>
          </w:tcPr>
          <w:p>
            <w:pPr>
              <w:ind w:left="140"/>
              <w:spacing w:after="0"/>
              <w:rPr>
                <w:sz w:val="20"/>
                <w:szCs w:val="20"/>
                <w:color w:val="auto"/>
              </w:rPr>
            </w:pPr>
            <w:r>
              <w:rPr>
                <w:rFonts w:ascii="Arial" w:cs="Arial" w:eastAsia="Arial" w:hAnsi="Arial"/>
                <w:sz w:val="18"/>
                <w:szCs w:val="18"/>
                <w:color w:val="auto"/>
              </w:rPr>
              <w:t>of</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incorporation, if we do not complete an</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5"/>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initial business combination within 15</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months  (or  up  to  18  months,  as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applicable) from the consummation of</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escrow  account  would  be  returned  to</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this offering, it will trigger our automatic</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6"/>
              </w:rPr>
              <w:t>investors.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winding up, dissolution and liquidation.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77" w:name="page78"/>
    <w:bookmarkEnd w:id="77"/>
    <w:p>
      <w:pPr>
        <w:jc w:val="center"/>
        <w:ind w:left="2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640" w:hanging="179"/>
        <w:spacing w:after="0" w:line="289" w:lineRule="auto"/>
        <w:rPr>
          <w:sz w:val="20"/>
          <w:szCs w:val="20"/>
          <w:color w:val="auto"/>
        </w:rPr>
      </w:pPr>
      <w:r>
        <w:rPr>
          <w:rFonts w:ascii="Arial" w:cs="Arial" w:eastAsia="Arial" w:hAnsi="Arial"/>
          <w:sz w:val="17"/>
          <w:szCs w:val="17"/>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-1102995</wp:posOffset>
            </wp:positionV>
            <wp:extent cx="4063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allotted time.</w:t>
      </w:r>
    </w:p>
    <w:p>
      <w:pPr>
        <w:spacing w:after="0" w:line="180" w:lineRule="exact"/>
        <w:rPr>
          <w:sz w:val="20"/>
          <w:szCs w:val="20"/>
          <w:color w:val="auto"/>
        </w:rPr>
      </w:pPr>
    </w:p>
    <w:p>
      <w:pPr>
        <w:sectPr>
          <w:pgSz w:w="11900" w:h="16838" w:orient="portrait"/>
          <w:cols w:equalWidth="0" w:num="2">
            <w:col w:w="1940" w:space="220"/>
            <w:col w:w="6859"/>
          </w:cols>
          <w:pgMar w:left="1440" w:top="274" w:right="1440" w:bottom="1440" w:gutter="0" w:footer="0" w:header="0"/>
        </w:sectPr>
      </w:pPr>
    </w:p>
    <w:p>
      <w:pPr>
        <w:jc w:val="both"/>
        <w:ind w:left="2160" w:right="459" w:hanging="1700"/>
        <w:spacing w:after="0" w:line="269" w:lineRule="auto"/>
        <w:tabs>
          <w:tab w:leader="none" w:pos="2140" w:val="left"/>
        </w:tabs>
        <w:rPr>
          <w:sz w:val="20"/>
          <w:szCs w:val="20"/>
          <w:color w:val="auto"/>
        </w:rPr>
      </w:pPr>
      <w:r>
        <w:rPr>
          <w:rFonts w:ascii="Arial" w:cs="Arial" w:eastAsia="Arial" w:hAnsi="Arial"/>
          <w:sz w:val="18"/>
          <w:szCs w:val="18"/>
          <w:b w:val="1"/>
          <w:bCs w:val="1"/>
          <w:color w:val="auto"/>
        </w:rPr>
        <w:t>Release of funds</w:t>
      </w:r>
      <w:r>
        <w:rPr>
          <w:sz w:val="20"/>
          <w:szCs w:val="20"/>
          <w:color w:val="auto"/>
        </w:rPr>
        <w:tab/>
      </w:r>
      <w:r>
        <w:rPr>
          <w:rFonts w:ascii="Arial" w:cs="Arial" w:eastAsia="Arial" w:hAnsi="Arial"/>
          <w:sz w:val="17"/>
          <w:szCs w:val="17"/>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Arial" w:cs="Arial" w:eastAsia="Arial" w:hAnsi="Arial"/>
          <w:sz w:val="18"/>
          <w:szCs w:val="18"/>
          <w:color w:val="auto"/>
        </w:rPr>
        <w:t>the</w:t>
        <w:tab/>
        <w:t>trustee</w:t>
        <w:tab/>
        <w:t>will</w:t>
        <w:tab/>
        <w:t>directly</w:t>
        <w:tab/>
        <w:t>send</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Arial" w:cs="Arial" w:eastAsia="Arial" w:hAnsi="Arial"/>
          <w:sz w:val="18"/>
          <w:szCs w:val="18"/>
          <w:color w:val="auto"/>
        </w:rPr>
        <w:t>trust</w:t>
        <w:tab/>
        <w:t>to</w:t>
        <w:tab/>
        <w:t>the</w:t>
        <w:tab/>
        <w:t>converting</w:t>
        <w:tab/>
        <w:t>or</w:t>
      </w:r>
      <w:r>
        <w:rPr>
          <w:sz w:val="20"/>
          <w:szCs w:val="20"/>
          <w:color w:val="auto"/>
        </w:rPr>
        <w:tab/>
      </w:r>
      <w:r>
        <w:rPr>
          <w:rFonts w:ascii="Arial" w:cs="Arial" w:eastAsia="Arial" w:hAnsi="Arial"/>
          <w:sz w:val="16"/>
          <w:szCs w:val="16"/>
          <w:color w:val="auto"/>
        </w:rPr>
        <w:t>tendering</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Secretary, Director</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2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01"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1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Jonas Grossman, 46,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Woodrow (“Woody”) H. Levin, 42, has agreed to become our director as of the effective date of the registration statement of which this prospectus is part.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Christian “Chris” Ahrens, 44, has agreed to become our director as of the effective date of the registration statement of which this prospectus is a part. Mr. Ahrens has been an Advisor with Certares Management LLC since 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2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Bernard A. Van der Lande, 38, has agreed to become our director as of the effective date of the registration statement of which this prospectus is part. Mr. Van der Lande has been a Managing Director of Cindat USA, LLC since 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0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consummation of this offering, our board of directors will have seven members, five of whom will be deemed “independent” under SEC and Nasdaq rules. We may not hold an annual meeting of stockholders until after we consummate our initial business combination.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1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four are “independent directors” as defined in the Nasdaq listing standards and applicable SEC rules. Our independent directors will have regularly scheduled meetings at which only independent directors are present.</w:t>
      </w:r>
    </w:p>
    <w:p>
      <w:pPr>
        <w:spacing w:after="0" w:line="84"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Effective as of the date of this prospectus, we have established an audit committee of the board of directors, which will consist of Mr. Weil, Mr. Levin, and Mr. Ahrens each of whom is an independent director. Mr. Weil will serve as chairman of the audit committee. The audit committee’s duties, which are specified in our Audit Committee Charter, include, but are not limited to:</w:t>
      </w:r>
    </w:p>
    <w:p>
      <w:pPr>
        <w:spacing w:after="0" w:line="119" w:lineRule="exact"/>
        <w:rPr>
          <w:sz w:val="20"/>
          <w:szCs w:val="20"/>
          <w:color w:val="auto"/>
        </w:rPr>
      </w:pPr>
    </w:p>
    <w:p>
      <w:pPr>
        <w:jc w:val="both"/>
        <w:ind w:left="1320" w:right="47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44"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all related party transactions;</w:t>
      </w:r>
    </w:p>
    <w:p>
      <w:pPr>
        <w:spacing w:after="0" w:line="157" w:lineRule="exact"/>
        <w:rPr>
          <w:rFonts w:ascii="Arial" w:cs="Arial" w:eastAsia="Arial" w:hAnsi="Arial"/>
          <w:sz w:val="18"/>
          <w:szCs w:val="18"/>
          <w:color w:val="auto"/>
        </w:rPr>
      </w:pPr>
    </w:p>
    <w:p>
      <w:pPr>
        <w:ind w:left="4420" w:right="739" w:hanging="3534"/>
        <w:spacing w:after="0" w:line="481"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84"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62"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Effective as of the date of this prospectus, we have established a nominating and corporate governance committee of the board of directors, which will consist of Mr. Weil, Mr. Ahrens, and Ms. Atkinson, each of whom is an independent director under Nasdaq’s listing standards. Mr. Ahrens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and Corporate Governance Committee Charter, generally provide that persons to be nominated:</w:t>
      </w:r>
    </w:p>
    <w:p>
      <w:pPr>
        <w:spacing w:after="0" w:line="89" w:lineRule="exact"/>
        <w:rPr>
          <w:sz w:val="20"/>
          <w:szCs w:val="20"/>
          <w:color w:val="auto"/>
        </w:rPr>
      </w:pPr>
    </w:p>
    <w:p>
      <w:pPr>
        <w:ind w:left="1320" w:right="479" w:hanging="434"/>
        <w:spacing w:after="0" w:line="277"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8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Upon the effectiveness of the registration statement of which this prospectus forms a part, we have established a compensation committee of the board of directors consisting of Mr. Levin, Ms. Atkinson, and Mr. Van der Lande, each of whom is an independent director. Mr. Weil will serve as chairman of the compensation committee. We will adopt a compensation committee charter, which will detail the principal functions of the compensation committee, including:</w:t>
      </w:r>
    </w:p>
    <w:p>
      <w:pPr>
        <w:spacing w:after="0" w:line="120" w:lineRule="exact"/>
        <w:rPr>
          <w:sz w:val="20"/>
          <w:szCs w:val="20"/>
          <w:color w:val="auto"/>
        </w:rPr>
      </w:pPr>
    </w:p>
    <w:p>
      <w:pPr>
        <w:jc w:val="both"/>
        <w:ind w:left="1320" w:right="459" w:hanging="434"/>
        <w:spacing w:after="0" w:line="259" w:lineRule="auto"/>
        <w:tabs>
          <w:tab w:leader="none" w:pos="1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3" w:lineRule="auto"/>
        <w:tabs>
          <w:tab w:leader="none" w:pos="15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257" w:lineRule="auto"/>
        <w:tabs>
          <w:tab w:leader="none" w:pos="14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3" w:lineRule="auto"/>
        <w:tabs>
          <w:tab w:leader="none" w:pos="14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3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81" w:lineRule="exact"/>
        <w:rPr>
          <w:rFonts w:ascii="Arial" w:cs="Arial" w:eastAsia="Arial" w:hAnsi="Arial"/>
          <w:sz w:val="16"/>
          <w:szCs w:val="16"/>
          <w:color w:val="auto"/>
        </w:rPr>
      </w:pPr>
    </w:p>
    <w:p>
      <w:pPr>
        <w:jc w:val="both"/>
        <w:ind w:left="1320" w:right="459" w:hanging="434"/>
        <w:spacing w:after="0" w:line="270" w:lineRule="auto"/>
        <w:tabs>
          <w:tab w:leader="none" w:pos="141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99" w:lineRule="exact"/>
        <w:rPr>
          <w:rFonts w:ascii="Arial" w:cs="Arial" w:eastAsia="Arial" w:hAnsi="Arial"/>
          <w:sz w:val="17"/>
          <w:szCs w:val="17"/>
          <w:color w:val="auto"/>
        </w:rPr>
      </w:pPr>
    </w:p>
    <w:p>
      <w:pPr>
        <w:jc w:val="both"/>
        <w:ind w:left="1320" w:right="459" w:hanging="434"/>
        <w:spacing w:after="0" w:line="254" w:lineRule="auto"/>
        <w:tabs>
          <w:tab w:leader="none" w:pos="15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2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15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9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summarizes the current material pre-existing fiduciary or contractual obligations of our officers, directors and director nominees: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Arial" w:cs="Arial" w:eastAsia="Arial" w:hAnsi="Arial"/>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Arial" w:cs="Arial" w:eastAsia="Arial" w:hAnsi="Arial"/>
                <w:sz w:val="16"/>
                <w:szCs w:val="16"/>
                <w:b w:val="1"/>
                <w:bCs w:val="1"/>
                <w:color w:val="auto"/>
              </w:rPr>
              <w:t>Entity’s Business</w:t>
            </w:r>
          </w:p>
        </w:tc>
        <w:tc>
          <w:tcPr>
            <w:tcW w:w="1680" w:type="dxa"/>
            <w:vAlign w:val="bottom"/>
          </w:tcPr>
          <w:p>
            <w:pPr>
              <w:ind w:left="4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 and</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Chairman Officer</w:t>
            </w:r>
          </w:p>
        </w:tc>
        <w:tc>
          <w:tcPr>
            <w:tcW w:w="0" w:type="dxa"/>
            <w:vAlign w:val="bottom"/>
          </w:tcPr>
          <w:p>
            <w:pPr>
              <w:spacing w:after="0"/>
              <w:rPr>
                <w:sz w:val="1"/>
                <w:szCs w:val="1"/>
                <w:color w:val="auto"/>
              </w:rPr>
            </w:pPr>
          </w:p>
        </w:tc>
      </w:tr>
      <w:tr>
        <w:trPr>
          <w:trHeight w:val="377"/>
        </w:trPr>
        <w:tc>
          <w:tcPr>
            <w:tcW w:w="1480" w:type="dxa"/>
            <w:vAlign w:val="bottom"/>
          </w:tcPr>
          <w:p>
            <w:pPr>
              <w:spacing w:after="0"/>
              <w:rPr>
                <w:sz w:val="20"/>
                <w:szCs w:val="20"/>
                <w:color w:val="auto"/>
              </w:rPr>
            </w:pPr>
            <w:r>
              <w:rPr>
                <w:rFonts w:ascii="Arial" w:cs="Arial" w:eastAsia="Arial" w:hAnsi="Arial"/>
                <w:sz w:val="18"/>
                <w:szCs w:val="18"/>
                <w:color w:val="auto"/>
              </w:rPr>
              <w:t>Matthew</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Chief Financial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w w:val="94"/>
              </w:rPr>
              <w:t>Brock Strasbourger</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Chief Operating</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Prasad Phatak</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Chief Investment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Tappan Street Partners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Jonas Grossman</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1"/>
              </w:rPr>
              <w:t>Chardan International Investments,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Chardan Capital Markets,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Investment bank</w:t>
            </w:r>
          </w:p>
        </w:tc>
        <w:tc>
          <w:tcPr>
            <w:tcW w:w="1680" w:type="dxa"/>
            <w:vAlign w:val="bottom"/>
          </w:tcPr>
          <w:p>
            <w:pPr>
              <w:spacing w:after="0"/>
              <w:rPr>
                <w:sz w:val="20"/>
                <w:szCs w:val="20"/>
                <w:color w:val="auto"/>
              </w:rPr>
            </w:pPr>
            <w:r>
              <w:rPr>
                <w:rFonts w:ascii="Arial" w:cs="Arial" w:eastAsia="Arial" w:hAnsi="Arial"/>
                <w:sz w:val="18"/>
                <w:szCs w:val="18"/>
                <w:color w:val="auto"/>
                <w:w w:val="92"/>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Head of Capital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BiomX,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Pre-clinical</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LifeSci Acquisition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1"/>
              </w:rPr>
              <w:t>Chardan Healthcare Acquisition 2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5"/>
              </w:rPr>
              <w:t>Officer and President,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Cornix Advisors,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Founding Partner</w:t>
            </w:r>
          </w:p>
        </w:tc>
        <w:tc>
          <w:tcPr>
            <w:tcW w:w="0" w:type="dxa"/>
            <w:vAlign w:val="bottom"/>
          </w:tcPr>
          <w:p>
            <w:pPr>
              <w:spacing w:after="0"/>
              <w:rPr>
                <w:sz w:val="1"/>
                <w:szCs w:val="1"/>
                <w:color w:val="auto"/>
              </w:rPr>
            </w:pPr>
          </w:p>
        </w:tc>
      </w:tr>
      <w:tr>
        <w:trPr>
          <w:trHeight w:val="404"/>
        </w:trPr>
        <w:tc>
          <w:tcPr>
            <w:tcW w:w="1480" w:type="dxa"/>
            <w:vAlign w:val="bottom"/>
          </w:tcPr>
          <w:p>
            <w:pPr>
              <w:spacing w:after="0"/>
              <w:rPr>
                <w:sz w:val="20"/>
                <w:szCs w:val="20"/>
                <w:color w:val="auto"/>
              </w:rPr>
            </w:pPr>
            <w:r>
              <w:rPr>
                <w:rFonts w:ascii="Arial" w:cs="Arial" w:eastAsia="Arial" w:hAnsi="Arial"/>
                <w:sz w:val="18"/>
                <w:szCs w:val="18"/>
                <w:color w:val="auto"/>
              </w:rPr>
              <w:t>Woodrow</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Extend,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Company focused on</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6"/>
              </w:rPr>
              <w:t>(“Woody”) H. Levin</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API-first solution for</w:t>
            </w:r>
          </w:p>
        </w:tc>
        <w:tc>
          <w:tcPr>
            <w:tcW w:w="1680" w:type="dxa"/>
            <w:vAlign w:val="bottom"/>
          </w:tcPr>
          <w:p>
            <w:pPr>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merchants to offer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extended warranties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and protection plans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3.0 Capital GP,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DraftKings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Company focused on</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digital sports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entertainment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gaming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5"/>
              </w:rPr>
              <w:t>10X Capital Venture Acquisition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04"/>
        </w:trPr>
        <w:tc>
          <w:tcPr>
            <w:tcW w:w="1480" w:type="dxa"/>
            <w:vAlign w:val="bottom"/>
          </w:tcPr>
          <w:p>
            <w:pPr>
              <w:spacing w:after="0"/>
              <w:rPr>
                <w:sz w:val="20"/>
                <w:szCs w:val="20"/>
                <w:color w:val="auto"/>
              </w:rPr>
            </w:pPr>
            <w:r>
              <w:rPr>
                <w:rFonts w:ascii="Arial" w:cs="Arial" w:eastAsia="Arial" w:hAnsi="Arial"/>
                <w:sz w:val="18"/>
                <w:szCs w:val="18"/>
                <w:color w:val="auto"/>
              </w:rPr>
              <w:t>Alex Weil</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Chardan Capital Markets,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Investment bank</w:t>
            </w:r>
          </w:p>
        </w:tc>
        <w:tc>
          <w:tcPr>
            <w:tcW w:w="168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Fintech Investment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Banking</w:t>
            </w:r>
          </w:p>
        </w:tc>
        <w:tc>
          <w:tcPr>
            <w:tcW w:w="0" w:type="dxa"/>
            <w:vAlign w:val="bottom"/>
          </w:tcPr>
          <w:p>
            <w:pPr>
              <w:spacing w:after="0"/>
              <w:rPr>
                <w:sz w:val="1"/>
                <w:szCs w:val="1"/>
                <w:color w:val="auto"/>
              </w:rPr>
            </w:pPr>
          </w:p>
        </w:tc>
      </w:tr>
      <w:tr>
        <w:trPr>
          <w:trHeight w:val="445"/>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2980" w:type="dxa"/>
            <w:vAlign w:val="bottom"/>
            <w:gridSpan w:val="2"/>
          </w:tcPr>
          <w:p>
            <w:pPr>
              <w:ind w:left="440"/>
              <w:spacing w:after="0"/>
              <w:rPr>
                <w:sz w:val="20"/>
                <w:szCs w:val="20"/>
                <w:color w:val="auto"/>
              </w:rPr>
            </w:pPr>
            <w:r>
              <w:rPr>
                <w:rFonts w:ascii="Arial" w:cs="Arial" w:eastAsia="Arial" w:hAnsi="Arial"/>
                <w:sz w:val="16"/>
                <w:szCs w:val="16"/>
                <w:b w:val="1"/>
                <w:bCs w:val="1"/>
                <w:color w:val="auto"/>
              </w:rPr>
              <w:t>Name of Affiliated Company</w:t>
            </w: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Entity’s Business</w:t>
            </w:r>
          </w:p>
        </w:tc>
        <w:tc>
          <w:tcPr>
            <w:tcW w:w="1700" w:type="dxa"/>
            <w:vAlign w:val="bottom"/>
          </w:tcPr>
          <w:p>
            <w:pPr>
              <w:ind w:left="4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Julie Atkinson</w:t>
            </w:r>
          </w:p>
        </w:tc>
        <w:tc>
          <w:tcPr>
            <w:tcW w:w="100" w:type="dxa"/>
            <w:vAlign w:val="bottom"/>
            <w:vMerge w:val="continue"/>
          </w:tcPr>
          <w:p>
            <w:pPr>
              <w:spacing w:after="0"/>
              <w:rPr>
                <w:sz w:val="16"/>
                <w:szCs w:val="16"/>
                <w:color w:val="auto"/>
              </w:rPr>
            </w:pPr>
          </w:p>
        </w:tc>
        <w:tc>
          <w:tcPr>
            <w:tcW w:w="2880" w:type="dxa"/>
            <w:vAlign w:val="bottom"/>
          </w:tcPr>
          <w:p>
            <w:pPr>
              <w:spacing w:after="0" w:line="195" w:lineRule="exact"/>
              <w:rPr>
                <w:sz w:val="20"/>
                <w:szCs w:val="20"/>
                <w:color w:val="auto"/>
              </w:rPr>
            </w:pPr>
            <w:r>
              <w:rPr>
                <w:rFonts w:ascii="Arial" w:cs="Arial" w:eastAsia="Arial" w:hAnsi="Arial"/>
                <w:sz w:val="18"/>
                <w:szCs w:val="18"/>
                <w:color w:val="auto"/>
              </w:rPr>
              <w:t>Founders Table Restaurant Group</w:t>
            </w:r>
          </w:p>
        </w:tc>
        <w:tc>
          <w:tcPr>
            <w:tcW w:w="100" w:type="dxa"/>
            <w:vAlign w:val="bottom"/>
            <w:vMerge w:val="continue"/>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Company focused on</w:t>
            </w:r>
          </w:p>
        </w:tc>
        <w:tc>
          <w:tcPr>
            <w:tcW w:w="100" w:type="dxa"/>
            <w:vAlign w:val="bottom"/>
            <w:vMerge w:val="continue"/>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creation, acquisition</w:t>
            </w:r>
          </w:p>
        </w:tc>
        <w:tc>
          <w:tcPr>
            <w:tcW w:w="170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Bright Horizons Family Solutions Inc.</w:t>
            </w:r>
          </w:p>
        </w:tc>
        <w:tc>
          <w:tcPr>
            <w:tcW w:w="1840" w:type="dxa"/>
            <w:vAlign w:val="bottom"/>
            <w:gridSpan w:val="2"/>
          </w:tcPr>
          <w:p>
            <w:pPr>
              <w:spacing w:after="0"/>
              <w:rPr>
                <w:sz w:val="20"/>
                <w:szCs w:val="20"/>
                <w:color w:val="auto"/>
              </w:rPr>
            </w:pPr>
            <w:r>
              <w:rPr>
                <w:rFonts w:ascii="Arial" w:cs="Arial" w:eastAsia="Arial" w:hAnsi="Arial"/>
                <w:sz w:val="18"/>
                <w:szCs w:val="18"/>
                <w:color w:val="auto"/>
              </w:rPr>
              <w:t>Provider of child care</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dependent care,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workforce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Christian (“Chris”)</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Certares</w:t>
            </w:r>
          </w:p>
        </w:tc>
        <w:tc>
          <w:tcPr>
            <w:tcW w:w="184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1700" w:type="dxa"/>
            <w:vAlign w:val="bottom"/>
          </w:tcPr>
          <w:p>
            <w:pPr>
              <w:spacing w:after="0"/>
              <w:rPr>
                <w:sz w:val="20"/>
                <w:szCs w:val="20"/>
                <w:color w:val="auto"/>
              </w:rPr>
            </w:pPr>
            <w:r>
              <w:rPr>
                <w:rFonts w:ascii="Arial" w:cs="Arial" w:eastAsia="Arial" w:hAnsi="Arial"/>
                <w:sz w:val="18"/>
                <w:szCs w:val="18"/>
                <w:color w:val="auto"/>
              </w:rPr>
              <w:t>Advisor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Ahrens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w w:val="99"/>
              </w:rPr>
              <w:t>management company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Internova Travel Group</w:t>
            </w:r>
          </w:p>
        </w:tc>
        <w:tc>
          <w:tcPr>
            <w:tcW w:w="1840" w:type="dxa"/>
            <w:vAlign w:val="bottom"/>
            <w:gridSpan w:val="2"/>
          </w:tcPr>
          <w:p>
            <w:pPr>
              <w:spacing w:after="0"/>
              <w:rPr>
                <w:sz w:val="20"/>
                <w:szCs w:val="20"/>
                <w:color w:val="auto"/>
              </w:rPr>
            </w:pPr>
            <w:r>
              <w:rPr>
                <w:rFonts w:ascii="Arial" w:cs="Arial" w:eastAsia="Arial" w:hAnsi="Arial"/>
                <w:sz w:val="18"/>
                <w:szCs w:val="18"/>
                <w:color w:val="auto"/>
              </w:rPr>
              <w:t>Company focused on</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travel services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Bernard Van der</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Cindat</w:t>
            </w:r>
          </w:p>
        </w:tc>
        <w:tc>
          <w:tcPr>
            <w:tcW w:w="184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70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Lande</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investment platform</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0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ind w:left="620"/>
              <w:spacing w:after="0"/>
              <w:rPr>
                <w:sz w:val="20"/>
                <w:szCs w:val="20"/>
                <w:color w:val="auto"/>
              </w:rPr>
            </w:pPr>
            <w:r>
              <w:rPr>
                <w:rFonts w:ascii="Arial" w:cs="Arial" w:eastAsia="Arial" w:hAnsi="Arial"/>
                <w:sz w:val="16"/>
                <w:szCs w:val="16"/>
                <w:b w:val="1"/>
                <w:bCs w:val="1"/>
                <w:color w:val="auto"/>
              </w:rPr>
              <w:t>Prior to Offering</w:t>
            </w:r>
          </w:p>
        </w:tc>
        <w:tc>
          <w:tcPr>
            <w:tcW w:w="250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Percentage of</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and Nature of</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Outstanding</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and 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Shares of</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w w:val="97"/>
              </w:rPr>
              <w:t>Name and Address of Beneficial Owner</w:t>
            </w:r>
            <w:r>
              <w:rPr>
                <w:rFonts w:ascii="Arial" w:cs="Arial" w:eastAsia="Arial" w:hAnsi="Arial"/>
                <w:sz w:val="18"/>
                <w:szCs w:val="18"/>
                <w:b w:val="1"/>
                <w:bCs w:val="1"/>
                <w:color w:val="auto"/>
                <w:w w:val="97"/>
                <w:vertAlign w:val="superscript"/>
              </w:rPr>
              <w:t>(1)</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w:t>
            </w:r>
          </w:p>
        </w:tc>
      </w:tr>
      <w:tr>
        <w:trPr>
          <w:trHeight w:val="248"/>
        </w:trPr>
        <w:tc>
          <w:tcPr>
            <w:tcW w:w="2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2,751,375</w:t>
            </w:r>
            <w:r>
              <w:rPr>
                <w:rFonts w:ascii="Arial" w:cs="Arial" w:eastAsia="Arial" w:hAnsi="Arial"/>
                <w:sz w:val="10"/>
                <w:szCs w:val="10"/>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2,386,794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1160" w:type="dxa"/>
            <w:vAlign w:val="bottom"/>
          </w:tcPr>
          <w:p>
            <w:pPr>
              <w:jc w:val="right"/>
              <w:spacing w:after="0"/>
              <w:rPr>
                <w:sz w:val="20"/>
                <w:szCs w:val="20"/>
                <w:color w:val="auto"/>
              </w:rPr>
            </w:pPr>
            <w:r>
              <w:rPr>
                <w:rFonts w:ascii="Arial" w:cs="Arial" w:eastAsia="Arial" w:hAnsi="Arial"/>
                <w:sz w:val="18"/>
                <w:szCs w:val="18"/>
                <w:color w:val="auto"/>
              </w:rPr>
              <w:t>2,751,375</w:t>
            </w:r>
            <w:r>
              <w:rPr>
                <w:rFonts w:ascii="Arial" w:cs="Arial" w:eastAsia="Arial" w:hAnsi="Arial"/>
                <w:sz w:val="10"/>
                <w:szCs w:val="10"/>
                <w:color w:val="auto"/>
              </w:rPr>
              <w:t>(3)(4)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2,386,794</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1,493,625</w:t>
            </w:r>
            <w:r>
              <w:rPr>
                <w:rFonts w:ascii="Arial" w:cs="Arial" w:eastAsia="Arial" w:hAnsi="Arial"/>
                <w:sz w:val="10"/>
                <w:szCs w:val="10"/>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1,295,706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Woodrow H. Levin</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officers and directors as a group</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(10 individuals)</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4,312,500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Ventoux Acquisition Holdings LLC</w:t>
            </w:r>
            <w:r>
              <w:rPr>
                <w:rFonts w:ascii="Arial" w:cs="Arial" w:eastAsia="Arial" w:hAnsi="Arial"/>
                <w:sz w:val="20"/>
                <w:szCs w:val="20"/>
                <w:color w:val="auto"/>
                <w:vertAlign w:val="superscript"/>
              </w:rPr>
              <w:t>(6)</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w w:val="93"/>
              </w:rPr>
              <w:t>2,751,375</w:t>
            </w:r>
            <w:r>
              <w:rPr>
                <w:rFonts w:ascii="Arial" w:cs="Arial" w:eastAsia="Arial" w:hAnsi="Arial"/>
                <w:sz w:val="20"/>
                <w:szCs w:val="20"/>
                <w:color w:val="auto"/>
                <w:w w:val="93"/>
                <w:vertAlign w:val="superscript"/>
              </w:rPr>
              <w:t>(4)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2,386,794</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Chardan International Investments, LLC</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1,493,625</w:t>
            </w:r>
            <w:r>
              <w:rPr>
                <w:rFonts w:ascii="Arial" w:cs="Arial" w:eastAsia="Arial" w:hAnsi="Arial"/>
                <w:sz w:val="10"/>
                <w:szCs w:val="10"/>
                <w:color w:val="auto"/>
              </w:rPr>
              <w:t>(5)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1,296,750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40"/>
        </w:trPr>
        <w:tc>
          <w:tcPr>
            <w:tcW w:w="2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479" w:hanging="426"/>
        <w:spacing w:after="0" w:line="264" w:lineRule="auto"/>
        <w:tabs>
          <w:tab w:leader="none" w:pos="8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of shares of common stock owned by Ventoux Acquisition Holdings LLC, for which Edward Scheetz and Matthew MacDonald are the managing members.</w:t>
      </w:r>
    </w:p>
    <w:p>
      <w:pPr>
        <w:ind w:left="880" w:hanging="426"/>
        <w:spacing w:after="0"/>
        <w:tabs>
          <w:tab w:leader="none" w:pos="8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Assumes that Ventoux Acquisition Holdings LLC distributed an aggregate of 67,500 shares to certain of our directors.</w:t>
      </w:r>
    </w:p>
    <w:p>
      <w:pPr>
        <w:spacing w:after="0" w:line="41" w:lineRule="exact"/>
        <w:rPr>
          <w:rFonts w:ascii="Arial" w:cs="Arial" w:eastAsia="Arial" w:hAnsi="Arial"/>
          <w:sz w:val="14"/>
          <w:szCs w:val="14"/>
          <w:color w:val="auto"/>
        </w:rPr>
      </w:pPr>
    </w:p>
    <w:p>
      <w:pPr>
        <w:ind w:left="880" w:right="479" w:hanging="426"/>
        <w:spacing w:after="0" w:line="264" w:lineRule="auto"/>
        <w:tabs>
          <w:tab w:leader="none" w:pos="8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of shares of common stock owned by Chardan International Investments, LLC, for which Jonas Grossman is the managing member.</w:t>
      </w:r>
    </w:p>
    <w:p>
      <w:pPr>
        <w:ind w:left="880" w:hanging="426"/>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Edward Scheetz and Matthew MacDonald are the managing members of Ventoux Acquisition Holdings LLC.</w:t>
      </w:r>
    </w:p>
    <w:p>
      <w:pPr>
        <w:spacing w:after="0" w:line="15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Immediately after this offering, our initial stockholders will beneficially own 20% of the then issued and outstanding shares of common stock (assuming none of them purchase any units offered by this prospectus).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1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2" w:lineRule="exact"/>
        <w:rPr>
          <w:sz w:val="20"/>
          <w:szCs w:val="20"/>
          <w:color w:val="auto"/>
        </w:rPr>
      </w:pPr>
    </w:p>
    <w:p>
      <w:pPr>
        <w:jc w:val="both"/>
        <w:ind w:left="460" w:right="479" w:hanging="6"/>
        <w:spacing w:after="0" w:line="267" w:lineRule="auto"/>
        <w:tabs>
          <w:tab w:leader="none" w:pos="742" w:val="left"/>
        </w:tabs>
        <w:numPr>
          <w:ilvl w:val="0"/>
          <w:numId w:val="56"/>
        </w:numPr>
        <w:rPr>
          <w:rFonts w:ascii="Arial" w:cs="Arial" w:eastAsia="Arial" w:hAnsi="Arial"/>
          <w:sz w:val="17"/>
          <w:szCs w:val="17"/>
          <w:color w:val="auto"/>
        </w:rPr>
      </w:pPr>
      <w:r>
        <w:rPr>
          <w:rFonts w:ascii="Arial" w:cs="Arial" w:eastAsia="Arial" w:hAnsi="Arial"/>
          <w:sz w:val="17"/>
          <w:szCs w:val="17"/>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05"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jc w:val="both"/>
        <w:ind w:left="460" w:right="479" w:hanging="6"/>
        <w:spacing w:after="0" w:line="271" w:lineRule="auto"/>
        <w:tabs>
          <w:tab w:leader="none" w:pos="7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330" w:lineRule="exact"/>
        <w:rPr>
          <w:sz w:val="20"/>
          <w:szCs w:val="20"/>
          <w:color w:val="auto"/>
        </w:rPr>
      </w:pPr>
    </w:p>
    <w:p>
      <w:pPr>
        <w:jc w:val="both"/>
        <w:ind w:left="460" w:right="479" w:firstLine="432"/>
        <w:spacing w:after="0" w:line="268"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1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of Ventoux Acquisition Holdings LLC and Chardan International Investments, LLC is a “promoter,”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68" w:lineRule="auto"/>
        <w:rPr>
          <w:sz w:val="20"/>
          <w:szCs w:val="20"/>
          <w:color w:val="auto"/>
        </w:rPr>
      </w:pPr>
      <w:r>
        <w:rPr>
          <w:rFonts w:ascii="Arial" w:cs="Arial" w:eastAsia="Arial" w:hAnsi="Arial"/>
          <w:sz w:val="17"/>
          <w:szCs w:val="17"/>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The founder shares include an aggregate of up to 562,500 shares that are subject to forfeiture to the extent that the underwriters’ over-allotment option is not exercised in full or in part.</w:t>
      </w:r>
    </w:p>
    <w:p>
      <w:pPr>
        <w:spacing w:after="0" w:line="111"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0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the remaining funds will be placed in the trust account.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Arial" w:cs="Arial" w:eastAsia="Arial" w:hAnsi="Arial"/>
          <w:sz w:val="16"/>
          <w:szCs w:val="16"/>
          <w:i w:val="1"/>
          <w:iCs w:val="1"/>
          <w:color w:val="auto"/>
        </w:rPr>
        <w:t>We will bear the expenses incurred in connection with the filing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any such registration statements. </w:t>
      </w:r>
      <w:r>
        <w:rPr>
          <w:rFonts w:ascii="Arial" w:cs="Arial" w:eastAsia="Arial" w:hAnsi="Arial"/>
          <w:sz w:val="16"/>
          <w:szCs w:val="16"/>
          <w:color w:val="auto"/>
        </w:rPr>
        <w:t>Chardan Capital Markets, LLC and its related persons may not,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9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1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04"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6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Pursuant to our amended certificate of incorporation, our authorized capital stock consists of 50,000,000 shares of common stock, par value $0.0001, and 1,000,000 shares of preferred stock, par value $0.0001. As of the date of this prospectus, 4,312,500 shares of common stock are issued and outstanding, held by our co-sponsors, our directors, and affiliates of our management team. No preferred shares are issued or outstanding.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Each unit consists of one share of common stock, one right and one warrant. Each right entitles the holder to receive one-twentieth (1/20) of a share of common stock.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shares of common stock, rights and warrants comprising the units will not be separately traded until 90 days after the effective date of this prospectus unless Chardan informs us of its decision to allow earlier separate trading, but in no event will the shares of common stock, rights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9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not issue fractional shares upon conversion of the rights once the units separate, and no cash will be payable in lieu thereof. As a result, you must have 20 rights to receive one share of common stock at the closing of the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8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law. Our insiders have agreed to waive their rights to share in any distribution with respect to their insider shares. 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our initial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 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1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1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103"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102"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76"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9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Arrangements with respect to the Certain Warrants</w:t>
      </w:r>
    </w:p>
    <w:p>
      <w:pPr>
        <w:spacing w:after="0" w:line="144" w:lineRule="exact"/>
        <w:rPr>
          <w:sz w:val="20"/>
          <w:szCs w:val="20"/>
          <w:color w:val="auto"/>
        </w:rPr>
      </w:pPr>
    </w:p>
    <w:p>
      <w:pPr>
        <w:jc w:val="both"/>
        <w:ind w:left="460" w:right="479" w:firstLine="432"/>
        <w:spacing w:after="0" w:line="290" w:lineRule="auto"/>
        <w:rPr>
          <w:sz w:val="20"/>
          <w:szCs w:val="20"/>
          <w:color w:val="auto"/>
        </w:rPr>
      </w:pPr>
      <w:r>
        <w:rPr>
          <w:rFonts w:ascii="Arial" w:cs="Arial" w:eastAsia="Arial" w:hAnsi="Arial"/>
          <w:sz w:val="16"/>
          <w:szCs w:val="16"/>
          <w:color w:val="auto"/>
        </w:rPr>
        <w:t>We have agreed that so long as the private warrants are still held by the initial purchasers or their affiliates,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Each holder of a right will receive one-twentieth (1/20) of one share of common stock upon consummation of our initial business combination, even if the holder of such right redeemed all common stock held by him, her or it in connection with the initial business combination or an amendment to our amended and restated certificate of incorporation with respect to our pre-business combination activities. No additional consideration will be required to be paid by a holder of rights in order to receive his, her or its additional common stock upon consummation of an initial business combination as the consideration related thereto has been included in the unit purchase price paid for by investors in this offering. The shares issuable upon exchange of the rights will be freely tradable (except to the extent held by affiliates of ours).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us.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and the rights will expire worthless.</w:t>
      </w:r>
    </w:p>
    <w:p>
      <w:pPr>
        <w:spacing w:after="0" w:line="10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Promptly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he, she or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will not issue any fractional shares upon conversions of the rights once the units separate, and no cash will be payable in lieu thereof. As a result, a holder must have 20 rights to receive one share of common stock at the closing of the initial business combination. In the event that any holder would otherwise be entitled to any fractional share upon exchange of his, her or its rights, we will reserve the option, to the fullest extent permitted by applicable law, to deal with any such fractional entitlement at the relevant time as we see fit, which would include the rounding down of any entitlement to receive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 All holders of rights shall be treated in the same manner with respect to the issuance of shares upon conversions of the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Rights and Warrant Agent</w:t>
      </w:r>
    </w:p>
    <w:p>
      <w:pPr>
        <w:spacing w:after="0" w:line="162"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The transfer agent for our shares of common stock, rights agent for our rights and warrant agent for our warrants is Continental Stock Transfer &amp; Trust Company, 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New York 10004.</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17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2" w:lineRule="exact"/>
        <w:rPr>
          <w:sz w:val="20"/>
          <w:szCs w:val="20"/>
          <w:color w:val="auto"/>
        </w:rPr>
      </w:pPr>
    </w:p>
    <w:p>
      <w:pPr>
        <w:ind w:left="1320" w:right="459" w:hanging="434"/>
        <w:spacing w:after="0" w:line="277" w:lineRule="auto"/>
        <w:tabs>
          <w:tab w:leader="none" w:pos="16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48" w:lineRule="exact"/>
        <w:rPr>
          <w:sz w:val="20"/>
          <w:szCs w:val="20"/>
          <w:color w:val="auto"/>
        </w:rPr>
      </w:pPr>
    </w:p>
    <w:p>
      <w:pPr>
        <w:jc w:val="both"/>
        <w:ind w:left="460" w:right="459" w:firstLine="432"/>
        <w:spacing w:after="0" w:line="262"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opening of business on the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 person who has beneficially owned restricted shares of our common stock, rights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our common stock, rights or warrants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jc w:val="both"/>
        <w:ind w:left="1320" w:right="459" w:hanging="434"/>
        <w:spacing w:after="0" w:line="263" w:lineRule="auto"/>
        <w:tabs>
          <w:tab w:leader="none" w:pos="13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Arial" w:cs="Arial" w:eastAsia="Arial" w:hAnsi="Arial"/>
          <w:sz w:val="16"/>
          <w:szCs w:val="16"/>
          <w:i w:val="1"/>
          <w:iCs w:val="1"/>
          <w:color w:val="auto"/>
        </w:rPr>
        <w:t>We will bear the expenses incurred in connection with the filing of any such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Chardan Capital Markets, LLC and its related persons may not, with respect to the private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auto"/>
              </w:rPr>
              <w:t>Number</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auto"/>
              </w:rPr>
              <w:t>of 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B. Riley Securities, Inc.</w:t>
            </w:r>
          </w:p>
        </w:tc>
        <w:tc>
          <w:tcPr>
            <w:tcW w:w="1260" w:type="dxa"/>
            <w:vAlign w:val="bottom"/>
          </w:tcPr>
          <w:p>
            <w:pPr>
              <w:spacing w:after="0"/>
              <w:rPr>
                <w:sz w:val="21"/>
                <w:szCs w:val="2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 copy of the form of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intend to apply to list our units, shares of common stock, rights and warrants on Nasdaq under the symbols “VTAQU,” “VTAQ,” “VTAR” and “VTAQW,” respectively. We expect that our units will be listed on Nasdaq on or promptly after the effective date of the registration statement. Following the date that our shares of common stock, rights and warrants are eligible to trade separately, we anticipate that our shares of common stock, rights and warrants will be listed separately and as a unit on Nasdaq. We cannot guarantee that our securities will continue to be listed on Nasdaq after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4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7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Arial" w:cs="Arial" w:eastAsia="Arial" w:hAnsi="Arial"/>
                <w:sz w:val="16"/>
                <w:szCs w:val="16"/>
                <w:b w:val="1"/>
                <w:bCs w:val="1"/>
                <w:color w:val="auto"/>
              </w:rPr>
              <w:t>With</w:t>
            </w:r>
          </w:p>
        </w:tc>
      </w:tr>
      <w:tr>
        <w:trPr>
          <w:trHeight w:val="210"/>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6"/>
                <w:szCs w:val="16"/>
                <w:b w:val="1"/>
                <w:bCs w:val="1"/>
                <w:color w:val="auto"/>
                <w:w w:val="92"/>
              </w:rPr>
              <w:t>Over-allotment</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172,500,000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Discount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3,450,000</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147,000,000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169,050,000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offering expenses are estimated at $500,000.</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Under a business combination marketing agreement, dated as of the date of this prospectus, we have engaged Chardan Capital Markets, LLC as an advisor in connection with our initial business combination to assist us in holding meetings with our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our press releases and public filings in connection with the business combination. We will pay Chardan Capital Markets, LLC a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A copy of the form of business combination marketing agreement has been filed as an exhibit to the registration statement of which this prospectus forms a part.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rights and warrants were negotiated between us and the representative. Factors considered in determining the prices and terms of the units, including the shares of common stock, rights and warrants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16" w:lineRule="exact"/>
        <w:rPr>
          <w:sz w:val="20"/>
          <w:szCs w:val="20"/>
          <w:color w:val="auto"/>
        </w:rPr>
      </w:pPr>
    </w:p>
    <w:p>
      <w:pPr>
        <w:jc w:val="both"/>
        <w:ind w:left="1320" w:right="459" w:hanging="434"/>
        <w:spacing w:after="0" w:line="286" w:lineRule="auto"/>
        <w:tabs>
          <w:tab w:leader="none" w:pos="152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Stabilizing Transactions</w:t>
      </w:r>
      <w:r>
        <w:rPr>
          <w:rFonts w:ascii="Arial" w:cs="Arial" w:eastAsia="Arial" w:hAnsi="Arial"/>
          <w:sz w:val="17"/>
          <w:szCs w:val="17"/>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97" w:lineRule="exact"/>
        <w:rPr>
          <w:rFonts w:ascii="Arial" w:cs="Arial" w:eastAsia="Arial" w:hAnsi="Arial"/>
          <w:sz w:val="17"/>
          <w:szCs w:val="17"/>
          <w:color w:val="auto"/>
        </w:rPr>
      </w:pPr>
    </w:p>
    <w:p>
      <w:pPr>
        <w:jc w:val="both"/>
        <w:ind w:left="1320" w:right="459" w:hanging="434"/>
        <w:spacing w:after="0" w:line="285" w:lineRule="auto"/>
        <w:tabs>
          <w:tab w:leader="none" w:pos="147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Over-Allotments and Syndicate Coverage Transactions</w:t>
      </w:r>
      <w:r>
        <w:rPr>
          <w:rFonts w:ascii="Arial" w:cs="Arial" w:eastAsia="Arial" w:hAnsi="Arial"/>
          <w:sz w:val="16"/>
          <w:szCs w:val="16"/>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95" w:lineRule="exact"/>
        <w:rPr>
          <w:rFonts w:ascii="Arial" w:cs="Arial" w:eastAsia="Arial" w:hAnsi="Arial"/>
          <w:sz w:val="16"/>
          <w:szCs w:val="16"/>
          <w:color w:val="auto"/>
        </w:rPr>
      </w:pPr>
    </w:p>
    <w:p>
      <w:pPr>
        <w:jc w:val="both"/>
        <w:ind w:left="1320" w:right="479" w:hanging="434"/>
        <w:spacing w:after="0" w:line="263" w:lineRule="auto"/>
        <w:tabs>
          <w:tab w:leader="none" w:pos="131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Penalty Bids</w:t>
      </w:r>
      <w:r>
        <w:rPr>
          <w:rFonts w:ascii="Arial" w:cs="Arial" w:eastAsia="Arial" w:hAnsi="Arial"/>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Except as set forth above, including with respect to the business combination marketing agreement,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20"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Chardan Investments, an entity affiliated with Jonas Grossman and Chardan Capital Markets, LLC, has committed to purchase from us an aggregate of 2,000,000 warrants (or 2,225,000 if the over-allotment option is exercised in full) at $1.00 per private warrant for a total purchase price of $2,000,000 (or $2,225,000 if the over-allotment option is exercised in full). Each private warrant is exercisable for one share of common stock at an exercise price of $11.50 per share. These purchases will take place on a private placement basis simultaneously with the consummation of this offering.</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private warrants and the shares that are issuable upon exercise of the private warrants have been deemed compensation by FINRA and are therefore subject to a 180-day lock-up pursuant to FINRA Rule 5110(e)(1) commencing on the effective date of the registration statement of which this prospectus forms a part.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 We have granted the holders of private warrants the registration rights as described under the section “Securities Eligible for Future Sale — Registration and Stockholder Rights.”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62" w:lineRule="exact"/>
        <w:rPr>
          <w:sz w:val="20"/>
          <w:szCs w:val="20"/>
          <w:color w:val="auto"/>
        </w:rPr>
      </w:pPr>
    </w:p>
    <w:p>
      <w:pPr>
        <w:ind w:left="1320" w:right="459" w:hanging="434"/>
        <w:spacing w:after="0" w:line="277" w:lineRule="auto"/>
        <w:tabs>
          <w:tab w:leader="none" w:pos="15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1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14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FINANCIAL STATEMENTS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F-4</w:t>
            </w: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F-6</w:t>
            </w: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 –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65,640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177,483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Equity</w:t>
      </w:r>
    </w:p>
    <w:p>
      <w:pPr>
        <w:spacing w:after="0" w:line="54" w:lineRule="exact"/>
        <w:rPr>
          <w:sz w:val="20"/>
          <w:szCs w:val="20"/>
          <w:color w:val="auto"/>
        </w:rPr>
      </w:pPr>
    </w:p>
    <w:p>
      <w:pPr>
        <w:ind w:left="820" w:right="80" w:hanging="179"/>
        <w:spacing w:after="0" w:line="274" w:lineRule="auto"/>
        <w:rPr>
          <w:sz w:val="20"/>
          <w:szCs w:val="20"/>
          <w:color w:val="auto"/>
        </w:rPr>
      </w:pPr>
      <w:r>
        <w:rPr>
          <w:rFonts w:ascii="Arial" w:cs="Arial" w:eastAsia="Arial" w:hAnsi="Arial"/>
          <w:sz w:val="18"/>
          <w:szCs w:val="18"/>
          <w:color w:val="auto"/>
        </w:rPr>
        <w:t>Common stock, $0.0001 par value; 5,000,000 shares authorized; 4,312,500 shares issued and outstanding</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514350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Additional paid-in capital</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Total Stockholder’s Equity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hanging="1341"/>
        <w:spacing w:after="0"/>
        <w:tabs>
          <w:tab w:leader="none" w:pos="2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431</w:t>
      </w:r>
    </w:p>
    <w:p>
      <w:pPr>
        <w:spacing w:after="0" w:line="7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24,569</w:t>
      </w:r>
      <w:r>
        <w:rPr>
          <w:rFonts w:ascii="Arial" w:cs="Arial" w:eastAsia="Arial" w:hAnsi="Arial"/>
          <w:sz w:val="15"/>
          <w:szCs w:val="15"/>
          <w:color w:val="auto"/>
        </w:rPr>
        <w:t>24,569</w:t>
      </w:r>
    </w:p>
    <w:p>
      <w:pPr>
        <w:spacing w:after="0" w:line="7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(1,535)</w:t>
      </w:r>
      <w:r>
        <w:rPr>
          <w:rFonts w:ascii="Arial" w:cs="Arial" w:eastAsia="Arial" w:hAnsi="Arial"/>
          <w:sz w:val="16"/>
          <w:szCs w:val="16"/>
          <w:color w:val="auto"/>
        </w:rPr>
        <w:t>(1,450)</w:t>
      </w:r>
    </w:p>
    <w:p>
      <w:pPr>
        <w:spacing w:after="0" w:line="86" w:lineRule="exact"/>
        <w:rPr>
          <w:sz w:val="20"/>
          <w:szCs w:val="20"/>
          <w:color w:val="auto"/>
        </w:rPr>
      </w:pPr>
    </w:p>
    <w:p>
      <w:pPr>
        <w:ind w:left="500"/>
        <w:spacing w:after="0"/>
        <w:tabs>
          <w:tab w:leader="none" w:pos="1820" w:val="left"/>
        </w:tabs>
        <w:rPr>
          <w:sz w:val="20"/>
          <w:szCs w:val="20"/>
          <w:color w:val="auto"/>
        </w:rPr>
      </w:pPr>
      <w:r>
        <w:rPr>
          <w:rFonts w:ascii="Arial" w:cs="Arial" w:eastAsia="Arial" w:hAnsi="Arial"/>
          <w:sz w:val="17"/>
          <w:szCs w:val="17"/>
          <w:b w:val="1"/>
          <w:bCs w:val="1"/>
          <w:color w:val="auto"/>
        </w:rPr>
        <w:t>23,465</w:t>
      </w:r>
      <w:r>
        <w:rPr>
          <w:sz w:val="20"/>
          <w:szCs w:val="20"/>
          <w:color w:val="auto"/>
        </w:rPr>
        <w:tab/>
      </w:r>
      <w:r>
        <w:rPr>
          <w:rFonts w:ascii="Arial" w:cs="Arial" w:eastAsia="Arial" w:hAnsi="Arial"/>
          <w:sz w:val="17"/>
          <w:szCs w:val="17"/>
          <w:b w:val="1"/>
          <w:bCs w:val="1"/>
          <w:color w:val="auto"/>
        </w:rPr>
        <w:t>23,550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1482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68" w:lineRule="exact"/>
        <w:rPr>
          <w:sz w:val="20"/>
          <w:szCs w:val="20"/>
          <w:color w:val="auto"/>
        </w:rPr>
      </w:pPr>
    </w:p>
    <w:p>
      <w:pPr>
        <w:spacing w:after="0"/>
        <w:tabs>
          <w:tab w:leader="none" w:pos="380" w:val="left"/>
          <w:tab w:leader="none" w:pos="1200" w:val="left"/>
          <w:tab w:leader="none" w:pos="18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177,483</w:t>
        <w:tab/>
        <w:t>$</w:t>
      </w:r>
      <w:r>
        <w:rPr>
          <w:sz w:val="20"/>
          <w:szCs w:val="20"/>
          <w:color w:val="auto"/>
        </w:rPr>
        <w:tab/>
      </w:r>
      <w:r>
        <w:rPr>
          <w:rFonts w:ascii="Arial" w:cs="Arial" w:eastAsia="Arial" w:hAnsi="Arial"/>
          <w:sz w:val="15"/>
          <w:szCs w:val="15"/>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jc w:val="both"/>
        <w:ind w:left="880" w:right="479" w:hanging="426"/>
        <w:spacing w:after="0" w:line="278"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Nine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color w:val="auto"/>
                <w:w w:val="93"/>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60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8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760" w:type="dxa"/>
            <w:vAlign w:val="bottom"/>
            <w:gridSpan w:val="6"/>
            <w:vMerge w:val="restart"/>
          </w:tcPr>
          <w:p>
            <w:pPr>
              <w:jc w:val="right"/>
              <w:ind w:right="360"/>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17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Paid-in</w:t>
            </w:r>
          </w:p>
        </w:tc>
        <w:tc>
          <w:tcPr>
            <w:tcW w:w="10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99"/>
              </w:rPr>
              <w:t>Accumulated</w:t>
            </w:r>
          </w:p>
        </w:tc>
        <w:tc>
          <w:tcPr>
            <w:tcW w:w="10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2019 (inception)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stock to Initial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360"/>
              <w:spacing w:after="0"/>
              <w:rPr>
                <w:sz w:val="20"/>
                <w:szCs w:val="20"/>
                <w:color w:val="auto"/>
              </w:rPr>
            </w:pPr>
            <w:r>
              <w:rPr>
                <w:rFonts w:ascii="Arial" w:cs="Arial" w:eastAsia="Arial" w:hAnsi="Arial"/>
                <w:sz w:val="18"/>
                <w:szCs w:val="18"/>
                <w:color w:val="auto"/>
              </w:rPr>
              <w:t>Stockholders</w:t>
            </w:r>
            <w:r>
              <w:rPr>
                <w:rFonts w:ascii="Arial" w:cs="Arial" w:eastAsia="Arial" w:hAnsi="Arial"/>
                <w:sz w:val="20"/>
                <w:szCs w:val="20"/>
                <w:color w:val="auto"/>
                <w:vertAlign w:val="superscript"/>
              </w:rPr>
              <w:t>(1)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4,312,500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24,569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w w:val="98"/>
              </w:rPr>
              <w:t>Balance – December 31, 2019 (audited)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4,312,500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8"/>
        </w:trPr>
        <w:tc>
          <w:tcPr>
            <w:tcW w:w="32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September 30, 2020</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4,312,500</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24,569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(1,535</w:t>
            </w: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97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3"/>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1"/>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(85)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notes –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(103,825)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41,175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40,640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Cash – End of period</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65,640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paid through promissory note – related party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2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8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of September 30, 2020 (unaudited) and December 31, 2019, the Company had not commenced any operations. All activity through September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6,000,000 warrants (or 6,675,000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29"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$10.10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w:t>
      </w:r>
    </w:p>
    <w:p>
      <w:pPr>
        <w:spacing w:after="0" w:line="11" w:lineRule="exact"/>
        <w:rPr>
          <w:sz w:val="20"/>
          <w:szCs w:val="20"/>
          <w:color w:val="auto"/>
        </w:rPr>
      </w:pPr>
    </w:p>
    <w:p>
      <w:pPr>
        <w:ind w:left="460" w:right="479" w:hanging="6"/>
        <w:spacing w:after="0" w:line="260" w:lineRule="auto"/>
        <w:tabs>
          <w:tab w:leader="none" w:pos="69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consummation of a Business Combination or (ii) the distribution of the funds in the Trust Account as described below.</w:t>
      </w:r>
    </w:p>
    <w:p>
      <w:pPr>
        <w:spacing w:after="0" w:line="11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 There will be no redemption rights upon the completion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of a Business Combination with respect to the Company’s rights or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30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will have until 15 months from the closing of the Proposed Public Offering to consummate a Business Combination. However, if the Company anticipates that it may not be able to consummate a Business Combination within 15 months, the Company may extend the period of time to consummate a Business Combination one time by an additional three months (for a total of 18 months to complete a Business Combination) (the “Combination Period”). In order to extend the time available for the Company to consummate a Business Combination, the Initial Stockholders or their affiliates or designees must deposit into the Trust Account $1,500,000, or $1,725,000 if the underwriters’ over-allotment option is exercised in full ($0.10 per Public Share in either case), on or prior to the date of the applicable deadline.</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hanging="6"/>
        <w:spacing w:after="0" w:line="293" w:lineRule="auto"/>
        <w:tabs>
          <w:tab w:leader="none" w:pos="794"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Consideration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co-sponsors that are sufficient to fund the working capital needs of the Company until the earlier of the consummation of the Proposed Public Offering or one year from the issuance of these financial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(“GAAP”) and pursuant to the rules and regulations of the SEC.</w:t>
      </w:r>
    </w:p>
    <w:p>
      <w:pPr>
        <w:spacing w:after="0" w:line="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accompanying unaudited financial statements as of and for the nine months ended September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nine months ended September 30, 2020 are not necessarily indicative of the results that may be expected for the year ending December 31,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5"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provision for income taxes was deemed to be de minimis for the nine months ended September 30, 2020 and for the period from July 10, 2019 (inception) through December 31, 2019.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September 30, 2020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Public Offering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connection with the Proposed Public Offering, Ventoux Acquisition and Chardan Investments have to committed to an investment in the Private Warrants. Ventoux Acquisition has committed to purchase an aggregate of 4,000,000 Private Warrants (or 4,450,000 Private Warrants if the over-allotment option is exercised in full), and Chardan Investments has committed to purchase an aggregate of 2,000,000 Private Warrants (or 2,225,000 Private Warrants if the over-allotment option is exercised in full), at $1.00 per Private Warrant resulting in s combined aggregate purchase price of $6,000,000 (or $6,675,000 is the over-allotment option is exercised in full), in a private placement that will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Private Placement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occur simultaneously with the consummation of the Proposed Public Offering.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As of the date hereof, Ventoux Acquisition holds 2,818,875 Founder Shares, of which Ventoux Acquisition intends to distribute 67,500 shares to certain of the Company’s directors prior to the consummation of the Proposed Public Offering, resulting in Ventoux Acquisition holding a balance of 2,751,375 Founder Shares. All share and per-share amounts have been retroactively restated to reflect the share cancellations.</w:t>
      </w:r>
    </w:p>
    <w:p>
      <w:pPr>
        <w:spacing w:after="0" w:line="98"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As of September 30, 2020, there was $153,018 outstanding under the Promissory Note.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Extension Loans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As discussed in Note 1, the Company may extend the period of time to consummate a Business Combination one time, for an additional three months (for a total of 18 months to complete a Business Combination). In order to extend the time available for the Company to consummate a Business Combination, the Initial Stockholders or their affiliates or designees must deposit into the Trust Account $1,500,000, or $1,725,000 if the underwriters’ over-allotment option is exercised in full,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Arial" w:cs="Arial" w:eastAsia="Arial" w:hAnsi="Arial"/>
          <w:sz w:val="17"/>
          <w:szCs w:val="17"/>
          <w:b w:val="1"/>
          <w:bCs w:val="1"/>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and Stockholder Rights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Chardan Capital Markets, LLC and its related persons may not, with respect to the private warrants (and the shares that are issuable upon exercise of the private warrants) purchased by Chardan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underwriters will be entitled to a cash underwriting discount of $0.20 per Unit, or $3,000,000 in the aggregate (or $3,450,000 if the over-allotment option is exercised in full), payable upon the closing of the Proposed Public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 shares of common stock with a par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to 50,000,000 shares of common stock. Holders of the Company’s common stock are entitled to one vote for each share. At September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9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plans on filing an Amended and Restated Certificate of Incorporation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closing date of the Proposed Public Offering such that the Company will be authorized to issue up to 1,000,000 shares of preferred stock. As of September 30, 2020, and December 31, 2019, the Company has no authorized shares of preferred stock.</w:t>
      </w:r>
    </w:p>
    <w:p>
      <w:pPr>
        <w:spacing w:after="0" w:line="10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—The Public Warrants will become exercisable at any time commencing on the later of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may redeem the Public Warrants:</w:t>
      </w:r>
    </w:p>
    <w:p>
      <w:pPr>
        <w:spacing w:after="0" w:line="158" w:lineRule="exact"/>
        <w:rPr>
          <w:sz w:val="20"/>
          <w:szCs w:val="20"/>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57" w:lineRule="exact"/>
        <w:rPr>
          <w:rFonts w:ascii="Arial" w:cs="Arial" w:eastAsia="Arial" w:hAnsi="Arial"/>
          <w:sz w:val="18"/>
          <w:szCs w:val="18"/>
          <w:color w:val="auto"/>
        </w:rPr>
      </w:pPr>
    </w:p>
    <w:p>
      <w:pPr>
        <w:jc w:val="center"/>
        <w:ind w:left="4340" w:right="1539" w:hanging="3454"/>
        <w:spacing w:after="0" w:line="481" w:lineRule="auto"/>
        <w:tabs>
          <w:tab w:leader="none" w:pos="13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1320" w:right="479" w:hanging="434"/>
        <w:spacing w:after="0" w:line="263" w:lineRule="auto"/>
        <w:tabs>
          <w:tab w:leader="none" w:pos="13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16"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8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1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will not issue fractional shares in connection with an exchange of rights. As a result, the holders of the rights must hold rights in multiples of 20 in order to receive shares for all of the holders’ rights upon closing of a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December 1, 2020, the date that the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Ventoux CCM Acquisition Corp.</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PRELIMINARY PROSPECTUS</w:t>
      </w:r>
    </w:p>
    <w:p>
      <w:pPr>
        <w:spacing w:after="0" w:line="13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1089025</wp:posOffset>
            </wp:positionV>
            <wp:extent cx="514350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1131570</wp:posOffset>
            </wp:positionV>
            <wp:extent cx="514350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1405890</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Trustee fee</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78,305</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68" w:lineRule="auto"/>
        <w:tabs>
          <w:tab w:leader="none" w:pos="1282"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59"/>
        <w:spacing w:after="0" w:line="342" w:lineRule="auto"/>
        <w:rPr>
          <w:sz w:val="20"/>
          <w:szCs w:val="20"/>
          <w:color w:val="auto"/>
        </w:rPr>
      </w:pPr>
      <w:r>
        <w:rPr>
          <w:rFonts w:ascii="Arial" w:cs="Arial" w:eastAsia="Arial" w:hAnsi="Arial"/>
          <w:sz w:val="16"/>
          <w:szCs w:val="16"/>
          <w:color w:val="auto"/>
        </w:rPr>
        <w:t>but in view of all the circumstances of the case, such person is fairly and reasonably entitled to indemnity for such expenses which the Court of Chancery or such other court shall deem proper.</w:t>
      </w:r>
    </w:p>
    <w:p>
      <w:pPr>
        <w:spacing w:after="0" w:line="56" w:lineRule="exact"/>
        <w:rPr>
          <w:sz w:val="20"/>
          <w:szCs w:val="20"/>
          <w:color w:val="auto"/>
        </w:rPr>
      </w:pPr>
    </w:p>
    <w:p>
      <w:pPr>
        <w:jc w:val="both"/>
        <w:ind w:left="1320" w:right="459" w:hanging="434"/>
        <w:spacing w:after="0" w:line="257" w:lineRule="auto"/>
        <w:tabs>
          <w:tab w:leader="none" w:pos="13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20"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59" w:hanging="2"/>
        <w:spacing w:after="0" w:line="281" w:lineRule="auto"/>
        <w:tabs>
          <w:tab w:leader="none" w:pos="1589"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Arial" w:cs="Arial" w:eastAsia="Arial" w:hAnsi="Arial"/>
          <w:sz w:val="16"/>
          <w:szCs w:val="16"/>
          <w:color w:val="auto"/>
        </w:rPr>
      </w:pPr>
    </w:p>
    <w:p>
      <w:pPr>
        <w:jc w:val="both"/>
        <w:ind w:left="1320" w:right="479"/>
        <w:spacing w:after="0" w:line="255" w:lineRule="auto"/>
        <w:rPr>
          <w:rFonts w:ascii="Arial" w:cs="Arial" w:eastAsia="Arial" w:hAnsi="Arial"/>
          <w:sz w:val="16"/>
          <w:szCs w:val="16"/>
          <w:color w:val="auto"/>
        </w:rPr>
      </w:pPr>
      <w:r>
        <w:rPr>
          <w:rFonts w:ascii="Arial" w:cs="Arial" w:eastAsia="Arial" w:hAnsi="Arial"/>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08"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Arial" w:cs="Arial" w:eastAsia="Arial" w:hAnsi="Arial"/>
          <w:sz w:val="18"/>
          <w:szCs w:val="18"/>
          <w:color w:val="auto"/>
        </w:rPr>
      </w:pPr>
    </w:p>
    <w:p>
      <w:pPr>
        <w:jc w:val="both"/>
        <w:ind w:left="1320" w:right="459" w:hanging="434"/>
        <w:spacing w:after="0" w:line="287" w:lineRule="auto"/>
        <w:tabs>
          <w:tab w:leader="none" w:pos="137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4" w:lineRule="exact"/>
        <w:rPr>
          <w:rFonts w:ascii="Arial" w:cs="Arial" w:eastAsia="Arial" w:hAnsi="Arial"/>
          <w:sz w:val="16"/>
          <w:szCs w:val="16"/>
          <w:color w:val="auto"/>
        </w:rPr>
      </w:pPr>
    </w:p>
    <w:p>
      <w:pPr>
        <w:jc w:val="both"/>
        <w:ind w:left="1320" w:right="459" w:hanging="434"/>
        <w:spacing w:after="0" w:line="293"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3"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8" w:lineRule="exact"/>
        <w:rPr>
          <w:rFonts w:ascii="Arial" w:cs="Arial" w:eastAsia="Arial" w:hAnsi="Arial"/>
          <w:sz w:val="16"/>
          <w:szCs w:val="16"/>
          <w:color w:val="auto"/>
        </w:rPr>
      </w:pPr>
    </w:p>
    <w:p>
      <w:pPr>
        <w:jc w:val="both"/>
        <w:ind w:left="1320" w:right="459" w:hanging="434"/>
        <w:spacing w:after="0" w:line="259" w:lineRule="auto"/>
        <w:tabs>
          <w:tab w:leader="none" w:pos="13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Arial" w:cs="Arial" w:eastAsia="Arial" w:hAnsi="Arial"/>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5" w:lineRule="exact"/>
        <w:rPr>
          <w:sz w:val="20"/>
          <w:szCs w:val="20"/>
          <w:color w:val="auto"/>
        </w:rPr>
      </w:pPr>
    </w:p>
    <w:p>
      <w:pPr>
        <w:jc w:val="both"/>
        <w:ind w:left="1320" w:right="479" w:hanging="434"/>
        <w:spacing w:after="0" w:line="259" w:lineRule="auto"/>
        <w:tabs>
          <w:tab w:leader="none" w:pos="13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7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14"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8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jc w:val="both"/>
        <w:ind w:left="1320" w:right="459" w:hanging="434"/>
        <w:spacing w:after="0" w:line="267" w:lineRule="auto"/>
        <w:tabs>
          <w:tab w:leader="none" w:pos="1432"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As of the date hereof, Ventoux Acquisition Holdings LLC holds 2,818,875 shares of common stock, of which Ventoux Acquisition Holdings LLC intends to distribute 67,500 shares to certain of our directors prior to the consummation of the offering, resulting in Ventoux Acquisition Holdings LLC holding a balance of 2,751,375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in transactions not involving a public offering, the shares were issued in reliance on the exemption from registration contained in Section 4(a)(2) of the Securities Act.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88" w:lineRule="auto"/>
        <w:tabs>
          <w:tab w:leader="none" w:pos="13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Ventoux Acquisition Holdings LLC has committed to purchase from us an aggregate of 4,000,000 warrants (or 4,450,000 warrants if the over-allotment option is exercised in full), and Chardan International Investments,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existing stockholders, the sale does not involve a public offering and is being made in reliance on the exemption from registration contained in Section 4(a)(2) of the Securities Act.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ectPr>
          <w:pgSz w:w="11900" w:h="16838" w:orient="portrait"/>
          <w:cols w:equalWidth="0" w:num="1">
            <w:col w:w="9019"/>
          </w:cols>
          <w:pgMar w:left="1440" w:top="274" w:right="1440" w:bottom="848" w:gutter="0" w:footer="0" w:header="0"/>
        </w:sectPr>
      </w:pP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-139065</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Form of Business Combination Marketing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Certificate of Incorporation.</w:t>
        </w:r>
      </w:hyperlink>
    </w:p>
    <w:p>
      <w:pPr>
        <w:spacing w:after="0" w:line="77" w:lineRule="exact"/>
        <w:rPr>
          <w:sz w:val="20"/>
          <w:szCs w:val="20"/>
          <w:color w:val="auto"/>
        </w:rPr>
      </w:pPr>
    </w:p>
    <w:p>
      <w:pPr>
        <w:spacing w:after="0"/>
        <w:rPr>
          <w:rFonts w:ascii="Arial" w:cs="Arial" w:eastAsia="Arial" w:hAnsi="Arial"/>
          <w:sz w:val="17"/>
          <w:szCs w:val="17"/>
          <w:u w:val="single" w:color="auto"/>
          <w:color w:val="0000EE"/>
        </w:rPr>
      </w:pPr>
      <w:hyperlink r:id="rId183">
        <w:r>
          <w:rPr>
            <w:rFonts w:ascii="Arial" w:cs="Arial" w:eastAsia="Arial" w:hAnsi="Arial"/>
            <w:sz w:val="17"/>
            <w:szCs w:val="17"/>
            <w:u w:val="single" w:color="auto"/>
            <w:color w:val="0000EE"/>
          </w:rPr>
          <w:t>Certificate of Amendment to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47625</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68" w:lineRule="exact"/>
        <w:rPr>
          <w:sz w:val="20"/>
          <w:szCs w:val="20"/>
          <w:color w:val="auto"/>
        </w:rPr>
      </w:pPr>
    </w:p>
    <w:p>
      <w:pPr>
        <w:spacing w:after="0"/>
        <w:rPr>
          <w:rFonts w:ascii="Arial" w:cs="Arial" w:eastAsia="Arial" w:hAnsi="Arial"/>
          <w:sz w:val="17"/>
          <w:szCs w:val="17"/>
          <w:u w:val="single" w:color="auto"/>
          <w:color w:val="0000EE"/>
        </w:rPr>
      </w:pPr>
      <w:hyperlink r:id="rId185">
        <w:r>
          <w:rPr>
            <w:rFonts w:ascii="Arial" w:cs="Arial" w:eastAsia="Arial" w:hAnsi="Arial"/>
            <w:sz w:val="17"/>
            <w:szCs w:val="17"/>
            <w:u w:val="single" w:color="auto"/>
            <w:color w:val="0000EE"/>
          </w:rPr>
          <w:t>Certificate of Amendment to Certificate of Incorporation.</w:t>
        </w:r>
      </w:hyperlink>
    </w:p>
    <w:p>
      <w:pPr>
        <w:spacing w:after="0" w:line="88" w:lineRule="exact"/>
        <w:rPr>
          <w:sz w:val="20"/>
          <w:szCs w:val="20"/>
          <w:color w:val="auto"/>
        </w:rPr>
      </w:pPr>
    </w:p>
    <w:p>
      <w:pPr>
        <w:spacing w:after="0"/>
        <w:rPr>
          <w:rFonts w:ascii="Arial" w:cs="Arial" w:eastAsia="Arial" w:hAnsi="Arial"/>
          <w:sz w:val="16"/>
          <w:szCs w:val="16"/>
          <w:color w:val="0000EE"/>
        </w:rPr>
      </w:pPr>
      <w:hyperlink w:anchor="page184">
        <w:r>
          <w:rPr>
            <w:rFonts w:ascii="Arial" w:cs="Arial" w:eastAsia="Arial" w:hAnsi="Arial"/>
            <w:sz w:val="16"/>
            <w:szCs w:val="16"/>
            <w:u w:val="single" w:color="auto"/>
            <w:color w:val="0000EE"/>
          </w:rPr>
          <w:t>Form of Amended and Restated Certificate of Incorporation</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55245</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Bylaws.</w:t>
        </w:r>
      </w:hyperlink>
    </w:p>
    <w:p>
      <w:pPr>
        <w:spacing w:after="0" w:line="50" w:lineRule="exact"/>
        <w:rPr>
          <w:sz w:val="20"/>
          <w:szCs w:val="20"/>
          <w:color w:val="auto"/>
        </w:rPr>
      </w:pPr>
    </w:p>
    <w:p>
      <w:pPr>
        <w:sectPr>
          <w:pgSz w:w="11900" w:h="16838" w:orient="portrait"/>
          <w:cols w:equalWidth="0" w:num="2">
            <w:col w:w="760" w:space="360"/>
            <w:col w:w="7899"/>
          </w:cols>
          <w:pgMar w:left="1440" w:top="274" w:right="1440" w:bottom="848" w:gutter="0" w:footer="0" w:header="0"/>
          <w:type w:val="continuous"/>
        </w:sectPr>
      </w:pPr>
    </w:p>
    <w:tbl>
      <w:tblPr>
        <w:tblLayout w:type="fixed"/>
        <w:tblInd w:w="46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7440" w:type="dxa"/>
            <w:vAlign w:val="bottom"/>
            <w:gridSpan w:val="7"/>
          </w:tcPr>
          <w:p>
            <w:pPr>
              <w:spacing w:after="0"/>
              <w:rPr>
                <w:rFonts w:ascii="Arial" w:cs="Arial" w:eastAsia="Arial" w:hAnsi="Arial"/>
                <w:sz w:val="18"/>
                <w:szCs w:val="18"/>
                <w:color w:val="0000EE"/>
              </w:rPr>
            </w:pPr>
            <w:hyperlink w:anchor="page190">
              <w:r>
                <w:rPr>
                  <w:rFonts w:ascii="Arial" w:cs="Arial" w:eastAsia="Arial" w:hAnsi="Arial"/>
                  <w:sz w:val="18"/>
                  <w:szCs w:val="18"/>
                  <w:u w:val="single" w:color="auto"/>
                  <w:color w:val="0000EE"/>
                </w:rPr>
                <w:t>Specimen Unit Certificate</w:t>
              </w:r>
              <w:r>
                <w:rPr>
                  <w:rFonts w:ascii="Arial" w:cs="Arial" w:eastAsia="Arial" w:hAnsi="Arial"/>
                  <w:sz w:val="18"/>
                  <w:szCs w:val="18"/>
                  <w:color w:val="0000EE"/>
                </w:rPr>
                <w: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Specimen Common Stock Certificate.</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7440" w:type="dxa"/>
            <w:vAlign w:val="bottom"/>
            <w:gridSpan w:val="7"/>
          </w:tcPr>
          <w:p>
            <w:pPr>
              <w:spacing w:after="0"/>
              <w:rPr>
                <w:rFonts w:ascii="Arial" w:cs="Arial" w:eastAsia="Arial" w:hAnsi="Arial"/>
                <w:sz w:val="18"/>
                <w:szCs w:val="18"/>
                <w:color w:val="0000EE"/>
              </w:rPr>
            </w:pPr>
            <w:hyperlink w:anchor="page194">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74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rPr>
            </w:pPr>
            <w:hyperlink w:anchor="page198">
              <w:r>
                <w:rPr>
                  <w:rFonts w:ascii="Arial" w:cs="Arial" w:eastAsia="Arial" w:hAnsi="Arial"/>
                  <w:sz w:val="18"/>
                  <w:szCs w:val="18"/>
                  <w:color w:val="0000EE"/>
                </w:rPr>
                <w:t>Form of Warrant Agreement between Continental Stock Transfer &amp; Trust Company and the</w:t>
              </w:r>
            </w:hyperlink>
          </w:p>
        </w:tc>
      </w:tr>
      <w:tr>
        <w:trPr>
          <w:trHeight w:val="196"/>
        </w:trPr>
        <w:tc>
          <w:tcPr>
            <w:tcW w:w="660" w:type="dxa"/>
            <w:vAlign w:val="bottom"/>
            <w:shd w:val="clear" w:color="auto" w:fill="CCEEFF"/>
          </w:tcPr>
          <w:p>
            <w:pPr>
              <w:spacing w:after="0"/>
              <w:rPr>
                <w:sz w:val="17"/>
                <w:szCs w:val="17"/>
                <w:color w:val="auto"/>
              </w:rPr>
            </w:pPr>
          </w:p>
        </w:tc>
        <w:tc>
          <w:tcPr>
            <w:tcW w:w="7440" w:type="dxa"/>
            <w:vAlign w:val="bottom"/>
            <w:gridSpan w:val="7"/>
            <w:shd w:val="clear" w:color="auto" w:fill="CCEEFF"/>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Registrant.</w:t>
              </w:r>
            </w:hyperlink>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7440" w:type="dxa"/>
            <w:vAlign w:val="bottom"/>
            <w:gridSpan w:val="7"/>
          </w:tcPr>
          <w:p>
            <w:pPr>
              <w:spacing w:after="0"/>
              <w:rPr>
                <w:rFonts w:ascii="Arial" w:cs="Arial" w:eastAsia="Arial" w:hAnsi="Arial"/>
                <w:sz w:val="18"/>
                <w:szCs w:val="18"/>
                <w:color w:val="0000EE"/>
                <w:w w:val="92"/>
              </w:rPr>
            </w:pPr>
            <w:hyperlink w:anchor="page212">
              <w:r>
                <w:rPr>
                  <w:rFonts w:ascii="Arial" w:cs="Arial" w:eastAsia="Arial" w:hAnsi="Arial"/>
                  <w:sz w:val="18"/>
                  <w:szCs w:val="18"/>
                  <w:u w:val="single" w:color="auto"/>
                  <w:color w:val="0000EE"/>
                  <w:w w:val="92"/>
                </w:rPr>
                <w:t>Form of Rights Agreement between Continental Stock Transfer &amp; Trust Company and the Registrant</w:t>
              </w:r>
              <w:r>
                <w:rPr>
                  <w:rFonts w:ascii="Arial" w:cs="Arial" w:eastAsia="Arial" w:hAnsi="Arial"/>
                  <w:sz w:val="18"/>
                  <w:szCs w:val="18"/>
                  <w:color w:val="0000EE"/>
                  <w:w w:val="92"/>
                </w:rPr>
                <w: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5.1</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Form of Opinion of Loeb &amp; Loeb LLP.</w:t>
              </w:r>
            </w:hyperlink>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7440" w:type="dxa"/>
            <w:vAlign w:val="bottom"/>
            <w:gridSpan w:val="7"/>
          </w:tcPr>
          <w:p>
            <w:pPr>
              <w:spacing w:after="0" w:line="176" w:lineRule="exact"/>
              <w:rPr>
                <w:rFonts w:ascii="Arial" w:cs="Arial" w:eastAsia="Arial" w:hAnsi="Arial"/>
                <w:sz w:val="18"/>
                <w:szCs w:val="18"/>
                <w:color w:val="0000EE"/>
                <w:w w:val="93"/>
              </w:rPr>
            </w:pPr>
            <w:hyperlink w:anchor="page221">
              <w:r>
                <w:rPr>
                  <w:rFonts w:ascii="Arial" w:cs="Arial" w:eastAsia="Arial" w:hAnsi="Arial"/>
                  <w:sz w:val="18"/>
                  <w:szCs w:val="18"/>
                  <w:color w:val="0000EE"/>
                  <w:w w:val="93"/>
                </w:rPr>
                <w:t>Form of Letter Agreement among the Registrant, Chardan Capital Markets, LLC and the Company’s</w:t>
              </w:r>
            </w:hyperlink>
          </w:p>
        </w:tc>
      </w:tr>
      <w:tr>
        <w:trPr>
          <w:trHeight w:val="196"/>
        </w:trPr>
        <w:tc>
          <w:tcPr>
            <w:tcW w:w="660" w:type="dxa"/>
            <w:vAlign w:val="bottom"/>
          </w:tcPr>
          <w:p>
            <w:pPr>
              <w:spacing w:after="0"/>
              <w:rPr>
                <w:sz w:val="17"/>
                <w:szCs w:val="17"/>
                <w:color w:val="auto"/>
              </w:rPr>
            </w:pPr>
          </w:p>
        </w:tc>
        <w:tc>
          <w:tcPr>
            <w:tcW w:w="7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officers, directors and stockholders.</w:t>
              </w:r>
            </w:hyperlink>
          </w:p>
        </w:tc>
        <w:tc>
          <w:tcPr>
            <w:tcW w:w="20" w:type="dxa"/>
            <w:vAlign w:val="bottom"/>
          </w:tcPr>
          <w:p>
            <w:pPr>
              <w:spacing w:after="0"/>
              <w:rPr>
                <w:sz w:val="17"/>
                <w:szCs w:val="17"/>
                <w:color w:val="auto"/>
              </w:rPr>
            </w:pPr>
          </w:p>
        </w:tc>
      </w:tr>
      <w:tr>
        <w:trPr>
          <w:trHeight w:val="61"/>
        </w:trPr>
        <w:tc>
          <w:tcPr>
            <w:tcW w:w="6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74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7"/>
              </w:rPr>
            </w:pPr>
            <w:hyperlink w:anchor="page228">
              <w:r>
                <w:rPr>
                  <w:rFonts w:ascii="Arial" w:cs="Arial" w:eastAsia="Arial" w:hAnsi="Arial"/>
                  <w:sz w:val="18"/>
                  <w:szCs w:val="18"/>
                  <w:color w:val="0000EE"/>
                  <w:w w:val="97"/>
                </w:rPr>
                <w:t>Form of Investment Management Trust Agreement between Continental Stock Transfer &amp; Trust</w:t>
              </w:r>
            </w:hyperlink>
          </w:p>
        </w:tc>
      </w:tr>
      <w:tr>
        <w:trPr>
          <w:trHeight w:val="196"/>
        </w:trPr>
        <w:tc>
          <w:tcPr>
            <w:tcW w:w="660" w:type="dxa"/>
            <w:vAlign w:val="bottom"/>
            <w:shd w:val="clear" w:color="auto" w:fill="CCEEFF"/>
          </w:tcPr>
          <w:p>
            <w:pPr>
              <w:spacing w:after="0"/>
              <w:rPr>
                <w:sz w:val="17"/>
                <w:szCs w:val="17"/>
                <w:color w:val="auto"/>
              </w:rPr>
            </w:pPr>
          </w:p>
        </w:tc>
        <w:tc>
          <w:tcPr>
            <w:tcW w:w="7440" w:type="dxa"/>
            <w:vAlign w:val="bottom"/>
            <w:gridSpan w:val="7"/>
            <w:shd w:val="clear" w:color="auto" w:fill="CCEEFF"/>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Company and the Registrant.</w:t>
              </w:r>
            </w:hyperlink>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10.3</w:t>
            </w:r>
          </w:p>
        </w:tc>
        <w:tc>
          <w:tcPr>
            <w:tcW w:w="7440" w:type="dxa"/>
            <w:vAlign w:val="bottom"/>
            <w:gridSpan w:val="7"/>
          </w:tcPr>
          <w:p>
            <w:pPr>
              <w:spacing w:after="0" w:line="201" w:lineRule="exact"/>
              <w:rPr>
                <w:sz w:val="20"/>
                <w:szCs w:val="20"/>
                <w:color w:val="auto"/>
              </w:rPr>
            </w:pPr>
            <w:r>
              <w:rPr>
                <w:rFonts w:ascii="Arial" w:cs="Arial" w:eastAsia="Arial" w:hAnsi="Arial"/>
                <w:sz w:val="18"/>
                <w:szCs w:val="18"/>
                <w:color w:val="auto"/>
                <w:w w:val="91"/>
              </w:rPr>
              <w:t>Form of Escrow Agreement between the Registrant, Continental Stock Transfer &amp; Trust Company and</w:t>
            </w:r>
          </w:p>
        </w:tc>
      </w:tr>
      <w:tr>
        <w:trPr>
          <w:trHeight w:val="230"/>
        </w:trPr>
        <w:tc>
          <w:tcPr>
            <w:tcW w:w="6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Arial" w:cs="Arial" w:eastAsia="Arial" w:hAnsi="Arial"/>
                <w:sz w:val="18"/>
                <w:szCs w:val="18"/>
                <w:color w:val="auto"/>
              </w:rPr>
              <w:t>the Initial Stockholders.</w:t>
            </w:r>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74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250">
              <w:r>
                <w:rPr>
                  <w:rFonts w:ascii="Arial" w:cs="Arial" w:eastAsia="Arial" w:hAnsi="Arial"/>
                  <w:sz w:val="18"/>
                  <w:szCs w:val="18"/>
                  <w:color w:val="0000EE"/>
                  <w:w w:val="91"/>
                </w:rPr>
                <w:t>Form of Registration Rights Agreement among the Registrant, the Initial Stockholders and Continental</w:t>
              </w:r>
            </w:hyperlink>
          </w:p>
        </w:tc>
      </w:tr>
      <w:tr>
        <w:trPr>
          <w:trHeight w:val="196"/>
        </w:trPr>
        <w:tc>
          <w:tcPr>
            <w:tcW w:w="660" w:type="dxa"/>
            <w:vAlign w:val="bottom"/>
            <w:shd w:val="clear" w:color="auto" w:fill="CCEEFF"/>
          </w:tcPr>
          <w:p>
            <w:pPr>
              <w:spacing w:after="0"/>
              <w:rPr>
                <w:sz w:val="17"/>
                <w:szCs w:val="17"/>
                <w:color w:val="auto"/>
              </w:rPr>
            </w:pPr>
          </w:p>
        </w:tc>
        <w:tc>
          <w:tcPr>
            <w:tcW w:w="7440" w:type="dxa"/>
            <w:vAlign w:val="bottom"/>
            <w:gridSpan w:val="7"/>
            <w:shd w:val="clear" w:color="auto" w:fill="CCEEFF"/>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Stock Transfer &amp; Trust Company.</w:t>
              </w:r>
            </w:hyperlink>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7440" w:type="dxa"/>
            <w:vAlign w:val="bottom"/>
            <w:tcBorders>
              <w:bottom w:val="single" w:sz="8" w:color="0000EE"/>
            </w:tcBorders>
            <w:gridSpan w:val="7"/>
          </w:tcPr>
          <w:p>
            <w:pPr>
              <w:spacing w:after="0" w:line="176" w:lineRule="exact"/>
              <w:rPr>
                <w:rFonts w:ascii="Arial" w:cs="Arial" w:eastAsia="Arial" w:hAnsi="Arial"/>
                <w:sz w:val="18"/>
                <w:szCs w:val="18"/>
                <w:color w:val="0000EE"/>
                <w:w w:val="93"/>
              </w:rPr>
            </w:pPr>
            <w:hyperlink w:anchor="page268">
              <w:r>
                <w:rPr>
                  <w:rFonts w:ascii="Arial" w:cs="Arial" w:eastAsia="Arial" w:hAnsi="Arial"/>
                  <w:sz w:val="18"/>
                  <w:szCs w:val="18"/>
                  <w:color w:val="0000EE"/>
                  <w:w w:val="93"/>
                </w:rPr>
                <w:t>Form of Subscription Agreement among the Registrant, the Initial Stockholders and Chardan Capital</w:t>
              </w:r>
            </w:hyperlink>
          </w:p>
        </w:tc>
      </w:tr>
      <w:tr>
        <w:trPr>
          <w:trHeight w:val="196"/>
        </w:trPr>
        <w:tc>
          <w:tcPr>
            <w:tcW w:w="660" w:type="dxa"/>
            <w:vAlign w:val="bottom"/>
          </w:tcPr>
          <w:p>
            <w:pPr>
              <w:spacing w:after="0"/>
              <w:rPr>
                <w:sz w:val="17"/>
                <w:szCs w:val="17"/>
                <w:color w:val="auto"/>
              </w:rPr>
            </w:pPr>
          </w:p>
        </w:tc>
        <w:tc>
          <w:tcPr>
            <w:tcW w:w="7440" w:type="dxa"/>
            <w:vAlign w:val="bottom"/>
            <w:gridSpan w:val="7"/>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Markets, LLC.</w:t>
              </w:r>
            </w:hyperlink>
          </w:p>
        </w:tc>
      </w:tr>
      <w:tr>
        <w:trPr>
          <w:trHeight w:val="61"/>
        </w:trPr>
        <w:tc>
          <w:tcPr>
            <w:tcW w:w="6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10.6</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72">
              <w:r>
                <w:rPr>
                  <w:rFonts w:ascii="Arial" w:cs="Arial" w:eastAsia="Arial" w:hAnsi="Arial"/>
                  <w:sz w:val="18"/>
                  <w:szCs w:val="18"/>
                  <w:u w:val="single" w:color="auto"/>
                  <w:color w:val="0000EE"/>
                </w:rPr>
                <w:t>Form of Indemnity Agreement.</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7440" w:type="dxa"/>
            <w:vAlign w:val="bottom"/>
            <w:gridSpan w:val="7"/>
          </w:tcPr>
          <w:p>
            <w:pPr>
              <w:spacing w:after="0"/>
              <w:rPr>
                <w:rFonts w:ascii="Arial" w:cs="Arial" w:eastAsia="Arial" w:hAnsi="Arial"/>
                <w:sz w:val="18"/>
                <w:szCs w:val="18"/>
                <w:u w:val="single" w:color="auto"/>
                <w:color w:val="0000EE"/>
              </w:rPr>
            </w:pPr>
            <w:hyperlink w:anchor="page290">
              <w:r>
                <w:rPr>
                  <w:rFonts w:ascii="Arial" w:cs="Arial" w:eastAsia="Arial" w:hAnsi="Arial"/>
                  <w:sz w:val="18"/>
                  <w:szCs w:val="18"/>
                  <w:u w:val="single" w:color="auto"/>
                  <w:color w:val="0000EE"/>
                </w:rPr>
                <w:t>Form of Administrative Services Agreement.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14.1</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91">
              <w:r>
                <w:rPr>
                  <w:rFonts w:ascii="Arial" w:cs="Arial" w:eastAsia="Arial" w:hAnsi="Arial"/>
                  <w:sz w:val="18"/>
                  <w:szCs w:val="18"/>
                  <w:u w:val="single" w:color="auto"/>
                  <w:color w:val="0000EE"/>
                </w:rPr>
                <w:t>Form of Code of Ethics.</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7440" w:type="dxa"/>
            <w:vAlign w:val="bottom"/>
            <w:gridSpan w:val="7"/>
          </w:tcPr>
          <w:p>
            <w:pPr>
              <w:spacing w:after="0"/>
              <w:rPr>
                <w:sz w:val="20"/>
                <w:szCs w:val="20"/>
                <w:color w:val="auto"/>
              </w:rPr>
            </w:pPr>
            <w:r>
              <w:rPr>
                <w:rFonts w:ascii="Arial" w:cs="Arial" w:eastAsia="Arial" w:hAnsi="Arial"/>
                <w:sz w:val="18"/>
                <w:szCs w:val="18"/>
                <w:color w:val="auto"/>
              </w:rPr>
              <w:t>Consent of WithumSmith+Brown, P.C.</w:t>
            </w:r>
          </w:p>
        </w:tc>
      </w:tr>
      <w:tr>
        <w:trPr>
          <w:trHeight w:val="41"/>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23.2</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Consent of Loeb &amp; Loeb LLP (included in Exhibit 5.1).</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7440" w:type="dxa"/>
            <w:vAlign w:val="bottom"/>
            <w:gridSpan w:val="7"/>
          </w:tcPr>
          <w:p>
            <w:pPr>
              <w:spacing w:after="0"/>
              <w:rPr>
                <w:rFonts w:ascii="Arial" w:cs="Arial" w:eastAsia="Arial" w:hAnsi="Arial"/>
                <w:sz w:val="18"/>
                <w:szCs w:val="18"/>
                <w:u w:val="single" w:color="auto"/>
                <w:color w:val="0000EE"/>
              </w:rPr>
            </w:pPr>
            <w:hyperlink w:anchor="page297">
              <w:r>
                <w:rPr>
                  <w:rFonts w:ascii="Arial" w:cs="Arial" w:eastAsia="Arial" w:hAnsi="Arial"/>
                  <w:sz w:val="18"/>
                  <w:szCs w:val="18"/>
                  <w:u w:val="single" w:color="auto"/>
                  <w:color w:val="0000EE"/>
                </w:rPr>
                <w:t>Form of Nominating and Corporate Governance Committee Charter.</w:t>
              </w:r>
            </w:hyperlink>
          </w:p>
        </w:tc>
      </w:tr>
      <w:tr>
        <w:trPr>
          <w:trHeight w:val="41"/>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99.2</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color w:val="0000EE"/>
              </w:rPr>
            </w:pPr>
            <w:hyperlink w:anchor="page300">
              <w:r>
                <w:rPr>
                  <w:rFonts w:ascii="Arial" w:cs="Arial" w:eastAsia="Arial" w:hAnsi="Arial"/>
                  <w:sz w:val="18"/>
                  <w:szCs w:val="18"/>
                  <w:u w:val="single" w:color="auto"/>
                  <w:color w:val="0000EE"/>
                </w:rPr>
                <w:t>Form of Audit Committee Charter</w:t>
              </w:r>
              <w:r>
                <w:rPr>
                  <w:rFonts w:ascii="Arial" w:cs="Arial" w:eastAsia="Arial" w:hAnsi="Arial"/>
                  <w:sz w:val="18"/>
                  <w:szCs w:val="18"/>
                  <w:color w:val="0000EE"/>
                </w:rPr>
                <w:t>.</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7440" w:type="dxa"/>
            <w:vAlign w:val="bottom"/>
            <w:gridSpan w:val="7"/>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Form of Compensation Committee Charter.</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99.4*</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Consent of Alex Weil.</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99.5*</w:t>
            </w:r>
          </w:p>
        </w:tc>
        <w:tc>
          <w:tcPr>
            <w:tcW w:w="7440" w:type="dxa"/>
            <w:vAlign w:val="bottom"/>
            <w:gridSpan w:val="7"/>
          </w:tcPr>
          <w:p>
            <w:pPr>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Consent of Woodrow H. Levin.</w:t>
              </w:r>
            </w:hyperlink>
          </w:p>
        </w:tc>
      </w:tr>
      <w:tr>
        <w:trPr>
          <w:trHeight w:val="41"/>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99.6*</w:t>
            </w:r>
          </w:p>
        </w:tc>
        <w:tc>
          <w:tcPr>
            <w:tcW w:w="74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Consent of Julie Atkinson.</w:t>
              </w:r>
            </w:hyperlink>
          </w:p>
        </w:tc>
      </w:tr>
      <w:tr>
        <w:trPr>
          <w:trHeight w:val="243"/>
        </w:trPr>
        <w:tc>
          <w:tcPr>
            <w:tcW w:w="660" w:type="dxa"/>
            <w:vAlign w:val="bottom"/>
          </w:tcPr>
          <w:p>
            <w:pPr>
              <w:spacing w:after="0"/>
              <w:rPr>
                <w:sz w:val="20"/>
                <w:szCs w:val="20"/>
                <w:color w:val="auto"/>
              </w:rPr>
            </w:pPr>
            <w:r>
              <w:rPr>
                <w:rFonts w:ascii="Arial" w:cs="Arial" w:eastAsia="Arial" w:hAnsi="Arial"/>
                <w:sz w:val="18"/>
                <w:szCs w:val="18"/>
                <w:color w:val="auto"/>
              </w:rPr>
              <w:t>99.7*</w:t>
            </w:r>
          </w:p>
        </w:tc>
        <w:tc>
          <w:tcPr>
            <w:tcW w:w="7440" w:type="dxa"/>
            <w:vAlign w:val="bottom"/>
            <w:gridSpan w:val="7"/>
          </w:tcPr>
          <w:p>
            <w:pPr>
              <w:spacing w:after="0"/>
              <w:rPr>
                <w:rFonts w:ascii="Arial" w:cs="Arial" w:eastAsia="Arial" w:hAnsi="Arial"/>
                <w:sz w:val="18"/>
                <w:szCs w:val="18"/>
                <w:color w:val="0000EE"/>
              </w:rPr>
            </w:pPr>
            <w:hyperlink r:id="rId191">
              <w:r>
                <w:rPr>
                  <w:rFonts w:ascii="Arial" w:cs="Arial" w:eastAsia="Arial" w:hAnsi="Arial"/>
                  <w:sz w:val="18"/>
                  <w:szCs w:val="18"/>
                  <w:u w:val="single" w:color="auto"/>
                  <w:color w:val="0000EE"/>
                </w:rPr>
                <w:t>Consent of Christian Ahrens</w:t>
              </w:r>
              <w:r>
                <w:rPr>
                  <w:rFonts w:ascii="Arial" w:cs="Arial" w:eastAsia="Arial" w:hAnsi="Arial"/>
                  <w:sz w:val="18"/>
                  <w:szCs w:val="18"/>
                  <w:color w:val="0000EE"/>
                </w:rPr>
                <w:t>.</w:t>
              </w:r>
            </w:hyperlink>
          </w:p>
        </w:tc>
      </w:tr>
      <w:tr>
        <w:trPr>
          <w:trHeight w:val="40"/>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99.8</w:t>
            </w:r>
          </w:p>
        </w:tc>
        <w:tc>
          <w:tcPr>
            <w:tcW w:w="7440" w:type="dxa"/>
            <w:vAlign w:val="bottom"/>
            <w:gridSpan w:val="7"/>
            <w:shd w:val="clear" w:color="auto" w:fill="CCEEFF"/>
          </w:tcPr>
          <w:p>
            <w:pPr>
              <w:spacing w:after="0"/>
              <w:rPr>
                <w:rFonts w:ascii="Arial" w:cs="Arial" w:eastAsia="Arial" w:hAnsi="Arial"/>
                <w:sz w:val="18"/>
                <w:szCs w:val="18"/>
                <w:u w:val="single" w:color="auto"/>
                <w:color w:val="0000EE"/>
              </w:rPr>
            </w:pPr>
            <w:hyperlink w:anchor="page308">
              <w:r>
                <w:rPr>
                  <w:rFonts w:ascii="Arial" w:cs="Arial" w:eastAsia="Arial" w:hAnsi="Arial"/>
                  <w:sz w:val="18"/>
                  <w:szCs w:val="18"/>
                  <w:u w:val="single" w:color="auto"/>
                  <w:color w:val="0000EE"/>
                </w:rPr>
                <w:t>Consent of Bernard Van der Lande.</w:t>
              </w:r>
            </w:hyperlink>
          </w:p>
        </w:tc>
      </w:tr>
      <w:tr>
        <w:trPr>
          <w:trHeight w:val="41"/>
        </w:trPr>
        <w:tc>
          <w:tcPr>
            <w:tcW w:w="6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Previously filed.</w:t>
      </w:r>
    </w:p>
    <w:p>
      <w:pPr>
        <w:sectPr>
          <w:pgSz w:w="11900" w:h="16838" w:orient="portrait"/>
          <w:cols w:equalWidth="0" w:num="1">
            <w:col w:w="9019"/>
          </w:cols>
          <w:pgMar w:left="1440" w:top="274" w:right="1440" w:bottom="848"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48"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jc w:val="both"/>
        <w:ind w:left="1320" w:right="479" w:hanging="434"/>
        <w:spacing w:after="0" w:line="286" w:lineRule="auto"/>
        <w:tabs>
          <w:tab w:leader="none" w:pos="132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97" w:lineRule="exact"/>
        <w:rPr>
          <w:rFonts w:ascii="Arial" w:cs="Arial" w:eastAsia="Arial" w:hAnsi="Arial"/>
          <w:sz w:val="17"/>
          <w:szCs w:val="17"/>
          <w:color w:val="auto"/>
        </w:rPr>
      </w:pPr>
    </w:p>
    <w:p>
      <w:pPr>
        <w:jc w:val="both"/>
        <w:ind w:left="1320" w:right="459" w:hanging="434"/>
        <w:spacing w:after="0" w:line="269" w:lineRule="auto"/>
        <w:tabs>
          <w:tab w:leader="none" w:pos="1281"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jc w:val="both"/>
        <w:ind w:left="1760" w:right="459" w:hanging="442"/>
        <w:spacing w:after="0" w:line="269" w:lineRule="auto"/>
        <w:tabs>
          <w:tab w:leader="none" w:pos="1758"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1" w:lineRule="exact"/>
        <w:rPr>
          <w:rFonts w:ascii="Arial" w:cs="Arial" w:eastAsia="Arial" w:hAnsi="Arial"/>
          <w:sz w:val="17"/>
          <w:szCs w:val="17"/>
          <w:color w:val="auto"/>
        </w:rPr>
      </w:pPr>
    </w:p>
    <w:p>
      <w:pPr>
        <w:jc w:val="both"/>
        <w:ind w:left="1760" w:right="459" w:hanging="442"/>
        <w:spacing w:after="0" w:line="272" w:lineRule="auto"/>
        <w:tabs>
          <w:tab w:leader="none" w:pos="1734"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Arial" w:cs="Arial" w:eastAsia="Arial" w:hAnsi="Arial"/>
          <w:sz w:val="17"/>
          <w:szCs w:val="17"/>
          <w:color w:val="auto"/>
        </w:rPr>
      </w:pPr>
    </w:p>
    <w:p>
      <w:pPr>
        <w:ind w:left="2180" w:right="479" w:hanging="430"/>
        <w:spacing w:after="0" w:line="277" w:lineRule="auto"/>
        <w:tabs>
          <w:tab w:leader="none" w:pos="2209"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459" w:hanging="430"/>
        <w:spacing w:after="0" w:line="277" w:lineRule="auto"/>
        <w:tabs>
          <w:tab w:leader="none" w:pos="224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02" w:lineRule="exact"/>
        <w:rPr>
          <w:rFonts w:ascii="Arial" w:cs="Arial" w:eastAsia="Arial" w:hAnsi="Arial"/>
          <w:sz w:val="18"/>
          <w:szCs w:val="18"/>
          <w:color w:val="auto"/>
        </w:rPr>
      </w:pPr>
    </w:p>
    <w:p>
      <w:pPr>
        <w:jc w:val="both"/>
        <w:ind w:left="2180" w:right="479" w:hanging="430"/>
        <w:spacing w:after="0" w:line="263" w:lineRule="auto"/>
        <w:tabs>
          <w:tab w:leader="none" w:pos="2241"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29"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280" w:hanging="394"/>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788" w:val="left"/>
        </w:tabs>
        <w:numPr>
          <w:ilvl w:val="1"/>
          <w:numId w:val="8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8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on the 14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December, 2020.</w:t>
      </w:r>
    </w:p>
    <w:p>
      <w:pPr>
        <w:spacing w:after="0" w:line="11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189"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48895</wp:posOffset>
            </wp:positionV>
            <wp:extent cx="22720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70"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Arial" w:cs="Arial" w:eastAsia="Arial" w:hAnsi="Arial"/>
                <w:sz w:val="16"/>
                <w:szCs w:val="16"/>
                <w:b w:val="1"/>
                <w:bCs w:val="1"/>
                <w:color w:val="auto"/>
              </w:rPr>
              <w:t>Position</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0"/>
                <w:szCs w:val="20"/>
                <w:color w:val="auto"/>
              </w:rPr>
            </w:pPr>
            <w:r>
              <w:rPr>
                <w:rFonts w:ascii="Arial" w:cs="Arial" w:eastAsia="Arial" w:hAnsi="Arial"/>
                <w:sz w:val="18"/>
                <w:szCs w:val="18"/>
                <w:color w:val="auto"/>
              </w:rPr>
              <w:t>/s/ Edward Scheetz</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Chairman, Chief Executive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14,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120" w:type="dxa"/>
            <w:vAlign w:val="bottom"/>
          </w:tcPr>
          <w:p>
            <w:pPr>
              <w:spacing w:after="0"/>
              <w:rPr>
                <w:sz w:val="20"/>
                <w:szCs w:val="20"/>
                <w:color w:val="auto"/>
              </w:rPr>
            </w:pPr>
            <w:r>
              <w:rPr>
                <w:rFonts w:ascii="Arial" w:cs="Arial" w:eastAsia="Arial" w:hAnsi="Arial"/>
                <w:sz w:val="18"/>
                <w:szCs w:val="18"/>
                <w:color w:val="auto"/>
              </w:rPr>
              <w:t>/s/ Matthew MacDonald</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14,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line="182" w:lineRule="exact"/>
              <w:rPr>
                <w:sz w:val="20"/>
                <w:szCs w:val="20"/>
                <w:color w:val="auto"/>
              </w:rPr>
            </w:pPr>
            <w:r>
              <w:rPr>
                <w:rFonts w:ascii="Arial" w:cs="Arial" w:eastAsia="Arial" w:hAnsi="Arial"/>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0"/>
                <w:szCs w:val="20"/>
                <w:color w:val="auto"/>
              </w:rPr>
            </w:pPr>
            <w:r>
              <w:rPr>
                <w:rFonts w:ascii="Arial" w:cs="Arial" w:eastAsia="Arial" w:hAnsi="Arial"/>
                <w:sz w:val="18"/>
                <w:szCs w:val="18"/>
                <w:color w:val="auto"/>
              </w:rPr>
              <w:t>/s/ Jonas Grossman</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14,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Ventoux CCM Acquisition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660" w:right="8620" w:hanging="652"/>
        <w:spacing w:after="0" w:line="603" w:lineRule="auto"/>
        <w:tabs>
          <w:tab w:leader="none" w:pos="192" w:val="left"/>
        </w:tabs>
        <w:numPr>
          <w:ilvl w:val="0"/>
          <w:numId w:val="83"/>
        </w:numPr>
        <w:rPr>
          <w:rFonts w:ascii="Arial" w:cs="Arial" w:eastAsia="Arial" w:hAnsi="Arial"/>
          <w:sz w:val="15"/>
          <w:szCs w:val="15"/>
          <w:color w:val="auto"/>
        </w:rPr>
      </w:pPr>
      <w:r>
        <w:rPr>
          <w:rFonts w:ascii="Arial" w:cs="Arial" w:eastAsia="Arial" w:hAnsi="Arial"/>
          <w:sz w:val="15"/>
          <w:szCs w:val="15"/>
          <w:b w:val="1"/>
          <w:bCs w:val="1"/>
          <w:color w:val="auto"/>
        </w:rPr>
        <w:t>Purchase and Sale of Securities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1.1 </w:t>
      </w:r>
      <w:r>
        <w:rPr>
          <w:rFonts w:ascii="Arial" w:cs="Arial" w:eastAsia="Arial" w:hAnsi="Arial"/>
          <w:sz w:val="15"/>
          <w:szCs w:val="15"/>
          <w:u w:val="single" w:color="auto"/>
          <w:color w:val="auto"/>
        </w:rPr>
        <w:t>Firm Securities</w:t>
      </w:r>
      <w:r>
        <w:rPr>
          <w:rFonts w:ascii="Arial" w:cs="Arial" w:eastAsia="Arial" w:hAnsi="Arial"/>
          <w:sz w:val="15"/>
          <w:szCs w:val="15"/>
          <w:color w:val="auto"/>
        </w:rPr>
        <w:t>.</w:t>
      </w:r>
    </w:p>
    <w:p>
      <w:pPr>
        <w:spacing w:after="0" w:line="1"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Purchase of Firm Units</w:t>
      </w:r>
      <w:r>
        <w:rPr>
          <w:rFonts w:ascii="Arial" w:cs="Arial" w:eastAsia="Arial" w:hAnsi="Arial"/>
          <w:sz w:val="16"/>
          <w:szCs w:val="16"/>
          <w:color w:val="auto"/>
        </w:rPr>
        <w:t>. On the basis of the representations and warranties herein contained, but subject to the terms and conditions set forth herein, the Company agrees to issue and sell, severally and not jointly, to the several Underwriters, an aggregate of 15,000,000 units (the “</w:t>
      </w:r>
      <w:r>
        <w:rPr>
          <w:rFonts w:ascii="Arial" w:cs="Arial" w:eastAsia="Arial" w:hAnsi="Arial"/>
          <w:sz w:val="16"/>
          <w:szCs w:val="16"/>
          <w:b w:val="1"/>
          <w:bCs w:val="1"/>
          <w:color w:val="auto"/>
        </w:rPr>
        <w:t>Firm</w:t>
      </w:r>
      <w:r>
        <w:rPr>
          <w:rFonts w:ascii="Arial" w:cs="Arial" w:eastAsia="Arial" w:hAnsi="Arial"/>
          <w:sz w:val="16"/>
          <w:szCs w:val="16"/>
          <w:color w:val="auto"/>
        </w:rPr>
        <w:t xml:space="preserve"> </w:t>
      </w:r>
      <w:r>
        <w:rPr>
          <w:rFonts w:ascii="Arial" w:cs="Arial" w:eastAsia="Arial" w:hAnsi="Arial"/>
          <w:sz w:val="16"/>
          <w:szCs w:val="16"/>
          <w:b w:val="1"/>
          <w:bCs w:val="1"/>
          <w:color w:val="auto"/>
        </w:rPr>
        <w:t>Units</w:t>
      </w:r>
      <w:r>
        <w:rPr>
          <w:rFonts w:ascii="Arial" w:cs="Arial" w:eastAsia="Arial" w:hAnsi="Arial"/>
          <w:sz w:val="16"/>
          <w:szCs w:val="16"/>
          <w:color w:val="auto"/>
        </w:rPr>
        <w:t>”) of the Company at a purchase price (net of discounts and commissions) of $9.80 per Firm Unit. The Underwriters, severally and not jointly, agree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$9.80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Warrant entitling the holder thereof to purchase one-half (1/2) of one share of Common Stock and one (1) right (the “</w:t>
      </w:r>
      <w:r>
        <w:rPr>
          <w:rFonts w:ascii="Arial" w:cs="Arial" w:eastAsia="Arial" w:hAnsi="Arial"/>
          <w:sz w:val="16"/>
          <w:szCs w:val="16"/>
          <w:b w:val="1"/>
          <w:bCs w:val="1"/>
          <w:color w:val="auto"/>
        </w:rPr>
        <w:t>Right(s)</w:t>
      </w:r>
      <w:r>
        <w:rPr>
          <w:rFonts w:ascii="Arial" w:cs="Arial" w:eastAsia="Arial" w:hAnsi="Arial"/>
          <w:sz w:val="16"/>
          <w:szCs w:val="16"/>
          <w:color w:val="auto"/>
        </w:rPr>
        <w:t>”) to receive one-twentieth of one share of Common Stock upon the consummation of a Business Combination (as defined below). The shares of Common Stock, the Rights and the Warrants included in the Firm Units will not be separately</w:t>
      </w:r>
    </w:p>
    <w:p>
      <w:pPr>
        <w:spacing w:after="0" w:line="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Warrant entitles the holder to purchase one-half (1/2) of one share of Common Stock at a price of $11.50 per full share during the period commencing on the later of (a) the closing of a Business Combination (as defined below), or (b) twelve (12) months from the date of the Prospectus (as defined below), and terminating on the fifth (5th) anniversary of the Effective Date. Each holder of a Right will receive one-twentieth (1/20) of a share of Common Stock upon consummation of the initial Business Combination As used herein, the term “</w:t>
      </w:r>
      <w:r>
        <w:rPr>
          <w:rFonts w:ascii="Arial" w:cs="Arial" w:eastAsia="Arial" w:hAnsi="Arial"/>
          <w:sz w:val="16"/>
          <w:szCs w:val="16"/>
          <w:b w:val="1"/>
          <w:bCs w:val="1"/>
          <w:color w:val="auto"/>
        </w:rPr>
        <w:t>Business Combination</w:t>
      </w:r>
      <w:r>
        <w:rPr>
          <w:rFonts w:ascii="Arial" w:cs="Arial" w:eastAsia="Arial" w:hAnsi="Arial"/>
          <w:sz w:val="16"/>
          <w:szCs w:val="16"/>
          <w:color w:val="auto"/>
        </w:rPr>
        <w:t>” shall mean any acquisition by share exchange, share reconstruction and amalgamation with, purchasing all or substantially all of the assets of, entering into contractual arrangements with, or engaging in any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$16.50 per share for any twenty (20) trading days within a thirty (30) trading day period ending on the third (3rd) Business Day prior to the day on which notice is given. As used herein, the term “</w:t>
      </w:r>
      <w:r>
        <w:rPr>
          <w:rFonts w:ascii="Arial" w:cs="Arial" w:eastAsia="Arial" w:hAnsi="Arial"/>
          <w:sz w:val="16"/>
          <w:szCs w:val="16"/>
          <w:b w:val="1"/>
          <w:bCs w:val="1"/>
          <w:color w:val="auto"/>
        </w:rPr>
        <w:t>Business D</w:t>
      </w:r>
      <w:r>
        <w:rPr>
          <w:rFonts w:ascii="Arial" w:cs="Arial" w:eastAsia="Arial" w:hAnsi="Arial"/>
          <w:sz w:val="16"/>
          <w:szCs w:val="16"/>
          <w:color w:val="auto"/>
        </w:rPr>
        <w:t>ay” shall mean any day other than a Saturday, Sunday or any day on which national banks in New York, New York are not open for business.</w:t>
      </w:r>
    </w:p>
    <w:p>
      <w:pPr>
        <w:spacing w:after="0" w:line="17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Payment and Delivery</w:t>
      </w:r>
      <w:r>
        <w:rPr>
          <w:rFonts w:ascii="Arial" w:cs="Arial" w:eastAsia="Arial" w:hAnsi="Arial"/>
          <w:sz w:val="16"/>
          <w:szCs w:val="16"/>
          <w:color w:val="auto"/>
        </w:rPr>
        <w:t>. Delivery and payment for the Firm Units shall be made at 10:00 A.M., New York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 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Payment for the Firm Units shall be made on the Closing Date at the Representative’s election by wire transfer in Federal (same day) funds or by certified or bank cashier’s check(s) in New York Clearing House funds. $151,500,000 ($174,225,000 if the Over-allotment Option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is exercised in full), or $10.10 per Unit, of the proceeds received by the Company for the Firm Units and from the Private Placement (as defined in </w:t>
      </w:r>
      <w:r>
        <w:rPr>
          <w:rFonts w:ascii="Arial" w:cs="Arial" w:eastAsia="Arial" w:hAnsi="Arial"/>
          <w:sz w:val="16"/>
          <w:szCs w:val="16"/>
          <w:u w:val="single" w:color="auto"/>
          <w:color w:val="auto"/>
        </w:rPr>
        <w:t>Section 1.4</w:t>
      </w:r>
      <w:r>
        <w:rPr>
          <w:rFonts w:ascii="Arial" w:cs="Arial" w:eastAsia="Arial" w:hAnsi="Arial"/>
          <w:sz w:val="16"/>
          <w:szCs w:val="16"/>
          <w:color w:val="auto"/>
        </w:rPr>
        <w:t>) shall be deposited in the trust account established by the Company for the benefit of the public shareholders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 Agreement</w:t>
      </w:r>
      <w:r>
        <w:rPr>
          <w:rFonts w:ascii="Arial" w:cs="Arial" w:eastAsia="Arial" w:hAnsi="Arial"/>
          <w:sz w:val="16"/>
          <w:szCs w:val="16"/>
          <w:color w:val="auto"/>
        </w:rPr>
        <w:t>”) by and between the Company and Continental Stock Transfer &amp; Trust Company. The proceeds (less commissions, expense allowance and 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i w:val="1"/>
          <w:iCs w:val="1"/>
          <w:color w:val="auto"/>
        </w:rPr>
        <w:t>Option Units</w:t>
      </w:r>
      <w:r>
        <w:rPr>
          <w:rFonts w:ascii="Arial" w:cs="Arial" w:eastAsia="Arial" w:hAnsi="Arial"/>
          <w:sz w:val="17"/>
          <w:szCs w:val="17"/>
          <w:color w:val="auto"/>
        </w:rPr>
        <w:t>. For the purpose of covering any over-allotments in connection with the distribution and sale of the Firm Units, the Underwriters are hereby granted, severally and not jointly, an option to purchase up to an additional 2,250,000 units from the Company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Such additional 2,250,000 units shall be identical in all respects to the Firm Units and are hereinafter referred to as “</w:t>
      </w:r>
      <w:r>
        <w:rPr>
          <w:rFonts w:ascii="Arial" w:cs="Arial" w:eastAsia="Arial" w:hAnsi="Arial"/>
          <w:sz w:val="17"/>
          <w:szCs w:val="17"/>
          <w:b w:val="1"/>
          <w:bCs w:val="1"/>
          <w:color w:val="auto"/>
        </w:rPr>
        <w:t>Option Units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Firm Units and the Option Units are hereinafter collectively referred to as the “</w:t>
      </w:r>
      <w:r>
        <w:rPr>
          <w:rFonts w:ascii="Arial" w:cs="Arial" w:eastAsia="Arial" w:hAnsi="Arial"/>
          <w:sz w:val="17"/>
          <w:szCs w:val="17"/>
          <w:b w:val="1"/>
          <w:bCs w:val="1"/>
          <w:color w:val="auto"/>
        </w:rPr>
        <w:t>Units</w:t>
      </w:r>
      <w:r>
        <w:rPr>
          <w:rFonts w:ascii="Arial" w:cs="Arial" w:eastAsia="Arial" w:hAnsi="Arial"/>
          <w:sz w:val="17"/>
          <w:szCs w:val="17"/>
          <w:color w:val="auto"/>
        </w:rPr>
        <w:t>,” and the Units, the shares of Common Stock, the Rights and Warrants included in the Units and the shares of Common Stock issuable upon exercise of such Rights and Warrants are hereinafter referred to collectively as the “</w:t>
      </w:r>
      <w:r>
        <w:rPr>
          <w:rFonts w:ascii="Arial" w:cs="Arial" w:eastAsia="Arial" w:hAnsi="Arial"/>
          <w:sz w:val="17"/>
          <w:szCs w:val="17"/>
          <w:b w:val="1"/>
          <w:bCs w:val="1"/>
          <w:color w:val="auto"/>
        </w:rPr>
        <w:t>Public Securities</w:t>
      </w:r>
      <w:r>
        <w:rPr>
          <w:rFonts w:ascii="Arial" w:cs="Arial" w:eastAsia="Arial" w:hAnsi="Arial"/>
          <w:sz w:val="17"/>
          <w:szCs w:val="17"/>
          <w:color w:val="auto"/>
        </w:rPr>
        <w:t>.” The purchase price to be paid for the Option Units (net of discounts and commissions) will be $9.80 per Option Unit. The Option Units are to be offered initially to the public at the offering price of $10.00 per Option Unit.</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$9.80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Private Placement</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Placement Warrants</w:t>
      </w:r>
      <w:r>
        <w:rPr>
          <w:rFonts w:ascii="Arial" w:cs="Arial" w:eastAsia="Arial" w:hAnsi="Arial"/>
          <w:sz w:val="16"/>
          <w:szCs w:val="16"/>
          <w:color w:val="auto"/>
        </w:rPr>
        <w:t>. Simultaneously with the Closing, Ventoux Acquisition Holdings LLC (“</w:t>
      </w:r>
      <w:r>
        <w:rPr>
          <w:rFonts w:ascii="Arial" w:cs="Arial" w:eastAsia="Arial" w:hAnsi="Arial"/>
          <w:sz w:val="16"/>
          <w:szCs w:val="16"/>
          <w:b w:val="1"/>
          <w:bCs w:val="1"/>
          <w:color w:val="auto"/>
        </w:rPr>
        <w:t>VAH</w:t>
      </w:r>
      <w:r>
        <w:rPr>
          <w:rFonts w:ascii="Arial" w:cs="Arial" w:eastAsia="Arial" w:hAnsi="Arial"/>
          <w:sz w:val="16"/>
          <w:szCs w:val="16"/>
          <w:color w:val="auto"/>
        </w:rPr>
        <w:t>”) and Chardan International Investments, LLC (“</w:t>
      </w:r>
      <w:r>
        <w:rPr>
          <w:rFonts w:ascii="Arial" w:cs="Arial" w:eastAsia="Arial" w:hAnsi="Arial"/>
          <w:sz w:val="16"/>
          <w:szCs w:val="16"/>
          <w:b w:val="1"/>
          <w:bCs w:val="1"/>
          <w:color w:val="auto"/>
        </w:rPr>
        <w:t>CII</w:t>
      </w:r>
      <w:r>
        <w:rPr>
          <w:rFonts w:ascii="Arial" w:cs="Arial" w:eastAsia="Arial" w:hAnsi="Arial"/>
          <w:sz w:val="16"/>
          <w:szCs w:val="16"/>
          <w:color w:val="auto"/>
        </w:rPr>
        <w:t xml:space="preserve">”) shall purchase from the Company, pursuant to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an aggregate of 6,000,000 warrants (the “</w:t>
      </w:r>
      <w:r>
        <w:rPr>
          <w:rFonts w:ascii="Arial" w:cs="Arial" w:eastAsia="Arial" w:hAnsi="Arial"/>
          <w:sz w:val="16"/>
          <w:szCs w:val="16"/>
          <w:b w:val="1"/>
          <w:bCs w:val="1"/>
          <w:color w:val="auto"/>
        </w:rPr>
        <w:t>Placement Warrants</w:t>
      </w:r>
      <w:r>
        <w:rPr>
          <w:rFonts w:ascii="Arial" w:cs="Arial" w:eastAsia="Arial" w:hAnsi="Arial"/>
          <w:sz w:val="16"/>
          <w:szCs w:val="16"/>
          <w:color w:val="auto"/>
        </w:rPr>
        <w:t>”) at a purchase price of $1.00 per Placement Warrant in a private placement (the “</w:t>
      </w:r>
      <w:r>
        <w:rPr>
          <w:rFonts w:ascii="Arial" w:cs="Arial" w:eastAsia="Arial" w:hAnsi="Arial"/>
          <w:sz w:val="16"/>
          <w:szCs w:val="16"/>
          <w:b w:val="1"/>
          <w:bCs w:val="1"/>
          <w:color w:val="auto"/>
        </w:rPr>
        <w:t>Private Placement</w:t>
      </w:r>
      <w:r>
        <w:rPr>
          <w:rFonts w:ascii="Arial" w:cs="Arial" w:eastAsia="Arial" w:hAnsi="Arial"/>
          <w:sz w:val="16"/>
          <w:szCs w:val="16"/>
          <w:color w:val="auto"/>
        </w:rPr>
        <w:t>”), of which 4,00,000 Placement Warrants will be purchased by VAH and 2,000,000 Placement Warrants will be purchased by CII. The Placement Warrants and the shares of Common Stock underlying the Placement Warrants are hereinafter referred to collectively as the “</w:t>
      </w:r>
      <w:r>
        <w:rPr>
          <w:rFonts w:ascii="Arial" w:cs="Arial" w:eastAsia="Arial" w:hAnsi="Arial"/>
          <w:sz w:val="16"/>
          <w:szCs w:val="16"/>
          <w:b w:val="1"/>
          <w:bCs w:val="1"/>
          <w:color w:val="auto"/>
        </w:rPr>
        <w:t>Placement Securities</w:t>
      </w:r>
      <w:r>
        <w:rPr>
          <w:rFonts w:ascii="Arial" w:cs="Arial" w:eastAsia="Arial" w:hAnsi="Arial"/>
          <w:sz w:val="16"/>
          <w:szCs w:val="16"/>
          <w:color w:val="auto"/>
        </w:rPr>
        <w:t xml:space="preserve">.” Each Placement Warrant shall be identical to the Warrants sold in the Offering except that the Placement Warrants shall be non-redeemable by the Company and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There will be no placement agent in the Private Placement and no party shall be entitled to a placement fee or expense allowance from the sale of the Placement Securities. Pursuant to Rule 5110(g)(1) of FINRA’s (as defined below) Rules, the Placement Warrants purchased by CII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CII,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jc w:val="both"/>
        <w:ind w:firstLine="1296"/>
        <w:spacing w:after="0" w:line="28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Additional Placement Warrants</w:t>
      </w:r>
      <w:r>
        <w:rPr>
          <w:rFonts w:ascii="Arial" w:cs="Arial" w:eastAsia="Arial" w:hAnsi="Arial"/>
          <w:sz w:val="16"/>
          <w:szCs w:val="16"/>
          <w:color w:val="auto"/>
        </w:rPr>
        <w:t xml:space="preserve">. Simultaneously with the Option Closing, VAH and CII shall purchase from the Company pursuant to the Subscription Agreements an additional number of warrants (up to a maximum of 675,000 warrants in the aggregate),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the percentage of the Over-allotment Option exercised by the Representative, so that at least $10.10 per Unit sold to the public in the Offering is held in trust regardless of whether the over-allotment option is exercised in full or part (the “</w:t>
      </w:r>
      <w:r>
        <w:rPr>
          <w:rFonts w:ascii="Arial" w:cs="Arial" w:eastAsia="Arial" w:hAnsi="Arial"/>
          <w:sz w:val="16"/>
          <w:szCs w:val="16"/>
          <w:b w:val="1"/>
          <w:bCs w:val="1"/>
          <w:color w:val="auto"/>
        </w:rPr>
        <w:t>Additional Placement Warrants</w:t>
      </w:r>
      <w:r>
        <w:rPr>
          <w:rFonts w:ascii="Arial" w:cs="Arial" w:eastAsia="Arial" w:hAnsi="Arial"/>
          <w:sz w:val="16"/>
          <w:szCs w:val="16"/>
          <w:color w:val="auto"/>
        </w:rPr>
        <w:t>”), at a purchase price of $1.00 per Additional Placement Warrant in a private placement (the “</w:t>
      </w:r>
      <w:r>
        <w:rPr>
          <w:rFonts w:ascii="Arial" w:cs="Arial" w:eastAsia="Arial" w:hAnsi="Arial"/>
          <w:sz w:val="16"/>
          <w:szCs w:val="16"/>
          <w:b w:val="1"/>
          <w:bCs w:val="1"/>
          <w:color w:val="auto"/>
        </w:rPr>
        <w:t>Additional Private Placement</w:t>
      </w:r>
      <w:r>
        <w:rPr>
          <w:rFonts w:ascii="Arial" w:cs="Arial" w:eastAsia="Arial" w:hAnsi="Arial"/>
          <w:sz w:val="16"/>
          <w:szCs w:val="16"/>
          <w:color w:val="auto"/>
        </w:rPr>
        <w:t>”). The Additional Placement Warrants and the shares of Common Stock issuable upon exercise of the Additional Placement Warrants are hereinafter referred to collectively as the “</w:t>
      </w:r>
      <w:r>
        <w:rPr>
          <w:rFonts w:ascii="Arial" w:cs="Arial" w:eastAsia="Arial" w:hAnsi="Arial"/>
          <w:sz w:val="16"/>
          <w:szCs w:val="16"/>
          <w:b w:val="1"/>
          <w:bCs w:val="1"/>
          <w:color w:val="auto"/>
        </w:rPr>
        <w:t>Additional Placement Securities</w:t>
      </w:r>
      <w:r>
        <w:rPr>
          <w:rFonts w:ascii="Arial" w:cs="Arial" w:eastAsia="Arial" w:hAnsi="Arial"/>
          <w:sz w:val="16"/>
          <w:szCs w:val="16"/>
          <w:color w:val="auto"/>
        </w:rPr>
        <w:t>,” and the Public Securities, the Placement Securities and the Additional Placemenet Securities are hereinafter referred to collectively as the “</w:t>
      </w:r>
      <w:r>
        <w:rPr>
          <w:rFonts w:ascii="Arial" w:cs="Arial" w:eastAsia="Arial" w:hAnsi="Arial"/>
          <w:sz w:val="16"/>
          <w:szCs w:val="16"/>
          <w:b w:val="1"/>
          <w:bCs w:val="1"/>
          <w:color w:val="auto"/>
        </w:rPr>
        <w:t>Securities</w:t>
      </w:r>
      <w:r>
        <w:rPr>
          <w:rFonts w:ascii="Arial" w:cs="Arial" w:eastAsia="Arial" w:hAnsi="Arial"/>
          <w:sz w:val="16"/>
          <w:szCs w:val="16"/>
          <w:color w:val="auto"/>
        </w:rPr>
        <w:t>.” Each Additional Placement Warrant shall be identical to the Warrants sold in the Offering except that the Additional Placement Warrants shall be non-redeemable by the Company and may be exercised for cash or on a cashless basis, as described in the Prospectus, in each case so long as the Additional Placement Warrants continue to be held by the initial purchasers of the Additional Placement Warrants or their permitted transferees (as described in the Subscription Agreement and the Warrant Agreement). There will be no placement agent in the Additional Private Placement and no party shall be entitled to a placement fee or expense allowance from the sale of the Additional Placement Securities. Pursuant to Rule 5110(g)(1) of FINRA’s Rules, the Additional Private Warrants purchased by CII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Additional Private Warrants (and the shares that are issuable upon exercise of the private warrants) purchased by CII, (i) have more than one demand registration right at the Company’s expense, (ii) exercise their demand registration rights more than five (5) years from the effective date of the Registration Statement, and</w:t>
      </w:r>
    </w:p>
    <w:p>
      <w:pPr>
        <w:spacing w:after="0" w:line="11" w:lineRule="exact"/>
        <w:rPr>
          <w:sz w:val="20"/>
          <w:szCs w:val="20"/>
          <w:color w:val="auto"/>
        </w:rPr>
      </w:pPr>
    </w:p>
    <w:p>
      <w:pPr>
        <w:ind w:firstLine="8"/>
        <w:spacing w:after="0" w:line="260" w:lineRule="auto"/>
        <w:tabs>
          <w:tab w:leader="none" w:pos="3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exercise their “piggy-back” registration rights more than seven (7) years from the effective date of the Registration Statement, as long as Chardan Capital Markets, LLC or any of its related persons are beneficial owners of Additional Private Warrants.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B. Riley Securities, Inc. (“</w:t>
      </w:r>
      <w:r>
        <w:rPr>
          <w:rFonts w:ascii="Arial" w:cs="Arial" w:eastAsia="Arial" w:hAnsi="Arial"/>
          <w:sz w:val="18"/>
          <w:szCs w:val="18"/>
          <w:b w:val="1"/>
          <w:bCs w:val="1"/>
          <w:color w:val="auto"/>
        </w:rPr>
        <w:t>B. Riley</w:t>
      </w:r>
      <w:r>
        <w:rPr>
          <w:rFonts w:ascii="Arial" w:cs="Arial" w:eastAsia="Arial" w:hAnsi="Arial"/>
          <w:sz w:val="18"/>
          <w:szCs w:val="18"/>
          <w:color w:val="auto"/>
        </w:rPr>
        <w:t>”) as, and B. Riley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B. Riley,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(the “</w:t>
      </w:r>
      <w:r>
        <w:rPr>
          <w:rFonts w:ascii="Arial" w:cs="Arial" w:eastAsia="Arial" w:hAnsi="Arial"/>
          <w:sz w:val="18"/>
          <w:szCs w:val="18"/>
          <w:b w:val="1"/>
          <w:bCs w:val="1"/>
          <w:color w:val="auto"/>
        </w:rPr>
        <w:t>QIU Fee</w:t>
      </w:r>
      <w:r>
        <w:rPr>
          <w:rFonts w:ascii="Arial" w:cs="Arial" w:eastAsia="Arial" w:hAnsi="Arial"/>
          <w:sz w:val="18"/>
          <w:szCs w:val="18"/>
          <w:color w:val="auto"/>
        </w:rPr>
        <w:t>”). B. Riley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p>
      <w:pPr>
        <w:ind w:left="660" w:right="1220" w:hanging="652"/>
        <w:spacing w:after="0" w:line="500" w:lineRule="auto"/>
        <w:tabs>
          <w:tab w:leader="none" w:pos="192"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of the Company</w:t>
      </w:r>
      <w:r>
        <w:rPr>
          <w:rFonts w:ascii="Arial" w:cs="Arial" w:eastAsia="Arial" w:hAnsi="Arial"/>
          <w:sz w:val="18"/>
          <w:szCs w:val="18"/>
          <w:color w:val="auto"/>
        </w:rPr>
        <w:t>. The Company represents and warrants to the Underwriters and the QIU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2.1 </w:t>
      </w:r>
      <w:r>
        <w:rPr>
          <w:rFonts w:ascii="Arial" w:cs="Arial" w:eastAsia="Arial" w:hAnsi="Arial"/>
          <w:sz w:val="18"/>
          <w:szCs w:val="18"/>
          <w:u w:val="single" w:color="auto"/>
          <w:color w:val="auto"/>
        </w:rPr>
        <w:t>Filing of Registration Statement</w:t>
      </w:r>
      <w:r>
        <w:rPr>
          <w:rFonts w:ascii="Arial" w:cs="Arial" w:eastAsia="Arial" w:hAnsi="Arial"/>
          <w:sz w:val="18"/>
          <w:szCs w:val="18"/>
          <w:color w:val="auto"/>
        </w:rPr>
        <w:t>.</w:t>
      </w:r>
    </w:p>
    <w:p>
      <w:pPr>
        <w:spacing w:after="0" w:line="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333-251048),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5:00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39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Pursuant to the Exchange Act</w:t>
      </w:r>
      <w:r>
        <w:rPr>
          <w:rFonts w:ascii="Arial" w:cs="Arial" w:eastAsia="Arial" w:hAnsi="Arial"/>
          <w:sz w:val="18"/>
          <w:szCs w:val="18"/>
          <w:color w:val="auto"/>
        </w:rPr>
        <w:t>. The Company has filed with the Commission a Form 8-A (Registration No. 001- [●]), providing 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the Rights and the Warrants. The registration of the Units, Common Stock, the Rights and Warrants under the Exchange Act will be declared effective by the Commission on or prior to the Effective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the “Underwriting” section of the Prospectus and (ii) the “Underwriting—Regulatory Restrictions on Purchase of Securities” section of the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Financial Statements; Statistical Data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Valid Issuance of Securities, Etc</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i w:val="1"/>
          <w:iCs w:val="1"/>
          <w:color w:val="auto"/>
        </w:rPr>
        <w:t>Outstanding Securities</w:t>
      </w:r>
      <w:r>
        <w:rPr>
          <w:rFonts w:ascii="Arial" w:cs="Arial" w:eastAsia="Arial" w:hAnsi="Arial"/>
          <w:sz w:val="17"/>
          <w:szCs w:val="17"/>
          <w:color w:val="auto"/>
        </w:rPr>
        <w:t>. All issued and outstanding securities of the Company (including, without limitation, the Placement Securities and the Additional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and the Additional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i w:val="1"/>
          <w:iCs w:val="1"/>
          <w:color w:val="auto"/>
        </w:rPr>
        <w:t>Placement Securities</w:t>
      </w:r>
      <w:r>
        <w:rPr>
          <w:rFonts w:ascii="Arial" w:cs="Arial" w:eastAsia="Arial" w:hAnsi="Arial"/>
          <w:sz w:val="17"/>
          <w:szCs w:val="17"/>
          <w:color w:val="auto"/>
        </w:rPr>
        <w:t>. The Placement Securities and the Additional Placement Securities have been duly authorized and reserved for issuance and when issued and paid for, will be validly issued, fully paid and non-assessable; the Placement Securities and the Additional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and the Additional Placement Securities have been duly and validly taken. When issued, the Placement Warrants and the Additional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and Additional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and the Additional Placement Warrants have been reserved for issuance upon the exercise of the Placement Warrants and the Additional Placement Warrants and, when issued in accordance with the terms of the Placement Warrants and the Additional Placement Warrants, will be duly and validly authorized, validly issued, fully paid and non-assessable, and the holders thereof are not and will not be subject to personal liability by reason of being such holders.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4" w:name="page145"/>
    <w:bookmarkEnd w:id="144"/>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Rights Agreement (as defined in Section 2.23),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w:t>
      </w:r>
    </w:p>
    <w:p>
      <w:pPr>
        <w:spacing w:after="0" w:line="2" w:lineRule="exact"/>
        <w:rPr>
          <w:sz w:val="20"/>
          <w:szCs w:val="20"/>
          <w:color w:val="auto"/>
        </w:rPr>
      </w:pPr>
    </w:p>
    <w:p>
      <w:pPr>
        <w:jc w:val="both"/>
        <w:ind w:firstLine="8"/>
        <w:spacing w:after="0" w:line="253"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Rights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2.13.1 </w:t>
      </w:r>
      <w:r>
        <w:rPr>
          <w:rFonts w:ascii="Arial" w:cs="Arial" w:eastAsia="Arial" w:hAnsi="Arial"/>
          <w:sz w:val="18"/>
          <w:szCs w:val="18"/>
          <w:i w:val="1"/>
          <w:iCs w:val="1"/>
          <w:color w:val="auto"/>
        </w:rPr>
        <w:t>Conduct of Business</w:t>
      </w:r>
      <w:r>
        <w:rPr>
          <w:rFonts w:ascii="Arial" w:cs="Arial" w:eastAsia="Arial" w:hAnsi="Arial"/>
          <w:sz w:val="18"/>
          <w:szCs w:val="18"/>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To the Company’s knowledge,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shareholders immediately prior to the Offering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6" w:name="page147"/>
    <w:bookmarkEnd w:id="146"/>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Transactions Affecting Disclosure to FINRA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7" w:name="page148"/>
    <w:bookmarkEnd w:id="147"/>
    <w:p>
      <w:pPr>
        <w:ind w:left="1300"/>
        <w:spacing w:after="0"/>
        <w:rPr>
          <w:sz w:val="20"/>
          <w:szCs w:val="20"/>
          <w:color w:val="auto"/>
        </w:rPr>
      </w:pPr>
      <w:r>
        <w:rPr>
          <w:rFonts w:ascii="Arial" w:cs="Arial" w:eastAsia="Arial" w:hAnsi="Arial"/>
          <w:sz w:val="18"/>
          <w:szCs w:val="18"/>
          <w:color w:val="auto"/>
        </w:rPr>
        <w:t>2.18.5 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or Additional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8" w:name="page149"/>
    <w:bookmarkEnd w:id="148"/>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has entered into a warrant agreement with respect to the Warrants, the Representative’s Warrants, the Placement Warrants and the Additional Placement Warrants with Continental Stock Transfer &amp; Trust Company, substantially in the form filed as an exhibit to the Registration Statement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Rights Agreement</w:t>
      </w:r>
      <w:r>
        <w:rPr>
          <w:rFonts w:ascii="Arial" w:cs="Arial" w:eastAsia="Arial" w:hAnsi="Arial"/>
          <w:sz w:val="18"/>
          <w:szCs w:val="18"/>
          <w:color w:val="auto"/>
        </w:rPr>
        <w:t>. The Company has entered into a rights agreement with respect to the Rights with Continental Stock Transfer &amp; Trust Company, substantially in the form filed as an exhibit to the Registration Statement (the “</w:t>
      </w:r>
      <w:r>
        <w:rPr>
          <w:rFonts w:ascii="Arial" w:cs="Arial" w:eastAsia="Arial" w:hAnsi="Arial"/>
          <w:sz w:val="18"/>
          <w:szCs w:val="18"/>
          <w:b w:val="1"/>
          <w:bCs w:val="1"/>
          <w:color w:val="auto"/>
        </w:rPr>
        <w:t>Rights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Agreements with Officers, Directors and Initial Shareholders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2.24.2 </w:t>
      </w:r>
      <w:r>
        <w:rPr>
          <w:rFonts w:ascii="Arial" w:cs="Arial" w:eastAsia="Arial" w:hAnsi="Arial"/>
          <w:sz w:val="18"/>
          <w:szCs w:val="18"/>
          <w:i w:val="1"/>
          <w:iCs w:val="1"/>
          <w:color w:val="auto"/>
        </w:rPr>
        <w:t>Subscription Agreements</w:t>
      </w:r>
      <w:r>
        <w:rPr>
          <w:rFonts w:ascii="Arial" w:cs="Arial" w:eastAsia="Arial" w:hAnsi="Arial"/>
          <w:sz w:val="18"/>
          <w:szCs w:val="18"/>
          <w:color w:val="auto"/>
        </w:rPr>
        <w:t>. Each of VAH and CII has executed and delivered an agreement, the form of which is attached as an exhibit to the Registration Statement (the “</w:t>
      </w:r>
      <w:r>
        <w:rPr>
          <w:rFonts w:ascii="Arial" w:cs="Arial" w:eastAsia="Arial" w:hAnsi="Arial"/>
          <w:sz w:val="18"/>
          <w:szCs w:val="18"/>
          <w:b w:val="1"/>
          <w:bCs w:val="1"/>
          <w:color w:val="auto"/>
        </w:rPr>
        <w:t>Subscription Agreements</w:t>
      </w:r>
      <w:r>
        <w:rPr>
          <w:rFonts w:ascii="Arial" w:cs="Arial" w:eastAsia="Arial" w:hAnsi="Arial"/>
          <w:sz w:val="18"/>
          <w:szCs w:val="18"/>
          <w:color w:val="auto"/>
        </w:rPr>
        <w:t>”), pursuant to which VAH and CII, among other things, will purchase an aggregate of 6,000,000 Placement Warrants (or 6,675,000 Placement Warrants if the overallotment is exercised in full) in the Private Placement. Pursuant to the Subscription Agreements, all of the proceeds from the sale of the Placement Warrants will be deposited by the Company in the Trust Account in accordance with the terms of the Trust Agreement prior to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9" w:name="page150"/>
    <w:bookmarkEnd w:id="149"/>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0" w:name="page151"/>
    <w:bookmarkEnd w:id="150"/>
    <w:p>
      <w:pPr>
        <w:jc w:val="both"/>
        <w:ind w:firstLine="648"/>
        <w:spacing w:after="0" w:line="311"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No Influence</w:t>
      </w:r>
      <w:r>
        <w:rPr>
          <w:rFonts w:ascii="Arial" w:cs="Arial" w:eastAsia="Arial" w:hAnsi="Arial"/>
          <w:sz w:val="16"/>
          <w:szCs w:val="16"/>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The Business Combination Marketing Agreement</w:t>
      </w:r>
      <w:r>
        <w:rPr>
          <w:rFonts w:ascii="Arial" w:cs="Arial" w:eastAsia="Arial" w:hAnsi="Arial"/>
          <w:sz w:val="16"/>
          <w:szCs w:val="16"/>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6"/>
          <w:szCs w:val="16"/>
          <w:b w:val="1"/>
          <w:bCs w:val="1"/>
          <w:color w:val="auto"/>
        </w:rPr>
        <w:t>Business Combination Marketing Agreement</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1" w:name="page152"/>
    <w:bookmarkEnd w:id="151"/>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Rights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2" w:name="page153"/>
    <w:bookmarkEnd w:id="152"/>
    <w:p>
      <w:pPr>
        <w:jc w:val="both"/>
        <w:ind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xml:space="preserve">. The Company will use all reasonable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Review of Financial Statements</w:t>
      </w:r>
      <w:r>
        <w:rPr>
          <w:rFonts w:ascii="Arial" w:cs="Arial" w:eastAsia="Arial" w:hAnsi="Arial"/>
          <w:sz w:val="16"/>
          <w:szCs w:val="16"/>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regulated by FINRA or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Except as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3" w:name="page154"/>
    <w:bookmarkEnd w:id="153"/>
    <w:p>
      <w:pPr>
        <w:jc w:val="both"/>
        <w:ind w:firstLine="648"/>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Financial Public Relations Firm</w:t>
      </w:r>
      <w:r>
        <w:rPr>
          <w:rFonts w:ascii="Arial" w:cs="Arial" w:eastAsia="Arial" w:hAnsi="Arial"/>
          <w:sz w:val="16"/>
          <w:szCs w:val="16"/>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Reports to the Representative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rights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Disqualification of Form S-1</w:t>
      </w:r>
      <w:r>
        <w:rPr>
          <w:rFonts w:ascii="Arial" w:cs="Arial" w:eastAsia="Arial" w:hAnsi="Arial"/>
          <w:sz w:val="16"/>
          <w:szCs w:val="16"/>
          <w:color w:val="auto"/>
        </w:rPr>
        <w:t>. For a period equal to seven (7) years from the date hereof, the Company will not take any action or actions which may prevent or disqualify the Company’s use of Form S-1 (or other appropriate form) for the registration of the Warrants or Rights under the Act.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i w:val="1"/>
          <w:iCs w:val="1"/>
          <w:color w:val="auto"/>
        </w:rPr>
        <w:t>General Expenses Related to the Offering</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Rights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expenses of counsel to the Underwriters; (viii) fees and disbursements of the registrar and transfer and rights and warrant agent; (ix) the Company’s expenses associated with “due diligence” meetings arranged by the Representative (none of which will be received or paid on behalf of an “underwriter and related person” as such term is defined in Rule 5110 of FINRA’s Rules); (x) all costs and expenses associated with “road show” marketing and “due diligence” trips for the Company’s management to meet with prospective investors, including without limitation, all travel, food and lodging expenses associated with such trips; (xi) all fees, expenses and disbursements relating to background checks of the Company’s directors, director nominees and executive officers; (xii) the preparation of leather bound volumes and lucite cube mementos in such quantities as the Underwriter may reasonably request and (xiii)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3.10.1</w:t>
      </w:r>
      <w:r>
        <w:rPr>
          <w:rFonts w:ascii="Arial" w:cs="Arial" w:eastAsia="Arial" w:hAnsi="Arial"/>
          <w:sz w:val="16"/>
          <w:szCs w:val="16"/>
          <w:color w:val="auto"/>
        </w:rPr>
        <w:t xml:space="preserve"> that the Underwriters have notified the Company about on or prior to the Closing Date. The Representative may deduct from the net proceeds of the Offering payable to the Company on the Closing Date, or the Option Closing Date, if any, the fees and expenses set forth above to be paid by the Company to the Representative and others, as agreed to by the Company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fees and expenses deducted from the net proceeds of the Offering payable to the Company shall not exceed $[●] in the aggregate. If the Offering is not consummated for any reason whatsoever, except as a result of the Representative’s or any Underwriter’s breach or default with respect to any of its obligations described in this Agreement, then the Company shall reimburse the Representative for its out-of-pocket accountable expenses actually incurred by the Representative, including, without limitation, its legal fees (less any amounts previously paid), up to an aggregate amount of $[●]. It is acknowledged that the Company already paid $[●] to the Representative, which shall be credited against the aggregate amount of $[●]. To the extent that the Representative’s out-of-pocket expenses are less than this advance, the Representative shall refund the excess to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ind w:left="1300"/>
        <w:spacing w:after="0"/>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i w:val="1"/>
          <w:iCs w:val="1"/>
          <w:color w:val="auto"/>
        </w:rPr>
        <w:t>Fee on Termination of Offering</w:t>
      </w:r>
      <w:r>
        <w:rPr>
          <w:rFonts w:ascii="Arial" w:cs="Arial" w:eastAsia="Arial" w:hAnsi="Arial"/>
          <w:sz w:val="16"/>
          <w:szCs w:val="16"/>
          <w:color w:val="auto"/>
        </w:rPr>
        <w:t>. Notwithstanding anything contained herein to the contrary, upon termination of the Offering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shall: (A) reimburse the Representative for, or otherwise pay and bear, the expenses and fees to be paid and borne by the Company as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 </w:t>
      </w:r>
      <w:r>
        <w:rPr>
          <w:rFonts w:ascii="Arial" w:cs="Arial" w:eastAsia="Arial" w:hAnsi="Arial"/>
          <w:sz w:val="16"/>
          <w:szCs w:val="16"/>
          <w:u w:val="single" w:color="auto"/>
          <w:color w:val="auto"/>
        </w:rPr>
        <w:t>Section 3.10.1</w:t>
      </w:r>
      <w:r>
        <w:rPr>
          <w:rFonts w:ascii="Arial" w:cs="Arial" w:eastAsia="Arial" w:hAnsi="Arial"/>
          <w:sz w:val="16"/>
          <w:szCs w:val="16"/>
          <w:color w:val="auto"/>
        </w:rPr>
        <w:t xml:space="preserve"> above, as applicable, and (B) reimburse the Representative for the full amount of its accountable out-of-pocket expenses actually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to such date (which shall include, but shall not be limited to, all fees and disbursements of the Representative’s counsel, travel, lodging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“road show” expenses, mailing, printing and reproduction expenses, and any expenses incurred by the Representative in conducting its due diligence,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background checks of the Company’s officers and directors), up to an aggregate amount of $[150,000], less the amounts previously paid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previously paid to the Representative in reimbursement for such expenses. If applicable, and solely in the event of a termination of this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shall refund to the Company any portion of any advance payment previously received by the Representative which is in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accountable out-of-pocket expenses actually incurred to such date by the Representative.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6" w:name="page157"/>
    <w:bookmarkEnd w:id="156"/>
    <w:p>
      <w:pPr>
        <w:jc w:val="both"/>
        <w:ind w:firstLine="648"/>
        <w:spacing w:after="0" w:line="275"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Form 8-K</w:t>
      </w:r>
      <w:r>
        <w:rPr>
          <w:rFonts w:ascii="Arial" w:cs="Arial" w:eastAsia="Arial" w:hAnsi="Arial"/>
          <w:sz w:val="18"/>
          <w:szCs w:val="18"/>
          <w:color w:val="auto"/>
        </w:rPr>
        <w:t>. The Company shall, on the date hereof, retain its independent public accountants to audit the financial statements of the Company as of the Closing Date (the “</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reflecting the receipt by the Company of the proceeds of the Offering and the Private Placement, as well as the proceeds from the exercise of the Over-Allotment if such exercise has occurred on the date of the Prospectus. Within four (4) Business Days of the Closing Date, the Company will file a Current Report on Form 8-K with the Commission, which Report shall contain the Audited Financial Statements.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shareholder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7" w:name="page158"/>
    <w:bookmarkEnd w:id="157"/>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Company will reserve and keep available that maximum number of its authorized but unissued securities which are issuable upon exercise of the Rights, the Warrants, the Placement Warrants and the Additional Placement Warrants outstanding from time to time.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No Amendment to Charter</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8" w:name="page159"/>
    <w:bookmarkEnd w:id="158"/>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61" w:lineRule="auto"/>
        <w:tabs>
          <w:tab w:leader="none" w:pos="193"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Conditions of Underwriters’ Obligations</w:t>
      </w:r>
      <w:r>
        <w:rPr>
          <w:rFonts w:ascii="Arial" w:cs="Arial" w:eastAsia="Arial" w:hAnsi="Arial"/>
          <w:sz w:val="18"/>
          <w:szCs w:val="18"/>
          <w:color w:val="auto"/>
        </w:rPr>
        <w:t>. The obligations of the QIU and the several Underwriters to purchase and pay for the Units,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9" w:name="page160"/>
    <w:bookmarkEnd w:id="159"/>
    <w:p>
      <w:pPr>
        <w:ind w:left="1300"/>
        <w:spacing w:after="0"/>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i w:val="1"/>
          <w:iCs w:val="1"/>
          <w:color w:val="auto"/>
        </w:rPr>
        <w:t>The Nasdaq Capital Market</w:t>
      </w:r>
      <w:r>
        <w:rPr>
          <w:rFonts w:ascii="Arial" w:cs="Arial" w:eastAsia="Arial" w:hAnsi="Arial"/>
          <w:sz w:val="17"/>
          <w:szCs w:val="17"/>
          <w:color w:val="auto"/>
        </w:rPr>
        <w:t>. By the Effective Date, the Securities shall have been approved for trading on the Nasdaq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Company Counsel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Loeb &amp; Loeb LLP (“</w:t>
      </w:r>
      <w:r>
        <w:rPr>
          <w:rFonts w:ascii="Arial" w:cs="Arial" w:eastAsia="Arial" w:hAnsi="Arial"/>
          <w:sz w:val="16"/>
          <w:szCs w:val="16"/>
          <w:b w:val="1"/>
          <w:bCs w:val="1"/>
          <w:color w:val="auto"/>
        </w:rPr>
        <w:t>Loeb</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i w:val="1"/>
          <w:iCs w:val="1"/>
          <w:color w:val="auto"/>
        </w:rPr>
        <w:t>Option Closing Date Opinion of Counsel</w:t>
      </w:r>
      <w:r>
        <w:rPr>
          <w:rFonts w:ascii="Arial" w:cs="Arial" w:eastAsia="Arial" w:hAnsi="Arial"/>
          <w:sz w:val="17"/>
          <w:szCs w:val="17"/>
          <w:color w:val="auto"/>
        </w:rPr>
        <w:t>. On each Option Closing Date, if any, the Representative shall have received the favorable opinion of Loeb, dated each Option Closing Date, addressed to the Representative and in form and substance reasonably satisfactory to counsel to the Representative, confirming as of each Option Closing Date, the statements made by Loeb in its opinion delivered on the Closing Date.</w:t>
      </w:r>
    </w:p>
    <w:p>
      <w:pPr>
        <w:spacing w:after="0" w:line="16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0" w:name="page161"/>
    <w:bookmarkEnd w:id="160"/>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88"/>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shareholders’ equity of the Company as compared with amounts shown in the September 30,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September 30,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July 10, 2019 (inception) to September 30, 2020 included in the Registration Statement and the Prospectus, or, if there was any such decrease, setting forth the amount of such decrease;</w:t>
      </w:r>
    </w:p>
    <w:p>
      <w:pPr>
        <w:spacing w:after="0" w:line="18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4.3.5 Statements as to such other matters incident to the transaction contemplated hereby as the Representative may reasonably request.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Delivery of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Rights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Indemnification of Underwriters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3" w:name="page164"/>
    <w:bookmarkEnd w:id="163"/>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w:t>
      </w:r>
    </w:p>
    <w:p>
      <w:pPr>
        <w:spacing w:after="0" w:line="2" w:lineRule="exact"/>
        <w:rPr>
          <w:sz w:val="20"/>
          <w:szCs w:val="20"/>
          <w:color w:val="auto"/>
        </w:rPr>
      </w:pPr>
    </w:p>
    <w:p>
      <w:pPr>
        <w:jc w:val="both"/>
        <w:ind w:firstLine="8"/>
        <w:spacing w:after="0" w:line="287" w:lineRule="auto"/>
        <w:tabs>
          <w:tab w:leader="none" w:pos="21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4" w:name="page165"/>
    <w:bookmarkEnd w:id="164"/>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i w:val="1"/>
          <w:iCs w:val="1"/>
          <w:color w:val="auto"/>
        </w:rPr>
        <w:t>Contribution Rights</w:t>
      </w:r>
      <w:r>
        <w:rPr>
          <w:rFonts w:ascii="Arial" w:cs="Arial" w:eastAsia="Arial" w:hAnsi="Arial"/>
          <w:sz w:val="16"/>
          <w:szCs w:val="16"/>
          <w:color w:val="auto"/>
        </w:rPr>
        <w:t xml:space="preserve">. In order to provide for just and equitable contribution under the Act in any case in which: (i) any person 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5" w:name="page166"/>
    <w:bookmarkEnd w:id="165"/>
    <w:p>
      <w:pPr>
        <w:jc w:val="both"/>
        <w:ind w:firstLine="1296"/>
        <w:spacing w:after="0" w:line="269"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i w:val="1"/>
          <w:iCs w:val="1"/>
          <w:color w:val="auto"/>
        </w:rPr>
        <w:t>Contribution Procedure</w:t>
      </w:r>
      <w:r>
        <w:rPr>
          <w:rFonts w:ascii="Arial" w:cs="Arial" w:eastAsia="Arial" w:hAnsi="Arial"/>
          <w:sz w:val="17"/>
          <w:szCs w:val="17"/>
          <w:color w:val="auto"/>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$151,500,000 for the benefit of the public shareholders,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$151,500,000 for the benefit of the public shareholders,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16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7" w:name="page168"/>
    <w:bookmarkEnd w:id="167"/>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material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12 months from the Effective Date (subject to extension for three additional three-month periods, as described in the Prospectus).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7.9.1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Company agrees that if the Firm Units are sold in accordance with the terms of this Underwriting Agreement, and for a period of eighteen (18) months from the date of the consummation of a Business Combination, the Company shall grant the Representative a right of first refusal to act as a lead underwriter or co-manager with at least 30% of the economics, for any and all future public and private equity and debt offerings of the Company or any successor to or any subsidiary of the Company during such eighteen (18) month period. The Representative’s failure to exercise its right of first refusal with respect to any particular proposal shall not affect its right of first refusal relative to future proposals. Notwithstanding the foregoing, the Representative’s right of first refusal under this </w:t>
      </w:r>
      <w:r>
        <w:rPr>
          <w:rFonts w:ascii="Arial" w:cs="Arial" w:eastAsia="Arial" w:hAnsi="Arial"/>
          <w:sz w:val="16"/>
          <w:szCs w:val="16"/>
          <w:u w:val="single" w:color="auto"/>
          <w:color w:val="auto"/>
        </w:rPr>
        <w:t>Section 7.9.1</w:t>
      </w:r>
      <w:r>
        <w:rPr>
          <w:rFonts w:ascii="Arial" w:cs="Arial" w:eastAsia="Arial" w:hAnsi="Arial"/>
          <w:sz w:val="16"/>
          <w:szCs w:val="16"/>
          <w:color w:val="auto"/>
        </w:rPr>
        <w:t xml:space="preserve"> shall expire upon the third anniversary of the Effective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8" w:name="page169"/>
    <w:bookmarkEnd w:id="168"/>
    <w:p>
      <w:pPr>
        <w:jc w:val="both"/>
        <w:ind w:firstLine="8"/>
        <w:spacing w:after="0" w:line="292" w:lineRule="auto"/>
        <w:tabs>
          <w:tab w:leader="none" w:pos="20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9" w:name="page170"/>
    <w:bookmarkEnd w:id="169"/>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Alan Annex;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annexa@gtlaw.com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801-6400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Edward Scheetz,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Mitchell S. Nussbaum, Esq. and Giovanni Caruso,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gcaruso@loeb.com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407-4000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299 Park Avenue, 7th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10171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Jonathan Mitchell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jmitchell@brileyfbr.com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(310) 966-1448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 Venue, Etc</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1" w:name="page172"/>
    <w:bookmarkEnd w:id="171"/>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shareholders,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2" w:name="page173"/>
    <w:bookmarkEnd w:id="172"/>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249428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Arial" w:cs="Arial" w:eastAsia="Arial" w:hAnsi="Arial"/>
                <w:sz w:val="18"/>
                <w:szCs w:val="18"/>
                <w:b w:val="1"/>
                <w:bCs w:val="1"/>
                <w:color w:val="auto"/>
                <w:w w:val="99"/>
              </w:rPr>
              <w:t>SCHEDULE A</w:t>
            </w:r>
          </w:p>
        </w:tc>
      </w:tr>
      <w:tr>
        <w:trPr>
          <w:trHeight w:val="432"/>
        </w:trPr>
        <w:tc>
          <w:tcPr>
            <w:tcW w:w="3180" w:type="dxa"/>
            <w:vAlign w:val="bottom"/>
          </w:tcPr>
          <w:p>
            <w:pPr>
              <w:spacing w:after="0"/>
              <w:rPr>
                <w:sz w:val="24"/>
                <w:szCs w:val="24"/>
                <w:color w:val="auto"/>
              </w:rPr>
            </w:pPr>
          </w:p>
        </w:tc>
        <w:tc>
          <w:tcPr>
            <w:tcW w:w="8060" w:type="dxa"/>
            <w:vAlign w:val="bottom"/>
          </w:tcPr>
          <w:p>
            <w:pPr>
              <w:jc w:val="center"/>
              <w:ind w:right="3070"/>
              <w:spacing w:after="0"/>
              <w:rPr>
                <w:sz w:val="20"/>
                <w:szCs w:val="20"/>
                <w:color w:val="auto"/>
              </w:rPr>
            </w:pPr>
            <w:r>
              <w:rPr>
                <w:rFonts w:ascii="Arial" w:cs="Arial" w:eastAsia="Arial" w:hAnsi="Arial"/>
                <w:sz w:val="18"/>
                <w:szCs w:val="18"/>
                <w:color w:val="auto"/>
                <w:w w:val="96"/>
              </w:rPr>
              <w:t>VENTOUX CCM ACQUISITION CORP.</w:t>
            </w:r>
          </w:p>
        </w:tc>
      </w:tr>
      <w:tr>
        <w:trPr>
          <w:trHeight w:val="418"/>
        </w:trPr>
        <w:tc>
          <w:tcPr>
            <w:tcW w:w="3180" w:type="dxa"/>
            <w:vAlign w:val="bottom"/>
          </w:tcPr>
          <w:p>
            <w:pPr>
              <w:spacing w:after="0"/>
              <w:rPr>
                <w:sz w:val="24"/>
                <w:szCs w:val="24"/>
                <w:color w:val="auto"/>
              </w:rPr>
            </w:pPr>
          </w:p>
        </w:tc>
        <w:tc>
          <w:tcPr>
            <w:tcW w:w="8060" w:type="dxa"/>
            <w:vAlign w:val="bottom"/>
          </w:tcPr>
          <w:p>
            <w:pPr>
              <w:jc w:val="center"/>
              <w:ind w:left="6750"/>
              <w:spacing w:after="0"/>
              <w:rPr>
                <w:sz w:val="20"/>
                <w:szCs w:val="20"/>
                <w:color w:val="auto"/>
              </w:rPr>
            </w:pPr>
            <w:r>
              <w:rPr>
                <w:rFonts w:ascii="Arial" w:cs="Arial" w:eastAsia="Arial" w:hAnsi="Arial"/>
                <w:sz w:val="18"/>
                <w:szCs w:val="18"/>
                <w:color w:val="auto"/>
                <w:w w:val="94"/>
              </w:rPr>
              <w:t>Number of Firm</w:t>
            </w:r>
          </w:p>
        </w:tc>
      </w:tr>
      <w:tr>
        <w:trPr>
          <w:trHeight w:val="216"/>
        </w:trPr>
        <w:tc>
          <w:tcPr>
            <w:tcW w:w="3180" w:type="dxa"/>
            <w:vAlign w:val="bottom"/>
          </w:tcPr>
          <w:p>
            <w:pPr>
              <w:spacing w:after="0"/>
              <w:rPr>
                <w:sz w:val="18"/>
                <w:szCs w:val="18"/>
                <w:color w:val="auto"/>
              </w:rPr>
            </w:pPr>
          </w:p>
        </w:tc>
        <w:tc>
          <w:tcPr>
            <w:tcW w:w="8060" w:type="dxa"/>
            <w:vAlign w:val="bottom"/>
          </w:tcPr>
          <w:p>
            <w:pPr>
              <w:jc w:val="center"/>
              <w:ind w:left="6750"/>
              <w:spacing w:after="0"/>
              <w:rPr>
                <w:sz w:val="20"/>
                <w:szCs w:val="20"/>
                <w:color w:val="auto"/>
              </w:rPr>
            </w:pPr>
            <w:r>
              <w:rPr>
                <w:rFonts w:ascii="Arial" w:cs="Arial" w:eastAsia="Arial" w:hAnsi="Arial"/>
                <w:sz w:val="18"/>
                <w:szCs w:val="18"/>
                <w:color w:val="auto"/>
                <w:w w:val="90"/>
              </w:rPr>
              <w:t>Units to be</w:t>
            </w:r>
          </w:p>
        </w:tc>
      </w:tr>
      <w:tr>
        <w:trPr>
          <w:trHeight w:val="23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Underwriter</w:t>
            </w:r>
          </w:p>
        </w:tc>
        <w:tc>
          <w:tcPr>
            <w:tcW w:w="8060" w:type="dxa"/>
            <w:vAlign w:val="bottom"/>
            <w:tcBorders>
              <w:bottom w:val="single" w:sz="8" w:color="auto"/>
            </w:tcBorders>
          </w:tcPr>
          <w:p>
            <w:pPr>
              <w:jc w:val="center"/>
              <w:ind w:left="6750"/>
              <w:spacing w:after="0"/>
              <w:rPr>
                <w:sz w:val="20"/>
                <w:szCs w:val="20"/>
                <w:color w:val="auto"/>
              </w:rPr>
            </w:pPr>
            <w:r>
              <w:rPr>
                <w:rFonts w:ascii="Arial" w:cs="Arial" w:eastAsia="Arial" w:hAnsi="Arial"/>
                <w:sz w:val="18"/>
                <w:szCs w:val="18"/>
                <w:color w:val="auto"/>
                <w:w w:val="85"/>
              </w:rPr>
              <w:t>Purchased</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Chardan Capital Markets, LLC</w:t>
            </w:r>
          </w:p>
        </w:tc>
        <w:tc>
          <w:tcPr>
            <w:tcW w:w="8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B. Riley Securities, Inc.</w:t>
            </w:r>
          </w:p>
        </w:tc>
        <w:tc>
          <w:tcPr>
            <w:tcW w:w="8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655"/>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jc w:val="center"/>
              <w:ind w:right="3070"/>
              <w:spacing w:after="0"/>
              <w:rPr>
                <w:sz w:val="20"/>
                <w:szCs w:val="20"/>
                <w:color w:val="auto"/>
              </w:rPr>
            </w:pPr>
            <w:r>
              <w:rPr>
                <w:rFonts w:ascii="Arial" w:cs="Arial" w:eastAsia="Arial" w:hAnsi="Arial"/>
                <w:sz w:val="18"/>
                <w:szCs w:val="18"/>
                <w:color w:val="auto"/>
                <w:w w:val="90"/>
              </w:rPr>
              <w:t>Schedule A-1</w:t>
            </w:r>
          </w:p>
        </w:tc>
      </w:tr>
    </w:tbl>
    <w:p>
      <w:pPr>
        <w:sectPr>
          <w:pgSz w:w="11900" w:h="16838" w:orient="portrait"/>
          <w:cols w:equalWidth="0" w:num="1">
            <w:col w:w="11240"/>
          </w:cols>
          <w:pgMar w:left="320" w:top="337"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Edward Scheetz,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Ventouux CCM Acquisition Corp. (the “Company”), dated [●], 2020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$151,500,000 for the benefit of the “public shareholders” and the underwriters of the Company’s initial public offering (the “Underwriters”)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Edward Scheetz,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Ventoux CCM Acquisition Corp. (the “Company”), dated [●], 2020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$151,500,000 for the benefit of the “public shareholders” and the underwriters of the Company’s initial public offering (the “Underwriters”)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ind w:left="1040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Chardan Capital Markets, LLC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10004</w:t>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Edward Scheetz,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2020</w:t>
      </w:r>
    </w:p>
    <w:p>
      <w:pPr>
        <w:spacing w:after="0" w:line="1089" w:lineRule="exact"/>
        <w:rPr>
          <w:sz w:val="20"/>
          <w:szCs w:val="20"/>
          <w:color w:val="auto"/>
        </w:rPr>
      </w:pPr>
    </w:p>
    <w:p>
      <w:pPr>
        <w:sectPr>
          <w:pgSz w:w="11900" w:h="16838" w:orient="portrait"/>
          <w:cols w:equalWidth="0" w:num="2">
            <w:col w:w="9840" w:space="720"/>
            <w:col w:w="680"/>
          </w:cols>
          <w:pgMar w:left="320" w:top="121" w:right="339" w:bottom="1440" w:gutter="0" w:footer="0" w:header="0"/>
          <w:type w:val="continuous"/>
        </w:sectPr>
      </w:pPr>
    </w:p>
    <w:p>
      <w:pPr>
        <w:spacing w:after="0" w:line="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This is to confirm our agreement whereby Ventoux CCM Acquisition Corp., a Delaware corporation (“</w:t>
      </w:r>
      <w:r>
        <w:rPr>
          <w:rFonts w:ascii="Arial" w:cs="Arial" w:eastAsia="Arial" w:hAnsi="Arial"/>
          <w:sz w:val="17"/>
          <w:szCs w:val="17"/>
          <w:b w:val="1"/>
          <w:bCs w:val="1"/>
          <w:color w:val="auto"/>
        </w:rPr>
        <w:t>Company</w:t>
      </w:r>
      <w:r>
        <w:rPr>
          <w:rFonts w:ascii="Arial" w:cs="Arial" w:eastAsia="Arial" w:hAnsi="Arial"/>
          <w:sz w:val="17"/>
          <w:szCs w:val="17"/>
          <w:color w:val="auto"/>
        </w:rPr>
        <w:t>”), has requested Chardan Capital Markets, LLC (the “</w:t>
      </w:r>
      <w:r>
        <w:rPr>
          <w:rFonts w:ascii="Arial" w:cs="Arial" w:eastAsia="Arial" w:hAnsi="Arial"/>
          <w:sz w:val="17"/>
          <w:szCs w:val="17"/>
          <w:b w:val="1"/>
          <w:bCs w:val="1"/>
          <w:color w:val="auto"/>
        </w:rPr>
        <w:t>Advisor</w:t>
      </w:r>
      <w:r>
        <w:rPr>
          <w:rFonts w:ascii="Arial" w:cs="Arial" w:eastAsia="Arial" w:hAnsi="Arial"/>
          <w:sz w:val="17"/>
          <w:szCs w:val="17"/>
          <w:color w:val="auto"/>
        </w:rPr>
        <w:t>”) to assist it in connection with the Company engaging in a merger, capital stock exchange, asset acquisition, stock purchase, reorganization or similar business combination (in each case, a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one or more businesses (each a “</w:t>
      </w:r>
      <w:r>
        <w:rPr>
          <w:rFonts w:ascii="Arial" w:cs="Arial" w:eastAsia="Arial" w:hAnsi="Arial"/>
          <w:sz w:val="17"/>
          <w:szCs w:val="17"/>
          <w:b w:val="1"/>
          <w:bCs w:val="1"/>
          <w:color w:val="auto"/>
        </w:rPr>
        <w:t>Target</w:t>
      </w:r>
      <w:r>
        <w:rPr>
          <w:rFonts w:ascii="Arial" w:cs="Arial" w:eastAsia="Arial" w:hAnsi="Arial"/>
          <w:sz w:val="17"/>
          <w:szCs w:val="17"/>
          <w:color w:val="auto"/>
        </w:rPr>
        <w:t>”) as described in the Company’s Registration Statement on Form S-1 (File No. 333-251048), as amended, filed with the U.S. Securities and Exchange Commission (“</w:t>
      </w:r>
      <w:r>
        <w:rPr>
          <w:rFonts w:ascii="Arial" w:cs="Arial" w:eastAsia="Arial" w:hAnsi="Arial"/>
          <w:sz w:val="17"/>
          <w:szCs w:val="17"/>
          <w:b w:val="1"/>
          <w:bCs w:val="1"/>
          <w:color w:val="auto"/>
        </w:rPr>
        <w:t>Registration Statement</w:t>
      </w:r>
      <w:r>
        <w:rPr>
          <w:rFonts w:ascii="Arial" w:cs="Arial" w:eastAsia="Arial" w:hAnsi="Arial"/>
          <w:sz w:val="17"/>
          <w:szCs w:val="17"/>
          <w:color w:val="auto"/>
        </w:rPr>
        <w:t>”) in connection with the Company’s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w:t>
      </w:r>
    </w:p>
    <w:p>
      <w:pPr>
        <w:spacing w:after="0" w:line="172"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Services and Fees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Advisor will, from time to time, upon the Company’s request and in consultation with the Company:</w:t>
      </w:r>
    </w:p>
    <w:p>
      <w:pPr>
        <w:spacing w:after="0" w:line="252"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Assist the Company in arranging meetings with its stockholders to discuss one or more potential Business Combinations, including making calls to stockholders and providing business updates and marketing feedback, in all cases to the extent legally permissible;</w:t>
      </w:r>
    </w:p>
    <w:p>
      <w:pPr>
        <w:spacing w:after="0" w:line="210" w:lineRule="exact"/>
        <w:rPr>
          <w:rFonts w:ascii="Arial" w:cs="Arial" w:eastAsia="Arial" w:hAnsi="Arial"/>
          <w:sz w:val="18"/>
          <w:szCs w:val="18"/>
          <w:color w:val="auto"/>
        </w:rPr>
      </w:pPr>
    </w:p>
    <w:p>
      <w:pPr>
        <w:ind w:left="1960" w:right="20" w:hanging="656"/>
        <w:spacing w:after="0" w:line="277"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Introduce the Company to potential investors to purchase the Company’s publicly-traded securities in after-market transactions following the public announcement of the Business Combination;</w:t>
      </w:r>
    </w:p>
    <w:p>
      <w:pPr>
        <w:spacing w:after="0" w:line="197" w:lineRule="exact"/>
        <w:rPr>
          <w:rFonts w:ascii="Arial" w:cs="Arial" w:eastAsia="Arial" w:hAnsi="Arial"/>
          <w:sz w:val="18"/>
          <w:szCs w:val="18"/>
          <w:color w:val="auto"/>
        </w:rPr>
      </w:pPr>
    </w:p>
    <w:p>
      <w:pPr>
        <w:ind w:left="1960" w:right="20" w:hanging="656"/>
        <w:spacing w:after="0" w:line="277"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Provide financial advisory services to assist the Company in its efforts to obtain any stockholder approval for one or more Business Combinations, until such time as the Company has completed an initial Business Combination; and</w:t>
      </w:r>
    </w:p>
    <w:p>
      <w:pPr>
        <w:spacing w:after="0" w:line="197" w:lineRule="exact"/>
        <w:rPr>
          <w:rFonts w:ascii="Arial" w:cs="Arial" w:eastAsia="Arial" w:hAnsi="Arial"/>
          <w:sz w:val="18"/>
          <w:szCs w:val="18"/>
          <w:color w:val="auto"/>
        </w:rPr>
      </w:pPr>
    </w:p>
    <w:p>
      <w:pPr>
        <w:ind w:left="1960" w:right="20" w:hanging="656"/>
        <w:spacing w:after="0" w:line="277"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Assist the Company with any press releases and/or filings related to any Business Combination or related Targets (the activities described in the foregoing clauses (i)-(iv),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anything to the contrary contained herein, the Services will not include (x) any solicitation of potential investors in connection with the IPO or any Business Combination, (y) any solicitation of proxies in connection with the Business Combination, or (z) any provision of M&amp;A-related advisory services. In the event that the Company requests that the Advisor provide any placement agent and/or M&amp;A-related advisory services, such engagement will be set forth in one or more separate agreements between the Company and the Advisor.</w:t>
      </w:r>
    </w:p>
    <w:p>
      <w:pPr>
        <w:spacing w:after="0" w:line="171" w:lineRule="exact"/>
        <w:rPr>
          <w:sz w:val="20"/>
          <w:szCs w:val="20"/>
          <w:color w:val="auto"/>
        </w:rPr>
      </w:pPr>
    </w:p>
    <w:p>
      <w:pPr>
        <w:jc w:val="both"/>
        <w:ind w:firstLine="656"/>
        <w:spacing w:after="0" w:line="272" w:lineRule="auto"/>
        <w:tabs>
          <w:tab w:leader="none" w:pos="904" w:val="left"/>
        </w:tabs>
        <w:numPr>
          <w:ilvl w:val="0"/>
          <w:numId w:val="96"/>
        </w:numPr>
        <w:rPr>
          <w:rFonts w:ascii="Arial" w:cs="Arial" w:eastAsia="Arial" w:hAnsi="Arial"/>
          <w:sz w:val="17"/>
          <w:szCs w:val="17"/>
          <w:color w:val="auto"/>
        </w:rPr>
      </w:pPr>
      <w:r>
        <w:rPr>
          <w:rFonts w:ascii="Arial" w:cs="Arial" w:eastAsia="Arial" w:hAnsi="Arial"/>
          <w:sz w:val="17"/>
          <w:szCs w:val="17"/>
          <w:color w:val="auto"/>
        </w:rPr>
        <w:t>As compensation for the Services, the Company will pay the Advisor a cash fee equal to, in the aggregate, 3.5% of the gross proceeds received by the Company from the sale of its equity securities pursuant to the Registration Statement in connection with the IPO, including any proceeds from the full or partial exercise of the underwriters’ over-allotment option described therein (the “</w:t>
      </w:r>
      <w:r>
        <w:rPr>
          <w:rFonts w:ascii="Arial" w:cs="Arial" w:eastAsia="Arial" w:hAnsi="Arial"/>
          <w:sz w:val="17"/>
          <w:szCs w:val="17"/>
          <w:b w:val="1"/>
          <w:bCs w:val="1"/>
          <w:color w:val="auto"/>
        </w:rPr>
        <w:t>Fee</w:t>
      </w:r>
      <w:r>
        <w:rPr>
          <w:rFonts w:ascii="Arial" w:cs="Arial" w:eastAsia="Arial" w:hAnsi="Arial"/>
          <w:sz w:val="17"/>
          <w:szCs w:val="17"/>
          <w:color w:val="auto"/>
        </w:rPr>
        <w:t>”). The Fee is due and payable to the Advisor by wire transfer at the closing of the initial Business Combination (“</w:t>
      </w:r>
      <w:r>
        <w:rPr>
          <w:rFonts w:ascii="Arial" w:cs="Arial" w:eastAsia="Arial" w:hAnsi="Arial"/>
          <w:sz w:val="17"/>
          <w:szCs w:val="17"/>
          <w:b w:val="1"/>
          <w:bCs w:val="1"/>
          <w:color w:val="auto"/>
        </w:rPr>
        <w:t>Closing</w:t>
      </w:r>
      <w:r>
        <w:rPr>
          <w:rFonts w:ascii="Arial" w:cs="Arial" w:eastAsia="Arial" w:hAnsi="Arial"/>
          <w:sz w:val="17"/>
          <w:szCs w:val="17"/>
          <w:color w:val="auto"/>
        </w:rPr>
        <w:t>”). If a proposed Business Combination is not consummated for any reason during the 15-month period (as such period may be extended pursuant to the Company’s amended and restated certificate of incorporation) from the closing of the IPO, no Fee shall be due or payable to the Advisor hereunder. The Fee shall be exclusive of any other fees which may become payable to the Advisor pursuant to any other agreement among the Advisor and the Company or any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7" w:name="page178"/>
    <w:bookmarkEnd w:id="177"/>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the Closing, the Company shall reimburse the Advisor for all reasonable and documented costs and out-of-pocket expenses incurred by the Advisor (including reasonable and documented fees and disbursements of outside counsel) in connection with the performance of the Services hereunder; provided, however, that such expenses shall not exceed $5,000 in the aggregate without the prior written consent of the Company.</w:t>
      </w:r>
    </w:p>
    <w:p>
      <w:pPr>
        <w:spacing w:after="0" w:line="165"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Company Cooperation; Information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will provide such cooperation to the Advisor as may be reasonably necessary for the efficient performance by the Advisor of its obligations hereunder, including providing to the Advisor and its counsel, on a timely basis, all documents and information regarding the Company and any Target that the Advisor may reasonably request or that are otherwise relevant to the Advisor’s performance of its obligations hereunder (collectively, the “</w:t>
      </w:r>
      <w:r>
        <w:rPr>
          <w:rFonts w:ascii="Arial" w:cs="Arial" w:eastAsia="Arial" w:hAnsi="Arial"/>
          <w:sz w:val="18"/>
          <w:szCs w:val="18"/>
          <w:b w:val="1"/>
          <w:bCs w:val="1"/>
          <w:color w:val="auto"/>
        </w:rPr>
        <w:t>Information</w:t>
      </w:r>
      <w:r>
        <w:rPr>
          <w:rFonts w:ascii="Arial" w:cs="Arial" w:eastAsia="Arial" w:hAnsi="Arial"/>
          <w:sz w:val="18"/>
          <w:szCs w:val="18"/>
          <w:color w:val="auto"/>
        </w:rPr>
        <w:t>”); making the Company’s management, auditors, consultants and advisors available to the Advisor; and using commercially reasonable efforts to provide the Advisor with reasonable access to the management, auditors, suppliers, customers, consultants and advisors of any Target. The Company will promptly notify the Advisor of any change in facts or circumstances or new developments affecting the Company or any Target or that might reasonably be considered material to the Advisor’s engagement hereunder.</w:t>
      </w:r>
    </w:p>
    <w:p>
      <w:pPr>
        <w:spacing w:after="0" w:line="218"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Advisor shall not share with third parties any Information, presentations and/or materials about the Company, its shareholders and/or affiliates, any Business Combination and/or any Targets, to the extent that any such information has not already been provided to the public in the Registration Statement, unless the Advisor obtains the Company’s prior written approval (which may be provided via email).</w:t>
      </w:r>
    </w:p>
    <w:p>
      <w:pPr>
        <w:spacing w:after="0" w:line="175" w:lineRule="exact"/>
        <w:rPr>
          <w:rFonts w:ascii="Arial" w:cs="Arial" w:eastAsia="Arial" w:hAnsi="Arial"/>
          <w:sz w:val="16"/>
          <w:szCs w:val="16"/>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represents, warrants and covenants to the Advisor that all Information it makes available to the Advisor by or on behalf of the Company in connection with the performance of its obligations hereunder will not contain any untrue statement of a material fact or omit to state a material fact necessary in order to make statements made, in light of the circumstances under which they were made, not misleading as of the date thereof and as of the consummation of the Business Combination.</w:t>
      </w:r>
    </w:p>
    <w:p>
      <w:pPr>
        <w:spacing w:after="0" w:line="213"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Advisor represents, warrants and covenants to the Company that it is not prohibited from entering into this Agreement by any applicable contract, agreement, law or order.</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shall indemnify the Advisor and its affiliates and their respective directors, officers, employees, shareholders, representatives and agents in accordance with the indemnification provisions set forth in Annex I hereto, all of which are incorporated herein by reference.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jc w:val="both"/>
        <w:ind w:firstLine="648"/>
        <w:spacing w:after="0" w:line="301" w:lineRule="auto"/>
        <w:rPr>
          <w:sz w:val="20"/>
          <w:szCs w:val="20"/>
          <w:color w:val="auto"/>
        </w:rPr>
      </w:pPr>
      <w:r>
        <w:rPr>
          <w:rFonts w:ascii="Arial" w:cs="Arial" w:eastAsia="Arial" w:hAnsi="Arial"/>
          <w:sz w:val="16"/>
          <w:szCs w:val="16"/>
          <w:color w:val="auto"/>
        </w:rPr>
        <w:t>Notwithstanding the foregoing and Annex I, the Advisor agrees, if there is no Closing, (i) that it does not have any right, title, interest or claim of any kind in or to any monies in the Company’s trust account (“</w:t>
      </w:r>
      <w:r>
        <w:rPr>
          <w:rFonts w:ascii="Arial" w:cs="Arial" w:eastAsia="Arial" w:hAnsi="Arial"/>
          <w:sz w:val="16"/>
          <w:szCs w:val="16"/>
          <w:b w:val="1"/>
          <w:bCs w:val="1"/>
          <w:color w:val="auto"/>
        </w:rPr>
        <w:t>Trust Account</w:t>
      </w:r>
      <w:r>
        <w:rPr>
          <w:rFonts w:ascii="Arial" w:cs="Arial" w:eastAsia="Arial" w:hAnsi="Arial"/>
          <w:sz w:val="16"/>
          <w:szCs w:val="16"/>
          <w:color w:val="auto"/>
        </w:rPr>
        <w:t>”) established in connection with the IPO with respect to the Fee or any expenses provided for hereunder (each, a “</w:t>
      </w:r>
      <w:r>
        <w:rPr>
          <w:rFonts w:ascii="Arial" w:cs="Arial" w:eastAsia="Arial" w:hAnsi="Arial"/>
          <w:sz w:val="16"/>
          <w:szCs w:val="16"/>
          <w:b w:val="1"/>
          <w:bCs w:val="1"/>
          <w:color w:val="auto"/>
        </w:rPr>
        <w:t>Claim</w:t>
      </w:r>
      <w:r>
        <w:rPr>
          <w:rFonts w:ascii="Arial" w:cs="Arial" w:eastAsia="Arial" w:hAnsi="Arial"/>
          <w:sz w:val="16"/>
          <w:szCs w:val="16"/>
          <w:color w:val="auto"/>
        </w:rPr>
        <w:t>”); (ii) to waive any Claim it may have in the future as a result of, or arising out of, any Services provided to the Company hereunder; and (iii) to not seek recourse against the Trust Account with respect to the Fee or any expenses provided for hereunder.</w:t>
      </w:r>
    </w:p>
    <w:p>
      <w:pPr>
        <w:spacing w:after="0" w:line="157"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Use of Name and Reports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Without the Advisor’s prior written consent (which may be provided via email), neither the Company nor any of its affiliates (nor any director, officer, manager, partner, member, employee or agent thereof) shall quote or refer to in any public communication (i) the Advisor’s name or (ii) any advice rendered by the Advisor to the Company or any communication from the Advisor, in connection with performance of the Services, except as required by applicable federal or state law, regulation or securities exchange rule.</w:t>
      </w:r>
    </w:p>
    <w:p>
      <w:pPr>
        <w:spacing w:after="0" w:line="187"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Status as Independent Contractor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Advisor shall perform the Services as an independent contractor and not as an employee of the Company or affiliate thereof. It is expressly understood and agreed to by the parties that the Advisor shall have no authority to act for, represent or bind the Company or any affiliate thereof in any manner, except as may be expressly agreed to by the Company in writing. In rendering such services, the Advisor will be acting solely pursuant to a contractual relationship on an arm’s-length basis. This Agreement is not intended to create a fiduciary relationship between the parties and neither the Advisor nor any of the Advisor’s officers, directors or personnel will owe any fiduciary duty to the Company or any other person in connection with any of the matters contemplated by this Agreement.</w:t>
      </w:r>
    </w:p>
    <w:p>
      <w:pPr>
        <w:spacing w:after="0" w:line="192"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Potential Conflicts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acknowledges that the Advisor is a full-service securities firm engaged in securities trading and brokerage activities and providing investment banking and advisory services from which conflicting interests may arise. In the ordinary course of business, the Advisor and its affiliates may at any time hold long or short positions, and may trade or otherwise effect transactions, for its own account and the accounts of customers, in debt or equity securities of the Company, its affiliates or other entities that may be involved in the transactions contemplated hereby, and may provide advisory and other services to one or more actual or potential Targets, investors or other parties to any Business Combination or other transaction entered into by the Company, for which services the Advisor or one or more of its affiliates may be paid fees, including fees conditioned upon the closing of a particular Business Combination or other transaction or transactions. Nothing in this Agreement shall be construed to limit or restrict the Advisor or any of its affiliates in conducting any such business.</w:t>
      </w:r>
    </w:p>
    <w:p>
      <w:pPr>
        <w:spacing w:after="0" w:line="192"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constitutes the entire understanding among the parties with respect to the subject matter hereof and supersedes all prior agreements and understandings, oral or written, with respect thereto. This Agreement may not be modified or terminated orally or in any manner other than by an agreement in writing signed by the parties hereto.</w:t>
      </w:r>
    </w:p>
    <w:p>
      <w:pPr>
        <w:spacing w:after="0" w:line="184"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notices required or permitted to be given hereunder shall be in writing and shall be deemed given when sent via email to each party at its respective address set forth below its signature and received by such party’s online access provider or mailed by certified mail or private courier service, return receipt requested, addressed to each party at its respective addresses set forth above, or such other address as may be given by a party in a notice given pursuant to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may not be assigned by any party without the written consent of the other parties hereto. This Agreement shall be binding upon and shall inure to the benefit of the parties hereto and, except where prohibited, to their successors and permitted assigns.</w:t>
      </w:r>
    </w:p>
    <w:p>
      <w:pPr>
        <w:spacing w:after="0" w:line="170"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Non-Exclusivity.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herein shall be deemed to restrict or prohibit the engagement by the Company of other consultants providing the same or similar services or the payment by the Company of fees to such parties. The Company’s engagement of any other consultant(s) shall not affect the Advisor’s right to receive the Fee and reimbursement of expenses pursuant to this Agreement.</w:t>
      </w:r>
    </w:p>
    <w:p>
      <w:pPr>
        <w:spacing w:after="0" w:line="184"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Applicable Law; Venue.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Agreement shall be construed and enforced in accordance with the internal laws of the State of New York.</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IN THE EVENT OF ANY DISPUTE UNDER THIS AGREEMENT, EACH PARTY HERETO AGREES THAT THE DISPUTE SHALL BE BROUGHT AND ENFORCED IN THE COURTS OF THE STATE OF NEW YORK, COUNTY OF NEW YORK UNDER THE ACCELERATED ADJUDICATION PROCEDURES OF THE COMMERCIAL DIVISION. EACH PARTY IRREVOCABLY SUBMITS TO SUCH JURISDICTION, WHICH JURISDICTION SHALL BE EXCLUSIVE. EACH PARTY HEREBY WAIVES ANY OBJECTION TO SUCH EXCLUSIVE JURISDICTION AND THAT SUCH COURTS REPRESENT AN INCONVENIENT FORUM. ANY PROCESS OR SUMMONS TO BE SERVED IN SUCH A DISPUTE UPON A PARTY MAY BE SERVED BY TRANSMITTING A COPY THEREOF BY REGISTERED OR CERTIFIED MAIL, POSTAGE PREPAID, ADDRESSED TO SUCH PARTY AT THE ADDRESS FOR SUCH PARTY SET FORTH AT THE BEGINNING OF THIS AGREEMENT. SUCH MAILING SHALL BE DEEMED PERSONAL SERVICE AND SHALL BE LEGAL AND BINDING UPON THE PARTY BEING SERVED. THE PARTIES AGREE THAT THE PREVAILING PARTY(IES) IN ANY SUCH ACTION SHALL BE ENTITLED TO RECOVER FROM THE OTHER PARTY(IES) ALL OF SUCH PREVAILING PARTY’S(IES’) REASONABLE ATTORNEYS’ FEES AND EXPENSES RELATING TO SUCH ACTION OR PROCEEDING AND/OR INCURRED IN CONNECTION WITH THE PREPARATION THEREFOR.</w:t>
      </w:r>
    </w:p>
    <w:p>
      <w:pPr>
        <w:spacing w:after="0" w:line="194"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term “including” shall mean “including, but not limited to”.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may be executed in several original or facsimile counterparts, each one of which shall constitute an original, and all of which together shall constitute but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firstLine="648"/>
        <w:spacing w:after="0" w:line="308" w:lineRule="auto"/>
        <w:rPr>
          <w:sz w:val="20"/>
          <w:szCs w:val="20"/>
          <w:color w:val="auto"/>
        </w:rPr>
      </w:pPr>
      <w:r>
        <w:rPr>
          <w:rFonts w:ascii="Arial" w:cs="Arial" w:eastAsia="Arial" w:hAnsi="Arial"/>
          <w:sz w:val="17"/>
          <w:szCs w:val="17"/>
          <w:color w:val="auto"/>
        </w:rPr>
        <w:t>If the foregoing correctly sets forth the understanding among the Advisor and the Company with respect to the foregoing, please indicate your agreement by signing in the place provided below, and this letter shall become a binding contract as of the date first set forth above.</w:t>
      </w:r>
    </w:p>
    <w:p>
      <w:pPr>
        <w:spacing w:after="0" w:line="36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CHARDAN CAPITAL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MARKETS, LLC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Marketing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the Company’s engagement of Chardan Capital Markets, LLC (the “</w:t>
      </w:r>
      <w:r>
        <w:rPr>
          <w:rFonts w:ascii="Arial" w:cs="Arial" w:eastAsia="Arial" w:hAnsi="Arial"/>
          <w:sz w:val="17"/>
          <w:szCs w:val="17"/>
          <w:b w:val="1"/>
          <w:bCs w:val="1"/>
          <w:color w:val="auto"/>
        </w:rPr>
        <w:t>Advisor</w:t>
      </w:r>
      <w:r>
        <w:rPr>
          <w:rFonts w:ascii="Arial" w:cs="Arial" w:eastAsia="Arial" w:hAnsi="Arial"/>
          <w:sz w:val="17"/>
          <w:szCs w:val="17"/>
          <w:color w:val="auto"/>
        </w:rPr>
        <w:t>”) pursuant to that certain letter agreement (“</w:t>
      </w:r>
      <w:r>
        <w:rPr>
          <w:rFonts w:ascii="Arial" w:cs="Arial" w:eastAsia="Arial" w:hAnsi="Arial"/>
          <w:sz w:val="17"/>
          <w:szCs w:val="17"/>
          <w:b w:val="1"/>
          <w:bCs w:val="1"/>
          <w:color w:val="auto"/>
        </w:rPr>
        <w:t>Agreement</w:t>
      </w:r>
      <w:r>
        <w:rPr>
          <w:rFonts w:ascii="Arial" w:cs="Arial" w:eastAsia="Arial" w:hAnsi="Arial"/>
          <w:sz w:val="17"/>
          <w:szCs w:val="17"/>
          <w:color w:val="auto"/>
        </w:rPr>
        <w:t>”) of which this Annex forms a part, Ventoux CCM Acquisition Corp. (the “</w:t>
      </w:r>
      <w:r>
        <w:rPr>
          <w:rFonts w:ascii="Arial" w:cs="Arial" w:eastAsia="Arial" w:hAnsi="Arial"/>
          <w:sz w:val="17"/>
          <w:szCs w:val="17"/>
          <w:b w:val="1"/>
          <w:bCs w:val="1"/>
          <w:color w:val="auto"/>
        </w:rPr>
        <w:t>Company</w:t>
      </w:r>
      <w:r>
        <w:rPr>
          <w:rFonts w:ascii="Arial" w:cs="Arial" w:eastAsia="Arial" w:hAnsi="Arial"/>
          <w:sz w:val="17"/>
          <w:szCs w:val="17"/>
          <w:color w:val="auto"/>
        </w:rPr>
        <w:t>”) hereby agrees, subject to the second paragraph of Section 5 of the Agreement, to indemnify and hold harmless the Advisor and each of its affiliates and the respective directors, officers, employees, shareholders, representatives and agents of any of the foregoing (collectively, the “</w:t>
      </w:r>
      <w:r>
        <w:rPr>
          <w:rFonts w:ascii="Arial" w:cs="Arial" w:eastAsia="Arial" w:hAnsi="Arial"/>
          <w:sz w:val="17"/>
          <w:szCs w:val="17"/>
          <w:b w:val="1"/>
          <w:bCs w:val="1"/>
          <w:color w:val="auto"/>
        </w:rPr>
        <w:t>Indemnified Persons</w:t>
      </w:r>
      <w:r>
        <w:rPr>
          <w:rFonts w:ascii="Arial" w:cs="Arial" w:eastAsia="Arial" w:hAnsi="Arial"/>
          <w:sz w:val="17"/>
          <w:szCs w:val="17"/>
          <w:color w:val="auto"/>
        </w:rPr>
        <w:t>”), from and against any and all claims, actions, suits, proceedings (including those of stockholders), damages, liabilities and expenses incurred by any of them (including the reasonable fees and expenses of counsel), as incurred (collectively a “</w:t>
      </w:r>
      <w:r>
        <w:rPr>
          <w:rFonts w:ascii="Arial" w:cs="Arial" w:eastAsia="Arial" w:hAnsi="Arial"/>
          <w:sz w:val="17"/>
          <w:szCs w:val="17"/>
          <w:b w:val="1"/>
          <w:bCs w:val="1"/>
          <w:color w:val="auto"/>
        </w:rPr>
        <w:t>Claim</w:t>
      </w:r>
      <w:r>
        <w:rPr>
          <w:rFonts w:ascii="Arial" w:cs="Arial" w:eastAsia="Arial" w:hAnsi="Arial"/>
          <w:sz w:val="17"/>
          <w:szCs w:val="17"/>
          <w:color w:val="auto"/>
        </w:rPr>
        <w:t>”), that (A) are related to or arise out of (i) any actions taken or omitted to be taken (including any untrue statements made or any statements omitted to be made) by the Company, or (ii) any actions taken or omitted to be taken by any Indemnified Person, in connection with the Company’s engagement of the Advisor, or (B) otherwise relate to or arise out of the Advisor’s activities on the Company’s behalf under the Advisor’s engagement, and the Company shall reimburse any Indemnified Person for all reasonable out-of-pocket expenses (including the reasonable out-of-pocket fees and expenses of outside counsel) as incurred by such Indemnified Person in connection with investigating, preparing and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bad faith, gross negligence or willful misconduct of any Indemnified Person. The Company further agrees that no Indemnified Person shall have any liability to the Company for or in connection with the Company’s engagement of the Advisor except for any Claim incurred by the Company as a result of such Indemnified Person’s bad faith, gross negligence or willful misconduct.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further agrees that it will not, without the prior written consent of the Advisor,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an actual or potential conflict of interest or if the defendant in, or target of, any such Claim includes an Indemnified Person and the Company, and legal counsel to such Indemnified Person reasonably concludes that there may be actual or potential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out-of-pocket fees and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for the reasonable fees and expenses of its counsel and all amounts paid as a result of such Claim or the compromise or settlement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88" w:lineRule="auto"/>
        <w:rPr>
          <w:sz w:val="20"/>
          <w:szCs w:val="20"/>
          <w:color w:val="auto"/>
        </w:rPr>
      </w:pPr>
      <w:r>
        <w:rPr>
          <w:rFonts w:ascii="Arial" w:cs="Arial" w:eastAsia="Arial" w:hAnsi="Arial"/>
          <w:sz w:val="16"/>
          <w:szCs w:val="16"/>
          <w:color w:val="auto"/>
        </w:rPr>
        <w:t>In addition, with respect to any Claim in which the Company assumes the defense, the Indemnified Person shall have the right to participate in such Claim and to retain his, her or its own counsel therefor at his, her or its own expense. The Company agrees that if any indemnity sought by an Indemnified Person hereunder is held by a court to be unavailable for any reason, then (whether or not the Advisor is an Indemnified Person) the Company and the Advisor shall contribute to the Claim for which such indemnity is held unavailable in such proportion as is appropriate to reflect the relative benefits to the Company, on the one hand, and the Advisor, on the other, in connection with the Advisor’ engagement referred to above, subject to the limitation that in no event shall the amount of any the Advisor’s contribution to such Claim exceed the amount of Fee actually received by the Advisor from the Company pursuant to such engagement. The Company hereby agrees that the relative benefits to the Company, on the one hand, and the Advisor, on the other, with respect to the Advisor’s engagement shall be deemed to be in the same proportion as (a) the total value paid or proposed to be paid or received by the Company or its stockholders, as the case may be, pursuant to the transaction (whether or not consummated) for which the Advisor are engaged to render services bears to (b) the Fee paid or proposed to be paid to the Advisor in connection with such engagement.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Ventoux CCM Acquisition Corp., a corporation existing under the laws of the State of Delaware, by its Chief Executive Officer, hereby certifies as follows:</w:t>
      </w:r>
    </w:p>
    <w:p>
      <w:pPr>
        <w:spacing w:after="0" w:line="248"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name of the corporation is Ventoux CCM Acquisition Corp.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July 10, 2019.</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Amended Restated Certificate of Incorporation restates, integrates and amends the Certificate of Incorporation of the Corporation.</w:t>
      </w:r>
    </w:p>
    <w:p>
      <w:pPr>
        <w:spacing w:after="0" w:line="225" w:lineRule="exact"/>
        <w:rPr>
          <w:rFonts w:ascii="Arial" w:cs="Arial" w:eastAsia="Arial" w:hAnsi="Arial"/>
          <w:sz w:val="18"/>
          <w:szCs w:val="18"/>
          <w:color w:val="auto"/>
        </w:rPr>
      </w:pPr>
    </w:p>
    <w:p>
      <w:pPr>
        <w:ind w:firstLine="8"/>
        <w:spacing w:after="0" w:line="342" w:lineRule="auto"/>
        <w:tabs>
          <w:tab w:leader="none" w:pos="22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Ventoux CCM Acquisition Corp. (hereinafter called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SECOND: The registered office of the Corporation is to be located at 28 Old Rudnick Lane, in the City of Dover, in the County of Kent, 19901.</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its registered agent at that address is Corp1, Inc.</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(“GCL”).</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FOURTH: The name and mailing address of the incorporator is: Jaszick Maldonado, c/o Loeb &amp; Loeb LLP, 345 Park Avenue, New York NY 10154.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both"/>
        <w:spacing w:after="0" w:line="263" w:lineRule="auto"/>
        <w:rPr>
          <w:sz w:val="20"/>
          <w:szCs w:val="20"/>
          <w:color w:val="auto"/>
        </w:rPr>
      </w:pPr>
      <w:r>
        <w:rPr>
          <w:rFonts w:ascii="Arial" w:cs="Arial" w:eastAsia="Arial" w:hAnsi="Arial"/>
          <w:sz w:val="18"/>
          <w:szCs w:val="18"/>
          <w:color w:val="auto"/>
        </w:rPr>
        <w:t>FIFTH: The total number of shares of all classes of capital stock which the Corporation shall have authority to issue is 51,000,000, of which 50,000,000 shares shall be common stock, par value $.0001 per share (“Common Stock”), and 1,000,000 shares shall be preferred stock, par value $.0001 per share (“Preferred Stock”).</w:t>
      </w:r>
    </w:p>
    <w:p>
      <w:pPr>
        <w:spacing w:after="0" w:line="184"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1" w:lineRule="exact"/>
        <w:rPr>
          <w:sz w:val="20"/>
          <w:szCs w:val="20"/>
          <w:color w:val="auto"/>
        </w:rPr>
      </w:pPr>
    </w:p>
    <w:p>
      <w:pPr>
        <w:ind w:left="640" w:firstLine="4"/>
        <w:spacing w:after="0" w:line="308" w:lineRule="auto"/>
        <w:tabs>
          <w:tab w:leader="none" w:pos="9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5" w:name="page186"/>
    <w:bookmarkEnd w:id="185"/>
    <w:p>
      <w:pPr>
        <w:jc w:val="both"/>
        <w:ind w:left="180" w:right="20"/>
        <w:spacing w:after="0" w:line="259" w:lineRule="auto"/>
        <w:rPr>
          <w:sz w:val="20"/>
          <w:szCs w:val="20"/>
          <w:color w:val="auto"/>
        </w:rPr>
      </w:pPr>
      <w:r>
        <w:rPr>
          <w:rFonts w:ascii="Arial" w:cs="Arial" w:eastAsia="Arial" w:hAnsi="Arial"/>
          <w:sz w:val="18"/>
          <w:szCs w:val="18"/>
          <w:color w:val="auto"/>
        </w:rPr>
        <w:t>A. 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7"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65" w:lineRule="exact"/>
        <w:rPr>
          <w:sz w:val="20"/>
          <w:szCs w:val="20"/>
          <w:color w:val="auto"/>
        </w:rPr>
      </w:pPr>
    </w:p>
    <w:p>
      <w:pPr>
        <w:jc w:val="both"/>
        <w:ind w:left="180"/>
        <w:spacing w:after="0" w:line="285" w:lineRule="auto"/>
        <w:rPr>
          <w:sz w:val="20"/>
          <w:szCs w:val="20"/>
          <w:color w:val="auto"/>
        </w:rPr>
      </w:pPr>
      <w:r>
        <w:rPr>
          <w:rFonts w:ascii="Arial" w:cs="Arial" w:eastAsia="Arial" w:hAnsi="Arial"/>
          <w:sz w:val="16"/>
          <w:szCs w:val="16"/>
          <w:color w:val="auto"/>
        </w:rPr>
        <w:t>C. In the event that a Business Combination is consummated by the Corporation or the Corporation holds a vote of its stockholders to amend its Certificate of Incorporation, any holder of IPO Shares who (i)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76"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D. The Corporation will not consummate any Business Combination unless it (or any successor) has net tangible assets of at least $5,000,001 upon consummation of such Business Combination.</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6" w:name="page187"/>
    <w:bookmarkEnd w:id="186"/>
    <w:p>
      <w:pPr>
        <w:ind w:left="180"/>
        <w:spacing w:after="0"/>
        <w:rPr>
          <w:sz w:val="20"/>
          <w:szCs w:val="20"/>
          <w:color w:val="auto"/>
        </w:rPr>
      </w:pPr>
      <w:r>
        <w:rPr>
          <w:rFonts w:ascii="Arial" w:cs="Arial" w:eastAsia="Arial" w:hAnsi="Arial"/>
          <w:sz w:val="16"/>
          <w:szCs w:val="16"/>
          <w:color w:val="auto"/>
        </w:rPr>
        <w:t>E. In the event that the Corporation does not consummate a Business Combination by (i) 15 months from the consummation of the IPO or</w:t>
      </w:r>
    </w:p>
    <w:p>
      <w:pPr>
        <w:spacing w:after="0" w:line="46" w:lineRule="exact"/>
        <w:rPr>
          <w:sz w:val="20"/>
          <w:szCs w:val="20"/>
          <w:color w:val="auto"/>
        </w:rPr>
      </w:pPr>
    </w:p>
    <w:p>
      <w:pPr>
        <w:jc w:val="both"/>
        <w:ind w:left="180" w:firstLine="4"/>
        <w:spacing w:after="0" w:line="284" w:lineRule="auto"/>
        <w:tabs>
          <w:tab w:leader="none" w:pos="45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up to 18 months from the consummation of the IPO if the Corporation elects to extend the amount of time to complete a Business Combination in accordance with the terms of the Investment Management Trust Agreement between the Corporation and Continental Stock Transfer &amp; Trust Company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78"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92"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65"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H. If any amendment is made (A) to this Article Sixth that would modify the substance or timing of the Corporation’s obligation to provide for the conversion of the IPO Shares in connection with an initial Business Combination or to redeem 100% of the IPO Shares if the Corporation has not consummated an initial Business by the Termination Date or (B) with respect to any other provision in this Article Sixth, the holders of IPO Shares shall be provided with the opportunity to redeem their IPO Shares upon the approval of any such amendment, at the per-share price specified in paragraph C.</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7" w:name="page188"/>
    <w:bookmarkEnd w:id="187"/>
    <w:p>
      <w:pPr>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7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85" w:lineRule="auto"/>
        <w:tabs>
          <w:tab w:leader="none" w:pos="9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 To the extent allowed by law, the doctrine of corporate opportunity, or any other analogous doctrine, shall not apply with respect to the Corporation or any of its officers or directors,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8" w:name="page189"/>
    <w:bookmarkEnd w:id="188"/>
    <w:p>
      <w:pPr>
        <w:jc w:val="both"/>
        <w:ind w:left="1300"/>
        <w:spacing w:after="0" w:line="255" w:lineRule="auto"/>
        <w:rPr>
          <w:sz w:val="20"/>
          <w:szCs w:val="20"/>
          <w:color w:val="auto"/>
        </w:rPr>
      </w:pPr>
      <w:r>
        <w:rPr>
          <w:rFonts w:ascii="Arial" w:cs="Arial" w:eastAsia="Arial" w:hAnsi="Arial"/>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92"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71"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TENTH: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 (iii) any action asserting a claim arising pursuant to any provision of the GCL, the certificate of incorporation or the by-laws of the Corporation or (iv) any action asserting a claim governed by the internal affairs doctrine, in each case subject to said Court of Chancery having personal jurisdiction over the indispensable parties named as defendants therein.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Edward Scheetz, its Chief Executive Officer, as of the ___ day of ,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Edward Scheetz,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ectPr>
          <w:pgSz w:w="11900" w:h="16838" w:orient="portrait"/>
          <w:cols w:equalWidth="0" w:num="2">
            <w:col w:w="9140" w:space="720"/>
            <w:col w:w="1380"/>
          </w:cols>
          <w:pgMar w:left="320" w:top="121" w:right="33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U-__________</w:t>
      </w:r>
    </w:p>
    <w:p>
      <w:pPr>
        <w:sectPr>
          <w:pgSz w:w="11900" w:h="16838" w:orient="portrait"/>
          <w:cols w:equalWidth="0" w:num="1">
            <w:col w:w="11240"/>
          </w:cols>
          <w:pgMar w:left="320" w:top="121" w:right="339" w:bottom="1440" w:gutter="0" w:footer="0" w:header="0"/>
          <w:type w:val="continuous"/>
        </w:sectPr>
      </w:pP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SEE REVERSE FOR</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CERTAIN DEFINITIONS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VENTOUX CCM ACQUISITION CORP.</w:t>
      </w:r>
    </w:p>
    <w:p>
      <w:pPr>
        <w:spacing w:after="0" w:line="422"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CCUSIP 92280L200</w:t>
      </w:r>
    </w:p>
    <w:p>
      <w:pPr>
        <w:sectPr>
          <w:pgSz w:w="11900" w:h="16838" w:orient="portrait"/>
          <w:cols w:equalWidth="0" w:num="1">
            <w:col w:w="11240"/>
          </w:cols>
          <w:pgMar w:left="320" w:top="121" w:right="339" w:bottom="1440" w:gutter="0" w:footer="0" w:header="0"/>
          <w:type w:val="continuous"/>
        </w:sectPr>
      </w:pPr>
    </w:p>
    <w:p>
      <w:pPr>
        <w:spacing w:after="0" w:line="237" w:lineRule="exact"/>
        <w:rPr>
          <w:sz w:val="20"/>
          <w:szCs w:val="20"/>
          <w:color w:val="auto"/>
        </w:rPr>
      </w:pPr>
    </w:p>
    <w:p>
      <w:pPr>
        <w:jc w:val="center"/>
        <w:ind w:left="1360" w:right="200"/>
        <w:spacing w:after="0" w:line="282" w:lineRule="auto"/>
        <w:rPr>
          <w:sz w:val="20"/>
          <w:szCs w:val="20"/>
          <w:color w:val="auto"/>
        </w:rPr>
      </w:pPr>
      <w:r>
        <w:rPr>
          <w:rFonts w:ascii="Arial" w:cs="Arial" w:eastAsia="Arial" w:hAnsi="Arial"/>
          <w:sz w:val="18"/>
          <w:szCs w:val="18"/>
          <w:b w:val="1"/>
          <w:bCs w:val="1"/>
          <w:color w:val="auto"/>
        </w:rPr>
        <w:t>UNITS CONSISTING OF ONE SHARE OF COMMON STOCK, ONE RIGHT AND ONE WARRANT TO PURCHASE ONE-HALF OF ONE SHARE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-10160</wp:posOffset>
            </wp:positionV>
            <wp:extent cx="46558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46558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is the owner of</w:t>
      </w:r>
      <w:r>
        <w:rPr>
          <w:sz w:val="20"/>
          <w:szCs w:val="20"/>
          <w:color w:val="auto"/>
        </w:rPr>
        <w:tab/>
      </w:r>
      <w:r>
        <w:rPr>
          <w:rFonts w:ascii="Arial" w:cs="Arial" w:eastAsia="Arial" w:hAnsi="Arial"/>
          <w:sz w:val="17"/>
          <w:szCs w:val="17"/>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-10160</wp:posOffset>
            </wp:positionV>
            <wp:extent cx="51415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5141595" cy="8255"/>
                    </a:xfrm>
                    <a:prstGeom prst="rect">
                      <a:avLst/>
                    </a:prstGeom>
                    <a:noFill/>
                  </pic:spPr>
                </pic:pic>
              </a:graphicData>
            </a:graphic>
          </wp:anchor>
        </w:drawing>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Unit (“Unit”) consists of one share of common stock, par value $0.0001 per share, of Ventoux CCM Acquisition Corp., a Delaware corporation (the “Company”), one right and one warrant. Each holder of a right is entitled to receive one-twentieth of one share of common stock of the Company upon the Company’s completion of a merger, share exchange, asset acquisition, stock purchase, recapitalization, reorganization or other similar business combination, with one or more target businesses (a “Business Combination”). Each warrant entitles the holder to purchase one-half of one share of common stock of the Company at $11.50 per full share (subject to adjustment), upon the later to occur of (i) the Company’s completion of a Business Combination or (ii) 12 months from the closing of the Company’s initial public offering (the “IPO”). Each warrant expires 5 years after the completion of our initial Business Combination, at 5:00 p.m., New York City time, or earlier upon redemption or liquidation.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rights and warrants comprising the Units represented by this certificate are not transferable separately until the 90th day after the date of the prospectus relating to the IPO, unless Chardan Capital Markets, LLC informs the Company of its decision to allow earlier separate trading, provided that the Company has filed with the Securities and Exchanges Commission a Current Report on Form 8-K, which includes an audited balance sheet reflecting the Company’s receipt of the gross proceeds of the IPO.</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of the rights are governed by a rights agreement (the “Rights Agreement”), dated as of [·], 2020, between the Company and Continental Stock Transfer &amp; Trust Company, as the rights agent, and are subject to the terms and provisions contained therein, all of which terms and provisions the holder of this certificate consents to by acceptance hereof.</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terms of the warrants are governed by a warrant agreement (the “Warrant Agreement”), dated as of [·], 2020, between the Company and Continental Stock Transfer &amp; Trust Company, as the warrant agent, and are subject to the terms and provisions contained therein, all of which terms and provisions the holder of this certificate consents to by acceptance hereof.</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Copies of the Rights Agreement and the Warrant Agreement are on file at the office of the rights agent and warrant agent at 1 State Street, 30th Floor, New York, New York 10004, and are available to any right or warrant holder on written request and without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Unit may be mandatorily split by the Company in connection with the closing of a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not as tenants in common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2460" w:val="left"/>
          <w:tab w:leader="none" w:pos="3680" w:val="left"/>
        </w:tabs>
        <w:rPr>
          <w:sz w:val="20"/>
          <w:szCs w:val="20"/>
          <w:color w:val="auto"/>
        </w:rPr>
      </w:pPr>
      <w:r>
        <w:rPr>
          <w:rFonts w:ascii="Arial" w:cs="Arial" w:eastAsia="Arial" w:hAnsi="Arial"/>
          <w:sz w:val="18"/>
          <w:szCs w:val="18"/>
          <w:color w:val="auto"/>
        </w:rPr>
        <w:t>UNIF GIFT MIN ACT - _____</w:t>
        <w:tab/>
        <w:t>Custodian</w:t>
      </w:r>
      <w:r>
        <w:rPr>
          <w:sz w:val="20"/>
          <w:szCs w:val="20"/>
          <w:color w:val="auto"/>
        </w:rPr>
        <w:tab/>
      </w:r>
      <w:r>
        <w:rPr>
          <w:rFonts w:ascii="Arial" w:cs="Arial" w:eastAsia="Arial" w:hAnsi="Arial"/>
          <w:sz w:val="16"/>
          <w:szCs w:val="16"/>
          <w:color w:val="auto"/>
        </w:rPr>
        <w:t>______</w:t>
      </w:r>
    </w:p>
    <w:p>
      <w:pPr>
        <w:spacing w:after="0" w:line="23" w:lineRule="exact"/>
        <w:rPr>
          <w:sz w:val="20"/>
          <w:szCs w:val="20"/>
          <w:color w:val="auto"/>
        </w:rPr>
      </w:pPr>
    </w:p>
    <w:p>
      <w:pPr>
        <w:ind w:left="2000"/>
        <w:spacing w:after="0"/>
        <w:tabs>
          <w:tab w:leader="none" w:pos="3680" w:val="left"/>
        </w:tabs>
        <w:rPr>
          <w:sz w:val="20"/>
          <w:szCs w:val="20"/>
          <w:color w:val="auto"/>
        </w:rPr>
      </w:pPr>
      <w:r>
        <w:rPr>
          <w:rFonts w:ascii="Arial" w:cs="Arial" w:eastAsia="Arial" w:hAnsi="Arial"/>
          <w:sz w:val="17"/>
          <w:szCs w:val="17"/>
          <w:color w:val="auto"/>
        </w:rPr>
        <w:t>(Cust)</w:t>
      </w:r>
      <w:r>
        <w:rPr>
          <w:sz w:val="20"/>
          <w:szCs w:val="20"/>
          <w:color w:val="auto"/>
        </w:rPr>
        <w:tab/>
      </w:r>
      <w:r>
        <w:rPr>
          <w:rFonts w:ascii="Arial" w:cs="Arial" w:eastAsia="Arial" w:hAnsi="Arial"/>
          <w:sz w:val="17"/>
          <w:szCs w:val="17"/>
          <w:color w:val="auto"/>
        </w:rPr>
        <w:t>(Minor)</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under Uniform Gifts to Minors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Act ______________</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3">
            <w:col w:w="2560" w:space="720"/>
            <w:col w:w="2960" w:space="640"/>
            <w:col w:w="4360"/>
          </w:cols>
          <w:pgMar w:left="320" w:top="904"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846070" cy="2571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284607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Units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Attorney 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297815</wp:posOffset>
            </wp:positionV>
            <wp:extent cx="50749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5074920" cy="1714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-10160</wp:posOffset>
            </wp:positionV>
            <wp:extent cx="12852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940" w:right="440" w:hanging="699"/>
        <w:spacing w:after="0" w:line="342" w:lineRule="auto"/>
        <w:tabs>
          <w:tab w:leader="none" w:pos="3920" w:val="left"/>
        </w:tabs>
        <w:rPr>
          <w:sz w:val="20"/>
          <w:szCs w:val="20"/>
          <w:color w:val="auto"/>
        </w:rPr>
      </w:pPr>
      <w:r>
        <w:rPr>
          <w:rFonts w:ascii="Arial" w:cs="Arial" w:eastAsia="Arial" w:hAnsi="Arial"/>
          <w:sz w:val="16"/>
          <w:szCs w:val="16"/>
          <w:b w:val="1"/>
          <w:bCs w:val="1"/>
          <w:color w:val="auto"/>
        </w:rPr>
        <w:t>Notice:</w:t>
      </w:r>
      <w:r>
        <w:rPr>
          <w:sz w:val="20"/>
          <w:szCs w:val="20"/>
          <w:color w:val="auto"/>
        </w:rPr>
        <w:tab/>
      </w:r>
      <w:r>
        <w:rPr>
          <w:rFonts w:ascii="Arial" w:cs="Arial" w:eastAsia="Arial" w:hAnsi="Arial"/>
          <w:sz w:val="16"/>
          <w:szCs w:val="16"/>
          <w:color w:val="auto"/>
        </w:rPr>
        <w:t>The signature to this assignment must correspond with the name as written upon the face of the certificate in every particular, without alteration or enlargement or any change whatever.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428625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 RULE 17Ad-15).</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more fully described in the Company’s final prospectus dated of [•], 2020, the holder of this certificate shall be entitled to receive funds with respect to the underlying share of common stock from the trust account established in connection with the Company’s initial public offering only in the event of the Company’s liquidation upon failure to consummate a business combination within the required time period set forth in the Company’s Amended and Restated Certificate of Incorporation (the “Certificate”), as the same may be amended from time to time, or if the holder seeks to convert his or her respective shares of common stock underlying the Unit upon consummation of such business combination or in connection with certain amendments to the Certificate.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2020"/>
        <w:spacing w:after="0"/>
        <w:tabs>
          <w:tab w:leader="none" w:pos="6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SHARES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CUSIP 92280L101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This Certifies that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 the owner of</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FULLY PAID AND NON-ASSESSABLE SHARES OF COMMON STOCK OF</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transferable on the books of the Company in person or by duly authorized attorney upon surrender of this certificate properly endorsed.</w:t>
      </w:r>
    </w:p>
    <w:p>
      <w:pPr>
        <w:spacing w:after="0" w:line="23" w:lineRule="exact"/>
        <w:rPr>
          <w:sz w:val="20"/>
          <w:szCs w:val="20"/>
          <w:color w:val="auto"/>
        </w:rPr>
      </w:pPr>
    </w:p>
    <w:p>
      <w:pPr>
        <w:ind w:left="340"/>
        <w:spacing w:after="0" w:line="250" w:lineRule="auto"/>
        <w:rPr>
          <w:sz w:val="20"/>
          <w:szCs w:val="20"/>
          <w:color w:val="auto"/>
        </w:rPr>
      </w:pPr>
      <w:r>
        <w:rPr>
          <w:rFonts w:ascii="Arial" w:cs="Arial" w:eastAsia="Arial" w:hAnsi="Arial"/>
          <w:sz w:val="18"/>
          <w:szCs w:val="18"/>
          <w:i w:val="1"/>
          <w:iCs w:val="1"/>
          <w:color w:val="auto"/>
        </w:rPr>
        <w:t>The Company will be forced to liquidate if it is unable to complete an initial business combination within the meaning as defined in and the time period as required by its Amended and Restated Certificate of Incorporation, as the same may be amended from time to time. This certificate is not valid unless countersigned by the Transfer Agent and registered by the Registrar.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Witness the facsimile signatures of its duly authorized officers.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5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p>
      <w:pPr>
        <w:ind w:left="580"/>
        <w:spacing w:after="0"/>
        <w:tabs>
          <w:tab w:leader="none" w:pos="3380" w:val="left"/>
          <w:tab w:leader="none" w:pos="6980" w:val="left"/>
          <w:tab w:leader="none" w:pos="9340" w:val="left"/>
          <w:tab w:leader="none" w:pos="10560" w:val="left"/>
        </w:tabs>
        <w:rPr>
          <w:sz w:val="20"/>
          <w:szCs w:val="20"/>
          <w:color w:val="auto"/>
        </w:rPr>
      </w:pPr>
      <w:r>
        <w:rPr>
          <w:rFonts w:ascii="Arial" w:cs="Arial" w:eastAsia="Arial" w:hAnsi="Arial"/>
          <w:sz w:val="18"/>
          <w:szCs w:val="18"/>
          <w:color w:val="auto"/>
        </w:rPr>
        <w:t>TEN COM –</w:t>
      </w:r>
      <w:r>
        <w:rPr>
          <w:sz w:val="20"/>
          <w:szCs w:val="20"/>
          <w:color w:val="auto"/>
        </w:rPr>
        <w:tab/>
      </w:r>
      <w:r>
        <w:rPr>
          <w:rFonts w:ascii="Arial" w:cs="Arial" w:eastAsia="Arial" w:hAnsi="Arial"/>
          <w:sz w:val="18"/>
          <w:szCs w:val="18"/>
          <w:color w:val="auto"/>
        </w:rPr>
        <w:t>as tenants in common</w:t>
      </w:r>
      <w:r>
        <w:rPr>
          <w:sz w:val="20"/>
          <w:szCs w:val="20"/>
          <w:color w:val="auto"/>
        </w:rPr>
        <w:tab/>
      </w:r>
      <w:r>
        <w:rPr>
          <w:rFonts w:ascii="Arial" w:cs="Arial" w:eastAsia="Arial" w:hAnsi="Arial"/>
          <w:sz w:val="18"/>
          <w:szCs w:val="18"/>
          <w:color w:val="auto"/>
        </w:rPr>
        <w:t>UNIF GIFT MIN ACT _____</w:t>
        <w:tab/>
        <w:t>Custodian</w:t>
      </w:r>
      <w:r>
        <w:rPr>
          <w:sz w:val="20"/>
          <w:szCs w:val="20"/>
          <w:color w:val="auto"/>
        </w:rPr>
        <w:tab/>
      </w:r>
      <w:r>
        <w:rPr>
          <w:rFonts w:ascii="Arial" w:cs="Arial" w:eastAsia="Arial" w:hAnsi="Arial"/>
          <w:sz w:val="16"/>
          <w:szCs w:val="16"/>
          <w:color w:val="auto"/>
        </w:rPr>
        <w:t>______</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580"/>
        <w:spacing w:after="0"/>
        <w:tabs>
          <w:tab w:leader="none" w:pos="3380" w:val="left"/>
        </w:tabs>
        <w:rPr>
          <w:sz w:val="20"/>
          <w:szCs w:val="20"/>
          <w:color w:val="auto"/>
        </w:rPr>
      </w:pPr>
      <w:r>
        <w:rPr>
          <w:rFonts w:ascii="Arial" w:cs="Arial" w:eastAsia="Arial" w:hAnsi="Arial"/>
          <w:sz w:val="18"/>
          <w:szCs w:val="18"/>
          <w:color w:val="auto"/>
        </w:rPr>
        <w:t>TEN ENT –</w:t>
      </w:r>
      <w:r>
        <w:rPr>
          <w:sz w:val="20"/>
          <w:szCs w:val="20"/>
          <w:color w:val="auto"/>
        </w:rPr>
        <w:tab/>
      </w:r>
      <w:r>
        <w:rPr>
          <w:rFonts w:ascii="Arial" w:cs="Arial" w:eastAsia="Arial" w:hAnsi="Arial"/>
          <w:sz w:val="15"/>
          <w:szCs w:val="15"/>
          <w:color w:val="auto"/>
        </w:rPr>
        <w:t>as tenants by the entireties</w:t>
      </w:r>
    </w:p>
    <w:p>
      <w:pPr>
        <w:spacing w:after="0" w:line="9" w:lineRule="exact"/>
        <w:rPr>
          <w:sz w:val="20"/>
          <w:szCs w:val="20"/>
          <w:color w:val="auto"/>
        </w:rPr>
      </w:pPr>
    </w:p>
    <w:p>
      <w:pPr>
        <w:ind w:left="580"/>
        <w:spacing w:after="0"/>
        <w:tabs>
          <w:tab w:leader="none" w:pos="3380" w:val="left"/>
        </w:tabs>
        <w:rPr>
          <w:sz w:val="20"/>
          <w:szCs w:val="20"/>
          <w:color w:val="auto"/>
        </w:rPr>
      </w:pPr>
      <w:r>
        <w:rPr>
          <w:rFonts w:ascii="Arial" w:cs="Arial" w:eastAsia="Arial" w:hAnsi="Arial"/>
          <w:sz w:val="18"/>
          <w:szCs w:val="18"/>
          <w:color w:val="auto"/>
        </w:rPr>
        <w:t>JT TEN –</w:t>
      </w:r>
      <w:r>
        <w:rPr>
          <w:sz w:val="20"/>
          <w:szCs w:val="20"/>
          <w:color w:val="auto"/>
        </w:rPr>
        <w:tab/>
      </w:r>
      <w:r>
        <w:rPr>
          <w:rFonts w:ascii="Arial" w:cs="Arial" w:eastAsia="Arial" w:hAnsi="Arial"/>
          <w:sz w:val="16"/>
          <w:szCs w:val="16"/>
          <w:color w:val="auto"/>
        </w:rPr>
        <w:t>as joint tenants with right of survivorship</w:t>
      </w:r>
    </w:p>
    <w:p>
      <w:pPr>
        <w:spacing w:after="0" w:line="9" w:lineRule="exact"/>
        <w:rPr>
          <w:sz w:val="20"/>
          <w:szCs w:val="20"/>
          <w:color w:val="auto"/>
        </w:rPr>
      </w:pPr>
    </w:p>
    <w:p>
      <w:pPr>
        <w:jc w:val="center"/>
        <w:ind w:left="760"/>
        <w:spacing w:after="0"/>
        <w:rPr>
          <w:sz w:val="20"/>
          <w:szCs w:val="20"/>
          <w:color w:val="auto"/>
        </w:rPr>
      </w:pPr>
      <w:r>
        <w:rPr>
          <w:rFonts w:ascii="Arial" w:cs="Arial" w:eastAsia="Arial" w:hAnsi="Arial"/>
          <w:sz w:val="18"/>
          <w:szCs w:val="18"/>
          <w:color w:val="auto"/>
        </w:rPr>
        <w:t>and not as tenants in common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firstLine="196"/>
        <w:spacing w:after="0" w:line="250" w:lineRule="auto"/>
        <w:rPr>
          <w:sz w:val="20"/>
          <w:szCs w:val="20"/>
          <w:color w:val="auto"/>
        </w:rPr>
      </w:pPr>
      <w:r>
        <w:rPr>
          <w:rFonts w:ascii="Arial" w:cs="Arial" w:eastAsia="Arial" w:hAnsi="Arial"/>
          <w:sz w:val="18"/>
          <w:szCs w:val="18"/>
          <w:color w:val="auto"/>
        </w:rPr>
        <w:t>(Cust) (Minor) under Uniform Gifts to Minors Act ______________</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(State)</w:t>
      </w:r>
    </w:p>
    <w:p>
      <w:pPr>
        <w:sectPr>
          <w:pgSz w:w="11900" w:h="16838" w:orient="portrait"/>
          <w:cols w:equalWidth="0" w:num="2">
            <w:col w:w="8180" w:space="500"/>
            <w:col w:w="2560"/>
          </w:cols>
          <w:pgMar w:left="320" w:top="121" w:right="339" w:bottom="1440"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Ventoux CCMAcquisition Corp.</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furnish without charge to each stockholder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preferred stock (copies of which may be obtained from the secretary of the Company), to all of which the holder of this certificate by acceptance hereof assents.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51380" cy="2571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215138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Attorney to transfer the said stock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3138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900" w:hanging="647"/>
        <w:spacing w:after="0" w:line="282"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 face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-305435</wp:posOffset>
            </wp:positionV>
            <wp:extent cx="50749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MUST BE GUARANTEED BY AN ELIGIBLE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2862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 RULE 17Ad-15).</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described in the Company’s final prospectus dated of [•], 2020, the holder of this certificate shall be entitled to receive funds from the trust account established in connection with the Company’s initial public offering only in the event of the Company’s liquidation upon failure to consummate a business combination within the required time period set forth in the Company’s Amended and Restated Certificate of Incorporation as the same may be amended from time to time (the “Certificate”), or if the holder seeks to convert his or her shares of common stock upon consummation of a business combination or in connection with certain amendments to the Certificate.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SPECIMEN WARRANT CERTIFICATE</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WARRANTS</w:t>
      </w:r>
    </w:p>
    <w:p>
      <w:pPr>
        <w:spacing w:after="0" w:line="430" w:lineRule="exact"/>
        <w:rPr>
          <w:sz w:val="20"/>
          <w:szCs w:val="20"/>
          <w:color w:val="auto"/>
        </w:rPr>
      </w:pPr>
    </w:p>
    <w:p>
      <w:pPr>
        <w:sectPr>
          <w:pgSz w:w="11900" w:h="16838" w:orient="portrait"/>
          <w:cols w:equalWidth="0" w:num="2">
            <w:col w:w="9180" w:space="720"/>
            <w:col w:w="1340"/>
          </w:cols>
          <w:pgMar w:left="320" w:top="121" w:right="339" w:bottom="1440" w:gutter="0" w:footer="0" w:header="0"/>
          <w:type w:val="continuous"/>
        </w:sectPr>
      </w:pPr>
    </w:p>
    <w:p>
      <w:pPr>
        <w:spacing w:after="0" w:line="1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BUSINESS COMBINATION)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CUSIP 92280L119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THIS WARRANT CERTIFIES THAT, for value received</w:t>
      </w:r>
      <w:r>
        <w:rPr>
          <w:sz w:val="20"/>
          <w:szCs w:val="20"/>
          <w:color w:val="auto"/>
        </w:rPr>
        <w:tab/>
      </w:r>
      <w:r>
        <w:rPr>
          <w:rFonts w:ascii="Arial" w:cs="Arial" w:eastAsia="Arial" w:hAnsi="Arial"/>
          <w:sz w:val="16"/>
          <w:szCs w:val="16"/>
          <w:color w:val="auto"/>
        </w:rPr>
        <w:t>, or registered assigns, is the registered holder of a Warrant or Warrants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“Warrant”), expiring on a date which is five (5) years from the completion of the Company’s initial business combination, to purchase one-half of one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4" w:name="page195"/>
    <w:bookmarkEnd w:id="194"/>
    <w:p>
      <w:pPr>
        <w:jc w:val="both"/>
        <w:ind w:firstLine="324"/>
        <w:spacing w:after="0" w:line="311"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$16.50 per share for any twenty (20)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66" w:lineRule="exact"/>
        <w:rPr>
          <w:sz w:val="20"/>
          <w:szCs w:val="20"/>
          <w:color w:val="auto"/>
        </w:rPr>
      </w:pPr>
    </w:p>
    <w:tbl>
      <w:tblPr>
        <w:tblLayout w:type="fixed"/>
        <w:tblInd w:w="3620" w:type="dxa"/>
        <w:tblCellMar>
          <w:top w:w="0" w:type="dxa"/>
          <w:left w:w="0" w:type="dxa"/>
          <w:bottom w:w="0" w:type="dxa"/>
          <w:right w:w="0" w:type="dxa"/>
        </w:tblCellMar>
      </w:tblPr>
      <w:tr>
        <w:trPr>
          <w:trHeight w:val="207"/>
        </w:trPr>
        <w:tc>
          <w:tcPr>
            <w:tcW w:w="294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4680" w:type="dxa"/>
            <w:vAlign w:val="bottom"/>
          </w:tcPr>
          <w:p>
            <w:pPr>
              <w:ind w:left="280"/>
              <w:spacing w:after="0"/>
              <w:rPr>
                <w:sz w:val="20"/>
                <w:szCs w:val="20"/>
                <w:color w:val="auto"/>
              </w:rPr>
            </w:pPr>
            <w:r>
              <w:rPr>
                <w:rFonts w:ascii="Arial" w:cs="Arial" w:eastAsia="Arial" w:hAnsi="Arial"/>
                <w:sz w:val="18"/>
                <w:szCs w:val="18"/>
                <w:color w:val="auto"/>
              </w:rPr>
              <w:t>Warrant Shares; and/or</w:t>
            </w:r>
          </w:p>
        </w:tc>
      </w:tr>
      <w:tr>
        <w:trPr>
          <w:trHeight w:val="20"/>
        </w:trPr>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66"/>
        </w:trPr>
        <w:tc>
          <w:tcPr>
            <w:tcW w:w="2940" w:type="dxa"/>
            <w:vAlign w:val="bottom"/>
            <w:gridSpan w:val="4"/>
          </w:tcPr>
          <w:p>
            <w:pPr>
              <w:spacing w:after="0"/>
              <w:rPr>
                <w:sz w:val="20"/>
                <w:szCs w:val="20"/>
                <w:color w:val="auto"/>
              </w:rPr>
            </w:pPr>
            <w:r>
              <w:rPr>
                <w:rFonts w:ascii="Arial" w:cs="Arial" w:eastAsia="Arial" w:hAnsi="Arial"/>
                <w:sz w:val="18"/>
                <w:szCs w:val="18"/>
                <w:color w:val="auto"/>
                <w:w w:val="98"/>
              </w:rPr>
              <w:t>a “Cashless Exercise” with respect to</w:t>
            </w:r>
          </w:p>
        </w:tc>
        <w:tc>
          <w:tcPr>
            <w:tcW w:w="4680" w:type="dxa"/>
            <w:vAlign w:val="bottom"/>
          </w:tcPr>
          <w:p>
            <w:pPr>
              <w:ind w:left="540"/>
              <w:spacing w:after="0"/>
              <w:rPr>
                <w:sz w:val="20"/>
                <w:szCs w:val="20"/>
                <w:color w:val="auto"/>
              </w:rPr>
            </w:pPr>
            <w:r>
              <w:rPr>
                <w:rFonts w:ascii="Arial" w:cs="Arial" w:eastAsia="Arial" w:hAnsi="Arial"/>
                <w:sz w:val="18"/>
                <w:szCs w:val="18"/>
                <w:color w:val="auto"/>
                <w:w w:val="87"/>
              </w:rPr>
              <w:t>Warrant Shares because on the date of this exercise, there</w:t>
            </w:r>
          </w:p>
        </w:tc>
      </w:tr>
      <w:tr>
        <w:trPr>
          <w:trHeight w:val="20"/>
        </w:trPr>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-128270</wp:posOffset>
            </wp:positionV>
            <wp:extent cx="128587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128587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-282575</wp:posOffset>
            </wp:positionV>
            <wp:extent cx="128587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jc w:val="both"/>
        <w:ind w:left="3620"/>
        <w:spacing w:after="0" w:line="291" w:lineRule="auto"/>
        <w:rPr>
          <w:sz w:val="20"/>
          <w:szCs w:val="20"/>
          <w:color w:val="auto"/>
        </w:rPr>
      </w:pPr>
      <w:r>
        <w:rPr>
          <w:rFonts w:ascii="Arial" w:cs="Arial" w:eastAsia="Arial" w:hAnsi="Arial"/>
          <w:sz w:val="16"/>
          <w:szCs w:val="16"/>
          <w:color w:val="auto"/>
        </w:rPr>
        <w:t>is no effective registration statement registering the Warrant Shares, or the prospectus contained therein is not available for the resale of the Warrant Shares, in which event the Company shall deliver to the</w:t>
      </w:r>
    </w:p>
    <w:tbl>
      <w:tblPr>
        <w:tblLayout w:type="fixed"/>
        <w:tblInd w:w="3620" w:type="dxa"/>
        <w:tblCellMar>
          <w:top w:w="0" w:type="dxa"/>
          <w:left w:w="0" w:type="dxa"/>
          <w:bottom w:w="0" w:type="dxa"/>
          <w:right w:w="0" w:type="dxa"/>
        </w:tblCellMar>
      </w:tblPr>
      <w:tr>
        <w:trPr>
          <w:trHeight w:val="176"/>
        </w:trPr>
        <w:tc>
          <w:tcPr>
            <w:tcW w:w="2040" w:type="dxa"/>
            <w:vAlign w:val="bottom"/>
          </w:tcPr>
          <w:p>
            <w:pPr>
              <w:spacing w:after="0" w:line="176" w:lineRule="exact"/>
              <w:rPr>
                <w:sz w:val="20"/>
                <w:szCs w:val="20"/>
                <w:color w:val="auto"/>
              </w:rPr>
            </w:pPr>
            <w:r>
              <w:rPr>
                <w:rFonts w:ascii="Arial" w:cs="Arial" w:eastAsia="Arial" w:hAnsi="Arial"/>
                <w:sz w:val="18"/>
                <w:szCs w:val="18"/>
                <w:color w:val="auto"/>
              </w:rPr>
              <w:t>registered holder(s)</w:t>
            </w:r>
          </w:p>
        </w:tc>
        <w:tc>
          <w:tcPr>
            <w:tcW w:w="5580" w:type="dxa"/>
            <w:vAlign w:val="bottom"/>
            <w:gridSpan w:val="3"/>
          </w:tcPr>
          <w:p>
            <w:pPr>
              <w:ind w:left="620"/>
              <w:spacing w:after="0" w:line="176" w:lineRule="exact"/>
              <w:rPr>
                <w:sz w:val="20"/>
                <w:szCs w:val="20"/>
                <w:color w:val="auto"/>
              </w:rPr>
            </w:pPr>
            <w:r>
              <w:rPr>
                <w:rFonts w:ascii="Arial" w:cs="Arial" w:eastAsia="Arial" w:hAnsi="Arial"/>
                <w:sz w:val="18"/>
                <w:szCs w:val="18"/>
                <w:color w:val="auto"/>
                <w:w w:val="93"/>
              </w:rPr>
              <w:t>shares of Common Stock pursuant to Section 3.3.2 of the Warrant</w:t>
            </w:r>
          </w:p>
        </w:tc>
      </w:tr>
      <w:tr>
        <w:trPr>
          <w:trHeight w:val="237"/>
        </w:trPr>
        <w:tc>
          <w:tcPr>
            <w:tcW w:w="2040" w:type="dxa"/>
            <w:vAlign w:val="bottom"/>
          </w:tcPr>
          <w:p>
            <w:pPr>
              <w:spacing w:after="0"/>
              <w:rPr>
                <w:sz w:val="20"/>
                <w:szCs w:val="20"/>
                <w:color w:val="auto"/>
              </w:rPr>
            </w:pPr>
            <w:r>
              <w:rPr>
                <w:rFonts w:ascii="Arial" w:cs="Arial" w:eastAsia="Arial" w:hAnsi="Arial"/>
                <w:sz w:val="18"/>
                <w:szCs w:val="18"/>
                <w:color w:val="auto"/>
              </w:rPr>
              <w:t>Agreement.</w:t>
            </w:r>
          </w:p>
        </w:tc>
        <w:tc>
          <w:tcPr>
            <w:tcW w:w="34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14605</wp:posOffset>
            </wp:positionV>
            <wp:extent cx="619760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(PLEASE PRINT OR TYPE NAME(S)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285432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9750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289750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28975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289750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28975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289750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3566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471487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47148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(SOCIAL SECURITY OR TAX IDENTIFICATION NUMBER(S))</w:t>
            </w:r>
          </w:p>
        </w:tc>
        <w:tc>
          <w:tcPr>
            <w:tcW w:w="7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403"/>
        </w:trPr>
        <w:tc>
          <w:tcPr>
            <w:tcW w:w="8180" w:type="dxa"/>
            <w:vAlign w:val="bottom"/>
            <w:gridSpan w:val="2"/>
          </w:tcPr>
          <w:p>
            <w:pPr>
              <w:spacing w:after="0"/>
              <w:rPr>
                <w:sz w:val="20"/>
                <w:szCs w:val="20"/>
                <w:color w:val="auto"/>
              </w:rPr>
            </w:pPr>
            <w:r>
              <w:rPr>
                <w:rFonts w:ascii="Arial" w:cs="Arial" w:eastAsia="Arial" w:hAnsi="Arial"/>
                <w:sz w:val="18"/>
                <w:szCs w:val="18"/>
                <w:color w:val="auto"/>
              </w:rPr>
              <w:t>of the Warrants represented by this Warrant Certificate, and hereby irrevocably constitute and appoint</w:t>
            </w:r>
          </w:p>
        </w:tc>
        <w:tc>
          <w:tcPr>
            <w:tcW w:w="3040" w:type="dxa"/>
            <w:vAlign w:val="bottom"/>
          </w:tcPr>
          <w:p>
            <w:pPr>
              <w:ind w:left="640"/>
              <w:spacing w:after="0"/>
              <w:rPr>
                <w:sz w:val="20"/>
                <w:szCs w:val="20"/>
                <w:color w:val="auto"/>
              </w:rPr>
            </w:pPr>
            <w:r>
              <w:rPr>
                <w:rFonts w:ascii="Arial" w:cs="Arial" w:eastAsia="Arial" w:hAnsi="Arial"/>
                <w:sz w:val="18"/>
                <w:szCs w:val="18"/>
                <w:color w:val="auto"/>
                <w:w w:val="93"/>
              </w:rPr>
              <w:t>Attorney to transfer this Warrant</w:t>
            </w: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Certificate on the books of the Company, with full power of substitution in the premises.</w:t>
            </w:r>
          </w:p>
        </w:tc>
        <w:tc>
          <w:tcPr>
            <w:tcW w:w="30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85432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5628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Warrant Agreement (“</w:t>
      </w:r>
      <w:r>
        <w:rPr>
          <w:rFonts w:ascii="Arial" w:cs="Arial" w:eastAsia="Arial" w:hAnsi="Arial"/>
          <w:sz w:val="17"/>
          <w:szCs w:val="17"/>
          <w:b w:val="1"/>
          <w:bCs w:val="1"/>
          <w:color w:val="auto"/>
        </w:rPr>
        <w:t>Warrant Agreement</w:t>
      </w:r>
      <w:r>
        <w:rPr>
          <w:rFonts w:ascii="Arial" w:cs="Arial" w:eastAsia="Arial" w:hAnsi="Arial"/>
          <w:sz w:val="17"/>
          <w:szCs w:val="17"/>
          <w:color w:val="auto"/>
        </w:rPr>
        <w:t>”) is made as of _________, 2020, by and between Ventoux CCM Acquisition Corp., a Delaware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WHEREAS, the Company is engaged in a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15,000,000 units (the “</w:t>
      </w:r>
      <w:r>
        <w:rPr>
          <w:rFonts w:ascii="Arial" w:cs="Arial" w:eastAsia="Arial" w:hAnsi="Arial"/>
          <w:sz w:val="16"/>
          <w:szCs w:val="16"/>
          <w:b w:val="1"/>
          <w:bCs w:val="1"/>
          <w:color w:val="auto"/>
        </w:rPr>
        <w:t>Units</w:t>
      </w:r>
      <w:r>
        <w:rPr>
          <w:rFonts w:ascii="Arial" w:cs="Arial" w:eastAsia="Arial" w:hAnsi="Arial"/>
          <w:sz w:val="16"/>
          <w:szCs w:val="16"/>
          <w:color w:val="auto"/>
        </w:rPr>
        <w:t>”) of the Company (and up to 2,250,000 additional Units if the underwriters’ over-allotment option is exercised in full), each Unit consisting of one share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right to receive one-twentieth of one share of Common Stock, and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each whole Public Warrant entitling its holder to purchase one-half of one share of Common Stock (the “</w:t>
      </w:r>
      <w:r>
        <w:rPr>
          <w:rFonts w:ascii="Arial" w:cs="Arial" w:eastAsia="Arial" w:hAnsi="Arial"/>
          <w:sz w:val="16"/>
          <w:szCs w:val="16"/>
          <w:b w:val="1"/>
          <w:bCs w:val="1"/>
          <w:color w:val="auto"/>
        </w:rPr>
        <w:t>Public Warrant 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WHEREAS, the Company has received a binding commitment from Ventoux Acquisition Holdings LLC to purchase up to 4,450,000 warrants and Chardan International Investments, LLC to purchase up to 2,225,000 warrants pursuant to the Subscription Agreements, dated as of _________, 2020 (collectively,</w:t>
      </w:r>
    </w:p>
    <w:p>
      <w:pPr>
        <w:jc w:val="both"/>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Subscription Agreements</w:t>
      </w:r>
      <w:r>
        <w:rPr>
          <w:rFonts w:ascii="Arial" w:cs="Arial" w:eastAsia="Arial" w:hAnsi="Arial"/>
          <w:sz w:val="18"/>
          <w:szCs w:val="18"/>
          <w:color w:val="auto"/>
        </w:rPr>
        <w:t>”), and in connection therewith, will issue and deliver up to 6,675,000 warrants (the “</w:t>
      </w:r>
      <w:r>
        <w:rPr>
          <w:rFonts w:ascii="Arial" w:cs="Arial" w:eastAsia="Arial" w:hAnsi="Arial"/>
          <w:sz w:val="18"/>
          <w:szCs w:val="18"/>
          <w:b w:val="1"/>
          <w:bCs w:val="1"/>
          <w:color w:val="auto"/>
        </w:rPr>
        <w:t>Private Warrants</w:t>
      </w:r>
      <w:r>
        <w:rPr>
          <w:rFonts w:ascii="Arial" w:cs="Arial" w:eastAsia="Arial" w:hAnsi="Arial"/>
          <w:sz w:val="18"/>
          <w:szCs w:val="18"/>
          <w:color w:val="auto"/>
        </w:rPr>
        <w:t>”,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each whole Private Warrant entitling its holder to purchase one share of Common Stock (“</w:t>
      </w:r>
      <w:r>
        <w:rPr>
          <w:rFonts w:ascii="Arial" w:cs="Arial" w:eastAsia="Arial" w:hAnsi="Arial"/>
          <w:sz w:val="18"/>
          <w:szCs w:val="18"/>
          <w:b w:val="1"/>
          <w:bCs w:val="1"/>
          <w:color w:val="auto"/>
        </w:rPr>
        <w:t>Private Warrant Shares</w:t>
      </w:r>
      <w:r>
        <w:rPr>
          <w:rFonts w:ascii="Arial" w:cs="Arial" w:eastAsia="Arial" w:hAnsi="Arial"/>
          <w:sz w:val="18"/>
          <w:szCs w:val="18"/>
          <w:color w:val="auto"/>
        </w:rPr>
        <w:t>”, and together with the Public Warrant Shares,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may issue such additional warrants to purchase shares of Common Stock hereunder from time to time (together with the Public Warrants and the Private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WHEREAS, the Company has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 Registration Statement on Form S-1, No. 333-251048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among other securities, the Public Warrants;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firstLine="8"/>
        <w:spacing w:after="0" w:line="263" w:lineRule="auto"/>
        <w:tabs>
          <w:tab w:leader="none" w:pos="86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83" w:lineRule="exact"/>
        <w:rPr>
          <w:rFonts w:ascii="Arial" w:cs="Arial" w:eastAsia="Arial" w:hAnsi="Arial"/>
          <w:sz w:val="18"/>
          <w:szCs w:val="18"/>
          <w:color w:val="auto"/>
        </w:rPr>
      </w:pPr>
    </w:p>
    <w:p>
      <w:pPr>
        <w:ind w:left="720" w:hanging="71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Warrant other than a Private Warrant shall be: (a) issued in registered form only, (b) in substantially the form of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hereto, the provisions of which are incorporated herein and (c) signed by, or bear the facsimile signature of, the Chairman of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Each of the securities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7"/>
          <w:szCs w:val="17"/>
          <w:b w:val="1"/>
          <w:bCs w:val="1"/>
          <w:color w:val="auto"/>
        </w:rPr>
        <w:t>Representative</w:t>
      </w:r>
      <w:r>
        <w:rPr>
          <w:rFonts w:ascii="Arial" w:cs="Arial" w:eastAsia="Arial" w:hAnsi="Arial"/>
          <w:sz w:val="17"/>
          <w:szCs w:val="17"/>
          <w:color w:val="auto"/>
        </w:rPr>
        <w:t>”), shall determine is acceptable (such date, the “</w:t>
      </w:r>
      <w:r>
        <w:rPr>
          <w:rFonts w:ascii="Arial" w:cs="Arial" w:eastAsia="Arial" w:hAnsi="Arial"/>
          <w:sz w:val="17"/>
          <w:szCs w:val="17"/>
          <w:b w:val="1"/>
          <w:bCs w:val="1"/>
          <w:color w:val="auto"/>
        </w:rPr>
        <w:t>Detachment Date</w:t>
      </w:r>
      <w:r>
        <w:rPr>
          <w:rFonts w:ascii="Arial" w:cs="Arial" w:eastAsia="Arial" w:hAnsi="Arial"/>
          <w:sz w:val="17"/>
          <w:szCs w:val="17"/>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Private Warrants</w:t>
      </w:r>
      <w:r>
        <w:rPr>
          <w:rFonts w:ascii="Arial" w:cs="Arial" w:eastAsia="Arial" w:hAnsi="Arial"/>
          <w:sz w:val="17"/>
          <w:szCs w:val="17"/>
          <w:color w:val="auto"/>
        </w:rPr>
        <w:t xml:space="preserve">. The Private Warrants (i) will be exercisable either for cash or on a cashless basis at the holder’s option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hereof and (ii) will not be redeemable by the Company, in either case as long as the Private Warrants are held by the initial purchasers or any of their permitted transferees (as prescribed in the Subscription Agreements).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 (360) 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77" w:lineRule="exact"/>
        <w:rPr>
          <w:sz w:val="20"/>
          <w:szCs w:val="20"/>
          <w:color w:val="auto"/>
        </w:rPr>
      </w:pPr>
    </w:p>
    <w:p>
      <w:pPr>
        <w:ind w:left="720" w:hanging="712"/>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$11.50 per full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xml:space="preserve">”) commencing on the later to occur of (i) the completion of the Company’s initial business combination and (ii) 12 months following the closing of the Public Offering,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International Investments, LLC,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once the Private Warrants are not beneficially owned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Subject to Section 2.4,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11" w:lineRule="exact"/>
        <w:rPr>
          <w:sz w:val="20"/>
          <w:szCs w:val="20"/>
          <w:color w:val="auto"/>
        </w:rPr>
      </w:pPr>
    </w:p>
    <w:p>
      <w:pPr>
        <w:jc w:val="both"/>
        <w:ind w:left="1960" w:hanging="8"/>
        <w:spacing w:after="0" w:line="257" w:lineRule="auto"/>
        <w:tabs>
          <w:tab w:leader="none" w:pos="30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New York Stock Exchange, the NYSE American, the NASDAQ Global Select Market, the NASDAQ Global Market or the NASDAQ Capital Market (each, a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left="1960" w:hanging="8"/>
        <w:spacing w:after="0" w:line="259" w:lineRule="auto"/>
        <w:tabs>
          <w:tab w:leader="none" w:pos="262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hanging="8"/>
        <w:spacing w:after="0" w:line="277" w:lineRule="auto"/>
        <w:tabs>
          <w:tab w:leader="none" w:pos="27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296"/>
        <w:spacing w:after="0" w:line="284"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78" w:lineRule="exact"/>
        <w:rPr>
          <w:sz w:val="20"/>
          <w:szCs w:val="20"/>
          <w:color w:val="auto"/>
        </w:rPr>
      </w:pPr>
    </w:p>
    <w:p>
      <w:pPr>
        <w:ind w:left="720" w:hanging="712"/>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648"/>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w:t>
      </w:r>
    </w:p>
    <w:p>
      <w:pPr>
        <w:spacing w:after="0" w:line="1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w:t>
      </w:r>
    </w:p>
    <w:p>
      <w:pPr>
        <w:jc w:val="both"/>
        <w:ind w:firstLine="8"/>
        <w:spacing w:after="0" w:line="287" w:lineRule="auto"/>
        <w:tabs>
          <w:tab w:leader="none" w:pos="2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70" w:lineRule="exact"/>
        <w:rPr>
          <w:sz w:val="20"/>
          <w:szCs w:val="20"/>
          <w:color w:val="auto"/>
        </w:rPr>
      </w:pPr>
    </w:p>
    <w:p>
      <w:pPr>
        <w:ind w:left="720" w:hanging="712"/>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ind w:left="720" w:hanging="71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provided that the last sales price of the shares of Common Stock has been equal to or greater than $16.50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720" w:hanging="712"/>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shares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left="720" w:hanging="712"/>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720" w:hanging="712"/>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Giovanni Caruso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7"/>
          <w:szCs w:val="17"/>
          <w:u w:val="single" w:color="auto"/>
          <w:color w:val="auto"/>
        </w:rPr>
        <w:t>Section 9.3</w:t>
      </w:r>
      <w:r>
        <w:rPr>
          <w:rFonts w:ascii="Arial" w:cs="Arial" w:eastAsia="Arial" w:hAnsi="Arial"/>
          <w:sz w:val="17"/>
          <w:szCs w:val="17"/>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 Warrant holder's counsel in the foreign action as agent for such Warrant holder.</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Warrant Agreement and any Warrant certificate may be amended by the parties hereto by executing a supplemental warrant agreement (a “</w:t>
      </w:r>
      <w:r>
        <w:rPr>
          <w:rFonts w:ascii="Arial" w:cs="Arial" w:eastAsia="Arial" w:hAnsi="Arial"/>
          <w:sz w:val="16"/>
          <w:szCs w:val="16"/>
          <w:b w:val="1"/>
          <w:bCs w:val="1"/>
          <w:color w:val="auto"/>
        </w:rPr>
        <w:t>Supplemental Agreement</w:t>
      </w:r>
      <w:r>
        <w:rPr>
          <w:rFonts w:ascii="Arial" w:cs="Arial" w:eastAsia="Arial" w:hAnsi="Arial"/>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w:t>
      </w:r>
    </w:p>
    <w:p>
      <w:pPr>
        <w:spacing w:after="0" w:line="4" w:lineRule="exact"/>
        <w:rPr>
          <w:sz w:val="20"/>
          <w:szCs w:val="20"/>
          <w:color w:val="auto"/>
        </w:rPr>
      </w:pPr>
    </w:p>
    <w:p>
      <w:pPr>
        <w:jc w:val="both"/>
        <w:ind w:firstLine="8"/>
        <w:spacing w:after="0" w:line="252" w:lineRule="auto"/>
        <w:tabs>
          <w:tab w:leader="none" w:pos="32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4.5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__________, 2020, by and between Ventoux CCM Acquisition Corp., a Delaware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Continental Stock Transfer &amp; Trust Company, a New York corporation (the “</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15,000,000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2,250,000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one right to receive one-twentieth of one share of Common Stock upon the happening of the triggering event described herein (the “</w:t>
      </w:r>
      <w:r>
        <w:rPr>
          <w:rFonts w:ascii="Arial" w:cs="Arial" w:eastAsia="Arial" w:hAnsi="Arial"/>
          <w:sz w:val="18"/>
          <w:szCs w:val="18"/>
          <w:b w:val="1"/>
          <w:bCs w:val="1"/>
          <w:color w:val="auto"/>
        </w:rPr>
        <w:t>Right</w:t>
      </w:r>
      <w:r>
        <w:rPr>
          <w:rFonts w:ascii="Arial" w:cs="Arial" w:eastAsia="Arial" w:hAnsi="Arial"/>
          <w:sz w:val="18"/>
          <w:szCs w:val="18"/>
          <w:color w:val="auto"/>
        </w:rPr>
        <w:t>”), and one warrant to purchase one-half of one share of Common Stock (the “</w:t>
      </w:r>
      <w:r>
        <w:rPr>
          <w:rFonts w:ascii="Arial" w:cs="Arial" w:eastAsia="Arial" w:hAnsi="Arial"/>
          <w:sz w:val="18"/>
          <w:szCs w:val="18"/>
          <w:b w:val="1"/>
          <w:bCs w:val="1"/>
          <w:color w:val="auto"/>
        </w:rPr>
        <w:t>Warrant</w:t>
      </w:r>
      <w:r>
        <w:rPr>
          <w:rFonts w:ascii="Arial" w:cs="Arial" w:eastAsia="Arial" w:hAnsi="Arial"/>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File No. 333-251048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Rights and the shares of Common Stock issuable to the holders of the Rights;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Rights Agent to act on behalf of the Company, and the Rights Agent is willing to so act, in connection with the issuance, registration, transfer and exchange of the Rights;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to provide for the form and provisions of the Rights, the terms upon which they shall be issued, and the respective rights, limitation of rights, and immunities of the Company, the Rights Agent, and the holders of the Rights; and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Rights, when executed on behalf of the Company and countersigned by or on behalf of the Rights Agent, as provided herein, the valid, binding and legal obligations of the Company, and to authorize the execution and delivery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08" w:lineRule="auto"/>
        <w:tabs>
          <w:tab w:leader="none" w:pos="183"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Appointment of Rights Agent</w:t>
      </w:r>
      <w:r>
        <w:rPr>
          <w:rFonts w:ascii="Arial" w:cs="Arial" w:eastAsia="Arial" w:hAnsi="Arial"/>
          <w:sz w:val="17"/>
          <w:szCs w:val="17"/>
          <w:color w:val="auto"/>
        </w:rPr>
        <w:t>. The Company hereby appoints the Rights Agent to act as agent for the Company for the Rights, and the Rights Agent hereby accepts such appointment and agrees to perform the same in accordance with the terms and conditions set forth in this Agreement.</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Right</w:t>
      </w:r>
      <w:r>
        <w:rPr>
          <w:rFonts w:ascii="Arial" w:cs="Arial" w:eastAsia="Arial" w:hAnsi="Arial"/>
          <w:sz w:val="18"/>
          <w:szCs w:val="18"/>
          <w:color w:val="auto"/>
        </w:rPr>
        <w:t xml:space="preserve">. Each Right shall be issued in registered form only, shall be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provisions of which are incorporated herein and shall be signed by, or bear the facsimile signature of, the Chairman of the Board, the Chief Executive Officer or the Chief Financial Officer of the Company. In the event the person whose facsimile signature has been placed upon any Right shall have ceased to serve in the capacity in which such person signed the Right before such Right is issued, it may be issued with the same effect as if he or she had not ceased to be such at the date of issuance.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Rights Agent pursuant to this Agreement, a Right shall be invalid and of no effect and may not be exchanged for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Right Register</w:t>
      </w:r>
      <w:r>
        <w:rPr>
          <w:rFonts w:ascii="Arial" w:cs="Arial" w:eastAsia="Arial" w:hAnsi="Arial"/>
          <w:sz w:val="17"/>
          <w:szCs w:val="17"/>
          <w:color w:val="auto"/>
        </w:rPr>
        <w:t>. The Rights Agent shall maintain books (the “</w:t>
      </w:r>
      <w:r>
        <w:rPr>
          <w:rFonts w:ascii="Arial" w:cs="Arial" w:eastAsia="Arial" w:hAnsi="Arial"/>
          <w:sz w:val="17"/>
          <w:szCs w:val="17"/>
          <w:b w:val="1"/>
          <w:bCs w:val="1"/>
          <w:color w:val="auto"/>
        </w:rPr>
        <w:t>Right Register</w:t>
      </w:r>
      <w:r>
        <w:rPr>
          <w:rFonts w:ascii="Arial" w:cs="Arial" w:eastAsia="Arial" w:hAnsi="Arial"/>
          <w:sz w:val="17"/>
          <w:szCs w:val="17"/>
          <w:color w:val="auto"/>
        </w:rPr>
        <w:t>”) for the registration of original issuance and the registration of transfer of the Rights. Upon the initial issuance of the Rights, the Rights Agent shall issue and register the Rights in the names of the respective holders thereof in such denominations and otherwise in accordance with instructions delivered to the Rights Agent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2" w:name="page213"/>
    <w:bookmarkEnd w:id="212"/>
    <w:p>
      <w:pPr>
        <w:jc w:val="both"/>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Right, the Company and the Rights Agent may deem and treat the person in whose name such Right shall be registered upon the Right Register (the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Right and of each Right represented thereby (notwithstanding any notation of ownership or other writing on the Right Certificate made by anyone other than the Company or the Rights Agent), for the purpose of the exchange thereof, and for all other purposes, and neither the Company nor the Rights Agent shall be affected by any notice to the contrary.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Detachability of Rights</w:t>
      </w:r>
      <w:r>
        <w:rPr>
          <w:rFonts w:ascii="Arial" w:cs="Arial" w:eastAsia="Arial" w:hAnsi="Arial"/>
          <w:sz w:val="18"/>
          <w:szCs w:val="18"/>
          <w:color w:val="auto"/>
        </w:rPr>
        <w:t>. Each of the securities comprising the Units will begin to trade separately on (i) the 90th day after the effectiveness of the Registration Statement, or (ii) such earlier date as Chardan Capital Markets, LLC, as representative of the underwriters, shall determine is acceptable (such date, the “</w:t>
      </w:r>
      <w:r>
        <w:rPr>
          <w:rFonts w:ascii="Arial" w:cs="Arial" w:eastAsia="Arial" w:hAnsi="Arial"/>
          <w:sz w:val="18"/>
          <w:szCs w:val="18"/>
          <w:b w:val="1"/>
          <w:bCs w:val="1"/>
          <w:color w:val="auto"/>
        </w:rPr>
        <w:t>Detachment Date</w:t>
      </w:r>
      <w:r>
        <w:rPr>
          <w:rFonts w:ascii="Arial" w:cs="Arial" w:eastAsia="Arial" w:hAnsi="Arial"/>
          <w:sz w:val="18"/>
          <w:szCs w:val="18"/>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 Upon the Detachment Date, the Units will no longer trade, and each holder of Units will become, without any action by such holder, the holder of that number of shares of Common Stock, Warrants and Rights comprising the Units held by such holder.</w:t>
      </w:r>
    </w:p>
    <w:p>
      <w:pPr>
        <w:spacing w:after="0" w:line="195" w:lineRule="exact"/>
        <w:rPr>
          <w:sz w:val="20"/>
          <w:szCs w:val="20"/>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Terms and Exchange of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Rights</w:t>
      </w:r>
      <w:r>
        <w:rPr>
          <w:rFonts w:ascii="Arial" w:cs="Arial" w:eastAsia="Arial" w:hAnsi="Arial"/>
          <w:sz w:val="18"/>
          <w:szCs w:val="18"/>
          <w:color w:val="auto"/>
        </w:rPr>
        <w:t>. Each Right shall entitle the holder thereof to receive one-twentieth of one share of Common Stock upon the happening of an Exchange Event (defined below). No additional consideration shall be paid by a holder of Rights in order to receive his, her or its shares of Common Stock upon an Exchange Event as the purchase price for such shares of Common Stock has been included in the purchase price for the Units. In no event will the Company be required to net cash settle the Rights or issue fractional shares of Common Stock.</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Exchange Event</w:t>
      </w:r>
      <w:r>
        <w:rPr>
          <w:rFonts w:ascii="Arial" w:cs="Arial" w:eastAsia="Arial" w:hAnsi="Arial"/>
          <w:sz w:val="18"/>
          <w:szCs w:val="18"/>
          <w:color w:val="auto"/>
        </w:rPr>
        <w:t>. An “</w:t>
      </w:r>
      <w:r>
        <w:rPr>
          <w:rFonts w:ascii="Arial" w:cs="Arial" w:eastAsia="Arial" w:hAnsi="Arial"/>
          <w:sz w:val="18"/>
          <w:szCs w:val="18"/>
          <w:b w:val="1"/>
          <w:bCs w:val="1"/>
          <w:color w:val="auto"/>
        </w:rPr>
        <w:t>Exchange Event</w:t>
      </w:r>
      <w:r>
        <w:rPr>
          <w:rFonts w:ascii="Arial" w:cs="Arial" w:eastAsia="Arial" w:hAnsi="Arial"/>
          <w:sz w:val="18"/>
          <w:szCs w:val="18"/>
          <w:color w:val="auto"/>
        </w:rPr>
        <w:t>” shall occur upon the Company’s consummation of an initial Business Combination (as defined in the Company’s Amended and Restated Certificate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Exchange of 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Issuance of Shares of Common Stock</w:t>
      </w:r>
      <w:r>
        <w:rPr>
          <w:rFonts w:ascii="Arial" w:cs="Arial" w:eastAsia="Arial" w:hAnsi="Arial"/>
          <w:sz w:val="17"/>
          <w:szCs w:val="17"/>
          <w:color w:val="auto"/>
        </w:rPr>
        <w:t>. As soon as practicable upon the occurrence of an Exchange Event, the Company shall direct holders of the Rights to return their Rights Certificates to the Rights Agent. Upon receipt of a valid Rights Certificate, the Company shall issue to the registered holder of such Right(s) the number of full shares of Common Stock to which he, she or it is entitled, registered in such name or names as may be directed by him, her or it and issue to such registered holder(s) a certificate or book-entry position for the such shares. Notwithstanding the foregoing, or any provision contained in this Agreement to the contrary, in no event will the Company be required to net cash settle the Rights. The Company shall not issue fractional shares upon exchange of Rights. In the event that any holder would otherwise be entitled to any fractional share upon exchange of Rights, at the time of an Exchange Event, the Company will instruct the Right Agent how any such entitlement will be addressed. To the fullest extent permitted by the Company’s Amended and Restated Certificate of Incorporation the Company reserves the right to deal with any such fractional entitlement at the relevant time in any manner permitted by the Act and the Amended and Restated Certificate of Incorporation, which would include the rounding down of any entitlement to receive shares of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an Exchange Event in conformity with this Agreement shall be validly issued, fully paid and nonassessable.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such certificate or book-entry position for shares of Common Stock is issued shall for all purposes be deemed to have become the holder of record of such shares on the date of the Exchange Event, irrespective of the date of delivery of such certificate or entry of position.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Company Not Surviving Following Exchange Event</w:t>
      </w:r>
      <w:r>
        <w:rPr>
          <w:rFonts w:ascii="Arial" w:cs="Arial" w:eastAsia="Arial" w:hAnsi="Arial"/>
          <w:sz w:val="17"/>
          <w:szCs w:val="17"/>
          <w:color w:val="auto"/>
        </w:rPr>
        <w:t>. Upon an Exchange Event in which the Company does not continue as the publicly held reporting entity, the definitive agreement will provide for the holders of Rights to receive the same per share consideration the holders of the shares of Common Stock will receive in such transaction, for the number of shares such holder is entitled to pursuant to Section 3.3.1 above. If the Company does not continue as the publicly held reporting entity upon an Exchange Event, each holder of a Right will be required to affirmatively convert his/her or its rights in order to receive the one-twentieth of one share underlying each right (without paying any additional consideration) upon consummation of the Exchange Event. In such a case, each holder of a Right will be required to indicate his, her or its election to convert the Rights into underlying shares of Common Stock as well as to return the original certificates evidencing the Rights to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3" w:name="page214"/>
    <w:bookmarkEnd w:id="213"/>
    <w:p>
      <w:pPr>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Duration of Rights</w:t>
      </w:r>
      <w:r>
        <w:rPr>
          <w:rFonts w:ascii="Arial" w:cs="Arial" w:eastAsia="Arial" w:hAnsi="Arial"/>
          <w:sz w:val="18"/>
          <w:szCs w:val="18"/>
          <w:color w:val="auto"/>
        </w:rPr>
        <w:t>. If an Exchange Event does not occur within the time period set forth in the Company’s Amended and Restated Certificate of Incorporation, as the same may be amended from time to time, the Rights shall expire and shall be worthless.</w:t>
      </w:r>
    </w:p>
    <w:p>
      <w:pPr>
        <w:spacing w:after="0" w:line="170" w:lineRule="exact"/>
        <w:rPr>
          <w:sz w:val="20"/>
          <w:szCs w:val="20"/>
          <w:color w:val="auto"/>
        </w:rPr>
      </w:pPr>
    </w:p>
    <w:p>
      <w:pPr>
        <w:ind w:left="180" w:hanging="172"/>
        <w:spacing w:after="0"/>
        <w:tabs>
          <w:tab w:leader="none" w:pos="1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Registration of Transfer</w:t>
      </w:r>
      <w:r>
        <w:rPr>
          <w:rFonts w:ascii="Arial" w:cs="Arial" w:eastAsia="Arial" w:hAnsi="Arial"/>
          <w:sz w:val="17"/>
          <w:szCs w:val="17"/>
          <w:color w:val="auto"/>
        </w:rPr>
        <w:t>. The Rights Agent shall register the transfer, from time to time, of any outstanding Right upon the Right Register, upon surrender of such Right for transfer, properly endorsed with signatures properly guaranteed and accompanied by appropriate instructions for transfer. Upon any such transfer, a new Right representing an equal aggregate number of Rights shall be issued and the old Right shall be cancelled by the Rights Agent. The Rights so cancelled shall be delivered by the Rights Agent to the Company from time to time upon request.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Procedure for Surrender of Rights</w:t>
      </w:r>
      <w:r>
        <w:rPr>
          <w:rFonts w:ascii="Arial" w:cs="Arial" w:eastAsia="Arial" w:hAnsi="Arial"/>
          <w:sz w:val="18"/>
          <w:szCs w:val="18"/>
          <w:color w:val="auto"/>
        </w:rPr>
        <w:t>. Rights may be surrendered to the Rights Agent, together with a written request for exchange or transfer, and thereupon the Rights Agent shall issue in exchange therefor one or more new Rights as requested by the registered holder of the Rights so surrendered, representing an equal aggregate number of Rights; provided, however, that in the event that a Right surrendered for transfer bears a restrictive legend and the new Rights to be issued will not bear a restrictive legend, the Rights Agent shall not cancel such Right and issue new Rights in exchange therefor until the Rights Agent has received an opinion of counsel for the Company stating that such transfer may be made and indicating no restrictive legend is required.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Fractional Rights</w:t>
      </w:r>
      <w:r>
        <w:rPr>
          <w:rFonts w:ascii="Arial" w:cs="Arial" w:eastAsia="Arial" w:hAnsi="Arial"/>
          <w:sz w:val="18"/>
          <w:szCs w:val="18"/>
          <w:color w:val="auto"/>
        </w:rPr>
        <w:t>. The Rights Agent shall not be required to effect any registration of transfer or exchange which will result in the issuance of a Right Certificate for a fraction of a Right.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 to Conversion Ratios</w:t>
      </w:r>
      <w:r>
        <w:rPr>
          <w:rFonts w:ascii="Arial" w:cs="Arial" w:eastAsia="Arial" w:hAnsi="Arial"/>
          <w:sz w:val="18"/>
          <w:szCs w:val="18"/>
          <w:color w:val="auto"/>
        </w:rPr>
        <w:t>. The number of shares of Common Stock that the holders of Rights are entitled to receive as a result of the occurrence of an Exchange Event shall be equitably adjusted to reflect appropriately the effect of any share split, reverse share split, share dividend, reorganization, recapitalization, reclassification, combination, exchange of shares or other like change with respect to the shares of Common Stock occurring on or after the date hereof and prior to the Exchange Event.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4.6. Right Execution and Countersignature. The Rights Agent is hereby authorized to countersign and to deliver, in accordance with the terms of this Agreement, the Rights required to be issued pursuant to the provisions of this Section 4, and the Company, whenever required by the Rights Agent, will supply the Rights Agent with Rights duly executed on behalf of the Company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-311150</wp:posOffset>
            </wp:positionV>
            <wp:extent cx="18434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64"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Rights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5.1. No Rights as Stockholder. Until the exchange of a Right for shares of Common Stock as provided for herein, a Right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-446405</wp:posOffset>
            </wp:positionV>
            <wp:extent cx="12255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5.2. Lost, Stolen, Mutilated, or Destroyed Rights. If any Right is lost, stolen, mutilated, or destroyed, the Company and the Rights Agent may on such terms as to indemnity or otherwise as they may in their discretion impose (which shall, in the case of a mutilated Right, include the surrender thereof), issue a new Right of like denomination, tenor, and date as the Right so lost, stolen, mutilated, or destroyed. Any such new Right shall constitute a substitute contractual obligation of the Company, whether or not the allegedly lost, stolen, mutilated, or destroyed Right shall be at any time enforceable by anyone.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-464820</wp:posOffset>
            </wp:positionV>
            <wp:extent cx="21278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2127885"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will be sufficient to permit the exchange of all outstanding Rights issued pursuant to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4" w:name="page215"/>
    <w:bookmarkEnd w:id="214"/>
    <w:p>
      <w:pPr>
        <w:ind w:left="180" w:hanging="172"/>
        <w:spacing w:after="0"/>
        <w:tabs>
          <w:tab w:leader="none" w:pos="1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Concerning the Rights Agent and Other Matters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Rights Agent in respect of the issuance or delivery of shares of Common Stock upon the exchange of Rights, but the Company shall not be obligated to pay any transfer taxes in respect of the Rights or such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Resignation, Consolidation, or Merger of Rights Agent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u w:val="single" w:color="auto"/>
          <w:color w:val="auto"/>
        </w:rPr>
        <w:t>Appointment of Successor Rights Agent</w:t>
      </w:r>
      <w:r>
        <w:rPr>
          <w:rFonts w:ascii="Arial" w:cs="Arial" w:eastAsia="Arial" w:hAnsi="Arial"/>
          <w:sz w:val="17"/>
          <w:szCs w:val="17"/>
          <w:color w:val="auto"/>
        </w:rPr>
        <w:t>. The Rights Agent, or any successor to it hereafter appointed, may resign its duties and be discharged from all further duties and liabilities hereunder after giving sixty (60) days’ notice in writing to the Company. If the office of the Rights Agent becomes vacant by resignation or incapacity to act or otherwise, the Company shall appoint in writing a successor Rights Agent in place of the Rights Agent. If the Company shall fail to make such appointment within a period of 30 days after it has been notified in writing of such resignation or incapacity by the Rights Agent or by the holder of the Right (who shall, with such notice, submit his, her or its Right for inspection by the Company), then the holder of any Right may apply to the Supreme Court of the State of New York for the County of New York for the appointment of a successor Rights Agent at the Company’s cost. Any successor Rights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Rights Agent shall be vested with all the authority, powers, rights, immunities, duties, and obligations of its predecessor Rights Agent with like effect as if originally named as Rights Agent hereunder, without any further act or deed; but if for any reason it becomes necessary or appropriate, the predecessor Rights Agent shall execute and deliver, at the expense of the Company, an instrument transferring to such successor Rights Agent all the authority, powers, and rights of such predecessor Rights Agent hereunder; and upon request of any successor Rights Agent the Company shall make, execute, acknowledge, and deliver any and all instruments in writing for more fully and effectually vesting in and confirming to such successor Rights Agent all such authority, powers, rights, immunities, duties, and obligations.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Notice of Successor Rights Agent</w:t>
      </w:r>
      <w:r>
        <w:rPr>
          <w:rFonts w:ascii="Arial" w:cs="Arial" w:eastAsia="Arial" w:hAnsi="Arial"/>
          <w:sz w:val="17"/>
          <w:szCs w:val="17"/>
          <w:color w:val="auto"/>
        </w:rPr>
        <w:t>. In the event a successor Rights Agent shall be appointed, the Company shall give notice thereof to the predecessor Rights Agent and the transfer agent for the shares of Common Stock not later than the effective date of any such appointment.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Merger or Consolidation of Rights Agent</w:t>
      </w:r>
      <w:r>
        <w:rPr>
          <w:rFonts w:ascii="Arial" w:cs="Arial" w:eastAsia="Arial" w:hAnsi="Arial"/>
          <w:sz w:val="18"/>
          <w:szCs w:val="18"/>
          <w:color w:val="auto"/>
        </w:rPr>
        <w:t>. Any corporation into which the Rights Agent may be merged or with which it may be consolidated or any corporation resulting from any merger or consolidation to which the Rights Agent shall be a party shall be the successor Rights Agent under this Agreement without any further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Fees and Expenses of Rights Agent</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6.3.1.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Rights Agent reasonable remuneration for its services as such Rights Agent hereunder and will reimburse the Rights Agent upon demand for all expenditures that the Rights Agent may reasonably incur in the execution of its duties hereunder.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Rights Agent for the carrying out or performing of the provisions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Liability of Rights Agent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Chief Financial Officer and delivered to the Rights Agent. The Rights Agent may rely upon such statement for any action taken or suffered in good faith by it pursuant to the provisions of this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u w:val="single" w:color="auto"/>
          <w:color w:val="auto"/>
        </w:rPr>
        <w:t>Indemnity</w:t>
      </w:r>
      <w:r>
        <w:rPr>
          <w:rFonts w:ascii="Arial" w:cs="Arial" w:eastAsia="Arial" w:hAnsi="Arial"/>
          <w:sz w:val="18"/>
          <w:szCs w:val="18"/>
          <w:color w:val="auto"/>
        </w:rPr>
        <w:t>. The Rights Agent shall be liable hereunder only for its own gross negligence, willful misconduct or bad faith. Subject to Section 6.6 below, the Company agrees to indemnify the Rights Agent and save it harmless against any and all liabilities, including judgments, costs and reasonable counsel fees, for anything done or omitted by the Rights Agent in the execution of this Agreement except as a result of the Rights Agent’s gross negligence, willful misconduct, or bad faith.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5" w:name="page216"/>
    <w:bookmarkEnd w:id="215"/>
    <w:p>
      <w:pPr>
        <w:jc w:val="both"/>
        <w:spacing w:after="0" w:line="257" w:lineRule="auto"/>
        <w:rPr>
          <w:sz w:val="20"/>
          <w:szCs w:val="20"/>
          <w:color w:val="auto"/>
        </w:rPr>
      </w:pPr>
      <w:r>
        <w:rPr>
          <w:rFonts w:ascii="Arial" w:cs="Arial" w:eastAsia="Arial" w:hAnsi="Arial"/>
          <w:sz w:val="18"/>
          <w:szCs w:val="18"/>
          <w:color w:val="auto"/>
        </w:rPr>
        <w:t xml:space="preserve">6.4.3. </w:t>
      </w:r>
      <w:r>
        <w:rPr>
          <w:rFonts w:ascii="Arial" w:cs="Arial" w:eastAsia="Arial" w:hAnsi="Arial"/>
          <w:sz w:val="18"/>
          <w:szCs w:val="18"/>
          <w:u w:val="single" w:color="auto"/>
          <w:color w:val="auto"/>
        </w:rPr>
        <w:t>Exclusions</w:t>
      </w:r>
      <w:r>
        <w:rPr>
          <w:rFonts w:ascii="Arial" w:cs="Arial" w:eastAsia="Arial" w:hAnsi="Arial"/>
          <w:sz w:val="18"/>
          <w:szCs w:val="18"/>
          <w:color w:val="auto"/>
        </w:rPr>
        <w:t>. The Rights Agent shall have no responsibility with respect to the validity of this Agreement or with respect to the validity or execution of any Right (except its countersignature thereof); nor shall it be responsible for any breach by the Company of any covenant or condition contained in this Agreement or in any Right; nor shall it by any act hereunder be deemed to make any representation or warranty as to the authorization or reservation of any shares of Common Stock to be issued pursuant to this Agreement or any Right or as to whether any shares of Common Stock will when issued be valid and fully paid and nonassessable.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Rights Agent hereby accepts the agency established by this Agreement and agrees to perform the same upon the terms and conditions herein set forth.</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w:t>
      </w:r>
      <w:r>
        <w:rPr>
          <w:rFonts w:ascii="Arial" w:cs="Arial" w:eastAsia="Arial" w:hAnsi="Arial"/>
          <w:sz w:val="18"/>
          <w:szCs w:val="18"/>
          <w:color w:val="auto"/>
        </w:rPr>
        <w:t>. The Rights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Rights Agent as trustee thereunder) and hereby agrees not to seek recourse, reimbursement, payment or satisfaction for any Claim against the Trust Account for any reason whatsoever.</w:t>
      </w:r>
    </w:p>
    <w:p>
      <w:pPr>
        <w:spacing w:after="0" w:line="184" w:lineRule="exact"/>
        <w:rPr>
          <w:sz w:val="20"/>
          <w:szCs w:val="20"/>
          <w:color w:val="auto"/>
        </w:rPr>
      </w:pPr>
    </w:p>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statement or demand authorized by this Agreement to be given or made by the Rights Agent or by the holder of any Right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Rights Agent),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Giovanni Caruso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notice, statement or demand authorized by this Agreement to be given or made by the holder of any Right or by the Company to or on the Rights Agent shall be sufficiently given when so delivered if by hand or overnight delivery or if sent by certified mail or private courier service within five days after deposit of such notice, postage prepaid, addressed (until another address is filed in writing by the Rights Agent with the Company),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Applicable Law and Exclusive Forum</w:t>
      </w:r>
      <w:r>
        <w:rPr>
          <w:rFonts w:ascii="Arial" w:cs="Arial" w:eastAsia="Arial" w:hAnsi="Arial"/>
          <w:sz w:val="17"/>
          <w:szCs w:val="17"/>
          <w:color w:val="auto"/>
        </w:rPr>
        <w:t>. The validity, interpretation, and performance of this Agreement and of the Rights shall be governed in all respects by the laws of the State of New York, without giving effect to conflict of laws. Subject to applicable law, the Company and the Rights Agent hereby agree that any action, proceeding or claim against either of them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Rights Agent hereby waive any objection to such exclusive jurisdiction and that such courts represent an inconvenient forum. Notwithstanding the foregoing, the provisions of this paragraph will not apply to suits brought to enforce any liability or duty created by the Securities Exchange Act of 1934, as amended, or any other claim for which the federal district courts of the United States of America are the sole and exclusive forum.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6" w:name="page217"/>
    <w:bookmarkEnd w:id="216"/>
    <w:p>
      <w:pPr>
        <w:jc w:val="both"/>
        <w:ind w:firstLine="648"/>
        <w:spacing w:after="0" w:line="272" w:lineRule="auto"/>
        <w:rPr>
          <w:sz w:val="20"/>
          <w:szCs w:val="20"/>
          <w:color w:val="auto"/>
        </w:rPr>
      </w:pPr>
      <w:r>
        <w:rPr>
          <w:rFonts w:ascii="Arial" w:cs="Arial" w:eastAsia="Arial" w:hAnsi="Arial"/>
          <w:sz w:val="17"/>
          <w:szCs w:val="17"/>
          <w:color w:val="auto"/>
        </w:rPr>
        <w:t>Any person or entity purchasing or otherwise acquiring any interest in the Rights shall be deemed to have notice of and to have consented to the forum provisions in this Section 7.3.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Rights holder, such Rights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Rights holder in any such enforcement action by service upon such Rights holder’s counsel in the foreign action as agent for such Rights holder.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Rights and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Rights.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Examination of the Right Agreement</w:t>
      </w:r>
      <w:r>
        <w:rPr>
          <w:rFonts w:ascii="Arial" w:cs="Arial" w:eastAsia="Arial" w:hAnsi="Arial"/>
          <w:sz w:val="18"/>
          <w:szCs w:val="18"/>
          <w:color w:val="auto"/>
        </w:rPr>
        <w:t>. A copy of this Agreement shall be available at all reasonable times at the office of the Rights Agent in the Borough of Manhattan, City and State of New York, for inspection by the registered holder of any Right. The Rights Agent may require any such holder to submit his, her or its Right for inspection by 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shall require the written consent or vote of the registered holders of a majority of the then outstanding Rights.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IN WITNESS WHEREOF, this Agreement has been duly executed by the parties hereto as of the day and year first above written.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[Signature Page to Rights Agreement]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341" w:right="117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28700" cy="10287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2420" w:type="dxa"/>
            <w:vAlign w:val="bottom"/>
          </w:tcPr>
          <w:p>
            <w:pPr>
              <w:spacing w:after="0"/>
              <w:rPr>
                <w:sz w:val="20"/>
                <w:szCs w:val="20"/>
                <w:color w:val="auto"/>
              </w:rPr>
            </w:pPr>
            <w:r>
              <w:rPr>
                <w:rFonts w:ascii="Arial" w:cs="Arial" w:eastAsia="Arial" w:hAnsi="Arial"/>
                <w:sz w:val="18"/>
                <w:szCs w:val="18"/>
                <w:color w:val="auto"/>
              </w:rPr>
              <w:t>345 Park Avenue</w:t>
            </w:r>
          </w:p>
        </w:tc>
        <w:tc>
          <w:tcPr>
            <w:tcW w:w="880" w:type="dxa"/>
            <w:vAlign w:val="bottom"/>
          </w:tcPr>
          <w:p>
            <w:pPr>
              <w:ind w:left="400"/>
              <w:spacing w:after="0"/>
              <w:rPr>
                <w:sz w:val="20"/>
                <w:szCs w:val="20"/>
                <w:color w:val="auto"/>
              </w:rPr>
            </w:pPr>
            <w:r>
              <w:rPr>
                <w:rFonts w:ascii="Arial" w:cs="Arial" w:eastAsia="Arial" w:hAnsi="Arial"/>
                <w:sz w:val="18"/>
                <w:szCs w:val="18"/>
                <w:b w:val="1"/>
                <w:bCs w:val="1"/>
                <w:color w:val="auto"/>
              </w:rPr>
              <w:t>Main</w:t>
            </w: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212.407.4000</w:t>
            </w:r>
          </w:p>
        </w:tc>
      </w:tr>
      <w:tr>
        <w:trPr>
          <w:trHeight w:val="234"/>
        </w:trPr>
        <w:tc>
          <w:tcPr>
            <w:tcW w:w="2420" w:type="dxa"/>
            <w:vAlign w:val="bottom"/>
          </w:tcPr>
          <w:p>
            <w:pPr>
              <w:spacing w:after="0"/>
              <w:rPr>
                <w:sz w:val="20"/>
                <w:szCs w:val="20"/>
                <w:color w:val="auto"/>
              </w:rPr>
            </w:pPr>
            <w:r>
              <w:rPr>
                <w:rFonts w:ascii="Arial" w:cs="Arial" w:eastAsia="Arial" w:hAnsi="Arial"/>
                <w:sz w:val="18"/>
                <w:szCs w:val="18"/>
                <w:color w:val="auto"/>
              </w:rPr>
              <w:t>New York, NY 10154-1895</w:t>
            </w:r>
          </w:p>
        </w:tc>
        <w:tc>
          <w:tcPr>
            <w:tcW w:w="880" w:type="dxa"/>
            <w:vAlign w:val="bottom"/>
          </w:tcPr>
          <w:p>
            <w:pPr>
              <w:ind w:left="400"/>
              <w:spacing w:after="0"/>
              <w:rPr>
                <w:sz w:val="20"/>
                <w:szCs w:val="20"/>
                <w:color w:val="auto"/>
              </w:rPr>
            </w:pPr>
            <w:r>
              <w:rPr>
                <w:rFonts w:ascii="Arial" w:cs="Arial" w:eastAsia="Arial" w:hAnsi="Arial"/>
                <w:sz w:val="18"/>
                <w:szCs w:val="18"/>
                <w:b w:val="1"/>
                <w:bCs w:val="1"/>
                <w:color w:val="auto"/>
              </w:rPr>
              <w:t>Fax</w:t>
            </w: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212.407.4990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Ventoux CCM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acted as counsel to Ventoux CCM Acquisition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covering an underwritten public offering of (i) 15,000,000 units (the “</w:t>
      </w:r>
      <w:r>
        <w:rPr>
          <w:rFonts w:ascii="Arial" w:cs="Arial" w:eastAsia="Arial" w:hAnsi="Arial"/>
          <w:sz w:val="16"/>
          <w:szCs w:val="16"/>
          <w:b w:val="1"/>
          <w:bCs w:val="1"/>
          <w:color w:val="auto"/>
        </w:rPr>
        <w:t>Units</w:t>
      </w:r>
      <w:r>
        <w:rPr>
          <w:rFonts w:ascii="Arial" w:cs="Arial" w:eastAsia="Arial" w:hAnsi="Arial"/>
          <w:sz w:val="16"/>
          <w:szCs w:val="16"/>
          <w:color w:val="auto"/>
        </w:rPr>
        <w:t>”), with each Unit consisting of one share of the Company’s common stock, par value $0.0001 (the “</w:t>
      </w:r>
      <w:r>
        <w:rPr>
          <w:rFonts w:ascii="Arial" w:cs="Arial" w:eastAsia="Arial" w:hAnsi="Arial"/>
          <w:sz w:val="16"/>
          <w:szCs w:val="16"/>
          <w:b w:val="1"/>
          <w:bCs w:val="1"/>
          <w:color w:val="auto"/>
        </w:rPr>
        <w:t>Common Stock</w:t>
      </w:r>
      <w:r>
        <w:rPr>
          <w:rFonts w:ascii="Arial" w:cs="Arial" w:eastAsia="Arial" w:hAnsi="Arial"/>
          <w:sz w:val="16"/>
          <w:szCs w:val="16"/>
          <w:color w:val="auto"/>
        </w:rPr>
        <w:t>”), one redeemable warrant (collectively the “</w:t>
      </w:r>
      <w:r>
        <w:rPr>
          <w:rFonts w:ascii="Arial" w:cs="Arial" w:eastAsia="Arial" w:hAnsi="Arial"/>
          <w:sz w:val="16"/>
          <w:szCs w:val="16"/>
          <w:b w:val="1"/>
          <w:bCs w:val="1"/>
          <w:color w:val="auto"/>
        </w:rPr>
        <w:t>Warrants</w:t>
      </w:r>
      <w:r>
        <w:rPr>
          <w:rFonts w:ascii="Arial" w:cs="Arial" w:eastAsia="Arial" w:hAnsi="Arial"/>
          <w:sz w:val="16"/>
          <w:szCs w:val="16"/>
          <w:color w:val="auto"/>
        </w:rPr>
        <w:t>”), each warrant entitling its holder to purchase one-half (1/2) of one share of Common Stock, and one right to receive one-twentieth of one share of Common Stock (collectively, the “</w:t>
      </w:r>
      <w:r>
        <w:rPr>
          <w:rFonts w:ascii="Arial" w:cs="Arial" w:eastAsia="Arial" w:hAnsi="Arial"/>
          <w:sz w:val="16"/>
          <w:szCs w:val="16"/>
          <w:b w:val="1"/>
          <w:bCs w:val="1"/>
          <w:color w:val="auto"/>
        </w:rPr>
        <w:t>Rights</w:t>
      </w:r>
      <w:r>
        <w:rPr>
          <w:rFonts w:ascii="Arial" w:cs="Arial" w:eastAsia="Arial" w:hAnsi="Arial"/>
          <w:sz w:val="16"/>
          <w:szCs w:val="16"/>
          <w:color w:val="auto"/>
        </w:rPr>
        <w:t>”), (ii) up to 2,250,000 Units (the “</w:t>
      </w:r>
      <w:r>
        <w:rPr>
          <w:rFonts w:ascii="Arial" w:cs="Arial" w:eastAsia="Arial" w:hAnsi="Arial"/>
          <w:sz w:val="16"/>
          <w:szCs w:val="16"/>
          <w:b w:val="1"/>
          <w:bCs w:val="1"/>
          <w:color w:val="auto"/>
        </w:rPr>
        <w:t>Over-Allotment Units</w:t>
      </w:r>
      <w:r>
        <w:rPr>
          <w:rFonts w:ascii="Arial" w:cs="Arial" w:eastAsia="Arial" w:hAnsi="Arial"/>
          <w:sz w:val="16"/>
          <w:szCs w:val="16"/>
          <w:color w:val="auto"/>
        </w:rPr>
        <w:t>”) for which the underwriters have been granted an over-allotment option, (iii) all Common Stock, Warrants and Rights issued as part of the Units and Over-Allotment Units; (iv) all Common Stock issuable upon exercise of the Warrants included in the Units and Over-Allotment Units; and (v) all Common Stock issuable upon conversion of the Rights included in the Units and Over-Allotment Units.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we are of the opinion that:</w:t>
      </w:r>
    </w:p>
    <w:p>
      <w:pPr>
        <w:spacing w:after="0" w:line="225" w:lineRule="exact"/>
        <w:rPr>
          <w:sz w:val="20"/>
          <w:szCs w:val="20"/>
          <w:color w:val="auto"/>
        </w:rPr>
      </w:pPr>
    </w:p>
    <w:p>
      <w:pPr>
        <w:jc w:val="both"/>
        <w:ind w:firstLine="656"/>
        <w:spacing w:after="0" w:line="259" w:lineRule="auto"/>
        <w:tabs>
          <w:tab w:leader="none" w:pos="8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Units, Over-Allotment Units, Warrants (including the Warrants issuable in connection with the Over-Allotment Units), and Rights (including the Rights issuable in connection with the Over-Allotment Units), if and when paid for in accordance with the terms of the underwriting agreement between the Company and the Representative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will constitute the valid and legally binding obligations of the Company, enforceable against it in accordance with its terms.</w:t>
      </w:r>
    </w:p>
    <w:p>
      <w:pPr>
        <w:spacing w:after="0" w:line="187" w:lineRule="exact"/>
        <w:rPr>
          <w:sz w:val="20"/>
          <w:szCs w:val="20"/>
          <w:color w:val="auto"/>
        </w:rPr>
      </w:pPr>
    </w:p>
    <w:p>
      <w:pPr>
        <w:spacing w:after="0"/>
        <w:tabs>
          <w:tab w:leader="none" w:pos="1060" w:val="left"/>
          <w:tab w:leader="none" w:pos="1980" w:val="left"/>
          <w:tab w:leader="none" w:pos="2760" w:val="left"/>
          <w:tab w:leader="none" w:pos="4940" w:val="left"/>
          <w:tab w:leader="none" w:pos="6140" w:val="left"/>
          <w:tab w:leader="none" w:pos="7840" w:val="left"/>
        </w:tabs>
        <w:rPr>
          <w:sz w:val="20"/>
          <w:szCs w:val="20"/>
          <w:color w:val="auto"/>
        </w:rPr>
      </w:pPr>
      <w:r>
        <w:rPr>
          <w:rFonts w:ascii="Arial" w:cs="Arial" w:eastAsia="Arial" w:hAnsi="Arial"/>
          <w:sz w:val="18"/>
          <w:szCs w:val="18"/>
          <w:color w:val="auto"/>
        </w:rPr>
        <w:t>Los Angeles</w:t>
        <w:tab/>
        <w:t>New York</w:t>
        <w:tab/>
        <w:t>Chicago</w:t>
        <w:tab/>
        <w:t>Nashville  Washington, DC</w:t>
        <w:tab/>
        <w:t>San Francisco</w:t>
        <w:tab/>
        <w:t>Beijing  Hong Kong</w:t>
      </w:r>
      <w:r>
        <w:rPr>
          <w:sz w:val="20"/>
          <w:szCs w:val="20"/>
          <w:color w:val="auto"/>
        </w:rPr>
        <w:tab/>
      </w:r>
      <w:r>
        <w:rPr>
          <w:rFonts w:ascii="Arial" w:cs="Arial" w:eastAsia="Arial" w:hAnsi="Arial"/>
          <w:sz w:val="16"/>
          <w:szCs w:val="16"/>
          <w:color w:val="auto"/>
        </w:rPr>
        <w:t>www.loeb.com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the United States offices, a limited liability partnership including professional corporations. For Hong Kong office,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9750" cy="5397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Ventoux CCM Acquisition Corp.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14,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20" w:firstLine="656"/>
        <w:spacing w:after="0" w:line="342" w:lineRule="auto"/>
        <w:tabs>
          <w:tab w:leader="none" w:pos="85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When the Registration Statement becomes effective under the Act and when the offering is completed as contemplated by the Registration Statement, the shares of Common Stock issued as part of the Units and Over-Allotment Units will be validly issued, fully paid and non-assessable.</w:t>
      </w:r>
    </w:p>
    <w:p>
      <w:pPr>
        <w:spacing w:after="0" w:line="123" w:lineRule="exact"/>
        <w:rPr>
          <w:rFonts w:ascii="Arial" w:cs="Arial" w:eastAsia="Arial" w:hAnsi="Arial"/>
          <w:sz w:val="16"/>
          <w:szCs w:val="16"/>
          <w:color w:val="auto"/>
        </w:rPr>
      </w:pPr>
    </w:p>
    <w:p>
      <w:pPr>
        <w:ind w:right="20" w:firstLine="656"/>
        <w:spacing w:after="0" w:line="308" w:lineRule="auto"/>
        <w:tabs>
          <w:tab w:leader="none" w:pos="84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shares of Common Stock underlying the Warrants (including the Warrants issuable in connection with the Over-Allotment Units), when duly issued, delivered, sold and paid for upon exercise of the Warrants as contemplated by the Warrants, will be fully paid and non-assessable.</w:t>
      </w:r>
    </w:p>
    <w:p>
      <w:pPr>
        <w:spacing w:after="0" w:line="146" w:lineRule="exact"/>
        <w:rPr>
          <w:rFonts w:ascii="Arial" w:cs="Arial" w:eastAsia="Arial" w:hAnsi="Arial"/>
          <w:sz w:val="17"/>
          <w:szCs w:val="17"/>
          <w:color w:val="auto"/>
        </w:rPr>
      </w:pPr>
    </w:p>
    <w:p>
      <w:pPr>
        <w:ind w:firstLine="656"/>
        <w:spacing w:after="0" w:line="277" w:lineRule="auto"/>
        <w:tabs>
          <w:tab w:leader="none" w:pos="84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shares of Common Stock underlying the Rights (including the Rights issuable in connection with the Over-Allotment Units), when duly issued and delivered upon conversion of the Rights as contemplated by the Rights, will be fully paid and non-assessable.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with respect to the opinions expressed in paragraph (1) above, the laws of the State of New York.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0" w:name="page221"/>
    <w:bookmarkEnd w:id="220"/>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________,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This letter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entered into by and between Ventoux CCM Acquisition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Chardan Capital Markets, LLC, as representative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of the Underwriters named in Schedule A thereto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relating to an underwritten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the Company’s units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comprised of one share of Common Stock of the Company,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one right to receive one-twentieth of one share of Common Stock, and one warrant, with each warrant being exercisable to purchase one-half of one share of Common Stock at a price of $11.50 per full share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Certain capitalized terms used herein are defined in paragraph [14] hereof.</w:t>
      </w:r>
    </w:p>
    <w:p>
      <w:pPr>
        <w:spacing w:after="0" w:line="16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65" w:lineRule="exact"/>
        <w:rPr>
          <w:sz w:val="20"/>
          <w:szCs w:val="20"/>
          <w:color w:val="auto"/>
        </w:rPr>
      </w:pPr>
    </w:p>
    <w:p>
      <w:pPr>
        <w:ind w:firstLine="1304"/>
        <w:spacing w:after="0" w:line="277" w:lineRule="auto"/>
        <w:tabs>
          <w:tab w:leader="none" w:pos="14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178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57" w:lineRule="exact"/>
        <w:rPr>
          <w:rFonts w:ascii="Arial" w:cs="Arial" w:eastAsia="Arial" w:hAnsi="Arial"/>
          <w:sz w:val="16"/>
          <w:szCs w:val="16"/>
          <w:color w:val="auto"/>
        </w:rPr>
      </w:pPr>
    </w:p>
    <w:p>
      <w:pPr>
        <w:jc w:val="both"/>
        <w:ind w:firstLine="1693"/>
        <w:spacing w:after="0" w:line="273" w:lineRule="auto"/>
        <w:tabs>
          <w:tab w:leader="none" w:pos="195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Common Stock underlying the Private Warrants, all rights of which will terminate on the Company’s liquidation.]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1" w:name="page222"/>
    <w:bookmarkEnd w:id="221"/>
    <w:p>
      <w:pPr>
        <w:jc w:val="both"/>
        <w:spacing w:after="0" w:line="299" w:lineRule="auto"/>
        <w:rPr>
          <w:sz w:val="20"/>
          <w:szCs w:val="20"/>
          <w:color w:val="auto"/>
        </w:rPr>
      </w:pPr>
      <w:r>
        <w:rPr>
          <w:rFonts w:ascii="Arial" w:cs="Arial" w:eastAsia="Arial" w:hAnsi="Arial"/>
          <w:sz w:val="16"/>
          <w:szCs w:val="16"/>
          <w:color w:val="auto"/>
        </w:rPr>
        <w:t xml:space="preserve">[ (c) 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apply if such vendor or other person has executed an agreement waiving any claims against the Trust Fund. ]</w:t>
      </w:r>
      <w:r>
        <w:rPr>
          <w:rFonts w:ascii="Arial" w:cs="Arial" w:eastAsia="Arial" w:hAnsi="Arial"/>
          <w:sz w:val="26"/>
          <w:szCs w:val="26"/>
          <w:color w:val="auto"/>
          <w:vertAlign w:val="superscript"/>
        </w:rPr>
        <w:t>1</w:t>
      </w:r>
    </w:p>
    <w:p>
      <w:pPr>
        <w:spacing w:after="0" w:line="34"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 (d) 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 ]</w:t>
      </w:r>
      <w:r>
        <w:rPr>
          <w:rFonts w:ascii="Arial" w:cs="Arial" w:eastAsia="Arial" w:hAnsi="Arial"/>
          <w:sz w:val="29"/>
          <w:szCs w:val="29"/>
          <w:color w:val="auto"/>
          <w:vertAlign w:val="superscript"/>
        </w:rPr>
        <w:t>2</w:t>
      </w:r>
    </w:p>
    <w:p>
      <w:pPr>
        <w:spacing w:after="0" w:line="51" w:lineRule="exact"/>
        <w:rPr>
          <w:sz w:val="20"/>
          <w:szCs w:val="20"/>
          <w:color w:val="auto"/>
        </w:rPr>
      </w:pPr>
    </w:p>
    <w:p>
      <w:pPr>
        <w:ind w:firstLine="1304"/>
        <w:spacing w:after="0" w:line="277" w:lineRule="auto"/>
        <w:tabs>
          <w:tab w:leader="none" w:pos="14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70" w:lineRule="exact"/>
        <w:rPr>
          <w:sz w:val="20"/>
          <w:szCs w:val="20"/>
          <w:color w:val="auto"/>
        </w:rPr>
      </w:pPr>
    </w:p>
    <w:p>
      <w:pPr>
        <w:ind w:firstLine="1296"/>
        <w:spacing w:after="0" w:line="289" w:lineRule="auto"/>
        <w:rPr>
          <w:sz w:val="20"/>
          <w:szCs w:val="20"/>
          <w:color w:val="auto"/>
        </w:rPr>
      </w:pPr>
      <w:r>
        <w:rPr>
          <w:rFonts w:ascii="Arial" w:cs="Arial" w:eastAsia="Arial" w:hAnsi="Arial"/>
          <w:sz w:val="18"/>
          <w:szCs w:val="18"/>
          <w:color w:val="auto"/>
        </w:rPr>
        <w:t>[4. The undersigned agrees that until the Company consummates a Business Combination, the undersigned’s Private Warrants will be subject to the transfer restrictions described in the Subscription Agreement relating to the undersigned’s Private Warrants.]</w:t>
      </w:r>
      <w:r>
        <w:rPr>
          <w:rFonts w:ascii="Arial" w:cs="Arial" w:eastAsia="Arial" w:hAnsi="Arial"/>
          <w:sz w:val="29"/>
          <w:szCs w:val="29"/>
          <w:color w:val="auto"/>
          <w:vertAlign w:val="superscript"/>
        </w:rPr>
        <w:t>3</w:t>
      </w:r>
    </w:p>
    <w:p>
      <w:pPr>
        <w:spacing w:after="0" w:line="38" w:lineRule="exact"/>
        <w:rPr>
          <w:sz w:val="20"/>
          <w:szCs w:val="20"/>
          <w:color w:val="auto"/>
        </w:rPr>
      </w:pPr>
    </w:p>
    <w:p>
      <w:pPr>
        <w:jc w:val="both"/>
        <w:ind w:firstLine="1304"/>
        <w:spacing w:after="0" w:line="259" w:lineRule="auto"/>
        <w:tabs>
          <w:tab w:leader="none" w:pos="148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4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8" w:lineRule="exact"/>
        <w:rPr>
          <w:sz w:val="20"/>
          <w:szCs w:val="20"/>
          <w:color w:val="auto"/>
        </w:rPr>
      </w:pPr>
    </w:p>
    <w:p>
      <w:pPr>
        <w:jc w:val="both"/>
        <w:ind w:firstLine="1304"/>
        <w:spacing w:after="0" w:line="263" w:lineRule="auto"/>
        <w:tabs>
          <w:tab w:leader="none" w:pos="14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150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contains all of the information required to be disclosed pursuant to Item 401 of Regulation S-K, promulgated under the Securities Act of 1933.]</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95" w:lineRule="exact"/>
        <w:rPr>
          <w:sz w:val="20"/>
          <w:szCs w:val="20"/>
          <w:color w:val="auto"/>
        </w:rPr>
      </w:pPr>
    </w:p>
    <w:p>
      <w:pPr>
        <w:jc w:val="both"/>
        <w:ind w:left="1300" w:hanging="644"/>
        <w:spacing w:after="0" w:line="286" w:lineRule="auto"/>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2" w:lineRule="exact"/>
        <w:rPr>
          <w:sz w:val="20"/>
          <w:szCs w:val="20"/>
          <w:color w:val="auto"/>
        </w:rPr>
      </w:pPr>
    </w:p>
    <w:p>
      <w:pPr>
        <w:ind w:left="120" w:hanging="112"/>
        <w:spacing w:after="0"/>
        <w:tabs>
          <w:tab w:leader="none" w:pos="120" w:val="left"/>
        </w:tabs>
        <w:numPr>
          <w:ilvl w:val="0"/>
          <w:numId w:val="137"/>
        </w:numPr>
        <w:rPr>
          <w:rFonts w:ascii="Arial" w:cs="Arial" w:eastAsia="Arial" w:hAnsi="Arial"/>
          <w:sz w:val="30"/>
          <w:szCs w:val="30"/>
          <w:color w:val="auto"/>
          <w:vertAlign w:val="superscript"/>
        </w:rPr>
      </w:pPr>
      <w:r>
        <w:rPr>
          <w:rFonts w:ascii="Arial" w:cs="Arial" w:eastAsia="Arial" w:hAnsi="Arial"/>
          <w:sz w:val="18"/>
          <w:szCs w:val="18"/>
          <w:color w:val="auto"/>
        </w:rPr>
        <w:t>Only for Ventoux Acquisition Holdings LLC and Chardan International Investments, LLC.</w:t>
      </w:r>
    </w:p>
    <w:p>
      <w:pPr>
        <w:spacing w:after="0" w:line="42" w:lineRule="exact"/>
        <w:rPr>
          <w:rFonts w:ascii="Arial" w:cs="Arial" w:eastAsia="Arial" w:hAnsi="Arial"/>
          <w:sz w:val="30"/>
          <w:szCs w:val="30"/>
          <w:color w:val="auto"/>
          <w:vertAlign w:val="superscript"/>
        </w:rPr>
      </w:pPr>
    </w:p>
    <w:p>
      <w:pPr>
        <w:jc w:val="both"/>
        <w:ind w:right="4560"/>
        <w:spacing w:after="0" w:line="203"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Only for Ventoux Acquisition Holdings LLC and Chardan International Investments, LLC.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Only for Ventoux Acquisition Holdings LLC and Chardan International Investments, LLC. </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Only for officers and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644" w:hanging="644"/>
        <w:spacing w:after="0" w:line="277"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170"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Arial" w:cs="Arial" w:eastAsia="Arial" w:hAnsi="Arial"/>
          <w:sz w:val="18"/>
          <w:szCs w:val="18"/>
          <w:b w:val="1"/>
          <w:bCs w:val="1"/>
          <w:i w:val="1"/>
          <w:iCs w:val="1"/>
          <w:color w:val="auto"/>
        </w:rPr>
        <w:t>CFTC</w:t>
      </w:r>
      <w:r>
        <w:rPr>
          <w:rFonts w:ascii="Arial" w:cs="Arial" w:eastAsia="Arial" w:hAnsi="Arial"/>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6"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ind w:left="644"/>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210" w:lineRule="exact"/>
        <w:rPr>
          <w:rFonts w:ascii="Arial" w:cs="Arial" w:eastAsia="Arial" w:hAnsi="Arial"/>
          <w:sz w:val="16"/>
          <w:szCs w:val="16"/>
          <w:color w:val="auto"/>
        </w:rPr>
      </w:pPr>
    </w:p>
    <w:p>
      <w:pPr>
        <w:ind w:left="644" w:hanging="644"/>
        <w:spacing w:after="0" w:line="342" w:lineRule="auto"/>
        <w:tabs>
          <w:tab w:leader="none" w:pos="6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23"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83" w:lineRule="exact"/>
        <w:rPr>
          <w:rFonts w:ascii="Arial" w:cs="Arial" w:eastAsia="Arial" w:hAnsi="Arial"/>
          <w:sz w:val="18"/>
          <w:szCs w:val="18"/>
          <w:color w:val="auto"/>
        </w:rPr>
      </w:pPr>
    </w:p>
    <w:p>
      <w:pPr>
        <w:jc w:val="both"/>
        <w:ind w:left="644" w:hanging="644"/>
        <w:spacing w:after="0" w:line="296" w:lineRule="auto"/>
        <w:tabs>
          <w:tab w:leader="none" w:pos="6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61"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3"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3"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37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23" w:name="page224"/>
    <w:bookmarkEnd w:id="223"/>
    <w:p>
      <w:pPr>
        <w:jc w:val="both"/>
        <w:ind w:left="1300" w:hanging="644"/>
        <w:spacing w:after="0" w:line="301" w:lineRule="auto"/>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57"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3" w:lineRule="exact"/>
        <w:rPr>
          <w:rFonts w:ascii="Arial" w:cs="Arial" w:eastAsia="Arial" w:hAnsi="Arial"/>
          <w:sz w:val="18"/>
          <w:szCs w:val="18"/>
          <w:color w:val="auto"/>
        </w:rPr>
      </w:pPr>
    </w:p>
    <w:p>
      <w:pPr>
        <w:jc w:val="both"/>
        <w:ind w:left="1300" w:hanging="644"/>
        <w:spacing w:after="0" w:line="296" w:lineRule="auto"/>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61"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7"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65" w:lineRule="exact"/>
        <w:rPr>
          <w:sz w:val="20"/>
          <w:szCs w:val="20"/>
          <w:color w:val="auto"/>
        </w:rPr>
      </w:pPr>
    </w:p>
    <w:p>
      <w:pPr>
        <w:ind w:right="20" w:firstLine="1304"/>
        <w:spacing w:after="0" w:line="277" w:lineRule="auto"/>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1304"/>
        <w:spacing w:after="0" w:line="257" w:lineRule="auto"/>
        <w:tabs>
          <w:tab w:leader="none" w:pos="15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60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57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96" w:lineRule="exact"/>
        <w:rPr>
          <w:rFonts w:ascii="Arial" w:cs="Arial" w:eastAsia="Arial" w:hAnsi="Arial"/>
          <w:sz w:val="18"/>
          <w:szCs w:val="18"/>
          <w:color w:val="auto"/>
        </w:rPr>
      </w:pPr>
    </w:p>
    <w:p>
      <w:pPr>
        <w:jc w:val="both"/>
        <w:ind w:firstLine="1304"/>
        <w:spacing w:after="0" w:line="291" w:lineRule="auto"/>
        <w:tabs>
          <w:tab w:leader="none" w:pos="163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 used herein, (i)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6"/>
          <w:szCs w:val="16"/>
          <w:b w:val="1"/>
          <w:bCs w:val="1"/>
          <w:i w:val="1"/>
          <w:iCs w:val="1"/>
          <w:color w:val="auto"/>
        </w:rPr>
        <w:t>Insiders</w:t>
      </w:r>
      <w:r>
        <w:rPr>
          <w:rFonts w:ascii="Arial" w:cs="Arial" w:eastAsia="Arial" w:hAnsi="Arial"/>
          <w:sz w:val="16"/>
          <w:szCs w:val="16"/>
          <w:color w:val="auto"/>
        </w:rPr>
        <w:t>” shall mean all officers, directors and stockholders of the Company immediately prior to the IPO; (iii) “</w:t>
      </w:r>
      <w:r>
        <w:rPr>
          <w:rFonts w:ascii="Arial" w:cs="Arial" w:eastAsia="Arial" w:hAnsi="Arial"/>
          <w:sz w:val="16"/>
          <w:szCs w:val="16"/>
          <w:b w:val="1"/>
          <w:bCs w:val="1"/>
          <w:i w:val="1"/>
          <w:iCs w:val="1"/>
          <w:color w:val="auto"/>
        </w:rPr>
        <w:t>Insider Shares</w:t>
      </w:r>
      <w:r>
        <w:rPr>
          <w:rFonts w:ascii="Arial" w:cs="Arial" w:eastAsia="Arial" w:hAnsi="Arial"/>
          <w:sz w:val="16"/>
          <w:szCs w:val="16"/>
          <w:color w:val="auto"/>
        </w:rPr>
        <w:t>” shall mean all of the shares of Common Stock of the Company acquired by an Insider prior to the IPO and the purchase of the Private Warrants; (iv) “</w:t>
      </w:r>
      <w:r>
        <w:rPr>
          <w:rFonts w:ascii="Arial" w:cs="Arial" w:eastAsia="Arial" w:hAnsi="Arial"/>
          <w:sz w:val="16"/>
          <w:szCs w:val="16"/>
          <w:b w:val="1"/>
          <w:bCs w:val="1"/>
          <w:i w:val="1"/>
          <w:iCs w:val="1"/>
          <w:color w:val="auto"/>
        </w:rPr>
        <w:t>IPO Shares</w:t>
      </w:r>
      <w:r>
        <w:rPr>
          <w:rFonts w:ascii="Arial" w:cs="Arial" w:eastAsia="Arial" w:hAnsi="Arial"/>
          <w:sz w:val="16"/>
          <w:szCs w:val="16"/>
          <w:color w:val="auto"/>
        </w:rPr>
        <w:t>” shall mean the shares of Common Stock issued in the Company’s IPO; (v) “</w:t>
      </w:r>
      <w:r>
        <w:rPr>
          <w:rFonts w:ascii="Arial" w:cs="Arial" w:eastAsia="Arial" w:hAnsi="Arial"/>
          <w:sz w:val="16"/>
          <w:szCs w:val="16"/>
          <w:b w:val="1"/>
          <w:bCs w:val="1"/>
          <w:i w:val="1"/>
          <w:iCs w:val="1"/>
          <w:color w:val="auto"/>
        </w:rPr>
        <w:t>Private Warrants</w:t>
      </w:r>
      <w:r>
        <w:rPr>
          <w:rFonts w:ascii="Arial" w:cs="Arial" w:eastAsia="Arial" w:hAnsi="Arial"/>
          <w:sz w:val="16"/>
          <w:szCs w:val="16"/>
          <w:color w:val="auto"/>
        </w:rPr>
        <w:t>” shall mean the warrants purchased in the private placement taking place simultaneously with the consummation of the Company’s IPO; (vi)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the registration statement on Form S-1 filed by the Company with respect to the IPO; and (vii) “</w:t>
      </w:r>
      <w:r>
        <w:rPr>
          <w:rFonts w:ascii="Arial" w:cs="Arial" w:eastAsia="Arial" w:hAnsi="Arial"/>
          <w:sz w:val="16"/>
          <w:szCs w:val="16"/>
          <w:b w:val="1"/>
          <w:bCs w:val="1"/>
          <w:i w:val="1"/>
          <w:iCs w:val="1"/>
          <w:color w:val="auto"/>
        </w:rPr>
        <w:t>Trust Fund</w:t>
      </w:r>
      <w:r>
        <w:rPr>
          <w:rFonts w:ascii="Arial" w:cs="Arial" w:eastAsia="Arial" w:hAnsi="Arial"/>
          <w:sz w:val="16"/>
          <w:szCs w:val="16"/>
          <w:color w:val="auto"/>
        </w:rPr>
        <w:t>” shall mean the trust fund into which a portion of the net proceeds of the Company’s IPO will be deposited.</w:t>
      </w:r>
    </w:p>
    <w:p>
      <w:pPr>
        <w:spacing w:after="0" w:line="166" w:lineRule="exact"/>
        <w:rPr>
          <w:rFonts w:ascii="Arial" w:cs="Arial" w:eastAsia="Arial" w:hAnsi="Arial"/>
          <w:sz w:val="16"/>
          <w:szCs w:val="16"/>
          <w:color w:val="auto"/>
        </w:rPr>
      </w:pPr>
    </w:p>
    <w:p>
      <w:pPr>
        <w:jc w:val="both"/>
        <w:ind w:right="20" w:firstLine="1304"/>
        <w:spacing w:after="0" w:line="263" w:lineRule="auto"/>
        <w:tabs>
          <w:tab w:leader="none" w:pos="158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465-9002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Alan Annex; Jason Simon</w:t>
      </w:r>
    </w:p>
    <w:p>
      <w:pPr>
        <w:spacing w:after="0" w:line="9" w:lineRule="exact"/>
        <w:rPr>
          <w:sz w:val="20"/>
          <w:szCs w:val="20"/>
          <w:color w:val="auto"/>
        </w:rPr>
      </w:pPr>
    </w:p>
    <w:p>
      <w:pPr>
        <w:jc w:val="right"/>
        <w:ind w:right="9300"/>
        <w:spacing w:after="0"/>
        <w:rPr>
          <w:sz w:val="20"/>
          <w:szCs w:val="20"/>
          <w:color w:val="auto"/>
        </w:rPr>
      </w:pPr>
      <w:r>
        <w:rPr>
          <w:rFonts w:ascii="Arial" w:cs="Arial" w:eastAsia="Arial" w:hAnsi="Arial"/>
          <w:sz w:val="16"/>
          <w:szCs w:val="16"/>
          <w:color w:val="auto"/>
        </w:rPr>
        <w:t>Email: annexa@gtlaw.com</w:t>
      </w:r>
    </w:p>
    <w:p>
      <w:pPr>
        <w:spacing w:after="0" w:line="32" w:lineRule="exact"/>
        <w:rPr>
          <w:sz w:val="20"/>
          <w:szCs w:val="20"/>
          <w:color w:val="auto"/>
        </w:rPr>
      </w:pPr>
    </w:p>
    <w:p>
      <w:pPr>
        <w:jc w:val="right"/>
        <w:ind w:right="9320"/>
        <w:spacing w:after="0"/>
        <w:rPr>
          <w:sz w:val="20"/>
          <w:szCs w:val="20"/>
          <w:color w:val="auto"/>
        </w:rPr>
      </w:pPr>
      <w:r>
        <w:rPr>
          <w:rFonts w:ascii="Arial" w:cs="Arial" w:eastAsia="Arial" w:hAnsi="Arial"/>
          <w:sz w:val="18"/>
          <w:szCs w:val="18"/>
          <w:color w:val="auto"/>
        </w:rPr>
        <w:t>simonj@gtlaw.com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801-6400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Mitchell S. Nussbaum, Esq. and Giovanni Caruso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504-3013</w:t>
      </w:r>
    </w:p>
    <w:p>
      <w:pPr>
        <w:spacing w:after="0" w:line="211" w:lineRule="exact"/>
        <w:rPr>
          <w:sz w:val="20"/>
          <w:szCs w:val="20"/>
          <w:color w:val="auto"/>
        </w:rPr>
      </w:pPr>
    </w:p>
    <w:p>
      <w:pPr>
        <w:jc w:val="both"/>
        <w:ind w:firstLine="1304"/>
        <w:spacing w:after="0" w:line="311" w:lineRule="auto"/>
        <w:tabs>
          <w:tab w:leader="none" w:pos="156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6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280670</wp:posOffset>
            </wp:positionV>
            <wp:extent cx="284607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288925</wp:posOffset>
            </wp:positionV>
            <wp:extent cx="284607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426085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8"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is made as of [______________], 2020 by and between Ventoux CCM Acquisition Corp. (the “Company”) and Continental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Transfer &amp; Trust Company (“Trustee”).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333-251048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$151,500,000 ($174,225,000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IT IS AGREED:</w:t>
      </w:r>
    </w:p>
    <w:p>
      <w:pPr>
        <w:spacing w:after="0" w:line="225" w:lineRule="exact"/>
        <w:rPr>
          <w:sz w:val="20"/>
          <w:szCs w:val="20"/>
          <w:color w:val="auto"/>
        </w:rPr>
      </w:pPr>
    </w:p>
    <w:p>
      <w:pPr>
        <w:ind w:left="840" w:hanging="184"/>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JPMorgan Chase Bank, N.A. in the United States, maintained by Trustee, and at a brokerage institution selected by the Trustee that is reasonably satisfactory to the Company;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a timely manner, upon the instruction of the Company, invest and reinvest the Property (i) in United States government treasury bills, notes or bonds having a maturity of 183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ind w:left="1560" w:hanging="256"/>
        <w:spacing w:after="0"/>
        <w:tabs>
          <w:tab w:leader="none" w:pos="15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is used herein;</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Notify the Company and Chardan of all communications received by it with respect to any Property requiring action by the Company;</w:t>
      </w:r>
    </w:p>
    <w:p>
      <w:pPr>
        <w:spacing w:after="0" w:line="248" w:lineRule="exact"/>
        <w:rPr>
          <w:rFonts w:ascii="Arial" w:cs="Arial" w:eastAsia="Arial" w:hAnsi="Arial"/>
          <w:sz w:val="16"/>
          <w:szCs w:val="16"/>
          <w:color w:val="auto"/>
        </w:rPr>
      </w:pPr>
    </w:p>
    <w:p>
      <w:pPr>
        <w:ind w:left="1540" w:hanging="236"/>
        <w:spacing w:after="0"/>
        <w:tabs>
          <w:tab w:leader="none" w:pos="15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tax returns;</w:t>
      </w:r>
    </w:p>
    <w:p>
      <w:pPr>
        <w:spacing w:after="0" w:line="210" w:lineRule="exact"/>
        <w:rPr>
          <w:rFonts w:ascii="Arial" w:cs="Arial" w:eastAsia="Arial" w:hAnsi="Arial"/>
          <w:sz w:val="16"/>
          <w:szCs w:val="16"/>
          <w:color w:val="auto"/>
        </w:rPr>
      </w:pPr>
    </w:p>
    <w:p>
      <w:pPr>
        <w:ind w:firstLine="1304"/>
        <w:spacing w:after="0" w:line="277" w:lineRule="auto"/>
        <w:tabs>
          <w:tab w:leader="none" w:pos="157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1304"/>
        <w:spacing w:after="0" w:line="277" w:lineRule="auto"/>
        <w:tabs>
          <w:tab w:leader="none" w:pos="156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jc w:val="both"/>
        <w:ind w:firstLine="1304"/>
        <w:spacing w:after="0" w:line="289" w:lineRule="auto"/>
        <w:tabs>
          <w:tab w:leader="none" w:pos="1514" w:val="left"/>
        </w:tabs>
        <w:numPr>
          <w:ilvl w:val="1"/>
          <w:numId w:val="144"/>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15-month anniversary of the closing of the IPO (“Closing”) or, in the event that the Company extended the time to complete the Business Combination for up to 18 months from the closing of the IPO but has not completed the Business Combination within such 18-month period, the 18-month anniversary of the Closing (the “Last Date”), the Trust Account shall be liquidated in accordance with the procedures set forth in the Termination Letter attached as Exhibit B hereto and distributed to the Public Shareholders as of the Last Date.</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1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Applicable Deadline, to follow the instructions set forth in the Extension Letter.</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w:t>
      </w:r>
    </w:p>
    <w:p>
      <w:pPr>
        <w:spacing w:after="0" w:line="183" w:lineRule="exact"/>
        <w:rPr>
          <w:rFonts w:ascii="Arial" w:cs="Arial" w:eastAsia="Arial" w:hAnsi="Arial"/>
          <w:sz w:val="18"/>
          <w:szCs w:val="18"/>
          <w:color w:val="auto"/>
        </w:rPr>
      </w:pPr>
    </w:p>
    <w:p>
      <w:pPr>
        <w:ind w:firstLine="1304"/>
        <w:spacing w:after="0" w:line="308" w:lineRule="auto"/>
        <w:tabs>
          <w:tab w:leader="none" w:pos="157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firstLine="1304"/>
        <w:spacing w:after="0" w:line="277" w:lineRule="auto"/>
        <w:tabs>
          <w:tab w:leader="none" w:pos="155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left="840" w:hanging="184"/>
        <w:spacing w:after="0"/>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155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jc w:val="both"/>
        <w:ind w:firstLine="1304"/>
        <w:spacing w:after="0" w:line="288" w:lineRule="auto"/>
        <w:tabs>
          <w:tab w:leader="none" w:pos="156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firstLine="1304"/>
        <w:spacing w:after="0" w:line="255" w:lineRule="auto"/>
        <w:tabs>
          <w:tab w:leader="none" w:pos="156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5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3" w:lineRule="exact"/>
        <w:rPr>
          <w:rFonts w:ascii="Arial" w:cs="Arial" w:eastAsia="Arial" w:hAnsi="Arial"/>
          <w:sz w:val="18"/>
          <w:szCs w:val="18"/>
          <w:color w:val="auto"/>
        </w:rPr>
      </w:pPr>
    </w:p>
    <w:p>
      <w:pPr>
        <w:ind w:firstLine="1304"/>
        <w:spacing w:after="0" w:line="277" w:lineRule="auto"/>
        <w:tabs>
          <w:tab w:leader="none" w:pos="157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ind w:left="840" w:hanging="184"/>
        <w:spacing w:after="0"/>
        <w:tabs>
          <w:tab w:leader="none" w:pos="8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1304"/>
        <w:spacing w:after="0" w:line="277" w:lineRule="auto"/>
        <w:tabs>
          <w:tab w:leader="none" w:pos="154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1304"/>
        <w:spacing w:after="0" w:line="308" w:lineRule="auto"/>
        <w:tabs>
          <w:tab w:leader="none" w:pos="15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firstLine="1304"/>
        <w:spacing w:after="0" w:line="271" w:lineRule="auto"/>
        <w:tabs>
          <w:tab w:leader="none" w:pos="152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firstLine="1304"/>
        <w:spacing w:after="0" w:line="277" w:lineRule="auto"/>
        <w:tabs>
          <w:tab w:leader="none" w:pos="155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right="20" w:firstLine="1304"/>
        <w:spacing w:after="0" w:line="342" w:lineRule="auto"/>
        <w:tabs>
          <w:tab w:leader="none" w:pos="15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23" w:lineRule="exact"/>
        <w:rPr>
          <w:rFonts w:ascii="Arial" w:cs="Arial" w:eastAsia="Arial" w:hAnsi="Arial"/>
          <w:sz w:val="16"/>
          <w:szCs w:val="16"/>
          <w:color w:val="auto"/>
        </w:rPr>
      </w:pPr>
    </w:p>
    <w:p>
      <w:pPr>
        <w:ind w:firstLine="1304"/>
        <w:spacing w:after="0" w:line="308" w:lineRule="auto"/>
        <w:tabs>
          <w:tab w:leader="none" w:pos="151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firstLine="1304"/>
        <w:spacing w:after="0" w:line="277" w:lineRule="auto"/>
        <w:tabs>
          <w:tab w:leader="none" w:pos="153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Verify calculations, qualify or otherwise approve Company requests for distributions pursuant to Section 1(i) or 2(a) above.</w:t>
      </w:r>
    </w:p>
    <w:p>
      <w:pPr>
        <w:spacing w:after="0" w:line="236"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1304"/>
        <w:spacing w:after="0" w:line="271" w:lineRule="auto"/>
        <w:tabs>
          <w:tab w:leader="none" w:pos="154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5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5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1304"/>
        <w:spacing w:after="0" w:line="286" w:lineRule="auto"/>
        <w:tabs>
          <w:tab w:leader="none" w:pos="157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firstLine="1304"/>
        <w:spacing w:after="0" w:line="255" w:lineRule="auto"/>
        <w:tabs>
          <w:tab w:leader="none" w:pos="15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Sections 1(i) and 1(j)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92" w:lineRule="exact"/>
        <w:rPr>
          <w:rFonts w:ascii="Arial" w:cs="Arial" w:eastAsia="Arial" w:hAnsi="Arial"/>
          <w:sz w:val="18"/>
          <w:szCs w:val="18"/>
          <w:color w:val="auto"/>
        </w:rPr>
      </w:pPr>
    </w:p>
    <w:p>
      <w:pPr>
        <w:ind w:firstLine="1304"/>
        <w:spacing w:after="0" w:line="277" w:lineRule="auto"/>
        <w:tabs>
          <w:tab w:leader="none" w:pos="15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170" w:lineRule="exact"/>
        <w:rPr>
          <w:rFonts w:ascii="Arial" w:cs="Arial" w:eastAsia="Arial" w:hAnsi="Arial"/>
          <w:sz w:val="18"/>
          <w:szCs w:val="18"/>
          <w:color w:val="auto"/>
        </w:rPr>
      </w:pPr>
    </w:p>
    <w:p>
      <w:pPr>
        <w:ind w:firstLine="1304"/>
        <w:spacing w:after="0" w:line="342" w:lineRule="auto"/>
        <w:tabs>
          <w:tab w:leader="none" w:pos="154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Edward Scheetz</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Jonas Grossman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(646) 465-9002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 and Giovanni Caruso,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500" w:hanging="216"/>
        <w:spacing w:after="0"/>
        <w:tabs>
          <w:tab w:leader="none" w:pos="15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left="-20" w:firstLine="1304"/>
        <w:spacing w:after="0" w:line="277" w:lineRule="auto"/>
        <w:tabs>
          <w:tab w:leader="none" w:pos="15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1540" w:hanging="256"/>
        <w:spacing w:after="0"/>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color w:val="auto"/>
        </w:rPr>
        <w:t>IN WITNESS WHEREOF, the parties have duly executed this Investment Management Trust Agreement as of the date first written above.</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Trustee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Francis E. Wolf, Jr.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908" w:right="117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Fee Item</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Time and method of payment</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Initial acceptance fee</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closing of IPO by wire transfer</w:t>
            </w:r>
          </w:p>
        </w:tc>
        <w:tc>
          <w:tcPr>
            <w:tcW w:w="370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Annual fee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First year, initial closing of IPO by wire</w:t>
            </w:r>
          </w:p>
        </w:tc>
        <w:tc>
          <w:tcPr>
            <w:tcW w:w="3700" w:type="dxa"/>
            <w:vAlign w:val="bottom"/>
            <w:tcBorders>
              <w:right w:val="single" w:sz="8" w:color="auto"/>
            </w:tcBorders>
          </w:tcPr>
          <w:p>
            <w:pPr>
              <w:spacing w:after="0"/>
              <w:rPr>
                <w:sz w:val="16"/>
                <w:szCs w:val="16"/>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transfer; thereafter on the anniversary of the</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effective date of the IPO by wire transfer or</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check</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Transaction processing fee for disbursements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Deduction by Trustee from accumulated income</w:t>
            </w:r>
          </w:p>
        </w:tc>
        <w:tc>
          <w:tcPr>
            <w:tcW w:w="3700" w:type="dxa"/>
            <w:vAlign w:val="bottom"/>
            <w:tcBorders>
              <w:right w:val="single" w:sz="8" w:color="auto"/>
            </w:tcBorders>
          </w:tcPr>
          <w:p>
            <w:pPr>
              <w:spacing w:after="0"/>
              <w:rPr>
                <w:sz w:val="16"/>
                <w:szCs w:val="16"/>
                <w:color w:val="auto"/>
              </w:rPr>
            </w:pP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Company under Section 2</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following disbursement made to Company</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Section 2</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Paying Agent services as required pursuant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Billed to Company upon delivery of service</w:t>
            </w:r>
          </w:p>
        </w:tc>
        <w:tc>
          <w:tcPr>
            <w:tcW w:w="3700" w:type="dxa"/>
            <w:vAlign w:val="bottom"/>
            <w:tcBorders>
              <w:right w:val="single" w:sz="8" w:color="auto"/>
            </w:tcBorders>
          </w:tcPr>
          <w:p>
            <w:pPr>
              <w:ind w:left="2700"/>
              <w:spacing w:after="0" w:line="195" w:lineRule="exact"/>
              <w:rPr>
                <w:sz w:val="20"/>
                <w:szCs w:val="20"/>
                <w:color w:val="auto"/>
              </w:rPr>
            </w:pPr>
            <w:r>
              <w:rPr>
                <w:rFonts w:ascii="Arial" w:cs="Arial" w:eastAsia="Arial" w:hAnsi="Arial"/>
                <w:sz w:val="18"/>
                <w:szCs w:val="18"/>
                <w:color w:val="auto"/>
                <w:w w:val="97"/>
              </w:rPr>
              <w:t>Market Rate</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1(i)</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section 1(i)</w:t>
            </w:r>
          </w:p>
        </w:tc>
        <w:tc>
          <w:tcPr>
            <w:tcW w:w="3700" w:type="dxa"/>
            <w:vAlign w:val="bottom"/>
            <w:tcBorders>
              <w:bottom w:val="single" w:sz="8" w:color="auto"/>
              <w:right w:val="single" w:sz="8" w:color="auto"/>
            </w:tcBorders>
          </w:tcPr>
          <w:p>
            <w:pPr>
              <w:spacing w:after="0"/>
              <w:rPr>
                <w:sz w:val="20"/>
                <w:szCs w:val="20"/>
                <w:color w:val="auto"/>
              </w:rPr>
            </w:pPr>
          </w:p>
        </w:tc>
      </w:tr>
      <w:tr>
        <w:trPr>
          <w:trHeight w:val="703"/>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Pursuant to paragraph 1(i) of the Investment Management Trust Agreement between Ventoux CCM Acquisition Corp. (“Company”) and Continental Stock Transfer &amp; Trust Company (“Trustee”), dated as of [______________], 2020 (“Trust Agreement”), this is to advise you that the</w:t>
      </w:r>
    </w:p>
    <w:p>
      <w:pPr>
        <w:spacing w:after="0"/>
        <w:rPr>
          <w:sz w:val="20"/>
          <w:szCs w:val="20"/>
          <w:color w:val="auto"/>
        </w:rPr>
      </w:pPr>
      <w:r>
        <w:rPr>
          <w:rFonts w:ascii="Arial" w:cs="Arial" w:eastAsia="Arial" w:hAnsi="Arial"/>
          <w:sz w:val="16"/>
          <w:szCs w:val="16"/>
          <w:color w:val="auto"/>
        </w:rPr>
        <w:t>Company has entered into an agreement with [__________________] (“Target Business”) to consummate a business combination with Target Business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(“Business Combination”) on or about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48 hours in advance of the actual date of the consummation of the Business Combination (“Consummation Date”). Capitalized terms used herein and not otherwise defined shall have the meanings set forth in the Trust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[__________] and to</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transfer the proceeds to the above-referenced account at [●] to the effect that, on the Consummation Date, all of funds held in the Trust Account will be immediately available for transfer to the account or accounts that the Company shall direct on the Consummation Date. It is acknowledged and agreed that while the funds are on deposit in the trust operating account at JPMorgan Chase Bank, N.A. awaiting distribution, the Company will not earn any interest or dividends.</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w:t>
      </w:r>
    </w:p>
    <w:p>
      <w:pPr>
        <w:jc w:val="both"/>
        <w:spacing w:after="0" w:line="252" w:lineRule="auto"/>
        <w:rPr>
          <w:sz w:val="20"/>
          <w:szCs w:val="20"/>
          <w:color w:val="auto"/>
        </w:rPr>
      </w:pPr>
      <w:r>
        <w:rPr>
          <w:rFonts w:ascii="Arial" w:cs="Arial" w:eastAsia="Arial" w:hAnsi="Arial"/>
          <w:sz w:val="18"/>
          <w:szCs w:val="18"/>
          <w:color w:val="auto"/>
        </w:rPr>
        <w:t>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Pursuant to paragraph 1(i) of the Investment Management Trust Agreement between Ventoux CCM Acquisition Corp. (“Company”) and Continental Stock Transfer &amp; Trust Company (“Trustee”), dated as of [______________], 2020 (“Trust Agreement”), this is to advise you that the</w:t>
      </w:r>
    </w:p>
    <w:p>
      <w:pPr>
        <w:jc w:val="both"/>
        <w:spacing w:after="0" w:line="255" w:lineRule="auto"/>
        <w:rPr>
          <w:sz w:val="20"/>
          <w:szCs w:val="20"/>
          <w:color w:val="auto"/>
        </w:rPr>
      </w:pPr>
      <w:r>
        <w:rPr>
          <w:rFonts w:ascii="Arial" w:cs="Arial" w:eastAsia="Arial" w:hAnsi="Arial"/>
          <w:sz w:val="18"/>
          <w:szCs w:val="18"/>
          <w:color w:val="auto"/>
        </w:rPr>
        <w:t>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the Trust Account investments on [______________] and to transfer the total proceeds to the Trust Checking Account at [●] to await distribution to the Public Shareholders. The Company</w:t>
      </w:r>
    </w:p>
    <w:p>
      <w:pPr>
        <w:spacing w:after="0"/>
        <w:rPr>
          <w:sz w:val="20"/>
          <w:szCs w:val="20"/>
          <w:color w:val="auto"/>
        </w:rPr>
      </w:pPr>
      <w:r>
        <w:rPr>
          <w:rFonts w:ascii="Arial" w:cs="Arial" w:eastAsia="Arial" w:hAnsi="Arial"/>
          <w:sz w:val="16"/>
          <w:szCs w:val="16"/>
          <w:color w:val="auto"/>
        </w:rPr>
        <w:t>has selected [____________, 20__] as the effective date for the purpose of determining when the Public Shareholders will be entitled to receive their share</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 Withdrawal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paragraph 2(a) of the Investment Management Trust Agreement between Ventoux CCM Acquisition Corp. (“Company”) and Continental Stock Transfer &amp; Trust Company (“Trustee”), dated as of [______________], 2020 (“Trust Agreement”), the Company hereby requests that</w:t>
      </w:r>
    </w:p>
    <w:p>
      <w:pPr>
        <w:spacing w:after="0"/>
        <w:rPr>
          <w:sz w:val="20"/>
          <w:szCs w:val="20"/>
          <w:color w:val="auto"/>
        </w:rPr>
      </w:pPr>
      <w:r>
        <w:rPr>
          <w:rFonts w:ascii="Arial" w:cs="Arial" w:eastAsia="Arial" w:hAnsi="Arial"/>
          <w:sz w:val="16"/>
          <w:szCs w:val="16"/>
          <w:color w:val="auto"/>
        </w:rPr>
        <w:t>you deliver to the Company [$_______] of the interest income earned on the Property as of the date hereof. The Company needs such funds to pay for its</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tax obligations. In accordance with the terms of the Trust Agreement, you are hereby directed and authorized to transfer (via wire transfer) such funds promptly upon your receipt of this letter to the Company’s operating account at: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paragraph 1(j) of the Investment Management Trust Agreement between Ventoux CCM Acquisition Corp. (“Company”) and Continental Stock Transfer &amp; Trust Company (“Trustee”), dated as of [______________], 2020 (“Trust Agreement”), this is to advise you that the Company is extending the</w:t>
      </w:r>
    </w:p>
    <w:p>
      <w:pPr>
        <w:spacing w:after="0"/>
        <w:rPr>
          <w:sz w:val="20"/>
          <w:szCs w:val="20"/>
          <w:color w:val="auto"/>
        </w:rPr>
      </w:pPr>
      <w:r>
        <w:rPr>
          <w:rFonts w:ascii="Arial" w:cs="Arial" w:eastAsia="Arial" w:hAnsi="Arial"/>
          <w:sz w:val="16"/>
          <w:szCs w:val="16"/>
          <w:color w:val="auto"/>
        </w:rPr>
        <w:t>time available in order to consummate a Business Combination with the Target Businesses for an additional three (3) months, from ______________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 (the “Extension”). Capitalized words used herein and not otherwise defined shall have the meanings ascribed to them in the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Extension Letter shall serve as the notice required with respect to Extension prior to the Applicable Deadline.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terms of the Trust Agreement, we hereby authorize you to deposit $1,500,000 [(or $1,725,000 if the underwriters’ over-allotment option was exercised in full)], which will be wired to you, into the Trust Account investments upon receipt.</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STOCK ESCROW AGREEMENT, dated as of ________, 2020 (“</w:t>
      </w:r>
      <w:r>
        <w:rPr>
          <w:rFonts w:ascii="Arial" w:cs="Arial" w:eastAsia="Arial" w:hAnsi="Arial"/>
          <w:sz w:val="16"/>
          <w:szCs w:val="16"/>
          <w:b w:val="1"/>
          <w:bCs w:val="1"/>
          <w:color w:val="auto"/>
        </w:rPr>
        <w:t>Agreement</w:t>
      </w:r>
      <w:r>
        <w:rPr>
          <w:rFonts w:ascii="Arial" w:cs="Arial" w:eastAsia="Arial" w:hAnsi="Arial"/>
          <w:sz w:val="16"/>
          <w:szCs w:val="16"/>
          <w:color w:val="auto"/>
        </w:rPr>
        <w:t>”), by and among VENTOUX CCM ACQUISITION CORP., a</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the initial shareholders listed on the signature pages hereto (collectively, the “</w:t>
      </w:r>
      <w:r>
        <w:rPr>
          <w:rFonts w:ascii="Arial" w:cs="Arial" w:eastAsia="Arial" w:hAnsi="Arial"/>
          <w:sz w:val="18"/>
          <w:szCs w:val="18"/>
          <w:b w:val="1"/>
          <w:bCs w:val="1"/>
          <w:color w:val="auto"/>
        </w:rPr>
        <w:t>Initial Shareholders</w:t>
      </w:r>
      <w:r>
        <w:rPr>
          <w:rFonts w:ascii="Arial" w:cs="Arial" w:eastAsia="Arial" w:hAnsi="Arial"/>
          <w:sz w:val="18"/>
          <w:szCs w:val="18"/>
          <w:color w:val="auto"/>
        </w:rPr>
        <w:t>”), and CONTINENTAL STOCK TRANSFER &amp; TRUST COMPANY, a New York corporation (“</w:t>
      </w: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has entered into an Underwriting Agreement, dated as of ________, 2020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w:t>
      </w:r>
    </w:p>
    <w:p>
      <w:pPr>
        <w:spacing w:after="0" w:line="3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Chardan Capital Markets, LLC (“</w:t>
      </w:r>
      <w:r>
        <w:rPr>
          <w:rFonts w:ascii="Arial" w:cs="Arial" w:eastAsia="Arial" w:hAnsi="Arial"/>
          <w:sz w:val="16"/>
          <w:szCs w:val="16"/>
          <w:b w:val="1"/>
          <w:bCs w:val="1"/>
          <w:color w:val="auto"/>
        </w:rPr>
        <w:t>Chardan</w:t>
      </w:r>
      <w:r>
        <w:rPr>
          <w:rFonts w:ascii="Arial" w:cs="Arial" w:eastAsia="Arial" w:hAnsi="Arial"/>
          <w:sz w:val="16"/>
          <w:szCs w:val="16"/>
          <w:color w:val="auto"/>
        </w:rPr>
        <w:t>”) acting as representative of the several underwriters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pursuant to which, among other matters, the Underwriters have agreed to purchase 15,000,000 units (“</w:t>
      </w:r>
      <w:r>
        <w:rPr>
          <w:rFonts w:ascii="Arial" w:cs="Arial" w:eastAsia="Arial" w:hAnsi="Arial"/>
          <w:sz w:val="16"/>
          <w:szCs w:val="16"/>
          <w:b w:val="1"/>
          <w:bCs w:val="1"/>
          <w:color w:val="auto"/>
        </w:rPr>
        <w:t>Units</w:t>
      </w:r>
      <w:r>
        <w:rPr>
          <w:rFonts w:ascii="Arial" w:cs="Arial" w:eastAsia="Arial" w:hAnsi="Arial"/>
          <w:sz w:val="16"/>
          <w:szCs w:val="16"/>
          <w:color w:val="auto"/>
        </w:rPr>
        <w:t>”) of the Company, plus an additional 2,250,000 Units if the Underwriters exercise their over-allotment option in full. Each Unit consists of one share of common stock of the Company,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right, with each right entitling the holder thereof to purchase one-twentieth of one share of Common Stock, and one warrant, with each warrant entitling the holder thereof to purchase one-half of one share of the Common Stock at an exercise price of $11.50 per share, all as more fully described in the Company’s final Prospectus, dated ________, 2020 (“</w:t>
      </w:r>
      <w:r>
        <w:rPr>
          <w:rFonts w:ascii="Arial" w:cs="Arial" w:eastAsia="Arial" w:hAnsi="Arial"/>
          <w:sz w:val="16"/>
          <w:szCs w:val="16"/>
          <w:b w:val="1"/>
          <w:bCs w:val="1"/>
          <w:color w:val="auto"/>
        </w:rPr>
        <w:t>Prospectus</w:t>
      </w:r>
      <w:r>
        <w:rPr>
          <w:rFonts w:ascii="Arial" w:cs="Arial" w:eastAsia="Arial" w:hAnsi="Arial"/>
          <w:sz w:val="16"/>
          <w:szCs w:val="16"/>
          <w:color w:val="auto"/>
        </w:rPr>
        <w:t>”), comprising part of the Company’s Registration Statement 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Form S-1 (File No. 333-251048) under the Securities Act of 1933, as amended (“Registration Statement”), declared effective on ___________,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WHEREAS, the Initial Shareholders have agreed as a condition of the sale of the Units to deposit their Insider Shares (as defined in the Prospectus), as set forth opposite their respective names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w:t>
      </w:r>
      <w:r>
        <w:rPr>
          <w:rFonts w:ascii="Arial" w:cs="Arial" w:eastAsia="Arial" w:hAnsi="Arial"/>
          <w:sz w:val="16"/>
          <w:szCs w:val="16"/>
          <w:b w:val="1"/>
          <w:bCs w:val="1"/>
          <w:color w:val="auto"/>
        </w:rPr>
        <w:t>Escrow Shares</w:t>
      </w:r>
      <w:r>
        <w:rPr>
          <w:rFonts w:ascii="Arial" w:cs="Arial" w:eastAsia="Arial" w:hAnsi="Arial"/>
          <w:sz w:val="16"/>
          <w:szCs w:val="16"/>
          <w:color w:val="auto"/>
        </w:rPr>
        <w:t>”), in escrow as hereinafter provided.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jc w:val="both"/>
        <w:ind w:firstLine="656"/>
        <w:spacing w:after="0" w:line="263" w:lineRule="auto"/>
        <w:tabs>
          <w:tab w:leader="none" w:pos="84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2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3.1 The Escrow Agent shall hold the Escrow Shares during the period (the “</w:t>
      </w:r>
      <w:r>
        <w:rPr>
          <w:rFonts w:ascii="Arial" w:cs="Arial" w:eastAsia="Arial" w:hAnsi="Arial"/>
          <w:sz w:val="16"/>
          <w:szCs w:val="16"/>
          <w:b w:val="1"/>
          <w:bCs w:val="1"/>
          <w:color w:val="auto"/>
        </w:rPr>
        <w:t>Escrow Period</w:t>
      </w:r>
      <w:r>
        <w:rPr>
          <w:rFonts w:ascii="Arial" w:cs="Arial" w:eastAsia="Arial" w:hAnsi="Arial"/>
          <w:sz w:val="16"/>
          <w:szCs w:val="16"/>
          <w:color w:val="auto"/>
        </w:rPr>
        <w:t>”)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20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an initial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2" w:name="page243"/>
    <w:bookmarkEnd w:id="242"/>
    <w:p>
      <w:pPr>
        <w:jc w:val="both"/>
        <w:ind w:firstLine="1296"/>
        <w:spacing w:after="0" w:line="271" w:lineRule="auto"/>
        <w:rPr>
          <w:sz w:val="20"/>
          <w:szCs w:val="20"/>
          <w:color w:val="auto"/>
        </w:rPr>
      </w:pPr>
      <w:r>
        <w:rPr>
          <w:rFonts w:ascii="Arial" w:cs="Arial" w:eastAsia="Arial" w:hAnsi="Arial"/>
          <w:sz w:val="17"/>
          <w:szCs w:val="17"/>
          <w:color w:val="auto"/>
        </w:rPr>
        <w:t xml:space="preserve">3.2 Notwithstanding Section 3.1, if the Underwriters do not exercise their over-allotment option to purchase an additional 2,250,000 Units of the Company in full within 45 days of the date of the Prospectus (as described in the Underwriting Agreement), the Initial Shareholders agree that the Escrow Agent shall return to the Company for cancellation, at no cost, the number of Escrow Shares held by the Initial Shareholders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determined by multiplying (a) the product of (i) 562,500 multiplied by (ii) a fraction, (x) the numerator of which is the number of Escrow Shares held by each such holder, and (y) the denominator of which is the total number of Escrow Shares, by (b) a fraction, (i) the numerator of which is 2,250,000 minus the number of shares of Common Stock purchased by the Underwriters upon the exercise of their over-allotment option, and (ii) the denominator of which is 2,250,000.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8" w:lineRule="exact"/>
        <w:rPr>
          <w:sz w:val="20"/>
          <w:szCs w:val="20"/>
          <w:color w:val="auto"/>
        </w:rPr>
      </w:pPr>
    </w:p>
    <w:p>
      <w:pPr>
        <w:ind w:left="840" w:hanging="184"/>
        <w:spacing w:after="0"/>
        <w:tabs>
          <w:tab w:leader="none" w:pos="8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w:t>
      </w:r>
      <w:r>
        <w:rPr>
          <w:rFonts w:ascii="Arial" w:cs="Arial" w:eastAsia="Arial" w:hAnsi="Arial"/>
          <w:sz w:val="18"/>
          <w:szCs w:val="18"/>
          <w:b w:val="1"/>
          <w:bCs w:val="1"/>
          <w:color w:val="auto"/>
        </w:rPr>
        <w:t>Non-Cash</w:t>
      </w:r>
      <w:r>
        <w:rPr>
          <w:rFonts w:ascii="Arial" w:cs="Arial" w:eastAsia="Arial" w:hAnsi="Arial"/>
          <w:sz w:val="18"/>
          <w:szCs w:val="18"/>
          <w:color w:val="auto"/>
        </w:rPr>
        <w:t xml:space="preserve"> </w:t>
      </w:r>
      <w:r>
        <w:rPr>
          <w:rFonts w:ascii="Arial" w:cs="Arial" w:eastAsia="Arial" w:hAnsi="Arial"/>
          <w:sz w:val="18"/>
          <w:szCs w:val="18"/>
          <w:b w:val="1"/>
          <w:bCs w:val="1"/>
          <w:color w:val="auto"/>
        </w:rPr>
        <w:t>Dividends</w:t>
      </w:r>
      <w:r>
        <w:rPr>
          <w:rFonts w:ascii="Arial" w:cs="Arial" w:eastAsia="Arial" w:hAnsi="Arial"/>
          <w:sz w:val="18"/>
          <w:szCs w:val="18"/>
          <w:color w:val="auto"/>
        </w:rPr>
        <w:t>”) shall be delivered to the Escrow Agent to hold in accordance with the terms hereof. As used herein, the term “Escrow Shares”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include the Non-Cash Dividends distributed thereon, if any.</w:t>
      </w:r>
    </w:p>
    <w:p>
      <w:pPr>
        <w:spacing w:after="0" w:line="18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to (1) any person (including their affiliates and stockholders) participating in the private placement of the private warrants, officers, directors, stockholders, employees and members of Ventoux Acquisition Holdings LLC and Chardan International Investments, LLC, (2) to the Company’s pre-IPO stockholders or their respective affiliates, or to the Company’s offices, directors, advisors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8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Each of the Initial Shareholders has executed a letter agreement with Chardan and the Company, the form of which is filed as an exhibit to the Registration Statement (“</w:t>
      </w:r>
      <w:r>
        <w:rPr>
          <w:rFonts w:ascii="Arial" w:cs="Arial" w:eastAsia="Arial" w:hAnsi="Arial"/>
          <w:sz w:val="18"/>
          <w:szCs w:val="18"/>
          <w:b w:val="1"/>
          <w:bCs w:val="1"/>
          <w:color w:val="auto"/>
        </w:rPr>
        <w:t>Insider Letter</w:t>
      </w:r>
      <w:r>
        <w:rPr>
          <w:rFonts w:ascii="Arial" w:cs="Arial" w:eastAsia="Arial" w:hAnsi="Arial"/>
          <w:sz w:val="18"/>
          <w:szCs w:val="18"/>
          <w:color w:val="auto"/>
        </w:rPr>
        <w:t>”), respecting the rights and obligations of such Initial Shareholder in certain events, including but not limited to the liquidation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840" w:hanging="184"/>
        <w:spacing w:after="0"/>
        <w:tabs>
          <w:tab w:leader="none" w:pos="8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8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firstLine="1296"/>
        <w:spacing w:after="0" w:line="261"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184" w:lineRule="exact"/>
        <w:rPr>
          <w:sz w:val="20"/>
          <w:szCs w:val="20"/>
          <w:color w:val="auto"/>
        </w:rPr>
      </w:pPr>
    </w:p>
    <w:p>
      <w:pPr>
        <w:ind w:left="840" w:hanging="184"/>
        <w:spacing w:after="0"/>
        <w:tabs>
          <w:tab w:leader="none" w:pos="8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beneficiary of this Agreement and this Agreement may not be modified or changed without the prior written consent of Chardan.</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pacing w:after="0" w:line="184"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If to the Company, to:</w:t>
      </w:r>
      <w:r>
        <w:rPr>
          <w:sz w:val="20"/>
          <w:szCs w:val="20"/>
          <w:color w:val="auto"/>
        </w:rPr>
        <w:tab/>
      </w:r>
      <w:r>
        <w:rPr>
          <w:rFonts w:ascii="Arial" w:cs="Arial" w:eastAsia="Arial" w:hAnsi="Arial"/>
          <w:sz w:val="16"/>
          <w:szCs w:val="16"/>
          <w:color w:val="auto"/>
        </w:rPr>
        <w:t>Ventoux CCM Acquisition Corp.</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Attn: Edward Scheetz</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If to a Shareholder, to his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if to the Escrow Agent, to: Continental Stock Transfer &amp; Trust Company</w:t>
      </w:r>
    </w:p>
    <w:p>
      <w:pPr>
        <w:ind w:left="422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Attn: Isaac Kagan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Chardan Capital Markets LLC</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17 State Street, 21st Floor</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New York, NY 10004</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Attn: Jonas Grossman</w:t>
            </w:r>
          </w:p>
        </w:tc>
      </w:tr>
      <w:tr>
        <w:trPr>
          <w:trHeight w:val="230"/>
        </w:trPr>
        <w:tc>
          <w:tcPr>
            <w:tcW w:w="2600" w:type="dxa"/>
            <w:vAlign w:val="bottom"/>
          </w:tcPr>
          <w:p>
            <w:pPr>
              <w:spacing w:after="0"/>
              <w:rPr>
                <w:sz w:val="20"/>
                <w:szCs w:val="20"/>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Fax: (646) 465-9002</w:t>
            </w:r>
          </w:p>
        </w:tc>
      </w:tr>
      <w:tr>
        <w:trPr>
          <w:trHeight w:val="418"/>
        </w:trPr>
        <w:tc>
          <w:tcPr>
            <w:tcW w:w="2600" w:type="dxa"/>
            <w:vAlign w:val="bottom"/>
          </w:tcPr>
          <w:p>
            <w:pPr>
              <w:ind w:left="660"/>
              <w:spacing w:after="0"/>
              <w:rPr>
                <w:sz w:val="20"/>
                <w:szCs w:val="20"/>
                <w:color w:val="auto"/>
              </w:rPr>
            </w:pPr>
            <w:r>
              <w:rPr>
                <w:rFonts w:ascii="Arial" w:cs="Arial" w:eastAsia="Arial" w:hAnsi="Arial"/>
                <w:sz w:val="18"/>
                <w:szCs w:val="18"/>
                <w:color w:val="auto"/>
              </w:rPr>
              <w:t>and:</w:t>
            </w:r>
          </w:p>
        </w:tc>
        <w:tc>
          <w:tcPr>
            <w:tcW w:w="8640" w:type="dxa"/>
            <w:vAlign w:val="bottom"/>
          </w:tcPr>
          <w:p>
            <w:pPr>
              <w:ind w:left="1620"/>
              <w:spacing w:after="0"/>
              <w:rPr>
                <w:sz w:val="20"/>
                <w:szCs w:val="20"/>
                <w:color w:val="auto"/>
              </w:rPr>
            </w:pPr>
            <w:r>
              <w:rPr>
                <w:rFonts w:ascii="Arial" w:cs="Arial" w:eastAsia="Arial" w:hAnsi="Arial"/>
                <w:sz w:val="18"/>
                <w:szCs w:val="18"/>
                <w:color w:val="auto"/>
              </w:rPr>
              <w:t>Greenberg Traurig, LLP</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1750 Tysons Boulevard, Suite 1000</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McLean, Virginia 22102</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Attn: Alan Annex; Jason Simon</w:t>
            </w:r>
          </w:p>
        </w:tc>
      </w:tr>
      <w:tr>
        <w:trPr>
          <w:trHeight w:val="216"/>
        </w:trPr>
        <w:tc>
          <w:tcPr>
            <w:tcW w:w="2600" w:type="dxa"/>
            <w:vAlign w:val="bottom"/>
          </w:tcPr>
          <w:p>
            <w:pPr>
              <w:spacing w:after="0"/>
              <w:rPr>
                <w:sz w:val="18"/>
                <w:szCs w:val="18"/>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Email:  annexa@gtlaw.com</w:t>
            </w:r>
          </w:p>
        </w:tc>
      </w:tr>
      <w:tr>
        <w:trPr>
          <w:trHeight w:val="216"/>
        </w:trPr>
        <w:tc>
          <w:tcPr>
            <w:tcW w:w="2600" w:type="dxa"/>
            <w:vAlign w:val="bottom"/>
          </w:tcPr>
          <w:p>
            <w:pPr>
              <w:spacing w:after="0"/>
              <w:rPr>
                <w:sz w:val="18"/>
                <w:szCs w:val="18"/>
                <w:color w:val="auto"/>
              </w:rPr>
            </w:pPr>
          </w:p>
        </w:tc>
        <w:tc>
          <w:tcPr>
            <w:tcW w:w="8640" w:type="dxa"/>
            <w:vAlign w:val="bottom"/>
          </w:tcPr>
          <w:p>
            <w:pPr>
              <w:ind w:left="2260"/>
              <w:spacing w:after="0"/>
              <w:rPr>
                <w:sz w:val="20"/>
                <w:szCs w:val="20"/>
                <w:color w:val="auto"/>
              </w:rPr>
            </w:pPr>
            <w:r>
              <w:rPr>
                <w:rFonts w:ascii="Arial" w:cs="Arial" w:eastAsia="Arial" w:hAnsi="Arial"/>
                <w:sz w:val="18"/>
                <w:szCs w:val="18"/>
                <w:color w:val="auto"/>
              </w:rPr>
              <w:t>simonj@gtlaw.com</w:t>
            </w:r>
          </w:p>
        </w:tc>
      </w:tr>
      <w:tr>
        <w:trPr>
          <w:trHeight w:val="230"/>
        </w:trPr>
        <w:tc>
          <w:tcPr>
            <w:tcW w:w="2600" w:type="dxa"/>
            <w:vAlign w:val="bottom"/>
          </w:tcPr>
          <w:p>
            <w:pPr>
              <w:spacing w:after="0"/>
              <w:rPr>
                <w:sz w:val="20"/>
                <w:szCs w:val="20"/>
                <w:color w:val="auto"/>
              </w:rPr>
            </w:pPr>
          </w:p>
        </w:tc>
        <w:tc>
          <w:tcPr>
            <w:tcW w:w="8640" w:type="dxa"/>
            <w:vAlign w:val="bottom"/>
          </w:tcPr>
          <w:p>
            <w:pPr>
              <w:ind w:left="1620"/>
              <w:spacing w:after="0"/>
              <w:rPr>
                <w:sz w:val="20"/>
                <w:szCs w:val="20"/>
                <w:color w:val="auto"/>
              </w:rPr>
            </w:pPr>
            <w:r>
              <w:rPr>
                <w:rFonts w:ascii="Arial" w:cs="Arial" w:eastAsia="Arial" w:hAnsi="Arial"/>
                <w:sz w:val="18"/>
                <w:szCs w:val="18"/>
                <w:color w:val="auto"/>
              </w:rPr>
              <w:t>Fax: (212) 801-6400</w:t>
            </w:r>
          </w:p>
        </w:tc>
      </w:tr>
      <w:tr>
        <w:trPr>
          <w:trHeight w:val="655"/>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9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sectPr>
      </w:pPr>
    </w:p>
    <w:bookmarkStart w:id="245" w:name="page246"/>
    <w:bookmarkEnd w:id="245"/>
    <w:p>
      <w:pPr>
        <w:ind w:left="6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Mitchell S. Nussbaum and Giovanni Caruso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(212) 407-4000</w:t>
      </w:r>
    </w:p>
    <w:p>
      <w:pPr>
        <w:spacing w:after="0" w:line="200" w:lineRule="exact"/>
        <w:rPr>
          <w:sz w:val="20"/>
          <w:szCs w:val="20"/>
          <w:color w:val="auto"/>
        </w:rPr>
      </w:pPr>
    </w:p>
    <w:p>
      <w:pPr>
        <w:sectPr>
          <w:pgSz w:w="11900" w:h="16838" w:orient="portrait"/>
          <w:cols w:equalWidth="0" w:num="2">
            <w:col w:w="3500" w:space="720"/>
            <w:col w:w="7020"/>
          </w:cols>
          <w:pgMar w:left="320" w:top="908" w:right="339" w:bottom="1440" w:gutter="0" w:footer="0" w:header="0"/>
        </w:sectPr>
      </w:pPr>
    </w:p>
    <w:p>
      <w:pPr>
        <w:spacing w:after="0" w:line="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VENTOUX CCM ACQUISITION CORP.</w:t>
      </w:r>
    </w:p>
    <w:p>
      <w:pPr>
        <w:spacing w:after="0" w:line="23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6350</wp:posOffset>
            </wp:positionV>
            <wp:extent cx="25628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6350</wp:posOffset>
            </wp:positionV>
            <wp:extent cx="25628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VENTOUX ACQUISITION HOLDINGS LLC</w:t>
      </w:r>
    </w:p>
    <w:p>
      <w:pPr>
        <w:spacing w:after="0" w:line="23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6350</wp:posOffset>
            </wp:positionV>
            <wp:extent cx="25628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Manager</w:t>
      </w:r>
    </w:p>
    <w:p>
      <w:pPr>
        <w:spacing w:after="0" w:line="22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6350</wp:posOffset>
            </wp:positionV>
            <wp:extent cx="25628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Matthew MacDonald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CHARDAN INTERNATIONAL INVESTMENTS, LLC</w:t>
      </w:r>
    </w:p>
    <w:p>
      <w:pPr>
        <w:spacing w:after="0" w:line="2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6350</wp:posOffset>
            </wp:positionV>
            <wp:extent cx="25628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288925</wp:posOffset>
            </wp:positionV>
            <wp:extent cx="25628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288925</wp:posOffset>
            </wp:positionV>
            <wp:extent cx="25628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288925</wp:posOffset>
            </wp:positionV>
            <wp:extent cx="25628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908" w:right="71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140" w:type="dxa"/>
            <w:vAlign w:val="bottom"/>
            <w:gridSpan w:val="4"/>
          </w:tcPr>
          <w:p>
            <w:pPr>
              <w:spacing w:after="0"/>
              <w:rPr>
                <w:sz w:val="17"/>
                <w:szCs w:val="17"/>
                <w:color w:val="auto"/>
              </w:rPr>
            </w:pPr>
          </w:p>
        </w:tc>
      </w:tr>
      <w:tr>
        <w:trPr>
          <w:trHeight w:val="453"/>
        </w:trPr>
        <w:tc>
          <w:tcPr>
            <w:tcW w:w="3940" w:type="dxa"/>
            <w:vAlign w:val="bottom"/>
          </w:tcPr>
          <w:p>
            <w:pPr>
              <w:spacing w:after="0"/>
              <w:rPr>
                <w:sz w:val="24"/>
                <w:szCs w:val="24"/>
                <w:color w:val="auto"/>
              </w:rPr>
            </w:pPr>
          </w:p>
        </w:tc>
        <w:tc>
          <w:tcPr>
            <w:tcW w:w="730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w w:val="90"/>
              </w:rPr>
              <w:t>Initial Shareholders</w:t>
            </w:r>
          </w:p>
        </w:tc>
      </w:tr>
      <w:tr>
        <w:trPr>
          <w:trHeight w:val="418"/>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Number</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Name of Initial Shareholder</w:t>
            </w: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of Shares</w:t>
            </w:r>
          </w:p>
        </w:tc>
      </w:tr>
      <w:tr>
        <w:trPr>
          <w:trHeight w:val="216"/>
        </w:trPr>
        <w:tc>
          <w:tcPr>
            <w:tcW w:w="39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Ventoux Acquisition Holdings LLC</w:t>
            </w:r>
          </w:p>
        </w:tc>
        <w:tc>
          <w:tcPr>
            <w:tcW w:w="1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2,751,375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Chardan International Investments, LLC</w:t>
            </w:r>
          </w:p>
        </w:tc>
        <w:tc>
          <w:tcPr>
            <w:tcW w:w="7300" w:type="dxa"/>
            <w:vAlign w:val="bottom"/>
            <w:gridSpan w:val="6"/>
          </w:tcPr>
          <w:p>
            <w:pPr>
              <w:jc w:val="right"/>
              <w:ind w:right="100"/>
              <w:spacing w:after="0"/>
              <w:rPr>
                <w:sz w:val="20"/>
                <w:szCs w:val="20"/>
                <w:color w:val="auto"/>
              </w:rPr>
            </w:pPr>
            <w:r>
              <w:rPr>
                <w:rFonts w:ascii="Arial" w:cs="Arial" w:eastAsia="Arial" w:hAnsi="Arial"/>
                <w:sz w:val="18"/>
                <w:szCs w:val="18"/>
                <w:color w:val="auto"/>
              </w:rPr>
              <w:t>1,493,625</w:t>
            </w: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Woodrow H. Levin</w:t>
            </w:r>
          </w:p>
        </w:tc>
        <w:tc>
          <w:tcPr>
            <w:tcW w:w="73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Julie Atkinson</w:t>
            </w:r>
          </w:p>
        </w:tc>
        <w:tc>
          <w:tcPr>
            <w:tcW w:w="7300" w:type="dxa"/>
            <w:vAlign w:val="bottom"/>
            <w:gridSpan w:val="6"/>
          </w:tcPr>
          <w:p>
            <w:pPr>
              <w:jc w:val="right"/>
              <w:ind w:right="100"/>
              <w:spacing w:after="0"/>
              <w:rPr>
                <w:sz w:val="20"/>
                <w:szCs w:val="20"/>
                <w:color w:val="auto"/>
              </w:rPr>
            </w:pPr>
            <w:r>
              <w:rPr>
                <w:rFonts w:ascii="Arial" w:cs="Arial" w:eastAsia="Arial" w:hAnsi="Arial"/>
                <w:sz w:val="18"/>
                <w:szCs w:val="18"/>
                <w:color w:val="auto"/>
              </w:rPr>
              <w:t>22,500</w:t>
            </w: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Christian Ahrens</w:t>
            </w:r>
          </w:p>
        </w:tc>
        <w:tc>
          <w:tcPr>
            <w:tcW w:w="73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r>
      <w:tr>
        <w:trPr>
          <w:trHeight w:val="682"/>
        </w:trPr>
        <w:tc>
          <w:tcPr>
            <w:tcW w:w="3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48" w:name="page249"/>
    <w:bookmarkEnd w:id="248"/>
    <w:p>
      <w:pPr>
        <w:jc w:val="center"/>
        <w:ind w:right="-11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Escrow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Ventoux Acquisition Holdings LLC – 364,581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International Investments, LLC – 197,919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entered into as of [________], 2020, by and among Ventoux CCM</w:t>
      </w: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Acquisition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Warrants</w:t>
      </w:r>
      <w:r>
        <w:rPr>
          <w:rFonts w:ascii="Arial" w:cs="Arial" w:eastAsia="Arial" w:hAnsi="Arial"/>
          <w:sz w:val="18"/>
          <w:szCs w:val="18"/>
          <w:color w:val="auto"/>
        </w:rPr>
        <w:t>” means the aggregate of up to 6,675,000 Warrants Ventoux Acquisition Holdings LLC and Chardan International Investments, LLC, each an Investor,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[__________], 2020 by and among the Investors and Continental Stock Transfer &amp; Trust Company.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one Warrant entitling the holder to purchase one-half of one share of Common Stock, and one right entitling the holder thereof to receive one-twentieth (1/20) of one share of common stock upon the consummation of an initial Business Combination.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333-251048)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u w:val="single" w:color="auto"/>
          <w:color w:val="auto"/>
        </w:rPr>
        <w:t>Demanding Holder</w:t>
      </w:r>
      <w:r>
        <w:rPr>
          <w:rFonts w:ascii="Arial" w:cs="Arial" w:eastAsia="Arial" w:hAnsi="Arial"/>
          <w:sz w:val="17"/>
          <w:szCs w:val="17"/>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three (3) Demand Registrations under this Section 2.1.1 in respect of all Registrable Securities.</w:t>
      </w:r>
    </w:p>
    <w:p>
      <w:pPr>
        <w:spacing w:after="0" w:line="179"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left="1960" w:firstLine="640"/>
        <w:spacing w:after="0" w:line="287" w:lineRule="auto"/>
        <w:tabs>
          <w:tab w:leader="none" w:pos="287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72"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ind w:left="840" w:hanging="184"/>
        <w:spacing w:after="0"/>
        <w:tabs>
          <w:tab w:leader="none" w:pos="8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192"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9" w:name="page260"/>
    <w:bookmarkEnd w:id="259"/>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6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ind w:left="840" w:hanging="184"/>
        <w:spacing w:after="0"/>
        <w:tabs>
          <w:tab w:leader="none" w:pos="8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333-236466),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International Investments,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International Investments, LLC.</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7.3.</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Greenwich, CT 06830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3" w:name="page264"/>
    <w:bookmarkEnd w:id="263"/>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Giovanni Caruso,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4" w:name="page265"/>
    <w:bookmarkEnd w:id="264"/>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5" w:name="page266"/>
    <w:bookmarkEnd w:id="265"/>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and Stockholder Rights Agreement to be executed and delivered by their duly authorized representatives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ACQUISITION HOLDINGS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Edward Scheetz</w:t>
      </w:r>
    </w:p>
    <w:p>
      <w:pPr>
        <w:spacing w:after="0" w:line="3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CHARDAN INTERNATIONAL INVESTMENTS,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Jonas Grossman</w:t>
      </w:r>
    </w:p>
    <w:p>
      <w:pPr>
        <w:spacing w:after="0" w:line="3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Registration and Stockholder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6" w:name="page267"/>
    <w:bookmarkEnd w:id="266"/>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Woodrow H. Levin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Acquisition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International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t>Exhibit 10.5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Ventoux CCM Acquisition Corp. (the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commits that it will purchase an aggregate of [_____] warrants of the Company (“Private Warrants”), at a price of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warrant for an aggregate purchase price of $[_____] (the “Private Warrant Purchase Price”).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least twenty-four (24) hours prior to the effective date of the Registration Statement, the undersigned will cause the Private Warrant Purchase Price to be delivered to Loeb &amp; Loeb, LLP (“Loeb”), as escrow agent, by wire transfer as set forth in the instructions attached as Exhibit A to hold in a non-interest bearing account until the Company consummates the IPO.</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consummation of the purchase and issuance of the Private Warrants shall occur simultaneously with the consummation of the IPO. Simultaneously with the consummation of the IPO, Continental shall deposit the Private Warrant Purchase Price, without interest or deduction, into the trust fund (“Trust Fund”) established by the Company for the benefit of the Company’s public stockholders as described in the Registration Statement.</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Company and the undersigned acknowledges and agrees that Loeb is serving hereunder solely as a convenience to the parties to facilitate the purchase of the Private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71" w:lineRule="auto"/>
        <w:tabs>
          <w:tab w:leader="none" w:pos="13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15 months (or 18 months, if the time to complete a Business Combination is extended as described in eth prospectus)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8" w:name="page269"/>
    <w:bookmarkEnd w:id="268"/>
    <w:p>
      <w:pPr>
        <w:jc w:val="both"/>
        <w:ind w:left="1300" w:hanging="320"/>
        <w:spacing w:after="0" w:line="263"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183"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that the Private Warrants and underlying securities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at prices no greater than the price at which the Private Warrants were originally purchased, (vii) by certain pledges to secure obligations incurred in connection with purchases of our securities, (viii) by private sales at prices no greater than the price at which the Private Warrants were originally purchased or (ix) to the Company for cancellation in connection with the consummation of a Business Combination, in each case (except for clause ix) where the transferee agrees to the terms of the transfer restrictions; and</w:t>
      </w:r>
    </w:p>
    <w:p>
      <w:pPr>
        <w:spacing w:after="0" w:line="178"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also acknowledges to be bound by terms of the private warrants described in the warrant agreement between the Company and Continental Stock Transfer &amp; Trust Company that will be executed in connection with the Company’s IPO.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has been advised that the Private Warrants have not been registered under the Securities 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will be acquiring the Private Warrants for its account for investment purposes only;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it has no present intention of selling or otherwise disposing of the Private Warrants in violation of the securities laws of the United States;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ind w:firstLine="656"/>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auto"/>
        </w:rPr>
      </w:pPr>
    </w:p>
    <w:p>
      <w:pPr>
        <w:ind w:firstLine="656"/>
        <w:spacing w:after="0" w:line="277" w:lineRule="auto"/>
        <w:tabs>
          <w:tab w:leader="none" w:pos="94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[_____]</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57175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22"/>
          <w:szCs w:val="22"/>
          <w:b w:val="1"/>
          <w:bCs w:val="1"/>
          <w:color w:val="auto"/>
        </w:rPr>
        <w:t>Exhibit 10.6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INDEMNITY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[_______], 2020, by and between Ventoux CCM Acquisition Corp.,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2" w:name="page273"/>
    <w:bookmarkEnd w:id="272"/>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jc w:val="both"/>
        <w:ind w:left="340" w:hanging="8"/>
        <w:spacing w:after="0" w:line="259" w:lineRule="auto"/>
        <w:tabs>
          <w:tab w:leader="none" w:pos="59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in effect on the date hereof.</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167"/>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Ventoux Acquisition Holdings LLC or Chardan International Investments, LLC (the “</w:t>
      </w:r>
      <w:r>
        <w:rPr>
          <w:rFonts w:ascii="Arial" w:cs="Arial" w:eastAsia="Arial" w:hAnsi="Arial"/>
          <w:sz w:val="16"/>
          <w:szCs w:val="16"/>
          <w:b w:val="1"/>
          <w:bCs w:val="1"/>
          <w:i w:val="1"/>
          <w:iCs w:val="1"/>
          <w:color w:val="auto"/>
        </w:rPr>
        <w:t>Co-Sponsors</w:t>
      </w:r>
      <w:r>
        <w:rPr>
          <w:rFonts w:ascii="Arial" w:cs="Arial" w:eastAsia="Arial" w:hAnsi="Arial"/>
          <w:sz w:val="16"/>
          <w:szCs w:val="16"/>
          <w:color w:val="auto"/>
        </w:rPr>
        <w:t>”) or an affiliate thereof, any Person is or becomes the Beneficial Owner, directly or indirectly, of securities of the Company representing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both"/>
        <w:ind w:left="4" w:hanging="4"/>
        <w:spacing w:after="0" w:line="259" w:lineRule="auto"/>
        <w:tabs>
          <w:tab w:leader="none" w:pos="269"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4" w:hanging="4"/>
        <w:spacing w:after="0" w:line="268" w:lineRule="auto"/>
        <w:tabs>
          <w:tab w:leader="none" w:pos="332"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4" w:lineRule="exact"/>
        <w:rPr>
          <w:rFonts w:ascii="Arial" w:cs="Arial" w:eastAsia="Arial" w:hAnsi="Arial"/>
          <w:sz w:val="17"/>
          <w:szCs w:val="17"/>
          <w:color w:val="auto"/>
        </w:rPr>
      </w:pPr>
    </w:p>
    <w:p>
      <w:pPr>
        <w:jc w:val="both"/>
        <w:ind w:left="4" w:hanging="4"/>
        <w:spacing w:after="0" w:line="259" w:lineRule="auto"/>
        <w:tabs>
          <w:tab w:leader="none" w:pos="33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4" w:hanging="4"/>
        <w:spacing w:after="0" w:line="263" w:lineRule="auto"/>
        <w:tabs>
          <w:tab w:leader="none" w:pos="27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9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4" w:name="page275"/>
    <w:bookmarkEnd w:id="274"/>
    <w:p>
      <w:pPr>
        <w:ind w:left="8" w:hanging="8"/>
        <w:spacing w:after="0" w:line="308" w:lineRule="auto"/>
        <w:tabs>
          <w:tab w:leader="none" w:pos="26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Status</w:t>
      </w:r>
      <w:r>
        <w:rPr>
          <w:rFonts w:ascii="Arial" w:cs="Arial" w:eastAsia="Arial" w:hAnsi="Arial"/>
          <w:sz w:val="17"/>
          <w:szCs w:val="17"/>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46" w:lineRule="exact"/>
        <w:rPr>
          <w:rFonts w:ascii="Arial" w:cs="Arial" w:eastAsia="Arial" w:hAnsi="Arial"/>
          <w:sz w:val="17"/>
          <w:szCs w:val="17"/>
          <w:color w:val="auto"/>
        </w:rPr>
      </w:pPr>
    </w:p>
    <w:p>
      <w:pPr>
        <w:ind w:left="248" w:hanging="248"/>
        <w:spacing w:after="0"/>
        <w:tabs>
          <w:tab w:leader="none" w:pos="2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8" w:hanging="8"/>
        <w:spacing w:after="0" w:line="277" w:lineRule="auto"/>
        <w:tabs>
          <w:tab w:leader="none" w:pos="27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75" w:name="page276"/>
    <w:bookmarkEnd w:id="275"/>
    <w:p>
      <w:pPr>
        <w:jc w:val="both"/>
        <w:ind w:left="340" w:hanging="8"/>
        <w:spacing w:after="0" w:line="287" w:lineRule="auto"/>
        <w:tabs>
          <w:tab w:leader="none" w:pos="5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340" w:hanging="8"/>
        <w:spacing w:after="0" w:line="277" w:lineRule="auto"/>
        <w:tabs>
          <w:tab w:leader="none" w:pos="62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340" w:hanging="8"/>
        <w:spacing w:after="0" w:line="255" w:lineRule="auto"/>
        <w:tabs>
          <w:tab w:leader="none" w:pos="56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92" w:lineRule="exact"/>
        <w:rPr>
          <w:rFonts w:ascii="Arial" w:cs="Arial" w:eastAsia="Arial" w:hAnsi="Arial"/>
          <w:sz w:val="18"/>
          <w:szCs w:val="18"/>
          <w:color w:val="auto"/>
        </w:rPr>
      </w:pPr>
    </w:p>
    <w:p>
      <w:pPr>
        <w:jc w:val="both"/>
        <w:ind w:left="340" w:hanging="8"/>
        <w:spacing w:after="0" w:line="272" w:lineRule="auto"/>
        <w:tabs>
          <w:tab w:leader="none" w:pos="68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340" w:hanging="8"/>
        <w:spacing w:after="0" w:line="308" w:lineRule="auto"/>
        <w:tabs>
          <w:tab w:leader="none" w:pos="599"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rFonts w:ascii="Arial" w:cs="Arial" w:eastAsia="Arial" w:hAnsi="Arial"/>
          <w:sz w:val="17"/>
          <w:szCs w:val="17"/>
          <w:color w:val="auto"/>
        </w:rPr>
      </w:pPr>
    </w:p>
    <w:p>
      <w:pPr>
        <w:jc w:val="both"/>
        <w:ind w:left="340" w:hanging="332"/>
        <w:spacing w:after="0" w:line="271" w:lineRule="auto"/>
        <w:tabs>
          <w:tab w:leader="none" w:pos="340"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ind w:left="340" w:hanging="332"/>
        <w:spacing w:after="0" w:line="270" w:lineRule="auto"/>
        <w:tabs>
          <w:tab w:leader="none" w:pos="34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To the fullest extent permitted by applicable law,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76"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color w:val="auto"/>
        </w:rPr>
      </w:pPr>
    </w:p>
    <w:p>
      <w:pPr>
        <w:jc w:val="both"/>
        <w:ind w:left="340" w:hanging="332"/>
        <w:spacing w:after="0" w:line="261"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7" w:name="page278"/>
    <w:bookmarkEnd w:id="277"/>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96" w:lineRule="auto"/>
        <w:tabs>
          <w:tab w:leader="none" w:pos="62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right="20" w:hanging="8"/>
        <w:spacing w:after="0" w:line="277" w:lineRule="auto"/>
        <w:tabs>
          <w:tab w:leader="none" w:pos="60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color w:val="auto"/>
        </w:rPr>
      </w:pPr>
    </w:p>
    <w:p>
      <w:pPr>
        <w:ind w:left="340" w:hanging="8"/>
        <w:spacing w:after="0" w:line="342" w:lineRule="auto"/>
        <w:tabs>
          <w:tab w:leader="none" w:pos="59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both"/>
        <w:ind w:left="340" w:hanging="8"/>
        <w:spacing w:after="0" w:line="257" w:lineRule="auto"/>
        <w:tabs>
          <w:tab w:leader="none" w:pos="6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69" w:lineRule="auto"/>
        <w:tabs>
          <w:tab w:leader="none" w:pos="59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6"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59" w:lineRule="auto"/>
        <w:tabs>
          <w:tab w:leader="none" w:pos="60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left="340" w:hanging="8"/>
        <w:spacing w:after="0" w:line="259" w:lineRule="auto"/>
        <w:tabs>
          <w:tab w:leader="none" w:pos="6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87" w:lineRule="auto"/>
        <w:tabs>
          <w:tab w:leader="none" w:pos="58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ind w:left="340" w:right="20" w:hanging="8"/>
        <w:spacing w:after="0" w:line="342" w:lineRule="auto"/>
        <w:tabs>
          <w:tab w:leader="none" w:pos="591"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19" w:lineRule="exact"/>
        <w:rPr>
          <w:rFonts w:ascii="Arial" w:cs="Arial" w:eastAsia="Arial" w:hAnsi="Arial"/>
          <w:sz w:val="16"/>
          <w:szCs w:val="16"/>
          <w:color w:val="auto"/>
        </w:rPr>
      </w:pPr>
    </w:p>
    <w:p>
      <w:pPr>
        <w:ind w:left="340" w:hanging="332"/>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71" w:lineRule="auto"/>
        <w:tabs>
          <w:tab w:leader="none" w:pos="593"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left="340" w:hanging="8"/>
        <w:spacing w:after="0" w:line="257" w:lineRule="auto"/>
        <w:tabs>
          <w:tab w:leader="none" w:pos="59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hanging="8"/>
        <w:spacing w:after="0" w:line="308" w:lineRule="auto"/>
        <w:tabs>
          <w:tab w:leader="none" w:pos="59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69" w:lineRule="auto"/>
        <w:tabs>
          <w:tab w:leader="none" w:pos="59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left="8" w:hanging="8"/>
        <w:spacing w:after="0" w:line="289" w:lineRule="auto"/>
        <w:tabs>
          <w:tab w:leader="none" w:pos="31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8" w:hanging="8"/>
        <w:spacing w:after="0" w:line="259" w:lineRule="auto"/>
        <w:tabs>
          <w:tab w:leader="none" w:pos="26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8" w:hanging="8"/>
        <w:spacing w:after="0" w:line="263" w:lineRule="auto"/>
        <w:tabs>
          <w:tab w:leader="none" w:pos="30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8" w:hanging="8"/>
        <w:spacing w:after="0" w:line="271" w:lineRule="auto"/>
        <w:tabs>
          <w:tab w:leader="none" w:pos="2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83" w:name="page284"/>
    <w:bookmarkEnd w:id="283"/>
    <w:p>
      <w:pPr>
        <w:jc w:val="both"/>
        <w:ind w:left="340" w:hanging="8"/>
        <w:spacing w:after="0" w:line="301" w:lineRule="auto"/>
        <w:tabs>
          <w:tab w:leader="none" w:pos="586"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87" w:lineRule="auto"/>
        <w:tabs>
          <w:tab w:leader="none" w:pos="58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1" w:lineRule="exact"/>
        <w:rPr>
          <w:rFonts w:ascii="Arial" w:cs="Arial" w:eastAsia="Arial" w:hAnsi="Arial"/>
          <w:sz w:val="16"/>
          <w:szCs w:val="16"/>
          <w:color w:val="auto"/>
        </w:rPr>
      </w:pPr>
    </w:p>
    <w:p>
      <w:pPr>
        <w:jc w:val="both"/>
        <w:ind w:left="340" w:hanging="8"/>
        <w:spacing w:after="0" w:line="290" w:lineRule="auto"/>
        <w:tabs>
          <w:tab w:leader="none" w:pos="616"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left="340" w:hanging="8"/>
        <w:spacing w:after="0" w:line="290" w:lineRule="auto"/>
        <w:tabs>
          <w:tab w:leader="none" w:pos="605"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6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5" w:name="page286"/>
    <w:bookmarkEnd w:id="285"/>
    <w:p>
      <w:pPr>
        <w:jc w:val="both"/>
        <w:ind w:left="332" w:hanging="332"/>
        <w:spacing w:after="0" w:line="272" w:lineRule="auto"/>
        <w:tabs>
          <w:tab w:leader="none" w:pos="332"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1" w:lineRule="exact"/>
        <w:rPr>
          <w:rFonts w:ascii="Arial" w:cs="Arial" w:eastAsia="Arial" w:hAnsi="Arial"/>
          <w:sz w:val="17"/>
          <w:szCs w:val="17"/>
          <w:color w:val="auto"/>
        </w:rPr>
      </w:pPr>
    </w:p>
    <w:p>
      <w:pPr>
        <w:ind w:left="332" w:hanging="332"/>
        <w:spacing w:after="0"/>
        <w:tabs>
          <w:tab w:leader="none" w:pos="332"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32" w:hanging="8"/>
        <w:spacing w:after="0" w:line="263" w:lineRule="auto"/>
        <w:tabs>
          <w:tab w:leader="none" w:pos="58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32" w:hanging="8"/>
        <w:spacing w:after="0" w:line="263" w:lineRule="auto"/>
        <w:tabs>
          <w:tab w:leader="none" w:pos="61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32" w:hanging="8"/>
        <w:spacing w:after="0" w:line="273" w:lineRule="auto"/>
        <w:tabs>
          <w:tab w:leader="none" w:pos="588"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32" w:hanging="8"/>
        <w:spacing w:after="0" w:line="259" w:lineRule="auto"/>
        <w:tabs>
          <w:tab w:leader="none" w:pos="58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86" w:name="page287"/>
    <w:bookmarkEnd w:id="286"/>
    <w:p>
      <w:pPr>
        <w:jc w:val="both"/>
        <w:ind w:left="340" w:hanging="8"/>
        <w:spacing w:after="0" w:line="253" w:lineRule="auto"/>
        <w:tabs>
          <w:tab w:leader="none" w:pos="62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color w:val="auto"/>
        </w:rPr>
      </w:pPr>
    </w:p>
    <w:p>
      <w:pPr>
        <w:jc w:val="both"/>
        <w:ind w:left="340" w:hanging="332"/>
        <w:spacing w:after="0" w:line="289" w:lineRule="auto"/>
        <w:tabs>
          <w:tab w:leader="none" w:pos="34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color w:val="auto"/>
        </w:rPr>
      </w:pPr>
    </w:p>
    <w:p>
      <w:pPr>
        <w:ind w:left="340" w:hanging="8"/>
        <w:spacing w:after="0" w:line="277" w:lineRule="auto"/>
        <w:tabs>
          <w:tab w:leader="none" w:pos="59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Edward Scheetz,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jc w:val="both"/>
        <w:ind w:left="340" w:hanging="332"/>
        <w:spacing w:after="0" w:line="266"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color w:val="auto"/>
        </w:rPr>
      </w:pPr>
    </w:p>
    <w:p>
      <w:pPr>
        <w:jc w:val="both"/>
        <w:ind w:left="340" w:hanging="332"/>
        <w:spacing w:after="0" w:line="258"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17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7"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signed as of the day and year first above written.</w:t>
      </w:r>
    </w:p>
    <w:p>
      <w:pPr>
        <w:spacing w:after="0" w:line="248"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14605</wp:posOffset>
            </wp:positionV>
            <wp:extent cx="257175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14605</wp:posOffset>
            </wp:positionV>
            <wp:extent cx="257175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[_____________]</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East Putnam Avenue, Floor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letter will confirm our agreement that, commencing on the effective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of the registration statement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for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the securities of Ventoux CCM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Chardan Capital Markets, LLC (“</w:t>
      </w:r>
      <w:r>
        <w:rPr>
          <w:rFonts w:ascii="Arial" w:cs="Arial" w:eastAsia="Arial" w:hAnsi="Arial"/>
          <w:sz w:val="16"/>
          <w:szCs w:val="16"/>
          <w:b w:val="1"/>
          <w:bCs w:val="1"/>
          <w:i w:val="1"/>
          <w:iCs w:val="1"/>
          <w:color w:val="auto"/>
        </w:rPr>
        <w:t>Chardan</w:t>
      </w:r>
      <w:r>
        <w:rPr>
          <w:rFonts w:ascii="Arial" w:cs="Arial" w:eastAsia="Arial" w:hAnsi="Arial"/>
          <w:sz w:val="16"/>
          <w:szCs w:val="16"/>
          <w:color w:val="auto"/>
        </w:rPr>
        <w:t>”) shall make available to the Company certain office space, secretarial and administrative services as may be required by the Company from time to time, situated at 1 East Putnam Avenue, Floor 4, Greenwich, CT 06830 (or any successor location). In exchange therefore, the Company shall pay Chardan a sum not to exceed $10,000 per month, respectively, on the Effective Date and continuing monthly thereafter until the Termination Date. Chardan hereby agrees that it does not have any right, title, interest or claim of any kind in or to any monies that may be set aside in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that may be established by the Company for the benefit of the Company’s public stockholders upon the consummation of the IPO as described in the Registration Statement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VENTOUX CCM ACQUISITION CORP.</w:t>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CHARDAN CAPITAL MARKETS,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4579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121"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Adopted: [__________], 2020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of Ventoux CCM Acquisition Corp. (the “Company”) has adopted this Code of Ethics (this “Code”) to provide value for our stockholders; and</w:t>
      </w:r>
    </w:p>
    <w:p>
      <w:pPr>
        <w:spacing w:after="0" w:line="170"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encourage honest and ethical conduct, including fair dealing and the ethical handling of conflicts of interest;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prompt full, fair, accurate, timely and understandable disclosure;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comply with applicable laws and governmental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prompt internal reporting of violations of this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protect the Company’s legitimate business interests, including corporate opportunities, assets and confidential information;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deter wrongdoing.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directors, officers, employees and independent contractors of the Company are expected to be familiar with this Code and to adhere to the principles and procedures set forth in this Code. For purposes of this Code, all directors, officers, employees and independent contractors are referred to collectively as “employees” or “you” throughout this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Honest and Ethical Conduct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directors, officers, employees and independent contractors owe duties to the Company to act with integrity. Integrity requires, among other things, being honest and ethical. This includes the ethical handling of actual or apparent conflicts of interest between personal and professional relationships. Deceit and subordination of principle are inconsistent with integrity.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directors, officers, employees and independent contractors have the following duties:</w:t>
      </w:r>
    </w:p>
    <w:p>
      <w:pPr>
        <w:spacing w:after="0" w:line="225"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conduct business with professional courtesy and integrity, and act honestly and fairly without prejudice in all commercial dealings;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work in a safe, healthy and efficient manner, using skills, time and experience to the maximum of 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comply with applicable awards, Company policies and job requirements, and adhere to a high standard of business ethics;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observe both the form and spirit of laws, governmental rules, regulations and accounting standards;</w:t>
      </w:r>
    </w:p>
    <w:p>
      <w:pPr>
        <w:spacing w:after="0" w:line="225" w:lineRule="exact"/>
        <w:rPr>
          <w:rFonts w:ascii="Arial" w:cs="Arial" w:eastAsia="Arial" w:hAnsi="Arial"/>
          <w:sz w:val="18"/>
          <w:szCs w:val="18"/>
          <w:color w:val="auto"/>
        </w:rPr>
      </w:pPr>
    </w:p>
    <w:p>
      <w:pPr>
        <w:ind w:left="660" w:hanging="328"/>
        <w:spacing w:after="0" w:line="277" w:lineRule="auto"/>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 to knowingly make any misleading statements to any person or to be a party to any improper practice in relation to dealings with or by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ensure that Company resources and properties are used properly;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maintain the confidentiality of information where required or consistent with Company policies;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1" w:name="page292"/>
    <w:bookmarkEnd w:id="291"/>
    <w:p>
      <w:pPr>
        <w:jc w:val="both"/>
        <w:ind w:left="660" w:hanging="328"/>
        <w:spacing w:after="0" w:line="286" w:lineRule="auto"/>
        <w:tabs>
          <w:tab w:leader="none" w:pos="727" w:val="left"/>
        </w:tabs>
        <w:numPr>
          <w:ilvl w:val="1"/>
          <w:numId w:val="196"/>
        </w:numPr>
        <w:rPr>
          <w:rFonts w:ascii="Arial" w:cs="Arial" w:eastAsia="Arial" w:hAnsi="Arial"/>
          <w:sz w:val="17"/>
          <w:szCs w:val="17"/>
          <w:color w:val="auto"/>
        </w:rPr>
      </w:pPr>
      <w:r>
        <w:rPr>
          <w:rFonts w:ascii="Arial" w:cs="Arial" w:eastAsia="Arial" w:hAnsi="Arial"/>
          <w:sz w:val="17"/>
          <w:szCs w:val="17"/>
          <w:color w:val="auto"/>
        </w:rPr>
        <w:t>Not to disclose information or documents relating to the Company or its business, other than as required by law, not to make any unauthorized public comment on Company affairs and not to misuse any information about the Company or its associates, and not to accept improper or undisclosed material personal benefits from third parties as a result of any transaction or transactions of the Company.</w:t>
      </w:r>
    </w:p>
    <w:p>
      <w:pPr>
        <w:spacing w:after="0" w:line="161" w:lineRule="exact"/>
        <w:rPr>
          <w:rFonts w:ascii="Arial" w:cs="Arial" w:eastAsia="Arial" w:hAnsi="Arial"/>
          <w:sz w:val="17"/>
          <w:szCs w:val="17"/>
          <w:color w:val="auto"/>
        </w:rPr>
      </w:pPr>
    </w:p>
    <w:p>
      <w:pPr>
        <w:ind w:left="240" w:hanging="232"/>
        <w:spacing w:after="0"/>
        <w:tabs>
          <w:tab w:leader="none" w:pos="2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“conflict of interest”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a variety of situations in which a conflict of interest may arise. While it would be impractical to attempt to list all possible situations, some common types of conflicts may be:</w:t>
      </w:r>
    </w:p>
    <w:p>
      <w:pPr>
        <w:spacing w:after="0" w:line="170"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serve as a director, employee or contractor for a company that has a business relationship with, or is a competitor of the Company;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have a financial interest in a competitor, supplier or customer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receive improper personal benefits from a competitor, supplier or customer, as a result of any transaction or transactions of the Company;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accept financial interest beyond entertainment or nominal gifts in the ordinary course of business, such as a meal or a coffee mug;</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8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present at a conference where the conference sponsor has a real or potential business relationship with the Company (e.g. vendor, customer, or investor), and, the conference sponsor offers travel or accommodation arrangements or other benefits materially in excess of the Company’s standard;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use for personal gain, rather than for the benefit of the Company, an opportunity that you discovered through your role with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Fidelity or service to the Company should never be subordinated to or dependent on personal gain or advantage. Conflicts of interest should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avoided.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most cases, anything that would constitute a conflict for a director, officer or employee also would present a conflict if it is related to a member of his or her family.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Interests in other companies, including potential competitors and suppliers, that are purely for management of the other entity, or where an otherwise questionable relationship is disclosed to the Board and any necessary action is taken to ensure there will be no effect on the Company, are not considered conflicts unless otherwise determined by the Board.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Evaluating whether a conflict of interest exists can be difficult and may involve a number of considerations. Please refer to other policies, such as the employee handbook, for further information. We also encourage you to seek guidance from your manager, Chief Executive Officer or Chief Financial Officer, or their equivalents, when you have any questions or doubts.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Disclosure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director, officer or employee, to the extent involved in the Company’s disclosure process, including the Chief Executive Officer or Chief Financial Officer, or their equivalents, the (the “Senior Financial Officers”), is required to be familiar with the Company’s disclosure controls and procedures applicable to him or her so that the Company’s public reports and documents comply in all material respects with the applicable securities laws and rules. In addition, each such person having direct or supervisory authority regarding these securities filings or the 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2" w:name="page293"/>
    <w:bookmarkEnd w:id="292"/>
    <w:p>
      <w:pPr>
        <w:ind w:left="660"/>
        <w:spacing w:after="0"/>
        <w:rPr>
          <w:sz w:val="20"/>
          <w:szCs w:val="20"/>
          <w:color w:val="auto"/>
        </w:rPr>
      </w:pPr>
      <w:r>
        <w:rPr>
          <w:rFonts w:ascii="Arial" w:cs="Arial" w:eastAsia="Arial" w:hAnsi="Arial"/>
          <w:sz w:val="17"/>
          <w:szCs w:val="17"/>
          <w:color w:val="auto"/>
        </w:rPr>
        <w:t>Each director, officer or employee, to the extent involved in the Company’s disclosure process, including the Senior Financial Officers, must:</w:t>
      </w:r>
    </w:p>
    <w:p>
      <w:pPr>
        <w:spacing w:after="0" w:line="237" w:lineRule="exact"/>
        <w:rPr>
          <w:sz w:val="20"/>
          <w:szCs w:val="20"/>
          <w:color w:val="auto"/>
        </w:rPr>
      </w:pPr>
    </w:p>
    <w:p>
      <w:pPr>
        <w:ind w:left="660" w:hanging="328"/>
        <w:spacing w:after="0" w:line="277" w:lineRule="auto"/>
        <w:tabs>
          <w:tab w:leader="none" w:pos="70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Familiarize himself or herself with the disclosure requirements applicable to the Company as well as the business and financial operations of the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83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and self-regulatory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Compliance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Company’s policy to comply with all applicable laws, rules and regulations. It is the personal responsibility of each employee, officer and director to adhere to the standards and restrictions imposed by those laws, rules and regulations in the performance of their duties for the Company, including those relating to accounting and auditing matters and insider trading.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endeavors to ensure that the directors, officers and employees of the Company act with integrity and observe the highest standards of behavior and business ethics in relation to their corporate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directors, officers and employees must:</w:t>
      </w:r>
    </w:p>
    <w:p>
      <w:pPr>
        <w:spacing w:after="0" w:line="225"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Comply with the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Act in the best interests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Be responsible and accountable for their 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Observe the ethical principles of fairness, honesty and truthfulness, including disclosure of potential conflicts.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Generally, it is against Company policies for any individual to profit from undisclosed information relating to the Company or any other company in violation of insider trading or other laws. Anyone who is aware of material nonpublic information relating to the Company, our customers, or other companies may not use the information to purchase or sell securities in violation of securities laws.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uncertain about the legal rules involving your purchase or sale of any Company securities or any securities in companies that you are familiar with by virtue of your work for the Company, you should consult with the Chief Executive Officer or Chief Financial Officer, or their equivalents, before making any such purchase or sale. Other policies issued by the Company also provide guidance as to certain of the laws, rules and regulations that apply to the Company’s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Reporting and Accountability</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Board of Directors has the authority to interpret this Code in any particular situation. Any director, officer or employee who becomes aware of any violation of this Code is required to notify the Chief Executive Officer or Chief Financial Officer, or their equivalents, promptly.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questions relating to how these policies should be interpreted or applied should be addressed to your manager, Chief Executive Officer or Chief Financial Officer, or their equivalents. Any material transaction or relationship that could reasonably be expected to give rise to a conflict of interest, as discussed in Section II of this Code, should be discussed with your manager, Chief Executive Officer or Chief Financial Officer, or their equivalents. A director, officer or employee who is unsure of whether a situation violates this Code should discuss the situation with the Chief Executive Officer or Chief Financial Officer, or their equivalents, to prevent possible misunderstandings and embarrassment at a later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ind w:left="660"/>
        <w:spacing w:after="0"/>
        <w:rPr>
          <w:sz w:val="20"/>
          <w:szCs w:val="20"/>
          <w:color w:val="auto"/>
        </w:rPr>
      </w:pPr>
      <w:r>
        <w:rPr>
          <w:rFonts w:ascii="Arial" w:cs="Arial" w:eastAsia="Arial" w:hAnsi="Arial"/>
          <w:sz w:val="18"/>
          <w:szCs w:val="18"/>
          <w:color w:val="auto"/>
        </w:rPr>
        <w:t>Each director, officer or employee must:</w:t>
      </w:r>
    </w:p>
    <w:p>
      <w:pPr>
        <w:spacing w:after="0" w:line="225"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Notify the Chief Executive Officer or Chief Financial Officer, or their equivalents, promptly of any existing or potential violation of this Code.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 retaliate against any other director, officer or employee for reports of potential violations.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8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Chief Executive Officer or Chief Financial Officer, or their equivalents, as the case may be, will take all appropriate action to investigate any violations reported. In addition, the Chief Executive Officer or Chief Financial Officer, or their equivalents, as appropriate, shall report each violation and alleged violation involving a director or an executive officer to the Chairman of the Board of Directors. To the extent he or she deems appropriate, the Chairman of the Board of Directors shall participate in any investigation of a director or executive officer. After the conclusion of an investigation of a director or executive officer, the conclusions shall be reported to the Board of Directors.</w:t>
      </w:r>
    </w:p>
    <w:p>
      <w:pPr>
        <w:spacing w:after="0" w:line="176" w:lineRule="exact"/>
        <w:rPr>
          <w:rFonts w:ascii="Arial" w:cs="Arial" w:eastAsia="Arial" w:hAnsi="Arial"/>
          <w:sz w:val="17"/>
          <w:szCs w:val="17"/>
          <w:color w:val="auto"/>
        </w:rPr>
      </w:pPr>
    </w:p>
    <w:p>
      <w:pPr>
        <w:jc w:val="both"/>
        <w:ind w:left="660" w:hanging="328"/>
        <w:spacing w:after="0" w:line="279" w:lineRule="auto"/>
        <w:tabs>
          <w:tab w:leader="none" w:pos="73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Board of Directors will conduct such additional investigation as it deems necessary. The Board will determine that a director or executive officer has violated this Code. Upon being notified that a violation has occurred, the Chief Executive Officer or Chief Financial Officer, or their equivalents, as the case may be, will take such disciplinary or preventive action as deemed appropriate, up to and including dismissal or, in the event of criminal or other serious violations of law, notification of appropriate law enforcement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Corporate Opportunities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Employees, officers and directors are prohibited from taking (or directing to a third party) a business opportunity that is discovered through the use of corporate property, information or position, unless the Company has already been offered the opportunity and turned it down. More generally, employees, officers and directors are prohibited from using corporate property, information or position for personal gain and from competing with the Company.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Sometimes, the line between personal and Company benefits is difficult to draw, and sometimes there are both personal and Company benefits in certain activities. Employees, officers and directors who intend to make use of Company property or services in a manner not solely for the benefit of the Company should consult beforehand with your manager, the Chief Executive Officer or Chief Financial Officer, or their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Confidentiality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carrying out the Company’s business, employees, officers and directors often learn confidential or proprietary information about the Company, its customers, suppliers, or joint venture parties. Employees, officers and directors must maintain the confidentiality of all information so entrusted to them, except when disclosure is authorized or legally mandated. Confidential or proprietary information of our Company, and of other companies, includes any non-public information that would be harmful to the relevant company or useful or helpful to competitors if disclosed.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Fair Dealing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core value of operating is based on responsiveness, openness, honesty and trust with our members, business partners, employees and stockholders. We do not seek competitive advantages through illegal or unethical business practices. Each employee, officer and director should endeavor to deal fairly with the Company’s customers, service providers, suppliers, competitors and employees. No employee, officer or director should take unfair advantage of anyone through manipulation, concealment, abuse of privileged information, misrepresentation of material facts, or any unfair dealing practice.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t>IX. Protection and Proper Use of Company Assets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employees, officers and directors should protect the Company’s assets and ensure their efficient use. All Company assets should be used only for legitimate business purposes. Theft, carelessness and waste have a direct impact on our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Waivers and Amendments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time to time, the Company may waive provisions of this Code. Any employee or director who believes that a waiver may be called for should discuss the matter with your manager, the Chief Executive Officer or Chief Financial Officer, or their equivalents.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waiver of the Code for executive officers (including Senior Financial Officers) or directors of the Company may be made only by the Board of Directors and must be promptly disclosed to stockholders along with the reasons for such waiver in a manner as required by applicable law or the rules of the applicable stock exchange. Any amendment or waiver of any provision of this Code must be approved in writing by the Board or, if appropriate, its delegate(s) and promptly disclosed pursuant to applicable laws and regulations.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waiver or modification of the Code for a Senior Financial Officer will be promptly disclosed to stockholders if and as required by applicable law or the rules of the applicable stock exchange.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 committed to continuously reviewing and updating its policies, and therefore reserves the right to amend this Policy at any time, for any reason, subject to applicable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1 to Form S-1 of our report dated December 1, 2020, relating to the financial statements of Ventoux CCM Acquisition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2020</w:t>
      </w:r>
    </w:p>
    <w:p>
      <w:pPr>
        <w:sectPr>
          <w:pgSz w:w="11900" w:h="16838" w:orient="portrait"/>
          <w:cols w:equalWidth="0" w:num="1">
            <w:col w:w="11240"/>
          </w:cols>
          <w:pgMar w:left="320" w:top="112"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ADOPTED: [______],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Nominating and Corporate Governance Committee (the “Committee”) is a committee of the Board of Directors (the “Board”) of Ventoux CCM Acquisition Corp. (the “Company”), established to help ensure that the Board is properly constituted to meet its fiduciary obligations to stockholders and the Company and that the Company has and follows appropriate corporate governance practices and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229" w:lineRule="exact"/>
        <w:rPr>
          <w:sz w:val="20"/>
          <w:szCs w:val="20"/>
          <w:color w:val="auto"/>
        </w:rPr>
      </w:pPr>
    </w:p>
    <w:p>
      <w:pPr>
        <w:ind w:left="660" w:right="2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Committee shall be comprised of directors, each of whom meets the independence requirements established by the Board and applicable laws, regulations and listing requirements of the Nasdaq Stock Market, as in effect from time to time.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Committee members shall be appointed by and serve at the discretion of the Board, acting by majority vote. The Board may remove any member from the Committee at any time with or without cause, acting by majority vote.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Board may designate one member of the Committee as its Chairperson and in the absence of any such designation by the Board, the Committee shall designate by majority vote of the full Committee one member of the Committee as its Chairperson.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Procedures</w:t>
      </w:r>
    </w:p>
    <w:p>
      <w:pPr>
        <w:spacing w:after="0" w:line="229" w:lineRule="exact"/>
        <w:rPr>
          <w:sz w:val="20"/>
          <w:szCs w:val="20"/>
          <w:color w:val="auto"/>
        </w:rPr>
      </w:pPr>
    </w:p>
    <w:p>
      <w:pPr>
        <w:jc w:val="both"/>
        <w:ind w:left="660" w:hanging="328"/>
        <w:spacing w:after="0" w:line="311" w:lineRule="auto"/>
        <w:tabs>
          <w:tab w:leader="none" w:pos="6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Committee will set its own schedule of meetings and will meet at least twice per year, with the option of holding additional meetings at such times as it deems necessary or appropriate. The Committee will maintain written minutes of its meetings, which minutes will be filed with the minutes of the meetings of the Board, and shall report on its meetings to the Board and any action taken or approved by the Committee.</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Committee may form subcommittees for any purpose that the Committee deems appropriate and may delegate to such subcommittees such power and authority as the Committee deems appropriate. The Committee shall not delegate to a subcommittee any power or authority required by law, regulation or listing standard to be exercised by the Committee as a whole.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Members of the Committee may not receive any compensation from the Company except the fees that they receive for service as a member of the Board or any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t>Authority and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extent it deems necessary or appropriate, the Committee shall perform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Composition, Evaluation and Nominating Activities</w:t>
      </w:r>
    </w:p>
    <w:p>
      <w:pPr>
        <w:spacing w:after="0" w:line="225" w:lineRule="exact"/>
        <w:rPr>
          <w:sz w:val="20"/>
          <w:szCs w:val="20"/>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Evaluate the current composition, organization and governance of the Board and its committees, determine future requirements and make recommendations to the Board for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Review periodically the policy and procedures for considering stockholder nominees for election to the Board.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qualifications and characteristics for Board membership and with corresponding attributes.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Search for, identify, evaluate and recommend for the selection by the Board, candidates to fill new positions or vacancies on the Board, and review any candidates recommended by stockholders.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Evaluate the performance of individual members of the Board eligible for re-election, and recommend for the selection by the Board, the director nominees for election to the Board at the annual meeting of stockholders.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Evaluate the independence of directors and director nominees against the independence requirements of the stock exchange rules and regulations and SEC rules and other applicable requirements.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Evaluate director compensation, consulting with outside consultants and/or management, when appropriate, and make recommendations to the Board regarding director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ind w:left="660" w:hanging="328"/>
        <w:spacing w:after="0" w:line="277"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Review periodically the composition of each committee of the Board, the need for additional committees, or changes in mandate or dissolution of existing committees, and make recommendations to the Board accordingly.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Recommend to the Board persons to be members and chairpersons of the various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Generally</w:t>
      </w:r>
    </w:p>
    <w:p>
      <w:pPr>
        <w:spacing w:after="0" w:line="225"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Develop and recommend to the Board a set of corporate governance principles and practices.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Review annually the Company’s corporate governance principles and practices, the Company’s compliance with these principles and practices, and recommend changes, as appropriate.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Oversee the Company’s communications and relations with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Oversee the evaluation of the Company’s management.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ind w:left="660" w:hanging="328"/>
        <w:spacing w:after="0"/>
        <w:tabs>
          <w:tab w:leader="none" w:pos="6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Oversee, review and report to Board regarding the Company’s succession planning for the Board, senior management and other key employees.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Periodically review and reassess the adequacy and scope this Charter and the Committee’s established processes and procedures and recommend any proposed changes to the Board for approval.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Oversee the Board’s performance and self-evaluation process, including conducting surveys of director observations, suggestions and preferences regarding how effectively the Board operates.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Oversee compliance by the Board and its committees with applicable laws and regulations, including the stock exchange rules and regulations and SEC rules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Review annually the performance of the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ind w:left="660" w:hanging="328"/>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Review and monitor the Company’s Code of Ethics.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Consider questions of possible conflicts of interest of members of the Board and of corporate officers and review actual or potential conflicts of interest or related party transactions involving members of the Board or officers of the Company, and make determinations accordingly.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performing its responsibilities, the Committee shall have the authority to hire and obtain advice, reports or opinions from internal or external counsel and expert advisors, including sole authority to retain and terminate search firms to identify director candidates, and to set the terms and fees for any such search firms, legal counsel and advisors.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ADOPTED: [______],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primary purpose of the Audit Committee (the “Committee”) shall be to act on behalf of the Board of Directors (the “Board”) of Ventoux CCM Acquisition Corp. (the “Company”), in fulfilling the Board’s oversight responsibilities with respect to the Company’s corporate accounting and financial reporting processes, the systems of internal control over financial reporting, and audits of financial statements, as well as the quality and integrity of the Company’s financial statements and reports and the qualifications, independence and performance of the registered public accounting firm or firms engaged as the Company’s independent outside auditors for the purpose of preparing or issuing an audit report or performing other audit, review or attest services (the “Auditors”). The Committee shall also provide oversight assistance in connection with the Company’s legal, regulatory and ethical compliance programs as established by management and the Board. The operation of the Committee shall be subject to the Bylaws of the Company as in effect from time to time.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policy of the Committee, in discharging these obligations, shall be to maintain and foster an open avenue of communication among the Committee, the Auditors and the Company’s financial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OMPOSITION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shall consist of no fewer than three members, absent a temporary vacancy. The Committee shall meet the “Audit Committee Requirements” of the Nasdaq Stock Market and the independence and experience requirements of Section 10A(m)(3) of the Securities Exchange Act of 1934, as amended (the “Exchange Act”) and the rules and regulations of the Securities and Exchange Commission (“SEC”). Members of the Committee may only receive director and committee member fees as compensation from the Company. The members of the Committee shall be appointed by and serve at the discretion of the Board. Vacancies occurring on the Committee shall be filled by the Board. The Chairman of the Committee shall be appointed by the Board. The Board may remove any member from the Committee at any time with or without cause.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EETINGS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INUTES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meet on at least a quarterly basis. Minutes of each meeting of the Committee shall be prepared and distributed to each director of the Company and the Secretary of the Company. The Chairman of the Committee shall report to the Board from time to time, or whenever so requested by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UTHORITY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Committee shall have authority to appoint, determine compensation for, and at the Company’s expense, retain and oversee the Auditors as set forth in Section 10A(m)(2) of the Exchange Act and the rules thereunder and otherwise to fulfill its responsibilities under this charter. The Committee shall have authority to retain and determine compensation for, at the expense of the Company, special legal, accounting or other advisors or consultants as it deems necessary or appropriate in the performance of its duties. The Committee shall also have authority to pay, at the expense of the Company, ordinary administrative expenses that, as determined by the Committee, are necessary or appropriate in carrying out its duties. Each member of the Committee shall have full access to all books, records, facilities and personnel of the Company as deemed necessary or appropriate by any member of the Committee to discharge his or her responsibilities hereunder. The Committee shall have authority to require that any of the Company’s personnel, counsel, accountants (including the Auditors) or investment bankers, or any other consultant or advisor to the Company attend any meeting of the Committee or meet with any member of the Committee or any of its special outside legal, accounting or other advisors or consultants. The approval of this Charter by the Board shall be construed as a delegation of authority to the Committee with respect to the responsibilities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ESPONSIBILITIES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shall oversee the Company’s financial reporting process on behalf of the Board, and shall have direct responsibility for the appointment, compensation, retention and oversight of the work of the Auditors and any other registered public accounting firm engaged for the purpose of performing other review or attest services for the Company. The Auditors and each such other registered public accounting firm shall report directly and be accountable to the Committee. The Committee’s functions and procedures should remain flexible to address most effectively changing circumstances.</w:t>
      </w:r>
    </w:p>
    <w:p>
      <w:pPr>
        <w:spacing w:after="0" w:line="15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It shall be the responsibility of management to prepare the Company’s financial statements and periodic reports and the responsibility of the Auditors to audit those financial statements. These functions shall not be the responsibility of the Committee, nor shall it be the Committee’s responsibility to ensure that the financial statements or periodic reports are complete and accurate, conform to GAAP or otherwise comply with applicable laws.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implement the Committee’s purpose and policy, the Committee shall be charged with the following functions and processes with the understanding, however, that the Committee may supplement or (except as otherwise required by applicable laws or rules) deviate from these activities as appropriate under the circumstances:</w:t>
      </w:r>
    </w:p>
    <w:p>
      <w:pPr>
        <w:spacing w:after="0" w:line="184" w:lineRule="exact"/>
        <w:rPr>
          <w:sz w:val="20"/>
          <w:szCs w:val="20"/>
          <w:color w:val="auto"/>
        </w:rPr>
      </w:pPr>
    </w:p>
    <w:p>
      <w:pPr>
        <w:jc w:val="both"/>
        <w:ind w:firstLine="656"/>
        <w:spacing w:after="0" w:line="269" w:lineRule="auto"/>
        <w:tabs>
          <w:tab w:leader="none" w:pos="841" w:val="left"/>
        </w:tabs>
        <w:numPr>
          <w:ilvl w:val="1"/>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Evaluation and Retention of Auditors. </w:t>
      </w:r>
      <w:r>
        <w:rPr>
          <w:rFonts w:ascii="Arial" w:cs="Arial" w:eastAsia="Arial" w:hAnsi="Arial"/>
          <w:sz w:val="17"/>
          <w:szCs w:val="17"/>
          <w:color w:val="auto"/>
        </w:rPr>
        <w:t>To evaluate the performance of the Auditors, including the lead partner, to assess their qualifications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their internal quality-control procedures and any material issues raised by that firm’s most recent internal quality-control review or any investigations by regulatory authorities) and to determine whether to retain or to terminate the engagement of the existing Auditors or to appoint and engage a different independent registered public accounting firm, which retention shall be subject only to ratification by the Company’s stockholders (if the Committee or the Board elects to submit such retention for ratification by the stockholders). At least annually, the Committee should obtain and review a report by the Auditors that describes (1) the firm’s internal quality control procedures, (2) any material issues raised by the most recent internal quality control review, peer review or Public Company Accounting Oversight Board review or inspection of the firm or by any other inquiry or investigation by governmental or professional authorities in the past five years regarding one or more audits carried out by the firm and any steps taken to deal with any such issues, and (3) all relationships between the firm and the Company or any of its subsidiaries; and to discuss with the independent auditors this report and any relationships or services that may impact the objectivity and independence of the Auditors. At least annually, the Committee should evaluate the qualifications, performance and independence of the Auditors, including an evaluation of the lead audit partner; and to assure the regular rotation of the lead audit partner.</w:t>
      </w:r>
    </w:p>
    <w:p>
      <w:pPr>
        <w:spacing w:after="0" w:line="174" w:lineRule="exact"/>
        <w:rPr>
          <w:rFonts w:ascii="Arial" w:cs="Arial" w:eastAsia="Arial" w:hAnsi="Arial"/>
          <w:sz w:val="17"/>
          <w:szCs w:val="17"/>
          <w:b w:val="1"/>
          <w:bCs w:val="1"/>
          <w:color w:val="auto"/>
        </w:rPr>
      </w:pPr>
    </w:p>
    <w:p>
      <w:pPr>
        <w:jc w:val="both"/>
        <w:ind w:firstLine="656"/>
        <w:spacing w:after="0" w:line="277" w:lineRule="auto"/>
        <w:tabs>
          <w:tab w:leader="none" w:pos="841" w:val="left"/>
        </w:tabs>
        <w:numPr>
          <w:ilvl w:val="1"/>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 Prior to Engagement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engagement of any prospective Auditors, to review a written disclosure by the prospective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Auditors of all relationships between the prospective Auditors, or their affiliates, and the Company, or persons in financial oversight roles at the Company, that may reasonably be thought to bear on independence, and to discuss with the prospective Auditors the potential effects of such relationships on the independence of the prospective Auditors, consistent with Ethics and Independence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(“Rule 3526”), of the Public Company Accounting Oversight Board (United States) (the “PCAOB”).</w:t>
      </w:r>
    </w:p>
    <w:p>
      <w:pPr>
        <w:spacing w:after="0" w:line="167" w:lineRule="exact"/>
        <w:rPr>
          <w:rFonts w:ascii="Arial" w:cs="Arial" w:eastAsia="Arial" w:hAnsi="Arial"/>
          <w:sz w:val="17"/>
          <w:szCs w:val="17"/>
          <w:b w:val="1"/>
          <w:bCs w:val="1"/>
          <w:color w:val="auto"/>
        </w:rPr>
      </w:pPr>
    </w:p>
    <w:p>
      <w:pPr>
        <w:jc w:val="both"/>
        <w:ind w:firstLine="656"/>
        <w:spacing w:after="0" w:line="285" w:lineRule="auto"/>
        <w:tabs>
          <w:tab w:leader="none" w:pos="841" w:val="left"/>
        </w:tabs>
        <w:numPr>
          <w:ilvl w:val="1"/>
          <w:numId w:val="20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Approval of Audit Engagements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determine and approve engagements of the Auditors, prior to commencement of such engagements,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 all proposed audit, review and attest services, including the scope of and plans for the audit, the adequacy of staffing, the compensation to be paid, at the Company’s expense, to the Auditors and the negotiation and execution, on behalf of the Company, of the Auditors’ engagement letters, which approval may be pursuant to preapproval policies and procedures established by the Committee consistent with applicable laws and rules, including the delegation of preapproval authority to one or more Committee members so long as any such preapproval decisions are presented to the full Committee at the next scheduled meeting. The Committee should review and discuss with the Auditors (1) the Auditors’ responsibilities under generally accepted auditing standards and the responsibilities of management in the audit process, (2) the overall audit strategy, (3) the scope and timing of the annual audit,</w:t>
      </w:r>
    </w:p>
    <w:p>
      <w:pPr>
        <w:ind w:firstLine="8"/>
        <w:spacing w:after="0" w:line="260" w:lineRule="auto"/>
        <w:tabs>
          <w:tab w:leader="none" w:pos="26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significant risks identified during the Auditors’ risk assessment procedures and (5) when completed, the results, including significant findings, of the annual audit.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firstLine="656"/>
        <w:spacing w:after="0" w:line="255" w:lineRule="auto"/>
        <w:tabs>
          <w:tab w:leader="none" w:pos="828"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Approval of Non-Audit Services. </w:t>
      </w:r>
      <w:r>
        <w:rPr>
          <w:rFonts w:ascii="Arial" w:cs="Arial" w:eastAsia="Arial" w:hAnsi="Arial"/>
          <w:sz w:val="18"/>
          <w:szCs w:val="18"/>
          <w:color w:val="auto"/>
        </w:rPr>
        <w:t>To determine and approve engagements of the Auditors, prior to commencement of such engagements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compliance with exceptions available under applicable laws and rules related to immaterial aggregate amounts of services), to perform any proposed permissible non-audit services, including the scope of the service and the compensation to be paid therefor, at the Company’s expense, which approval may be pursuant to preapproval policies and procedures established by the Committee consistent with applicable laws and rules, including the delegation of preapproval authority to one or more Committee members so long as any such preapproval decisions are presented to the full Committee at the next scheduled meeting.</w:t>
      </w:r>
    </w:p>
    <w:p>
      <w:pPr>
        <w:spacing w:after="0" w:line="192" w:lineRule="exact"/>
        <w:rPr>
          <w:rFonts w:ascii="Arial" w:cs="Arial" w:eastAsia="Arial" w:hAnsi="Arial"/>
          <w:sz w:val="18"/>
          <w:szCs w:val="18"/>
          <w:b w:val="1"/>
          <w:bCs w:val="1"/>
          <w:color w:val="auto"/>
        </w:rPr>
      </w:pPr>
    </w:p>
    <w:p>
      <w:pPr>
        <w:jc w:val="both"/>
        <w:ind w:firstLine="656"/>
        <w:spacing w:after="0" w:line="257" w:lineRule="auto"/>
        <w:tabs>
          <w:tab w:leader="none" w:pos="828"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Auditor Independence. </w:t>
      </w:r>
      <w:r>
        <w:rPr>
          <w:rFonts w:ascii="Arial" w:cs="Arial" w:eastAsia="Arial" w:hAnsi="Arial"/>
          <w:sz w:val="18"/>
          <w:szCs w:val="18"/>
          <w:color w:val="auto"/>
        </w:rPr>
        <w:t>At least annually, consistent with Rule 3526, to receive and review written disclosures from the Auditors delineating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between the Auditors, or their affiliates, and the Company, or persons in financial oversight roles at the Company, that may reasonably be thought to bear on independence and a letter from the Auditors affirming their independence, to consider and discuss with the Auditors any potential effects of any such relationships on the independence of the Auditors as well as any compensation or services that could affect the Auditors’ objectivity and independence, and to assess and otherwise take appropriate</w:t>
      </w:r>
    </w:p>
    <w:p>
      <w:pPr>
        <w:spacing w:after="0" w:line="187" w:lineRule="exact"/>
        <w:rPr>
          <w:rFonts w:ascii="Arial" w:cs="Arial" w:eastAsia="Arial" w:hAnsi="Arial"/>
          <w:sz w:val="18"/>
          <w:szCs w:val="18"/>
          <w:b w:val="1"/>
          <w:bCs w:val="1"/>
          <w:color w:val="auto"/>
        </w:rPr>
      </w:pPr>
    </w:p>
    <w:p>
      <w:pPr>
        <w:ind w:firstLine="656"/>
        <w:spacing w:after="0" w:line="277" w:lineRule="auto"/>
        <w:tabs>
          <w:tab w:leader="none" w:pos="828"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Former Employees of Auditor. </w:t>
      </w:r>
      <w:r>
        <w:rPr>
          <w:rFonts w:ascii="Arial" w:cs="Arial" w:eastAsia="Arial" w:hAnsi="Arial"/>
          <w:sz w:val="18"/>
          <w:szCs w:val="18"/>
          <w:color w:val="auto"/>
        </w:rPr>
        <w:t>To consider and, if deemed appropriate, adopt clear policies regarding hiring of employees or former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Auditors that participated in any capacity in any Company audit.</w:t>
      </w:r>
    </w:p>
    <w:p>
      <w:pPr>
        <w:spacing w:after="0" w:line="170" w:lineRule="exact"/>
        <w:rPr>
          <w:rFonts w:ascii="Arial" w:cs="Arial" w:eastAsia="Arial" w:hAnsi="Arial"/>
          <w:sz w:val="18"/>
          <w:szCs w:val="18"/>
          <w:b w:val="1"/>
          <w:bCs w:val="1"/>
          <w:color w:val="auto"/>
        </w:rPr>
      </w:pPr>
    </w:p>
    <w:p>
      <w:pPr>
        <w:jc w:val="both"/>
        <w:ind w:firstLine="656"/>
        <w:spacing w:after="0" w:line="263" w:lineRule="auto"/>
        <w:tabs>
          <w:tab w:leader="none" w:pos="855"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Audited Financial Statement Review. </w:t>
      </w:r>
      <w:r>
        <w:rPr>
          <w:rFonts w:ascii="Arial" w:cs="Arial" w:eastAsia="Arial" w:hAnsi="Arial"/>
          <w:sz w:val="18"/>
          <w:szCs w:val="18"/>
          <w:color w:val="auto"/>
        </w:rPr>
        <w:t>To review, upon completion of the audit, the financial statements proposed to be included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Registration Statements and Annual Report on Form 10-K to be filed with the SEC and to recommend whether or not such financial statements should be so included.</w:t>
      </w:r>
    </w:p>
    <w:p>
      <w:pPr>
        <w:spacing w:after="0" w:line="183" w:lineRule="exact"/>
        <w:rPr>
          <w:rFonts w:ascii="Arial" w:cs="Arial" w:eastAsia="Arial" w:hAnsi="Arial"/>
          <w:sz w:val="18"/>
          <w:szCs w:val="18"/>
          <w:b w:val="1"/>
          <w:bCs w:val="1"/>
          <w:color w:val="auto"/>
        </w:rPr>
      </w:pPr>
    </w:p>
    <w:p>
      <w:pPr>
        <w:jc w:val="both"/>
        <w:ind w:firstLine="656"/>
        <w:spacing w:after="0" w:line="275" w:lineRule="auto"/>
        <w:tabs>
          <w:tab w:leader="none" w:pos="828"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Annual Audit Results. </w:t>
      </w:r>
      <w:r>
        <w:rPr>
          <w:rFonts w:ascii="Arial" w:cs="Arial" w:eastAsia="Arial" w:hAnsi="Arial"/>
          <w:sz w:val="17"/>
          <w:szCs w:val="17"/>
          <w:color w:val="auto"/>
        </w:rPr>
        <w:t>To review with management and the Auditors, the results of the annual audit, including the Auditors’ assessment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quality, not just acceptability, of the Company’s accounting principles and practices, the Auditors’ views about qualitative aspects of the Company’s significant accounting practices, the reasonableness of significant judgments and estimates (including material changes in estimates), all known and likely misstatements identified during the audit (other than those the Auditors believe to be trivial), the adequacy of the disclosures in the financial statements and any other matters required to be communicated to the Committee by the Auditors under the standards of the PCAOB.</w:t>
      </w:r>
    </w:p>
    <w:p>
      <w:pPr>
        <w:spacing w:after="0" w:line="176" w:lineRule="exact"/>
        <w:rPr>
          <w:rFonts w:ascii="Arial" w:cs="Arial" w:eastAsia="Arial" w:hAnsi="Arial"/>
          <w:sz w:val="17"/>
          <w:szCs w:val="17"/>
          <w:b w:val="1"/>
          <w:bCs w:val="1"/>
          <w:color w:val="auto"/>
        </w:rPr>
      </w:pPr>
    </w:p>
    <w:p>
      <w:pPr>
        <w:jc w:val="both"/>
        <w:ind w:right="20" w:firstLine="656"/>
        <w:spacing w:after="0" w:line="263" w:lineRule="auto"/>
        <w:tabs>
          <w:tab w:leader="none" w:pos="855"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Auditor Communications. </w:t>
      </w:r>
      <w:r>
        <w:rPr>
          <w:rFonts w:ascii="Arial" w:cs="Arial" w:eastAsia="Arial" w:hAnsi="Arial"/>
          <w:sz w:val="18"/>
          <w:szCs w:val="18"/>
          <w:color w:val="auto"/>
        </w:rPr>
        <w:t>At least annually, to discuss with the Auditors the matters required to be discussed by Statement on Auditing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12. AU section 380), as adopted by the PCAOB in Rule 3200T (including any successor rule adopted by the PCAOB).</w:t>
      </w:r>
    </w:p>
    <w:p>
      <w:pPr>
        <w:spacing w:after="0" w:line="183" w:lineRule="exact"/>
        <w:rPr>
          <w:rFonts w:ascii="Arial" w:cs="Arial" w:eastAsia="Arial" w:hAnsi="Arial"/>
          <w:sz w:val="18"/>
          <w:szCs w:val="18"/>
          <w:b w:val="1"/>
          <w:bCs w:val="1"/>
          <w:color w:val="auto"/>
        </w:rPr>
      </w:pPr>
    </w:p>
    <w:p>
      <w:pPr>
        <w:jc w:val="both"/>
        <w:ind w:firstLine="656"/>
        <w:spacing w:after="0" w:line="259" w:lineRule="auto"/>
        <w:tabs>
          <w:tab w:leader="none" w:pos="945"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Quarterly Results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as appropriate, the results of the Auditors’ review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quarterly financial statements, prior to public disclosure of quarterly financial information, if practicable, or filing with the SEC of the Company’s Quarterly Report on Form 10-Q, and any other matters required to be communicated to the Committee by the Auditors under generally accepted auditing standards, including standards of the PCAOB, as appropriate.</w:t>
      </w:r>
    </w:p>
    <w:p>
      <w:pPr>
        <w:spacing w:after="0" w:line="186" w:lineRule="exact"/>
        <w:rPr>
          <w:rFonts w:ascii="Arial" w:cs="Arial" w:eastAsia="Arial" w:hAnsi="Arial"/>
          <w:sz w:val="18"/>
          <w:szCs w:val="18"/>
          <w:b w:val="1"/>
          <w:bCs w:val="1"/>
          <w:color w:val="auto"/>
        </w:rPr>
      </w:pPr>
    </w:p>
    <w:p>
      <w:pPr>
        <w:jc w:val="both"/>
        <w:ind w:firstLine="656"/>
        <w:spacing w:after="0" w:line="259" w:lineRule="auto"/>
        <w:tabs>
          <w:tab w:leader="none" w:pos="921"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Releases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the Company’s earnings press releases, including the type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to be included and its presentation and the use of any pro forma, adjusted or other non-GAAP financial information and any financial information and earnings guidance provided to analysts and ratings agencies, including the type of information to be disclosed and type of presentation to be made.</w:t>
      </w:r>
    </w:p>
    <w:p>
      <w:pPr>
        <w:spacing w:after="0" w:line="186" w:lineRule="exact"/>
        <w:rPr>
          <w:rFonts w:ascii="Arial" w:cs="Arial" w:eastAsia="Arial" w:hAnsi="Arial"/>
          <w:sz w:val="18"/>
          <w:szCs w:val="18"/>
          <w:b w:val="1"/>
          <w:bCs w:val="1"/>
          <w:color w:val="auto"/>
        </w:rPr>
      </w:pPr>
    </w:p>
    <w:p>
      <w:pPr>
        <w:jc w:val="both"/>
        <w:ind w:firstLine="656"/>
        <w:spacing w:after="0" w:line="263" w:lineRule="auto"/>
        <w:tabs>
          <w:tab w:leader="none" w:pos="958"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Management’s Discussion and Analysis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as appropriate,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disclosures contained under the caption “Management’s Discussion and Analysis of Financial Condition and Results of Operations” in its periodic reports to be filed with the SEC.</w:t>
      </w:r>
    </w:p>
    <w:p>
      <w:pPr>
        <w:spacing w:after="0" w:line="183" w:lineRule="exact"/>
        <w:rPr>
          <w:rFonts w:ascii="Arial" w:cs="Arial" w:eastAsia="Arial" w:hAnsi="Arial"/>
          <w:sz w:val="18"/>
          <w:szCs w:val="18"/>
          <w:b w:val="1"/>
          <w:bCs w:val="1"/>
          <w:color w:val="auto"/>
        </w:rPr>
      </w:pPr>
    </w:p>
    <w:p>
      <w:pPr>
        <w:jc w:val="both"/>
        <w:ind w:firstLine="656"/>
        <w:spacing w:after="0" w:line="255" w:lineRule="auto"/>
        <w:tabs>
          <w:tab w:leader="none" w:pos="931"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Accounting Principles and Policies. </w:t>
      </w:r>
      <w:r>
        <w:rPr>
          <w:rFonts w:ascii="Arial" w:cs="Arial" w:eastAsia="Arial" w:hAnsi="Arial"/>
          <w:sz w:val="18"/>
          <w:szCs w:val="18"/>
          <w:color w:val="auto"/>
        </w:rPr>
        <w:t>To review with management and the Auditors, as appropriate, significant issues that arise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principles and financial statement presentation, including critical accounting policies and practices, alternative accounting policies available under generally accepted accounting principles (“GAAP”) related to material items discussed with management, the potential impact on the Company’s financial statements of off-balance sheet structures and any other significant reporting issues and judgments, significant regulatory, legal and accounting initiatives or developments that may have a material impact on the Company’s financial statements, compliance programs and policies if, in the judgment of the Committee, such review is necessary or appropriate.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2" w:name="page303"/>
    <w:bookmarkEnd w:id="302"/>
    <w:p>
      <w:pPr>
        <w:jc w:val="both"/>
        <w:ind w:firstLine="656"/>
        <w:spacing w:after="0" w:line="279" w:lineRule="auto"/>
        <w:tabs>
          <w:tab w:leader="none" w:pos="918"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Risk Assessment and Management. </w:t>
      </w:r>
      <w:r>
        <w:rPr>
          <w:rFonts w:ascii="Arial" w:cs="Arial" w:eastAsia="Arial" w:hAnsi="Arial"/>
          <w:sz w:val="17"/>
          <w:szCs w:val="17"/>
          <w:color w:val="auto"/>
        </w:rPr>
        <w:t>To review and discuss with management and, as appropriate, the Auditors the Company’s guidelines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policies with respect to risk assessment and risk management, including the Company’s major financial risk exposures and the steps taken by management to monitor and control these exposures; and to review and discuss with management insurance programs, including director and officer insurance, product liability insurance and general liability insurance (but excluding compensation and benefits-related insurance).</w:t>
      </w:r>
    </w:p>
    <w:p>
      <w:pPr>
        <w:spacing w:after="0" w:line="171" w:lineRule="exact"/>
        <w:rPr>
          <w:rFonts w:ascii="Arial" w:cs="Arial" w:eastAsia="Arial" w:hAnsi="Arial"/>
          <w:sz w:val="17"/>
          <w:szCs w:val="17"/>
          <w:b w:val="1"/>
          <w:bCs w:val="1"/>
          <w:color w:val="auto"/>
        </w:rPr>
      </w:pPr>
    </w:p>
    <w:p>
      <w:pPr>
        <w:jc w:val="both"/>
        <w:ind w:firstLine="656"/>
        <w:spacing w:after="0" w:line="311" w:lineRule="auto"/>
        <w:tabs>
          <w:tab w:leader="none" w:pos="945"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Management Cooperation with Audit. </w:t>
      </w:r>
      <w:r>
        <w:rPr>
          <w:rFonts w:ascii="Arial" w:cs="Arial" w:eastAsia="Arial" w:hAnsi="Arial"/>
          <w:sz w:val="16"/>
          <w:szCs w:val="16"/>
          <w:color w:val="auto"/>
        </w:rPr>
        <w:t>To evaluate the cooperation received by the Auditors during their audit examination, including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 with the Auditors of any significant difficulties encountered during the audit or any restrictions on the scope of their activities or access to required records, data and information and, whether or not resolved, significant disagreements with management and management’s response, if any.</w:t>
      </w:r>
    </w:p>
    <w:p>
      <w:pPr>
        <w:spacing w:after="0" w:line="148" w:lineRule="exact"/>
        <w:rPr>
          <w:rFonts w:ascii="Arial" w:cs="Arial" w:eastAsia="Arial" w:hAnsi="Arial"/>
          <w:sz w:val="16"/>
          <w:szCs w:val="16"/>
          <w:b w:val="1"/>
          <w:bCs w:val="1"/>
          <w:color w:val="auto"/>
        </w:rPr>
      </w:pPr>
    </w:p>
    <w:p>
      <w:pPr>
        <w:jc w:val="both"/>
        <w:ind w:firstLine="656"/>
        <w:spacing w:after="0" w:line="263" w:lineRule="auto"/>
        <w:tabs>
          <w:tab w:leader="none" w:pos="931"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Management Letters. </w:t>
      </w:r>
      <w:r>
        <w:rPr>
          <w:rFonts w:ascii="Arial" w:cs="Arial" w:eastAsia="Arial" w:hAnsi="Arial"/>
          <w:sz w:val="18"/>
          <w:szCs w:val="18"/>
          <w:color w:val="auto"/>
        </w:rPr>
        <w:t>To review and discuss with the Auditors and, if appropriate, management, any management or internal control letter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or, to the extent practicable, proposed to be issued by the Auditors and management’s response, if any, to such letter, as well as any additional material written communications between the Auditors and management.</w:t>
      </w:r>
    </w:p>
    <w:p>
      <w:pPr>
        <w:spacing w:after="0" w:line="183" w:lineRule="exact"/>
        <w:rPr>
          <w:rFonts w:ascii="Arial" w:cs="Arial" w:eastAsia="Arial" w:hAnsi="Arial"/>
          <w:sz w:val="18"/>
          <w:szCs w:val="18"/>
          <w:b w:val="1"/>
          <w:bCs w:val="1"/>
          <w:color w:val="auto"/>
        </w:rPr>
      </w:pPr>
    </w:p>
    <w:p>
      <w:pPr>
        <w:ind w:right="20" w:firstLine="656"/>
        <w:spacing w:after="0" w:line="277" w:lineRule="auto"/>
        <w:tabs>
          <w:tab w:leader="none" w:pos="918"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National Office Communications. </w:t>
      </w:r>
      <w:r>
        <w:rPr>
          <w:rFonts w:ascii="Arial" w:cs="Arial" w:eastAsia="Arial" w:hAnsi="Arial"/>
          <w:sz w:val="18"/>
          <w:szCs w:val="18"/>
          <w:color w:val="auto"/>
        </w:rPr>
        <w:t>To review and discuss with the Auditors, as appropriate, communications between the audit team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Auditors’ national office with respect to accounting or auditing issues presented by the engagement.</w:t>
      </w:r>
    </w:p>
    <w:p>
      <w:pPr>
        <w:spacing w:after="0" w:line="170" w:lineRule="exact"/>
        <w:rPr>
          <w:rFonts w:ascii="Arial" w:cs="Arial" w:eastAsia="Arial" w:hAnsi="Arial"/>
          <w:sz w:val="18"/>
          <w:szCs w:val="18"/>
          <w:b w:val="1"/>
          <w:bCs w:val="1"/>
          <w:color w:val="auto"/>
        </w:rPr>
      </w:pPr>
    </w:p>
    <w:p>
      <w:pPr>
        <w:jc w:val="both"/>
        <w:ind w:firstLine="656"/>
        <w:spacing w:after="0" w:line="301" w:lineRule="auto"/>
        <w:tabs>
          <w:tab w:leader="none" w:pos="918"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Disagreements Between Auditors and Management. </w:t>
      </w:r>
      <w:r>
        <w:rPr>
          <w:rFonts w:ascii="Arial" w:cs="Arial" w:eastAsia="Arial" w:hAnsi="Arial"/>
          <w:sz w:val="16"/>
          <w:szCs w:val="16"/>
          <w:color w:val="auto"/>
        </w:rPr>
        <w:t>To review with management and the Auditors, or any other registered public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engaged to perform review or attest services, any conflicts or disagreements between management and the Auditors, or such other accounting firm, whether or not resolved, regarding financial reporting, accounting practices or policies or other matters, that individually or in the aggregate could be significant to the Company’s financial statements or the Auditors’ report, and to resolve any conflicts or disagreements regarding financial reporting.</w:t>
      </w:r>
    </w:p>
    <w:p>
      <w:pPr>
        <w:spacing w:after="0" w:line="157" w:lineRule="exact"/>
        <w:rPr>
          <w:rFonts w:ascii="Arial" w:cs="Arial" w:eastAsia="Arial" w:hAnsi="Arial"/>
          <w:sz w:val="16"/>
          <w:szCs w:val="16"/>
          <w:b w:val="1"/>
          <w:bCs w:val="1"/>
          <w:color w:val="auto"/>
        </w:rPr>
      </w:pPr>
    </w:p>
    <w:p>
      <w:pPr>
        <w:jc w:val="both"/>
        <w:ind w:firstLine="656"/>
        <w:spacing w:after="0" w:line="255" w:lineRule="auto"/>
        <w:tabs>
          <w:tab w:leader="none" w:pos="918"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Internal Control Over Financial Reporting and Disclosure Controls. </w:t>
      </w:r>
      <w:r>
        <w:rPr>
          <w:rFonts w:ascii="Arial" w:cs="Arial" w:eastAsia="Arial" w:hAnsi="Arial"/>
          <w:sz w:val="18"/>
          <w:szCs w:val="18"/>
          <w:color w:val="auto"/>
        </w:rPr>
        <w:t>To confer with management and the Auditors, as appropriate,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scope, adequacy and effectiveness of internal control over financial reporting and disclosure controls and procedures, including significant deficiencies or material weaknesses identified by the Auditors. To review with the management and the Auditors any fraud, whether or not material, that includes management or other employees who have any significant role in the Company’s internal control over financial reporting or disclosure controls, and any significant changes in internal controls or disclosure controls or other factors that could significantly affect them, including any corrective actions in regard to significant deficiencies or material weaknesses.</w:t>
      </w:r>
    </w:p>
    <w:p>
      <w:pPr>
        <w:spacing w:after="0" w:line="192" w:lineRule="exact"/>
        <w:rPr>
          <w:rFonts w:ascii="Arial" w:cs="Arial" w:eastAsia="Arial" w:hAnsi="Arial"/>
          <w:sz w:val="18"/>
          <w:szCs w:val="18"/>
          <w:b w:val="1"/>
          <w:bCs w:val="1"/>
          <w:color w:val="auto"/>
        </w:rPr>
      </w:pPr>
    </w:p>
    <w:p>
      <w:pPr>
        <w:ind w:firstLine="656"/>
        <w:spacing w:after="0" w:line="277" w:lineRule="auto"/>
        <w:tabs>
          <w:tab w:leader="none" w:pos="918"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Separate Sessions. </w:t>
      </w:r>
      <w:r>
        <w:rPr>
          <w:rFonts w:ascii="Arial" w:cs="Arial" w:eastAsia="Arial" w:hAnsi="Arial"/>
          <w:sz w:val="18"/>
          <w:szCs w:val="18"/>
          <w:color w:val="auto"/>
        </w:rPr>
        <w:t>Periodically, to meet in separate sessions with the Auditors, as appropriate, and management to discuss any matters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the Auditors or management believe should be discussed privately with the Committee.</w:t>
      </w:r>
    </w:p>
    <w:p>
      <w:pPr>
        <w:spacing w:after="0" w:line="170" w:lineRule="exact"/>
        <w:rPr>
          <w:rFonts w:ascii="Arial" w:cs="Arial" w:eastAsia="Arial" w:hAnsi="Arial"/>
          <w:sz w:val="18"/>
          <w:szCs w:val="18"/>
          <w:b w:val="1"/>
          <w:bCs w:val="1"/>
          <w:color w:val="auto"/>
        </w:rPr>
      </w:pPr>
    </w:p>
    <w:p>
      <w:pPr>
        <w:jc w:val="both"/>
        <w:ind w:firstLine="656"/>
        <w:spacing w:after="0" w:line="311" w:lineRule="auto"/>
        <w:tabs>
          <w:tab w:leader="none" w:pos="931"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Correspondence with Regulators. </w:t>
      </w:r>
      <w:r>
        <w:rPr>
          <w:rFonts w:ascii="Arial" w:cs="Arial" w:eastAsia="Arial" w:hAnsi="Arial"/>
          <w:sz w:val="16"/>
          <w:szCs w:val="16"/>
          <w:color w:val="auto"/>
        </w:rPr>
        <w:t>To consider and review with management, the Auditors, outside counsel, as appropriate, and any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separate accounting firm or other consultants and advisors as the Committee deems appropriate, any correspondence with regulators or governmental agencies and any published reports that raise material issues regarding the Company’s financial statements or accounting policies.</w:t>
      </w:r>
    </w:p>
    <w:p>
      <w:pPr>
        <w:spacing w:after="0" w:line="148" w:lineRule="exact"/>
        <w:rPr>
          <w:rFonts w:ascii="Arial" w:cs="Arial" w:eastAsia="Arial" w:hAnsi="Arial"/>
          <w:sz w:val="16"/>
          <w:szCs w:val="16"/>
          <w:b w:val="1"/>
          <w:bCs w:val="1"/>
          <w:color w:val="auto"/>
        </w:rPr>
      </w:pPr>
    </w:p>
    <w:p>
      <w:pPr>
        <w:jc w:val="both"/>
        <w:ind w:firstLine="656"/>
        <w:spacing w:after="0" w:line="257" w:lineRule="auto"/>
        <w:tabs>
          <w:tab w:leader="none" w:pos="918"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Complaint Procedures. </w:t>
      </w:r>
      <w:r>
        <w:rPr>
          <w:rFonts w:ascii="Arial" w:cs="Arial" w:eastAsia="Arial" w:hAnsi="Arial"/>
          <w:sz w:val="18"/>
          <w:szCs w:val="18"/>
          <w:color w:val="auto"/>
        </w:rPr>
        <w:t>To establish procedures, when and as required by applicable laws and rules, for the receipt, retention and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complaints received by the Company regarding accounting, internal accounting controls or auditing matters and the confidential and anonymous submission by employees of concerns regarding questionable accounting or auditing matters, and to establish such procedures as the Committee may deem appropriate for the receipt, retention and treatment of complaints received by the Company with respect to any other matters that may be directed to the Committee for review and assessment.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3" w:name="page304"/>
    <w:bookmarkEnd w:id="303"/>
    <w:p>
      <w:pPr>
        <w:jc w:val="both"/>
        <w:ind w:firstLine="656"/>
        <w:spacing w:after="0" w:line="257" w:lineRule="auto"/>
        <w:tabs>
          <w:tab w:leader="none" w:pos="945"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Ethical Compliance; Compliance with Legal and Regulatory Requirements. </w:t>
      </w:r>
      <w:r>
        <w:rPr>
          <w:rFonts w:ascii="Arial" w:cs="Arial" w:eastAsia="Arial" w:hAnsi="Arial"/>
          <w:sz w:val="18"/>
          <w:szCs w:val="18"/>
          <w:color w:val="auto"/>
        </w:rPr>
        <w:t>To review the results of management’s efforts to monitor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with the Company’s programs and policies designed to ensure adherence to applicable laws and rules, as well as to its Code of Business Conduct and Ethics, as amended from time to time, and regarding legal matters and compliance with legal and regulatory requirements that may have a material effect on the Company’s business, financial statements or compliance policies, including any material reports or inquiries from regulatory or governmental agencies.</w:t>
      </w:r>
    </w:p>
    <w:p>
      <w:pPr>
        <w:spacing w:after="0" w:line="187" w:lineRule="exact"/>
        <w:rPr>
          <w:rFonts w:ascii="Arial" w:cs="Arial" w:eastAsia="Arial" w:hAnsi="Arial"/>
          <w:sz w:val="18"/>
          <w:szCs w:val="18"/>
          <w:b w:val="1"/>
          <w:bCs w:val="1"/>
          <w:color w:val="auto"/>
        </w:rPr>
      </w:pPr>
    </w:p>
    <w:p>
      <w:pPr>
        <w:ind w:left="960" w:hanging="304"/>
        <w:spacing w:after="0"/>
        <w:tabs>
          <w:tab w:leader="none" w:pos="96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Related-Person Transactions. </w:t>
      </w:r>
      <w:r>
        <w:rPr>
          <w:rFonts w:ascii="Arial" w:cs="Arial" w:eastAsia="Arial" w:hAnsi="Arial"/>
          <w:sz w:val="16"/>
          <w:szCs w:val="16"/>
          <w:color w:val="auto"/>
        </w:rPr>
        <w:t>To review and provide oversight of related-person transactions, as required by stock exchange rules and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b w:val="1"/>
          <w:bCs w:val="1"/>
          <w:color w:val="auto"/>
        </w:rPr>
      </w:pPr>
    </w:p>
    <w:p>
      <w:pPr>
        <w:jc w:val="both"/>
        <w:ind w:firstLine="656"/>
        <w:spacing w:after="0" w:line="275" w:lineRule="auto"/>
        <w:tabs>
          <w:tab w:leader="none" w:pos="931"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Engagement of Registered Public Accounting Firms. </w:t>
      </w:r>
      <w:r>
        <w:rPr>
          <w:rFonts w:ascii="Arial" w:cs="Arial" w:eastAsia="Arial" w:hAnsi="Arial"/>
          <w:sz w:val="17"/>
          <w:szCs w:val="17"/>
          <w:color w:val="auto"/>
        </w:rPr>
        <w:t>To determine and approve engagements of any registered public accounting firm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the Auditors), prior to commencement of such engagements, to perform any other review or attest service, including the compensation to be paid, at the Company’s expense, to such firm and the negotiation and execution, on behalf of the Company, of such firm’s engagement letter, which approval may be pursuant to preapproval policies and procedures, including the delegation of preapproval authority to one or more Committee members, so long as any such preapproval decisions are presented to the full Committee at the next scheduled meeting.</w:t>
      </w:r>
    </w:p>
    <w:p>
      <w:pPr>
        <w:spacing w:after="0" w:line="176" w:lineRule="exact"/>
        <w:rPr>
          <w:rFonts w:ascii="Arial" w:cs="Arial" w:eastAsia="Arial" w:hAnsi="Arial"/>
          <w:sz w:val="17"/>
          <w:szCs w:val="17"/>
          <w:b w:val="1"/>
          <w:bCs w:val="1"/>
          <w:color w:val="auto"/>
        </w:rPr>
      </w:pPr>
    </w:p>
    <w:p>
      <w:pPr>
        <w:ind w:right="20" w:firstLine="656"/>
        <w:spacing w:after="0" w:line="277" w:lineRule="auto"/>
        <w:tabs>
          <w:tab w:leader="none" w:pos="918"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Policy. </w:t>
      </w:r>
      <w:r>
        <w:rPr>
          <w:rFonts w:ascii="Arial" w:cs="Arial" w:eastAsia="Arial" w:hAnsi="Arial"/>
          <w:sz w:val="18"/>
          <w:szCs w:val="18"/>
          <w:color w:val="auto"/>
        </w:rPr>
        <w:t>To review, on a periodic basis, as appropriate, the Company’s investment policy and recommend to the Board any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investment policy.</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931"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Investigations. </w:t>
      </w:r>
      <w:r>
        <w:rPr>
          <w:rFonts w:ascii="Arial" w:cs="Arial" w:eastAsia="Arial" w:hAnsi="Arial"/>
          <w:sz w:val="18"/>
          <w:szCs w:val="18"/>
          <w:color w:val="auto"/>
        </w:rPr>
        <w:t>To investigate any matter brought to the attention of the Committee within the scope of its duties if, in the judgment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such investigation is necessary or appropriate.</w:t>
      </w:r>
    </w:p>
    <w:p>
      <w:pPr>
        <w:spacing w:after="0" w:line="170" w:lineRule="exact"/>
        <w:rPr>
          <w:rFonts w:ascii="Arial" w:cs="Arial" w:eastAsia="Arial" w:hAnsi="Arial"/>
          <w:sz w:val="18"/>
          <w:szCs w:val="18"/>
          <w:b w:val="1"/>
          <w:bCs w:val="1"/>
          <w:color w:val="auto"/>
        </w:rPr>
      </w:pPr>
    </w:p>
    <w:p>
      <w:pPr>
        <w:ind w:left="960" w:hanging="304"/>
        <w:spacing w:after="0"/>
        <w:tabs>
          <w:tab w:leader="none" w:pos="96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Proxy Report. </w:t>
      </w:r>
      <w:r>
        <w:rPr>
          <w:rFonts w:ascii="Arial" w:cs="Arial" w:eastAsia="Arial" w:hAnsi="Arial"/>
          <w:sz w:val="17"/>
          <w:szCs w:val="17"/>
          <w:color w:val="auto"/>
        </w:rPr>
        <w:t>To prepare the report of the Committee required by the rules of the SEC to be included in the Company’s annual proxy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statement.</w:t>
      </w:r>
    </w:p>
    <w:p>
      <w:pPr>
        <w:spacing w:after="0" w:line="210" w:lineRule="exact"/>
        <w:rPr>
          <w:rFonts w:ascii="Arial" w:cs="Arial" w:eastAsia="Arial" w:hAnsi="Arial"/>
          <w:sz w:val="17"/>
          <w:szCs w:val="17"/>
          <w:b w:val="1"/>
          <w:bCs w:val="1"/>
          <w:color w:val="auto"/>
        </w:rPr>
      </w:pPr>
    </w:p>
    <w:p>
      <w:pPr>
        <w:ind w:left="920" w:hanging="264"/>
        <w:spacing w:after="0"/>
        <w:tabs>
          <w:tab w:leader="none" w:pos="92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Annual Charter Review. </w:t>
      </w:r>
      <w:r>
        <w:rPr>
          <w:rFonts w:ascii="Arial" w:cs="Arial" w:eastAsia="Arial" w:hAnsi="Arial"/>
          <w:sz w:val="16"/>
          <w:szCs w:val="16"/>
          <w:color w:val="auto"/>
        </w:rPr>
        <w:t>To review and assess the adequacy of this charter annually and recommend any proposed changes to the Board for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approval.</w:t>
      </w:r>
    </w:p>
    <w:p>
      <w:pPr>
        <w:spacing w:after="0" w:line="210" w:lineRule="exact"/>
        <w:rPr>
          <w:rFonts w:ascii="Arial" w:cs="Arial" w:eastAsia="Arial" w:hAnsi="Arial"/>
          <w:sz w:val="16"/>
          <w:szCs w:val="16"/>
          <w:b w:val="1"/>
          <w:bCs w:val="1"/>
          <w:color w:val="auto"/>
        </w:rPr>
      </w:pPr>
    </w:p>
    <w:p>
      <w:pPr>
        <w:jc w:val="both"/>
        <w:ind w:firstLine="656"/>
        <w:spacing w:after="0" w:line="263" w:lineRule="auto"/>
        <w:tabs>
          <w:tab w:leader="none" w:pos="918"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Report to Board. </w:t>
      </w:r>
      <w:r>
        <w:rPr>
          <w:rFonts w:ascii="Arial" w:cs="Arial" w:eastAsia="Arial" w:hAnsi="Arial"/>
          <w:sz w:val="18"/>
          <w:szCs w:val="18"/>
          <w:color w:val="auto"/>
        </w:rPr>
        <w:t>To report to the Board with respect to material issues that arise regarding the quality or integrity of the Company’s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the Company’s compliance with legal or regulatory requirements, the performance or independence of the Auditors or such other matters as the Committee deems appropriate from time to time or whenever it shall be called upon to do so.</w:t>
      </w:r>
    </w:p>
    <w:p>
      <w:pPr>
        <w:spacing w:after="0" w:line="183" w:lineRule="exact"/>
        <w:rPr>
          <w:rFonts w:ascii="Arial" w:cs="Arial" w:eastAsia="Arial" w:hAnsi="Arial"/>
          <w:sz w:val="18"/>
          <w:szCs w:val="18"/>
          <w:b w:val="1"/>
          <w:bCs w:val="1"/>
          <w:color w:val="auto"/>
        </w:rPr>
      </w:pPr>
    </w:p>
    <w:p>
      <w:pPr>
        <w:ind w:left="920" w:hanging="264"/>
        <w:spacing w:after="0"/>
        <w:tabs>
          <w:tab w:leader="none" w:pos="92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Annual Committee Evaluation. </w:t>
      </w:r>
      <w:r>
        <w:rPr>
          <w:rFonts w:ascii="Arial" w:cs="Arial" w:eastAsia="Arial" w:hAnsi="Arial"/>
          <w:sz w:val="18"/>
          <w:szCs w:val="18"/>
          <w:color w:val="auto"/>
        </w:rPr>
        <w:t>To conduct an annual evaluation of the performance of the Committee.</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918"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Authority. </w:t>
      </w:r>
      <w:r>
        <w:rPr>
          <w:rFonts w:ascii="Arial" w:cs="Arial" w:eastAsia="Arial" w:hAnsi="Arial"/>
          <w:sz w:val="18"/>
          <w:szCs w:val="18"/>
          <w:color w:val="auto"/>
        </w:rPr>
        <w:t>To perform such other functions and to have such powers as may be necessary or appropriate in the efficient and lawful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discharge of the foregoing.</w:t>
      </w:r>
    </w:p>
    <w:p>
      <w:pPr>
        <w:spacing w:after="0" w:line="170" w:lineRule="exact"/>
        <w:rPr>
          <w:rFonts w:ascii="Arial" w:cs="Arial" w:eastAsia="Arial" w:hAnsi="Arial"/>
          <w:sz w:val="18"/>
          <w:szCs w:val="18"/>
          <w:b w:val="1"/>
          <w:bCs w:val="1"/>
          <w:color w:val="auto"/>
        </w:rPr>
      </w:pPr>
    </w:p>
    <w:p>
      <w:pPr>
        <w:jc w:val="both"/>
        <w:ind w:firstLine="656"/>
        <w:spacing w:after="0" w:line="273" w:lineRule="auto"/>
        <w:tabs>
          <w:tab w:leader="none" w:pos="918"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Internal Audit Function. </w:t>
      </w:r>
      <w:r>
        <w:rPr>
          <w:rFonts w:ascii="Arial" w:cs="Arial" w:eastAsia="Arial" w:hAnsi="Arial"/>
          <w:sz w:val="17"/>
          <w:szCs w:val="17"/>
          <w:color w:val="auto"/>
        </w:rPr>
        <w:t>Until the internal audit function of the Company is established, to assist with the Board’s oversight of the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an internal audit function; meet periodically with Company personnel primarily responsible for designing and implementing the internal audit function; review with the Auditors the Company’s plans for implementing the internal audit function, including management’s plans for internal audit’s budget, staff and responsibilities; and report regularly to the Board regarding the design and implementation of internal audit. Once the internal audit function is established, the Committee will monitor that the Company maintains an effective internal audit function and oversee the internal auditors (or other personnel responsible for the internal audit function), who will report directly to the Committee.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ADOPTED: [______],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Committee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purposes of the Compensation Committee (the “Committee”) of the Board of Directors (the “Board”) of Ventoux CCM Acquisition Corp. (the “Company”) shall be to oversee the Company’s compensation and employee benefit plans and practices, including its executive, director and other incentive and equity-based compensation plans and to review and prepare any disclosures required to be made by the Company in its periodic filings with the Securities and Exchange Commission (“SEC”) pursuant to the rules and regulations of the SEC.</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Charter is intended as a tool within which the Board, assisted by its committees, directs the affairs of the Company. While it should be interpreted in the context of all applicable laws, regulations and listing requirements, as well as in the context of the Company’s charter and bylaws (“Governing Documents”), it is not intended to establish by its own force any legally binding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the Committee shall be appointed by the Board on the recommendation of the Nominating and Corporate Governance Committee. The Board may designate one member of the Committee as its Chairperson and in the absence of any such designation by the Board, the Committee shall designate by majority vote of the full Committee one member of the Committee as its Chairperson. Vacancies on the Committee shall be filled by majority vote of the Board at the next meeting of the Board following the occurrence of the vacancy or by written consent of the Board. No member of the Committee shall be removed except by majority vote of the Board. The Board may remove any member from the Committee at any time with or without cause.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Committee shall be comprised of directors, each of whom meets the independence requirements established by the Board and applicable laws, regulations and listing requirements of the Nasdaq Stock Market, except that the Committee may have as one of its members a “non-independent director” under exceptional and limited circumstances pursuant to the exemption under Rule 5605(d)(2)(B) of the Nasdaq Stock Market. At least two of the Committee members shall be “non-employee directors” as defined by Rule 16b-3 under the Securities Exchange Act of 1934, as amended (the “Exchange Act”). The members of the Committee and the chairperson shall be selected not less frequently than annually by the Board and serve at the pleasure of the Board. A Committee member (including the chairperson) may be removed at any time, with or without cause, by the Board. Each member shall also be free of any relationship that, in the judgment of the Board, would interfere with the exercise of his or her independent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Procedures of the Committee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fix its own rules of procedure, which shall be consistent with the Governing Documents. The Committee shall meet at least annually, or more frequently as circumstances require. The Chairperson of the Committee or a majority of the members of the Committee may also call a special meeting of the Committee. A majority of the members of the Committee present in person or by means of a conference telephone or other communications equipment by means of which all persons participating in the meeting can hear each other shall constitute a quorum. Any action required or permitted to be taken at any meeting of the Committee may be taken without a meeting, if all members of the Committee consent thereto in writing, and the writing or writings are filled with the minutes of proceedings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5" w:name="page306"/>
    <w:bookmarkEnd w:id="305"/>
    <w:p>
      <w:pPr>
        <w:jc w:val="both"/>
        <w:ind w:firstLine="648"/>
        <w:spacing w:after="0" w:line="286" w:lineRule="auto"/>
        <w:rPr>
          <w:sz w:val="20"/>
          <w:szCs w:val="20"/>
          <w:color w:val="auto"/>
        </w:rPr>
      </w:pPr>
      <w:r>
        <w:rPr>
          <w:rFonts w:ascii="Arial" w:cs="Arial" w:eastAsia="Arial" w:hAnsi="Arial"/>
          <w:sz w:val="17"/>
          <w:szCs w:val="17"/>
          <w:color w:val="auto"/>
        </w:rPr>
        <w:t>The Committee may request that any directors, officers or employees of the Company, or other persons whose advice and counsel are sought by the Committee, attend any meeting of the Committee to provide such pertinent information as the Committee requests. The Company’s Chief Executive Officer (“CEO”) shall not attend the portion of any meeting where the CEO’s performance or compensation are discussed.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shall report to the Board on Committee findings, recommendations and other matters the Committee deems appropriate or the Board requests. The Committee shall keep written minutes of its meetings, which minutes shall be maintained with the books and records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Delegation of Authority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form subcommittees for any purpose that the Committee deems appropriate and may delegate to such subcommittees such power and authority as the Committee deems appropriate; provided, however, that the Committee shall not delegate to a subcommittee any power or authority required by any law, regulation or listing standard to be exercised by the Committee as a whole.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also delegate to one or more executive officers of the Company the authority to make grants of equity-based compensation to eligible individuals who are not executive officers. Any executive officer to whom the Committee grants such authority shall regularly report to the Committee grants so made and the Committee may revoke any delegation of authority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Responsibilities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responsibilities of the Committee shall be to:</w:t>
      </w:r>
    </w:p>
    <w:p>
      <w:pPr>
        <w:spacing w:after="0" w:line="225" w:lineRule="exact"/>
        <w:rPr>
          <w:sz w:val="20"/>
          <w:szCs w:val="20"/>
          <w:color w:val="auto"/>
        </w:rPr>
      </w:pPr>
    </w:p>
    <w:p>
      <w:pPr>
        <w:ind w:left="1300" w:hanging="320"/>
        <w:spacing w:after="0" w:line="277"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Ensure that the Company’s executive compensation programs are designed to enable it to recruit, retain and motivate a large group of talented and diverse executives.</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Ensure that the Company’s executive compensation programs are appropriately competitive, support organization objectives and stockholder interests, and ensure executive compensation is adequately designed to align the interests of executive officers with the long-term performance of the Company.</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Review and report to the Board for its consideration any cash incentive compensation plans, option plans or other equity based plans that provide for payment in the Company’s stock or are based on the value of the Company’s stock, subject to any approvals required by the stockholders of the Company.</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Oversee all employee benefit plans and programs of the Company, its subsidiaries and divisions, including the authority to adopt, amend and terminate such plans and programs (unless approval by the Board or stockholders is required by law).</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Review and approve annual corporate goals and objectives relevant to the CEO’s compensation; evaluate the CEO’s performance in light of those goals and objectives; and recommend for approval by the independent members of the Board, the CEO’s compensation level based on this evaluation.</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Evaluate and recommend for Board approval, on an annual basis, the individual elements of total compensation for the executive officers (within the meaning of Section 16 of the Exchange Act), other than the CEO, and other key executives.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Evaluate and recommend for Board Approval any mandatory stock ownership guidelines.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Review the compensation paid to non-employee directors and make recommendations to the Board for any adjustments.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6" w:name="page307"/>
    <w:bookmarkEnd w:id="306"/>
    <w:p>
      <w:pPr>
        <w:ind w:left="1300" w:hanging="320"/>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all approvals necessary under Section 16, Section 162(m) and other regulatory provisions.</w:t>
      </w:r>
    </w:p>
    <w:p>
      <w:pPr>
        <w:spacing w:after="0" w:line="225"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applicable, review and discuss the Compensation Discussion and Analysis (the “CD&amp;A”) required to be included in the Company’s proxy statement and annual report on Form 10-K by the rules and regulations of the SEC with management, and, based on such review and discussion, determine whether or not to recommend to the Board that the CD&amp;A be so included.</w:t>
      </w:r>
    </w:p>
    <w:p>
      <w:pPr>
        <w:spacing w:after="0" w:line="165"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Committee shall produce the annual Compensation Committee Report for inclusion in the Company’s proxy statement in compliance with the rules and regulations promulgated by the SEC.</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Annually assess and report to the Board on the performance and effectiveness of the Committee.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Review this Charter on an annual basis, update it as appropriate, and submit it for the approval of the Board when updated.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Undertake such other responsibilities or tasks as the Board may delegate or assign to the Committee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Investigations and Studies; Outside Advisers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conduct or authorize investigations into or studies of matters within the Committee’s scope of responsibilities, and may retain, at the Company’s expense, such independent legal counsel or other consultants or advisers as it deems necessary and appropriate, including compensation consultants to advise the Committee with respect to amounts or forms of executive or director compensation, and may rely on the integrity and advice of any such counsel or other advisers. It is the Committee’s intention that any compensation consultant engaged to advise the Committee with respect to executive and director compensation will not engage in work for the Company that is unrelated to executive and director compensation advisory services without prior approval of the Committee Chairperson.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be directly responsible for the appointment, compensation and oversight of the work of any such compensation consultant, legal counsel and other adviser retained by the Committee. The Company shall provide for appropriate funding, as determined by the compensation committee, for payment of reasonable compensation to a compensation consultant, legal counsel or any other adviser retained by the compensation committee. The Committee shall have sole authority to approve related fees and retention terms.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Committee may select, or receive advice from, a compensation consultant, legal counsel or other adviser to the Committee, other than in-house legal counsel, only after taking into consideration all factors relevant to the adviser’s independence from management, including those specified in the Nasdaq listing rules and the following factors:</w:t>
      </w:r>
    </w:p>
    <w:p>
      <w:pPr>
        <w:spacing w:after="0" w:line="184" w:lineRule="exact"/>
        <w:rPr>
          <w:sz w:val="20"/>
          <w:szCs w:val="20"/>
          <w:color w:val="auto"/>
        </w:rPr>
      </w:pPr>
    </w:p>
    <w:p>
      <w:pPr>
        <w:ind w:left="1300" w:hanging="320"/>
        <w:spacing w:after="0"/>
        <w:tabs>
          <w:tab w:leader="none" w:pos="13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provision of other services to the Company by the person that employs the compensation consultant, legal counsel or other adviser;</w:t>
      </w:r>
    </w:p>
    <w:p>
      <w:pPr>
        <w:spacing w:after="0" w:line="248" w:lineRule="exact"/>
        <w:rPr>
          <w:rFonts w:ascii="Arial" w:cs="Arial" w:eastAsia="Arial" w:hAnsi="Arial"/>
          <w:sz w:val="16"/>
          <w:szCs w:val="16"/>
          <w:color w:val="auto"/>
        </w:rPr>
      </w:pPr>
    </w:p>
    <w:p>
      <w:pPr>
        <w:ind w:left="1300" w:right="20" w:hanging="320"/>
        <w:spacing w:after="0" w:line="342" w:lineRule="auto"/>
        <w:tabs>
          <w:tab w:leader="none" w:pos="13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amount of fees received from the Company by the person that employs the compensation consultant, legal counsel or other adviser, as a percentage of the total revenue of the person that employs the compensation consultant, legal counsel or other adviser;</w:t>
      </w:r>
    </w:p>
    <w:p>
      <w:pPr>
        <w:spacing w:after="0" w:line="123" w:lineRule="exact"/>
        <w:rPr>
          <w:rFonts w:ascii="Arial" w:cs="Arial" w:eastAsia="Arial" w:hAnsi="Arial"/>
          <w:sz w:val="16"/>
          <w:szCs w:val="16"/>
          <w:color w:val="auto"/>
        </w:rPr>
      </w:pPr>
    </w:p>
    <w:p>
      <w:pPr>
        <w:ind w:left="1300" w:right="20" w:hanging="320"/>
        <w:spacing w:after="0" w:line="277"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policies and procedures of the person that employs the compensation consultant, legal counsel or other adviser that are designed to prevent conflicts of interest;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business or personal relationship of the compensation consultant, legal counsel or other adviser with a member of the Committee;</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stock of the Company owned by the compensation consultant, legal counsel or other adviser;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consultant, legal counsel, other adviser or the person employing the adviser with a member of senior management.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the foregoing, the Committee is not required to conduct an independence assessment for a compensation adviser that acts in a role limited to the following activities for which no disclosure is required under Item 407(e)(3)(iii) of Regulation S-K promulgated by the SEC: (a) consulting on any broad-based plan that does not discriminate in scope, terms, or operation, in favor of Executive Officers or directors of the Company, and that is available generally to all salaried employees; and/or (b) providing information that either is not customized for the Company or that is customized based on parameters that are not developed by the adviser, and about which the adviser does not provide advice.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99.8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Ventoux CCM Acquisition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Bernard Van der Lande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88F1A34"/>
    <w:multiLevelType w:val="hybridMultilevel"/>
    <w:lvl w:ilvl="0">
      <w:lvlJc w:val="left"/>
      <w:lvlText w:val="(%1)"/>
      <w:numFmt w:val="decimal"/>
      <w:start w:val="1"/>
    </w:lvl>
  </w:abstractNum>
  <w:abstractNum w:abstractNumId="1">
    <w:nsid w:val="2A155DBC"/>
    <w:multiLevelType w:val="hybridMultilevel"/>
    <w:lvl w:ilvl="0">
      <w:lvlJc w:val="left"/>
      <w:lvlText w:val="(%1)"/>
      <w:numFmt w:val="decimal"/>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1)"/>
      <w:numFmt w:val="upperLetter"/>
      <w:start w:val="1"/>
    </w:lvl>
  </w:abstractNum>
  <w:abstractNum w:abstractNumId="6">
    <w:nsid w:val="53584BCB"/>
    <w:multiLevelType w:val="hybridMultilevel"/>
    <w:lvl w:ilvl="0">
      <w:lvlJc w:val="left"/>
      <w:lvlText w:val="(%1)"/>
      <w:numFmt w:val="decimal"/>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1)"/>
      <w:numFmt w:val="decimal"/>
      <w:start w:val="2"/>
    </w:lvl>
  </w:abstractNum>
  <w:abstractNum w:abstractNumId="9">
    <w:nsid w:val="23D86AAC"/>
    <w:multiLevelType w:val="hybridMultilevel"/>
    <w:lvl w:ilvl="0">
      <w:lvlJc w:val="left"/>
      <w:lvlText w:val="(%1)"/>
      <w:numFmt w:val="upperLetter"/>
      <w:start w:val="2"/>
    </w:lvl>
  </w:abstractNum>
  <w:abstractNum w:abstractNumId="10">
    <w:nsid w:val="45E6D486"/>
    <w:multiLevelType w:val="hybridMultilevel"/>
    <w:lvl w:ilvl="0">
      <w:lvlJc w:val="left"/>
      <w:lvlText w:val="(%1)"/>
      <w:numFmt w:val="lowerRoman"/>
      <w:start w:val="3"/>
    </w:lvl>
  </w:abstractNum>
  <w:abstractNum w:abstractNumId="11">
    <w:nsid w:val="5C10FE21"/>
    <w:multiLevelType w:val="hybridMultilevel"/>
    <w:lvl w:ilvl="0">
      <w:lvlJc w:val="left"/>
      <w:lvlText w:val="•"/>
      <w:numFmt w:val="bullet"/>
      <w:start w:val="1"/>
    </w:lvl>
  </w:abstractNum>
  <w:abstractNum w:abstractNumId="12">
    <w:nsid w:val="E7FFA2B"/>
    <w:multiLevelType w:val="hybridMultilevel"/>
    <w:lvl w:ilvl="0">
      <w:lvlJc w:val="left"/>
      <w:lvlText w:val="(%1)"/>
      <w:numFmt w:val="decimal"/>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1)"/>
      <w:numFmt w:val="decimal"/>
      <w:start w:val="1"/>
    </w:lvl>
  </w:abstractNum>
  <w:abstractNum w:abstractNumId="22">
    <w:nsid w:val="4C9B0904"/>
    <w:multiLevelType w:val="hybridMultilevel"/>
    <w:lvl w:ilvl="0">
      <w:lvlJc w:val="left"/>
      <w:lvlText w:val="(%1)"/>
      <w:numFmt w:val="decimal"/>
      <w:start w:val="3"/>
    </w:lvl>
  </w:abstractNum>
  <w:abstractNum w:abstractNumId="23">
    <w:nsid w:val="6AA7B75C"/>
    <w:multiLevelType w:val="hybridMultilevel"/>
    <w:lvl w:ilvl="0">
      <w:lvlJc w:val="left"/>
      <w:lvlText w:val="(%1)"/>
      <w:numFmt w:val="lowerRoman"/>
      <w:start w:val="3"/>
    </w:lvl>
  </w:abstractNum>
  <w:abstractNum w:abstractNumId="24">
    <w:nsid w:val="1DF029D3"/>
    <w:multiLevelType w:val="hybridMultilevel"/>
    <w:lvl w:ilvl="0">
      <w:lvlJc w:val="left"/>
      <w:lvlText w:val="(%1)"/>
      <w:numFmt w:val="decimal"/>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1)"/>
      <w:numFmt w:val="decimal"/>
      <w:start w:val="1"/>
    </w:lvl>
  </w:abstractNum>
  <w:abstractNum w:abstractNumId="28">
    <w:nsid w:val="2708C9AF"/>
    <w:multiLevelType w:val="hybridMultilevel"/>
    <w:lvl w:ilvl="0">
      <w:lvlJc w:val="left"/>
      <w:lvlText w:val="(%1)"/>
      <w:numFmt w:val="decimal"/>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1)"/>
      <w:numFmt w:val="lowerRoman"/>
      <w:start w:val="2"/>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1)"/>
      <w:numFmt w:val="decimal"/>
      <w:start w:val="2"/>
    </w:lvl>
  </w:abstractNum>
  <w:abstractNum w:abstractNumId="39">
    <w:nsid w:val="4DF72E4E"/>
    <w:multiLevelType w:val="hybridMultilevel"/>
    <w:lvl w:ilvl="0">
      <w:lvlJc w:val="left"/>
      <w:lvlText w:val="(%1)"/>
      <w:numFmt w:val="lowerRoman"/>
      <w:start w:val="3"/>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
      <w:numFmt w:val="bullet"/>
      <w:start w:val="1"/>
    </w:lvl>
  </w:abstractNum>
  <w:abstractNum w:abstractNumId="44">
    <w:nsid w:val="19E21BB2"/>
    <w:multiLevelType w:val="hybridMultilevel"/>
    <w:lvl w:ilvl="0">
      <w:lvlJc w:val="left"/>
      <w:lvlText w:val="(%1)"/>
      <w:numFmt w:val="lowerLetter"/>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
      <w:numFmt w:val="bullet"/>
      <w:start w:val="1"/>
    </w:lvl>
  </w:abstractNum>
  <w:abstractNum w:abstractNumId="47">
    <w:nsid w:val="5399C654"/>
    <w:multiLevelType w:val="hybridMultilevel"/>
    <w:lvl w:ilvl="0">
      <w:lvlJc w:val="left"/>
      <w:lvlText w:val="•"/>
      <w:numFmt w:val="bullet"/>
      <w:start w:val="1"/>
    </w:lvl>
  </w:abstractNum>
  <w:abstractNum w:abstractNumId="48">
    <w:nsid w:val="20EE1348"/>
    <w:multiLevelType w:val="hybridMultilevel"/>
    <w:lvl w:ilvl="0">
      <w:lvlJc w:val="left"/>
      <w:lvlText w:val="•"/>
      <w:numFmt w:val="bullet"/>
      <w:start w:val="1"/>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
      <w:numFmt w:val="bullet"/>
      <w:start w:val="1"/>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1)"/>
      <w:numFmt w:val="decimal"/>
      <w:start w:val="1"/>
    </w:lvl>
  </w:abstractNum>
  <w:abstractNum w:abstractNumId="55">
    <w:nsid w:val="E3E47A8"/>
    <w:multiLevelType w:val="hybridMultilevel"/>
    <w:lvl w:ilvl="0">
      <w:lvlJc w:val="left"/>
      <w:lvlText w:val="(%1)"/>
      <w:numFmt w:val="decimal"/>
      <w:start w:val="6"/>
    </w:lvl>
  </w:abstractNum>
  <w:abstractNum w:abstractNumId="56">
    <w:nsid w:val="2E48F044"/>
    <w:multiLevelType w:val="hybridMultilevel"/>
    <w:lvl w:ilvl="0">
      <w:lvlJc w:val="left"/>
      <w:lvlText w:val="(%1)"/>
      <w:numFmt w:val="lowerLetter"/>
      <w:start w:val="1"/>
    </w:lvl>
  </w:abstractNum>
  <w:abstractNum w:abstractNumId="57">
    <w:nsid w:val="49D0FEAC"/>
    <w:multiLevelType w:val="hybridMultilevel"/>
    <w:lvl w:ilvl="0">
      <w:lvlJc w:val="left"/>
      <w:lvlText w:val="•"/>
      <w:numFmt w:val="bullet"/>
      <w:start w:val="1"/>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1)"/>
      <w:numFmt w:val="decimal"/>
      <w:start w:val="1"/>
    </w:lvl>
  </w:abstractNum>
  <w:abstractNum w:abstractNumId="62">
    <w:nsid w:val="24E99DD7"/>
    <w:multiLevelType w:val="hybridMultilevel"/>
    <w:lvl w:ilvl="0">
      <w:lvlJc w:val="left"/>
      <w:lvlText w:val="•"/>
      <w:numFmt w:val="bullet"/>
      <w:start w:val="1"/>
    </w:lvl>
  </w:abstractNum>
  <w:abstractNum w:abstractNumId="63">
    <w:nsid w:val="2A31B62D"/>
    <w:multiLevelType w:val="hybridMultilevel"/>
    <w:lvl w:ilvl="0">
      <w:lvlJc w:val="left"/>
      <w:lvlText w:val="•"/>
      <w:numFmt w:val="bullet"/>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1"/>
      <w:numFmt w:val="decimal"/>
      <w:start w:val="431"/>
    </w:lvl>
  </w:abstractNum>
  <w:abstractNum w:abstractNumId="66">
    <w:nsid w:val="754342"/>
    <w:multiLevelType w:val="hybridMultilevel"/>
    <w:lvl w:ilvl="0">
      <w:lvlJc w:val="left"/>
      <w:lvlText w:val="(%1)"/>
      <w:numFmt w:val="decimal"/>
      <w:start w:val="1"/>
    </w:lvl>
  </w:abstractNum>
  <w:abstractNum w:abstractNumId="67">
    <w:nsid w:val="69E7F3E5"/>
    <w:multiLevelType w:val="hybridMultilevel"/>
    <w:lvl w:ilvl="0">
      <w:lvlJc w:val="left"/>
      <w:lvlText w:val="(%1)"/>
      <w:numFmt w:val="decimal"/>
      <w:start w:val="1"/>
    </w:lvl>
  </w:abstractNum>
  <w:abstractNum w:abstractNumId="68">
    <w:nsid w:val="2A6DE806"/>
    <w:multiLevelType w:val="hybridMultilevel"/>
    <w:lvl w:ilvl="0">
      <w:lvlJc w:val="left"/>
      <w:lvlText w:val="(%1)"/>
      <w:numFmt w:val="decimal"/>
      <w:start w:val="1"/>
    </w:lvl>
  </w:abstractNum>
  <w:abstractNum w:abstractNumId="69">
    <w:nsid w:val="1816F8C4"/>
    <w:multiLevelType w:val="hybridMultilevel"/>
    <w:lvl w:ilvl="0">
      <w:lvlJc w:val="left"/>
      <w:lvlText w:val="(%1)"/>
      <w:numFmt w:val="lowerRoman"/>
      <w:start w:val="1"/>
    </w:lvl>
  </w:abstractNum>
  <w:abstractNum w:abstractNumId="70">
    <w:nsid w:val="37DF2233"/>
    <w:multiLevelType w:val="hybridMultilevel"/>
    <w:lvl w:ilvl="0">
      <w:lvlJc w:val="left"/>
      <w:lvlText w:val="(%1)"/>
      <w:numFmt w:val="lowerRoman"/>
      <w:start w:val="3"/>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1)"/>
      <w:numFmt w:val="lowerLetter"/>
      <w:start w:val="1"/>
    </w:lvl>
  </w:abstractNum>
  <w:abstractNum w:abstractNumId="74">
    <w:nsid w:val="597B4D84"/>
    <w:multiLevelType w:val="hybridMultilevel"/>
    <w:lvl w:ilvl="0">
      <w:lvlJc w:val="left"/>
      <w:lvlText w:val="(%1)"/>
      <w:numFmt w:val="lowerLetter"/>
      <w:start w:val="3"/>
    </w:lvl>
    <w:lvl w:ilvl="1">
      <w:lvlJc w:val="left"/>
      <w:lvlText w:val="(%2)"/>
      <w:numFmt w:val="lowerLetter"/>
      <w:start w:val="1"/>
    </w:lvl>
  </w:abstractNum>
  <w:abstractNum w:abstractNumId="75">
    <w:nsid w:val="F819E7F"/>
    <w:multiLevelType w:val="hybridMultilevel"/>
    <w:lvl w:ilvl="0">
      <w:lvlJc w:val="left"/>
      <w:lvlText w:val="(%1)"/>
      <w:numFmt w:val="lowerLetter"/>
      <w:start w:val="10"/>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1)"/>
      <w:numFmt w:val="lowerLetter"/>
      <w:start w:val="1"/>
    </w:lvl>
  </w:abstractNum>
  <w:abstractNum w:abstractNumId="79">
    <w:nsid w:val="78B5E776"/>
    <w:multiLevelType w:val="hybridMultilevel"/>
    <w:lvl w:ilvl="0">
      <w:lvlJc w:val="left"/>
      <w:lvlText w:val="*"/>
      <w:numFmt w:val="bullet"/>
      <w:start w:val="1"/>
    </w:lvl>
  </w:abstractNum>
  <w:abstractNum w:abstractNumId="80">
    <w:nsid w:val="75486E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6E534CDE"/>
    <w:multiLevelType w:val="hybridMultilevel"/>
    <w:lvl w:ilvl="0">
      <w:lvlJc w:val="left"/>
      <w:lvlText w:val="(%1)"/>
      <w:numFmt w:val="lowerLetter"/>
      <w:start w:val="4"/>
    </w:lvl>
    <w:lvl w:ilvl="1">
      <w:lvlJc w:val="left"/>
      <w:lvlText w:val="(%2)"/>
      <w:numFmt w:val="decimal"/>
      <w:start w:val="1"/>
    </w:lvl>
  </w:abstractNum>
  <w:abstractNum w:abstractNumId="82">
    <w:nsid w:val="1A0DDE32"/>
    <w:multiLevelType w:val="hybridMultilevel"/>
    <w:lvl w:ilvl="0">
      <w:lvlJc w:val="left"/>
      <w:lvlText w:val="%1."/>
      <w:numFmt w:val="decimal"/>
      <w:start w:val="1"/>
    </w:lvl>
  </w:abstractNum>
  <w:abstractNum w:abstractNumId="83">
    <w:nsid w:val="65968C1C"/>
    <w:multiLevelType w:val="hybridMultilevel"/>
    <w:lvl w:ilvl="0">
      <w:lvlJc w:val="left"/>
      <w:lvlText w:val="(%1)"/>
      <w:numFmt w:val="lowerRoman"/>
      <w:start w:val="3"/>
    </w:lvl>
  </w:abstractNum>
  <w:abstractNum w:abstractNumId="84">
    <w:nsid w:val="46263DEC"/>
    <w:multiLevelType w:val="hybridMultilevel"/>
    <w:lvl w:ilvl="0">
      <w:lvlJc w:val="left"/>
      <w:lvlText w:val="%1."/>
      <w:numFmt w:val="decimal"/>
      <w:start w:val="2"/>
    </w:lvl>
  </w:abstractNum>
  <w:abstractNum w:abstractNumId="85">
    <w:nsid w:val="260D8C4A"/>
    <w:multiLevelType w:val="hybridMultilevel"/>
    <w:lvl w:ilvl="0">
      <w:lvlJc w:val="left"/>
      <w:lvlText w:val="(%1)"/>
      <w:numFmt w:val="lowerRoman"/>
      <w:start w:val="1"/>
    </w:lvl>
  </w:abstractNum>
  <w:abstractNum w:abstractNumId="86">
    <w:nsid w:val="73D4D3C4"/>
    <w:multiLevelType w:val="hybridMultilevel"/>
    <w:lvl w:ilvl="0">
      <w:lvlJc w:val="left"/>
      <w:lvlText w:val="%1."/>
      <w:numFmt w:val="decimal"/>
      <w:start w:val="4"/>
    </w:lvl>
  </w:abstractNum>
  <w:abstractNum w:abstractNumId="87">
    <w:nsid w:val="746F2E30"/>
    <w:multiLevelType w:val="hybridMultilevel"/>
    <w:lvl w:ilvl="0">
      <w:lvlJc w:val="left"/>
      <w:lvlText w:val="(%1)"/>
      <w:numFmt w:val="lowerLetter"/>
      <w:start w:val="1"/>
    </w:lvl>
  </w:abstractNum>
  <w:abstractNum w:abstractNumId="88">
    <w:nsid w:val="6FDE8AF6"/>
    <w:multiLevelType w:val="hybridMultilevel"/>
    <w:lvl w:ilvl="0">
      <w:lvlJc w:val="left"/>
      <w:lvlText w:val="%1."/>
      <w:numFmt w:val="decimal"/>
      <w:start w:val="5"/>
    </w:lvl>
  </w:abstractNum>
  <w:abstractNum w:abstractNumId="89">
    <w:nsid w:val="3FC32E20"/>
    <w:multiLevelType w:val="hybridMultilevel"/>
    <w:lvl w:ilvl="0">
      <w:lvlJc w:val="left"/>
      <w:lvlText w:val="(%1)"/>
      <w:numFmt w:val="lowerRoman"/>
      <w:start w:val="1"/>
    </w:lvl>
  </w:abstractNum>
  <w:abstractNum w:abstractNumId="90">
    <w:nsid w:val="49C0E823"/>
    <w:multiLevelType w:val="hybridMultilevel"/>
    <w:lvl w:ilvl="0">
      <w:lvlJc w:val="left"/>
      <w:lvlText w:val="%1."/>
      <w:numFmt w:val="decimal"/>
      <w:start w:val="6"/>
    </w:lvl>
  </w:abstractNum>
  <w:abstractNum w:abstractNumId="91">
    <w:nsid w:val="14D53685"/>
    <w:multiLevelType w:val="hybridMultilevel"/>
    <w:lvl w:ilvl="0">
      <w:lvlJc w:val="left"/>
      <w:lvlText w:val="%1."/>
      <w:numFmt w:val="decimal"/>
      <w:start w:val="7"/>
    </w:lvl>
  </w:abstractNum>
  <w:abstractNum w:abstractNumId="92">
    <w:nsid w:val="230F856C"/>
    <w:multiLevelType w:val="hybridMultilevel"/>
    <w:lvl w:ilvl="0">
      <w:lvlJc w:val="left"/>
      <w:lvlText w:val="%1."/>
      <w:numFmt w:val="decimal"/>
      <w:start w:val="8"/>
    </w:lvl>
  </w:abstractNum>
  <w:abstractNum w:abstractNumId="93">
    <w:nsid w:val="6EAA85FB"/>
    <w:multiLevelType w:val="hybridMultilevel"/>
    <w:lvl w:ilvl="0">
      <w:lvlJc w:val="left"/>
      <w:lvlText w:val="%1."/>
      <w:numFmt w:val="decimal"/>
      <w:start w:val="10"/>
    </w:lvl>
  </w:abstractNum>
  <w:abstractNum w:abstractNumId="94">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3B594807"/>
    <w:multiLevelType w:val="hybridMultilevel"/>
    <w:lvl w:ilvl="0">
      <w:lvlJc w:val="left"/>
      <w:lvlText w:val="(%1)"/>
      <w:numFmt w:val="lowerLetter"/>
      <w:start w:val="2"/>
    </w:lvl>
  </w:abstractNum>
  <w:abstractNum w:abstractNumId="96">
    <w:nsid w:val="6CAA2304"/>
    <w:multiLevelType w:val="hybridMultilevel"/>
    <w:lvl w:ilvl="0">
      <w:lvlJc w:val="left"/>
      <w:lvlText w:val="%1."/>
      <w:numFmt w:val="decimal"/>
      <w:start w:val="2"/>
    </w:lvl>
  </w:abstractNum>
  <w:abstractNum w:abstractNumId="97">
    <w:nsid w:val="3F7C2FF4"/>
    <w:multiLevelType w:val="hybridMultilevel"/>
    <w:lvl w:ilvl="0">
      <w:lvlJc w:val="left"/>
      <w:lvlText w:val="%1."/>
      <w:numFmt w:val="decimal"/>
      <w:start w:val="3"/>
    </w:lvl>
    <w:lvl w:ilvl="1">
      <w:lvlJc w:val="left"/>
      <w:lvlText w:val="(%2)"/>
      <w:numFmt w:val="lowerLetter"/>
      <w:start w:val="1"/>
    </w:lvl>
  </w:abstractNum>
  <w:abstractNum w:abstractNumId="98">
    <w:nsid w:val="25413BEC"/>
    <w:multiLevelType w:val="hybridMultilevel"/>
    <w:lvl w:ilvl="0">
      <w:lvlJc w:val="left"/>
      <w:lvlText w:val="%1."/>
      <w:numFmt w:val="decimal"/>
      <w:start w:val="6"/>
    </w:lvl>
  </w:abstractNum>
  <w:abstractNum w:abstractNumId="99">
    <w:nsid w:val="17180B0B"/>
    <w:multiLevelType w:val="hybridMultilevel"/>
    <w:lvl w:ilvl="0">
      <w:lvlJc w:val="left"/>
      <w:lvlText w:val="%1."/>
      <w:numFmt w:val="decimal"/>
      <w:start w:val="7"/>
    </w:lvl>
  </w:abstractNum>
  <w:abstractNum w:abstractNumId="100">
    <w:nsid w:val="579328B9"/>
    <w:multiLevelType w:val="hybridMultilevel"/>
    <w:lvl w:ilvl="0">
      <w:lvlJc w:val="left"/>
      <w:lvlText w:val="%1."/>
      <w:numFmt w:val="decimal"/>
      <w:start w:val="8"/>
    </w:lvl>
  </w:abstractNum>
  <w:abstractNum w:abstractNumId="101">
    <w:nsid w:val="5D205E20"/>
    <w:multiLevelType w:val="hybridMultilevel"/>
    <w:lvl w:ilvl="0">
      <w:lvlJc w:val="left"/>
      <w:lvlText w:val="%1."/>
      <w:numFmt w:val="decimal"/>
      <w:start w:val="9"/>
    </w:lvl>
  </w:abstractNum>
  <w:abstractNum w:abstractNumId="102">
    <w:nsid w:val="11CCA8BA"/>
    <w:multiLevelType w:val="hybridMultilevel"/>
    <w:lvl w:ilvl="0">
      <w:lvlJc w:val="left"/>
      <w:lvlText w:val="%1."/>
      <w:numFmt w:val="decimal"/>
      <w:start w:val="10"/>
    </w:lvl>
  </w:abstractNum>
  <w:abstractNum w:abstractNumId="103">
    <w:nsid w:val="4D32AB86"/>
    <w:multiLevelType w:val="hybridMultilevel"/>
    <w:lvl w:ilvl="0">
      <w:lvlJc w:val="left"/>
      <w:lvlText w:val="%1."/>
      <w:numFmt w:val="decimal"/>
      <w:start w:val="11"/>
    </w:lvl>
  </w:abstractNum>
  <w:abstractNum w:abstractNumId="104">
    <w:nsid w:val="3F07ACC3"/>
    <w:multiLevelType w:val="hybridMultilevel"/>
    <w:lvl w:ilvl="0">
      <w:lvlJc w:val="left"/>
      <w:lvlText w:val="%1."/>
      <w:numFmt w:val="decimal"/>
      <w:start w:val="12"/>
    </w:lvl>
  </w:abstractNum>
  <w:abstractNum w:abstractNumId="105">
    <w:nsid w:val="6B47F63E"/>
    <w:multiLevelType w:val="hybridMultilevel"/>
    <w:lvl w:ilvl="0">
      <w:lvlJc w:val="left"/>
      <w:lvlText w:val="%1."/>
      <w:numFmt w:val="decimal"/>
      <w:start w:val="13"/>
    </w:lvl>
  </w:abstractNum>
  <w:abstractNum w:abstractNumId="106">
    <w:nsid w:val="5CB44A05"/>
    <w:multiLevelType w:val="hybridMultilevel"/>
    <w:lvl w:ilvl="0">
      <w:lvlJc w:val="left"/>
      <w:lvlText w:val="%1."/>
      <w:numFmt w:val="decimal"/>
      <w:start w:val="14"/>
    </w:lvl>
  </w:abstractNum>
  <w:abstractNum w:abstractNumId="107">
    <w:nsid w:val="16CF80F1"/>
    <w:multiLevelType w:val="hybridMultilevel"/>
    <w:lvl w:ilvl="0">
      <w:lvlJc w:val="left"/>
      <w:lvlText w:val="%1."/>
      <w:numFmt w:val="decimal"/>
      <w:start w:val="1"/>
    </w:lvl>
  </w:abstractNum>
  <w:abstractNum w:abstractNumId="108">
    <w:nsid w:val="1C695DEC"/>
    <w:multiLevelType w:val="hybridMultilevel"/>
    <w:lvl w:ilvl="0">
      <w:lvlJc w:val="left"/>
      <w:lvlText w:val="%1."/>
      <w:numFmt w:val="upperLetter"/>
      <w:start w:val="2"/>
    </w:lvl>
  </w:abstractNum>
  <w:abstractNum w:abstractNumId="109">
    <w:nsid w:val="3FCFAED9"/>
    <w:multiLevelType w:val="hybridMultilevel"/>
    <w:lvl w:ilvl="0">
      <w:lvlJc w:val="left"/>
      <w:lvlText w:val="(%1)"/>
      <w:numFmt w:val="lowerRoman"/>
      <w:start w:val="2"/>
    </w:lvl>
  </w:abstractNum>
  <w:abstractNum w:abstractNumId="110">
    <w:nsid w:val="F856867"/>
    <w:multiLevelType w:val="hybridMultilevel"/>
    <w:lvl w:ilvl="0">
      <w:lvlJc w:val="left"/>
      <w:lvlText w:val="(%1)"/>
      <w:numFmt w:val="lowerRoman"/>
      <w:start w:val="2"/>
    </w:lvl>
  </w:abstractNum>
  <w:abstractNum w:abstractNumId="111">
    <w:nsid w:val="11B1CC33"/>
    <w:multiLevelType w:val="hybridMultilevel"/>
    <w:lvl w:ilvl="0">
      <w:lvlJc w:val="left"/>
      <w:lvlText w:val="%1."/>
      <w:numFmt w:val="decimal"/>
      <w:start w:val="1"/>
    </w:lvl>
  </w:abstractNum>
  <w:abstractNum w:abstractNumId="112">
    <w:nsid w:val="2E22FBB7"/>
    <w:multiLevelType w:val="hybridMultilevel"/>
    <w:lvl w:ilvl="0">
      <w:lvlJc w:val="left"/>
      <w:lvlText w:val="%1."/>
      <w:numFmt w:val="decimal"/>
      <w:start w:val="3"/>
    </w:lvl>
  </w:abstractNum>
  <w:abstractNum w:abstractNumId="113">
    <w:nsid w:val="29934699"/>
    <w:multiLevelType w:val="hybridMultilevel"/>
    <w:lvl w:ilvl="0">
      <w:lvlJc w:val="left"/>
      <w:lvlText w:val="(%1)"/>
      <w:numFmt w:val="lowerRoman"/>
      <w:start w:val="1"/>
    </w:lvl>
  </w:abstractNum>
  <w:abstractNum w:abstractNumId="114">
    <w:nsid w:val="77485850"/>
    <w:multiLevelType w:val="hybridMultilevel"/>
    <w:lvl w:ilvl="0">
      <w:lvlJc w:val="left"/>
      <w:lvlText w:val="(%1)"/>
      <w:numFmt w:val="lowerRoman"/>
      <w:start w:val="2"/>
    </w:lvl>
  </w:abstractNum>
  <w:abstractNum w:abstractNumId="115">
    <w:nsid w:val="744939A3"/>
    <w:multiLevelType w:val="hybridMultilevel"/>
    <w:lvl w:ilvl="0">
      <w:lvlJc w:val="left"/>
      <w:lvlText w:val="%1."/>
      <w:numFmt w:val="decimal"/>
      <w:start w:val="4"/>
    </w:lvl>
  </w:abstractNum>
  <w:abstractNum w:abstractNumId="116">
    <w:nsid w:val="4FA0D2E3"/>
    <w:multiLevelType w:val="hybridMultilevel"/>
    <w:lvl w:ilvl="0">
      <w:lvlJc w:val="left"/>
      <w:lvlText w:val="(%1)"/>
      <w:numFmt w:val="lowerLetter"/>
      <w:start w:val="2"/>
    </w:lvl>
  </w:abstractNum>
  <w:abstractNum w:abstractNumId="117">
    <w:nsid w:val="6B1D2C14"/>
    <w:multiLevelType w:val="hybridMultilevel"/>
    <w:lvl w:ilvl="0">
      <w:lvlJc w:val="left"/>
      <w:lvlText w:val="%1."/>
      <w:numFmt w:val="decimal"/>
      <w:start w:val="5"/>
    </w:lvl>
  </w:abstractNum>
  <w:abstractNum w:abstractNumId="118">
    <w:nsid w:val="68B867D3"/>
    <w:multiLevelType w:val="hybridMultilevel"/>
    <w:lvl w:ilvl="0">
      <w:lvlJc w:val="left"/>
      <w:lvlText w:val="%1."/>
      <w:numFmt w:val="decimal"/>
      <w:start w:val="6"/>
    </w:lvl>
  </w:abstractNum>
  <w:abstractNum w:abstractNumId="119">
    <w:nsid w:val="3F7F5DD9"/>
    <w:multiLevelType w:val="hybridMultilevel"/>
    <w:lvl w:ilvl="0">
      <w:lvlJc w:val="left"/>
      <w:lvlText w:val="%1."/>
      <w:numFmt w:val="decimal"/>
      <w:start w:val="7"/>
    </w:lvl>
  </w:abstractNum>
  <w:abstractNum w:abstractNumId="120">
    <w:nsid w:val="2AE05A34"/>
    <w:multiLevelType w:val="hybridMultilevel"/>
    <w:lvl w:ilvl="0">
      <w:lvlJc w:val="left"/>
      <w:lvlText w:val="%1."/>
      <w:numFmt w:val="decimal"/>
      <w:start w:val="8"/>
    </w:lvl>
  </w:abstractNum>
  <w:abstractNum w:abstractNumId="121">
    <w:nsid w:val="32794FF7"/>
    <w:multiLevelType w:val="hybridMultilevel"/>
    <w:lvl w:ilvl="0">
      <w:lvlJc w:val="left"/>
      <w:lvlText w:val="%1."/>
      <w:numFmt w:val="decimal"/>
      <w:start w:val="9"/>
    </w:lvl>
  </w:abstractNum>
  <w:abstractNum w:abstractNumId="122">
    <w:nsid w:val="5454945E"/>
    <w:multiLevelType w:val="hybridMultilevel"/>
    <w:lvl w:ilvl="0">
      <w:lvlJc w:val="left"/>
      <w:lvlText w:val="(%1)"/>
      <w:numFmt w:val="lowerRoman"/>
      <w:start w:val="4"/>
    </w:lvl>
  </w:abstractNum>
  <w:abstractNum w:abstractNumId="123">
    <w:nsid w:val="4DEFDFA0"/>
    <w:multiLevelType w:val="hybridMultilevel"/>
    <w:lvl w:ilvl="0">
      <w:lvlJc w:val="left"/>
      <w:lvlText w:val="%1."/>
      <w:numFmt w:val="decimal"/>
      <w:start w:val="1"/>
    </w:lvl>
  </w:abstractNum>
  <w:abstractNum w:abstractNumId="124">
    <w:nsid w:val="2123D5F2"/>
    <w:multiLevelType w:val="hybridMultilevel"/>
    <w:lvl w:ilvl="0">
      <w:lvlJc w:val="left"/>
      <w:lvlText w:val="%1."/>
      <w:numFmt w:val="decimal"/>
      <w:start w:val="3"/>
    </w:lvl>
  </w:abstractNum>
  <w:abstractNum w:abstractNumId="125">
    <w:nsid w:val="135B8110"/>
    <w:multiLevelType w:val="hybridMultilevel"/>
    <w:lvl w:ilvl="0">
      <w:lvlJc w:val="left"/>
      <w:lvlText w:val="%1."/>
      <w:numFmt w:val="decimal"/>
      <w:start w:val="4"/>
    </w:lvl>
  </w:abstractNum>
  <w:abstractNum w:abstractNumId="126">
    <w:nsid w:val="94927A8"/>
    <w:multiLevelType w:val="hybridMultilevel"/>
    <w:lvl w:ilvl="0">
      <w:lvlJc w:val="left"/>
      <w:lvlText w:val="%1."/>
      <w:numFmt w:val="decimal"/>
      <w:start w:val="5"/>
    </w:lvl>
  </w:abstractNum>
  <w:abstractNum w:abstractNumId="127">
    <w:nsid w:val="DCDF8F6"/>
    <w:multiLevelType w:val="hybridMultilevel"/>
    <w:lvl w:ilvl="0">
      <w:lvlJc w:val="left"/>
      <w:lvlText w:val="%1."/>
      <w:numFmt w:val="decimal"/>
      <w:start w:val="6"/>
    </w:lvl>
  </w:abstractNum>
  <w:abstractNum w:abstractNumId="128">
    <w:nsid w:val="52D7B105"/>
    <w:multiLevelType w:val="hybridMultilevel"/>
    <w:lvl w:ilvl="0">
      <w:lvlJc w:val="left"/>
      <w:lvlText w:val="%1."/>
      <w:numFmt w:val="decimal"/>
      <w:start w:val="7"/>
    </w:lvl>
  </w:abstractNum>
  <w:abstractNum w:abstractNumId="129">
    <w:nsid w:val="2E8A6394"/>
    <w:multiLevelType w:val="hybridMultilevel"/>
    <w:lvl w:ilvl="0">
      <w:lvlJc w:val="left"/>
      <w:lvlText w:val="%1."/>
      <w:numFmt w:val="decimal"/>
      <w:start w:val="1"/>
    </w:lvl>
  </w:abstractNum>
  <w:abstractNum w:abstractNumId="130">
    <w:nsid w:val="24E60401"/>
    <w:multiLevelType w:val="hybridMultilevel"/>
    <w:lvl w:ilvl="0">
      <w:lvlJc w:val="left"/>
      <w:lvlText w:val="%1."/>
      <w:numFmt w:val="decimal"/>
      <w:start w:val="2"/>
    </w:lvl>
  </w:abstractNum>
  <w:abstractNum w:abstractNumId="131">
    <w:nsid w:val="2A6AD9BE"/>
    <w:multiLevelType w:val="hybridMultilevel"/>
    <w:lvl w:ilvl="0">
      <w:lvlJc w:val="left"/>
      <w:lvlText w:val="%1."/>
      <w:numFmt w:val="decimal"/>
      <w:start w:val="1"/>
    </w:lvl>
    <w:lvl w:ilvl="1">
      <w:lvlJc w:val="left"/>
      <w:lvlText w:val="(%2)"/>
      <w:numFmt w:val="lowerLetter"/>
      <w:start w:val="2"/>
    </w:lvl>
  </w:abstractNum>
  <w:abstractNum w:abstractNumId="132">
    <w:nsid w:val="BAAC1B4"/>
    <w:multiLevelType w:val="hybridMultilevel"/>
    <w:lvl w:ilvl="0">
      <w:lvlJc w:val="left"/>
      <w:lvlText w:val="%1."/>
      <w:numFmt w:val="decimal"/>
      <w:start w:val="3"/>
    </w:lvl>
  </w:abstractNum>
  <w:abstractNum w:abstractNumId="133">
    <w:nsid w:val="36B2ACBC"/>
    <w:multiLevelType w:val="hybridMultilevel"/>
    <w:lvl w:ilvl="0">
      <w:lvlJc w:val="left"/>
      <w:lvlText w:val="%1."/>
      <w:numFmt w:val="decimal"/>
      <w:start w:val="5"/>
    </w:lvl>
  </w:abstractNum>
  <w:abstractNum w:abstractNumId="134">
    <w:nsid w:val="779D8544"/>
    <w:multiLevelType w:val="hybridMultilevel"/>
    <w:lvl w:ilvl="0">
      <w:lvlJc w:val="left"/>
      <w:lvlText w:val="%1."/>
      <w:numFmt w:val="decimal"/>
      <w:start w:val="8"/>
    </w:lvl>
  </w:abstractNum>
  <w:abstractNum w:abstractNumId="135">
    <w:nsid w:val="4AB26E78"/>
    <w:multiLevelType w:val="hybridMultilevel"/>
    <w:lvl w:ilvl="0">
      <w:lvlJc w:val="left"/>
      <w:lvlText w:val="(%1)"/>
      <w:numFmt w:val="lowerLetter"/>
      <w:start w:val="1"/>
    </w:lvl>
  </w:abstractNum>
  <w:abstractNum w:abstractNumId="136">
    <w:nsid w:val="21FAA2FA"/>
    <w:multiLevelType w:val="hybridMultilevel"/>
    <w:lvl w:ilvl="0">
      <w:lvlJc w:val="left"/>
      <w:lvlText w:val="1"/>
      <w:numFmt w:val="bullet"/>
      <w:start w:val="1"/>
    </w:lvl>
  </w:abstractNum>
  <w:abstractNum w:abstractNumId="137">
    <w:nsid w:val="5451CF49"/>
    <w:multiLevelType w:val="hybridMultilevel"/>
    <w:lvl w:ilvl="0">
      <w:lvlJc w:val="left"/>
      <w:lvlText w:val="(%1)"/>
      <w:numFmt w:val="lowerLetter"/>
      <w:start w:val="2"/>
    </w:lvl>
  </w:abstractNum>
  <w:abstractNum w:abstractNumId="138">
    <w:nsid w:val="6181EF69"/>
    <w:multiLevelType w:val="hybridMultilevel"/>
    <w:lvl w:ilvl="0">
      <w:lvlJc w:val="left"/>
      <w:lvlText w:val="(%1)"/>
      <w:numFmt w:val="lowerLetter"/>
      <w:start w:val="13"/>
    </w:lvl>
  </w:abstractNum>
  <w:abstractNum w:abstractNumId="139">
    <w:nsid w:val="3E6400E6"/>
    <w:multiLevelType w:val="hybridMultilevel"/>
    <w:lvl w:ilvl="0">
      <w:lvlJc w:val="left"/>
      <w:lvlText w:val="%1."/>
      <w:numFmt w:val="decimal"/>
      <w:start w:val="10"/>
    </w:lvl>
  </w:abstractNum>
  <w:abstractNum w:abstractNumId="140">
    <w:nsid w:val="14217E23"/>
    <w:multiLevelType w:val="hybridMultilevel"/>
    <w:lvl w:ilvl="0">
      <w:lvlJc w:val="left"/>
      <w:lvlText w:val="%1."/>
      <w:numFmt w:val="decimal"/>
      <w:start w:val="11"/>
    </w:lvl>
  </w:abstractNum>
  <w:abstractNum w:abstractNumId="141">
    <w:nsid w:val="710757D0"/>
    <w:multiLevelType w:val="hybridMultilevel"/>
    <w:lvl w:ilvl="0">
      <w:lvlJc w:val="left"/>
      <w:lvlText w:val="%1."/>
      <w:numFmt w:val="decimal"/>
      <w:start w:val="16"/>
    </w:lvl>
  </w:abstractNum>
  <w:abstractNum w:abstractNumId="142">
    <w:nsid w:val="5015CD1A"/>
    <w:multiLevelType w:val="hybridMultilevel"/>
    <w:lvl w:ilvl="0">
      <w:lvlJc w:val="left"/>
      <w:lvlText w:val="%1."/>
      <w:numFmt w:val="decimal"/>
      <w:start w:val="1"/>
    </w:lvl>
    <w:lvl w:ilvl="1">
      <w:lvlJc w:val="left"/>
      <w:lvlText w:val="(%2)"/>
      <w:numFmt w:val="lowerLetter"/>
      <w:start w:val="1"/>
    </w:lvl>
  </w:abstractNum>
  <w:abstractNum w:abstractNumId="143">
    <w:nsid w:val="424479DA"/>
    <w:multiLevelType w:val="hybridMultilevel"/>
    <w:lvl w:ilvl="0">
      <w:lvlJc w:val="left"/>
      <w:lvlText w:val="%1"/>
      <w:numFmt w:val="decimal"/>
      <w:start w:val="1"/>
    </w:lvl>
    <w:lvl w:ilvl="1">
      <w:lvlJc w:val="left"/>
      <w:lvlText w:val="(%2)"/>
      <w:numFmt w:val="lowerLetter"/>
      <w:start w:val="4"/>
    </w:lvl>
  </w:abstractNum>
  <w:abstractNum w:abstractNumId="144">
    <w:nsid w:val="1A9A9E69"/>
    <w:multiLevelType w:val="hybridMultilevel"/>
    <w:lvl w:ilvl="0">
      <w:lvlJc w:val="left"/>
      <w:lvlText w:val="%1."/>
      <w:numFmt w:val="decimal"/>
      <w:start w:val="2"/>
    </w:lvl>
    <w:lvl w:ilvl="1">
      <w:lvlJc w:val="left"/>
      <w:lvlText w:val="(%2)"/>
      <w:numFmt w:val="lowerLetter"/>
      <w:start w:val="1"/>
    </w:lvl>
  </w:abstractNum>
  <w:abstractNum w:abstractNumId="145">
    <w:nsid w:val="475E256A"/>
    <w:multiLevelType w:val="hybridMultilevel"/>
    <w:lvl w:ilvl="0">
      <w:lvlJc w:val="left"/>
      <w:lvlText w:val="%1."/>
      <w:numFmt w:val="decimal"/>
      <w:start w:val="3"/>
    </w:lvl>
    <w:lvl w:ilvl="1">
      <w:lvlJc w:val="left"/>
      <w:lvlText w:val="(%2)"/>
      <w:numFmt w:val="lowerLetter"/>
      <w:start w:val="1"/>
    </w:lvl>
  </w:abstractNum>
  <w:abstractNum w:abstractNumId="146">
    <w:nsid w:val="368DB37E"/>
    <w:multiLevelType w:val="hybridMultilevel"/>
    <w:lvl w:ilvl="0">
      <w:lvlJc w:val="left"/>
      <w:lvlText w:val="%1."/>
      <w:numFmt w:val="decimal"/>
      <w:start w:val="4"/>
    </w:lvl>
    <w:lvl w:ilvl="1">
      <w:lvlJc w:val="left"/>
      <w:lvlText w:val="(%2)"/>
      <w:numFmt w:val="lowerLetter"/>
      <w:start w:val="1"/>
    </w:lvl>
  </w:abstractNum>
  <w:abstractNum w:abstractNumId="147">
    <w:nsid w:val="6A3B714C"/>
    <w:multiLevelType w:val="hybridMultilevel"/>
    <w:lvl w:ilvl="0">
      <w:lvlJc w:val="left"/>
      <w:lvlText w:val="%1"/>
      <w:numFmt w:val="decimal"/>
      <w:start w:val="1"/>
    </w:lvl>
    <w:lvl w:ilvl="1">
      <w:lvlJc w:val="left"/>
      <w:lvlText w:val="(%2)"/>
      <w:numFmt w:val="lowerLetter"/>
      <w:start w:val="10"/>
    </w:lvl>
  </w:abstractNum>
  <w:abstractNum w:abstractNumId="148">
    <w:nsid w:val="327B517E"/>
    <w:multiLevelType w:val="hybridMultilevel"/>
    <w:lvl w:ilvl="0">
      <w:lvlJc w:val="left"/>
      <w:lvlText w:val="%1."/>
      <w:numFmt w:val="decimal"/>
      <w:start w:val="5"/>
    </w:lvl>
    <w:lvl w:ilvl="1">
      <w:lvlJc w:val="left"/>
      <w:lvlText w:val="(%2)"/>
      <w:numFmt w:val="lowerLetter"/>
      <w:start w:val="1"/>
    </w:lvl>
  </w:abstractNum>
  <w:abstractNum w:abstractNumId="149">
    <w:nsid w:val="1F461B51"/>
    <w:multiLevelType w:val="hybridMultilevel"/>
    <w:lvl w:ilvl="0">
      <w:lvlJc w:val="left"/>
      <w:lvlText w:val="(%1)"/>
      <w:numFmt w:val="lowerLetter"/>
      <w:start w:val="2"/>
    </w:lvl>
  </w:abstractNum>
  <w:abstractNum w:abstractNumId="150">
    <w:nsid w:val="29BACF25"/>
    <w:multiLevelType w:val="hybridMultilevel"/>
    <w:lvl w:ilvl="0">
      <w:lvlJc w:val="left"/>
      <w:lvlText w:val="(%1)"/>
      <w:numFmt w:val="lowerLetter"/>
      <w:start w:val="6"/>
    </w:lvl>
  </w:abstractNum>
  <w:abstractNum w:abstractNumId="151">
    <w:nsid w:val="5D5BABB3"/>
    <w:multiLevelType w:val="hybridMultilevel"/>
    <w:lvl w:ilvl="0">
      <w:lvlJc w:val="left"/>
      <w:lvlText w:val="%1."/>
      <w:numFmt w:val="decimal"/>
      <w:start w:val="1"/>
    </w:lvl>
  </w:abstractNum>
  <w:abstractNum w:abstractNumId="152">
    <w:nsid w:val="51BF6B48"/>
    <w:multiLevelType w:val="hybridMultilevel"/>
    <w:lvl w:ilvl="0">
      <w:lvlJc w:val="left"/>
      <w:lvlText w:val="%1."/>
      <w:numFmt w:val="decimal"/>
      <w:start w:val="4"/>
    </w:lvl>
  </w:abstractNum>
  <w:abstractNum w:abstractNumId="153">
    <w:nsid w:val="7E0F6384"/>
    <w:multiLevelType w:val="hybridMultilevel"/>
    <w:lvl w:ilvl="0">
      <w:lvlJc w:val="left"/>
      <w:lvlText w:val="%1."/>
      <w:numFmt w:val="decimal"/>
      <w:start w:val="5"/>
    </w:lvl>
  </w:abstractNum>
  <w:abstractNum w:abstractNumId="154">
    <w:nsid w:val="2B4B8B53"/>
    <w:multiLevelType w:val="hybridMultilevel"/>
    <w:lvl w:ilvl="0">
      <w:lvlJc w:val="left"/>
      <w:lvlText w:val="%1."/>
      <w:numFmt w:val="decimal"/>
      <w:start w:val="6"/>
    </w:lvl>
  </w:abstractNum>
  <w:abstractNum w:abstractNumId="155">
    <w:nsid w:val="72E3413A"/>
    <w:multiLevelType w:val="hybridMultilevel"/>
    <w:lvl w:ilvl="0">
      <w:lvlJc w:val="left"/>
      <w:lvlText w:val="%1."/>
      <w:numFmt w:val="decimal"/>
      <w:start w:val="2"/>
    </w:lvl>
  </w:abstractNum>
  <w:abstractNum w:abstractNumId="156">
    <w:nsid w:val="116AE494"/>
    <w:multiLevelType w:val="hybridMultilevel"/>
    <w:lvl w:ilvl="0">
      <w:lvlJc w:val="left"/>
      <w:lvlText w:val="(%1)"/>
      <w:numFmt w:val="lowerLetter"/>
      <w:start w:val="1"/>
    </w:lvl>
  </w:abstractNum>
  <w:abstractNum w:abstractNumId="157">
    <w:nsid w:val="3494B2FB"/>
    <w:multiLevelType w:val="hybridMultilevel"/>
    <w:lvl w:ilvl="0">
      <w:lvlJc w:val="left"/>
      <w:lvlText w:val="(%1)"/>
      <w:numFmt w:val="lowerLetter"/>
      <w:start w:val="2"/>
    </w:lvl>
  </w:abstractNum>
  <w:abstractNum w:abstractNumId="158">
    <w:nsid w:val="B13A31"/>
    <w:multiLevelType w:val="hybridMultilevel"/>
    <w:lvl w:ilvl="0">
      <w:lvlJc w:val="left"/>
      <w:lvlText w:val="%1."/>
      <w:numFmt w:val="decimal"/>
      <w:start w:val="3"/>
    </w:lvl>
  </w:abstractNum>
  <w:abstractNum w:abstractNumId="159">
    <w:nsid w:val="64429599"/>
    <w:multiLevelType w:val="hybridMultilevel"/>
    <w:lvl w:ilvl="0">
      <w:lvlJc w:val="left"/>
      <w:lvlText w:val="%1."/>
      <w:numFmt w:val="decimal"/>
      <w:start w:val="4"/>
    </w:lvl>
  </w:abstractNum>
  <w:abstractNum w:abstractNumId="160">
    <w:nsid w:val="631F1690"/>
    <w:multiLevelType w:val="hybridMultilevel"/>
    <w:lvl w:ilvl="0">
      <w:lvlJc w:val="left"/>
      <w:lvlText w:val="%1."/>
      <w:numFmt w:val="decimal"/>
      <w:start w:val="5"/>
    </w:lvl>
  </w:abstractNum>
  <w:abstractNum w:abstractNumId="161">
    <w:nsid w:val="25973E32"/>
    <w:multiLevelType w:val="hybridMultilevel"/>
    <w:lvl w:ilvl="0">
      <w:lvlJc w:val="left"/>
      <w:lvlText w:val="%1."/>
      <w:numFmt w:val="decimal"/>
      <w:start w:val="6"/>
    </w:lvl>
  </w:abstractNum>
  <w:abstractNum w:abstractNumId="162">
    <w:nsid w:val="EAD6F57"/>
    <w:multiLevelType w:val="hybridMultilevel"/>
    <w:lvl w:ilvl="0">
      <w:lvlJc w:val="left"/>
      <w:lvlText w:val="●"/>
      <w:numFmt w:val="bullet"/>
      <w:start w:val="1"/>
    </w:lvl>
  </w:abstractNum>
  <w:abstractNum w:abstractNumId="163">
    <w:nsid w:val="6EC9D844"/>
    <w:multiLevelType w:val="hybridMultilevel"/>
    <w:lvl w:ilvl="0">
      <w:lvlJc w:val="left"/>
      <w:lvlText w:val="●"/>
      <w:numFmt w:val="bullet"/>
      <w:start w:val="1"/>
    </w:lvl>
  </w:abstractNum>
  <w:abstractNum w:abstractNumId="164">
    <w:nsid w:val="5C49EAEE"/>
    <w:multiLevelType w:val="hybridMultilevel"/>
    <w:lvl w:ilvl="0">
      <w:lvlJc w:val="left"/>
      <w:lvlText w:val="(%1)"/>
      <w:numFmt w:val="lowerLetter"/>
      <w:start w:val="1"/>
    </w:lvl>
  </w:abstractNum>
  <w:abstractNum w:abstractNumId="165">
    <w:nsid w:val="64AF49B"/>
    <w:multiLevelType w:val="hybridMultilevel"/>
    <w:lvl w:ilvl="0">
      <w:lvlJc w:val="left"/>
      <w:lvlText w:val="(%1)"/>
      <w:numFmt w:val="lowerLetter"/>
      <w:start w:val="5"/>
    </w:lvl>
  </w:abstractNum>
  <w:abstractNum w:abstractNumId="166">
    <w:nsid w:val="397C46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7">
    <w:nsid w:val="7E448DE9"/>
    <w:multiLevelType w:val="hybridMultilevel"/>
    <w:lvl w:ilvl="0">
      <w:lvlJc w:val="left"/>
      <w:lvlText w:val="(%1)"/>
      <w:numFmt w:val="lowerRoman"/>
      <w:start w:val="2"/>
    </w:lvl>
  </w:abstractNum>
  <w:abstractNum w:abstractNumId="168">
    <w:nsid w:val="5A9CC3E5"/>
    <w:multiLevelType w:val="hybridMultilevel"/>
    <w:lvl w:ilvl="0">
      <w:lvlJc w:val="left"/>
      <w:lvlText w:val="(%1)"/>
      <w:numFmt w:val="lowerLetter"/>
      <w:start w:val="4"/>
    </w:lvl>
  </w:abstractNum>
  <w:abstractNum w:abstractNumId="169">
    <w:nsid w:val="1AFE3625"/>
    <w:multiLevelType w:val="hybridMultilevel"/>
    <w:lvl w:ilvl="0">
      <w:lvlJc w:val="left"/>
      <w:lvlText w:val="%1"/>
      <w:numFmt w:val="decimal"/>
      <w:start w:val="1"/>
    </w:lvl>
    <w:lvl w:ilvl="1">
      <w:lvlJc w:val="left"/>
      <w:lvlText w:val="(%2)"/>
      <w:numFmt w:val="lowerLetter"/>
      <w:start w:val="11"/>
    </w:lvl>
  </w:abstractNum>
  <w:abstractNum w:abstractNumId="170">
    <w:nsid w:val="3CA88ECF"/>
    <w:multiLevelType w:val="hybridMultilevel"/>
    <w:lvl w:ilvl="0">
      <w:lvlJc w:val="left"/>
      <w:lvlText w:val="%1"/>
      <w:numFmt w:val="decimal"/>
      <w:start w:val="1"/>
    </w:lvl>
    <w:lvl w:ilvl="1">
      <w:lvlJc w:val="left"/>
      <w:lvlText w:val="(%2)"/>
      <w:numFmt w:val="lowerLetter"/>
      <w:start w:val="35"/>
    </w:lvl>
  </w:abstractNum>
  <w:abstractNum w:abstractNumId="171">
    <w:nsid w:val="6EBE4208"/>
    <w:multiLevelType w:val="hybridMultilevel"/>
    <w:lvl w:ilvl="0">
      <w:lvlJc w:val="left"/>
      <w:lvlText w:val="%1"/>
      <w:numFmt w:val="decimal"/>
      <w:start w:val="1"/>
    </w:lvl>
    <w:lvl w:ilvl="1">
      <w:lvlJc w:val="left"/>
      <w:lvlText w:val="(%2)"/>
      <w:numFmt w:val="lowerLetter"/>
      <w:start w:val="12"/>
    </w:lvl>
  </w:abstractNum>
  <w:abstractNum w:abstractNumId="172">
    <w:nsid w:val="C058DF5"/>
    <w:multiLevelType w:val="hybridMultilevel"/>
    <w:lvl w:ilvl="0">
      <w:lvlJc w:val="left"/>
      <w:lvlText w:val="%1."/>
      <w:numFmt w:val="decimal"/>
      <w:start w:val="3"/>
    </w:lvl>
    <w:lvl w:ilvl="1">
      <w:lvlJc w:val="left"/>
      <w:lvlText w:val="%2"/>
      <w:numFmt w:val="lowerLetter"/>
      <w:start w:val="1"/>
    </w:lvl>
  </w:abstractNum>
  <w:abstractNum w:abstractNumId="173">
    <w:nsid w:val="CBE5BE9"/>
    <w:multiLevelType w:val="hybridMultilevel"/>
    <w:lvl w:ilvl="0">
      <w:lvlJc w:val="left"/>
      <w:lvlText w:val="%1."/>
      <w:numFmt w:val="decimal"/>
      <w:start w:val="4"/>
    </w:lvl>
  </w:abstractNum>
  <w:abstractNum w:abstractNumId="174">
    <w:nsid w:val="3102BBE2"/>
    <w:multiLevelType w:val="hybridMultilevel"/>
    <w:lvl w:ilvl="0">
      <w:lvlJc w:val="left"/>
      <w:lvlText w:val="%1."/>
      <w:numFmt w:val="decimal"/>
      <w:start w:val="7"/>
    </w:lvl>
    <w:lvl w:ilvl="1">
      <w:lvlJc w:val="left"/>
      <w:lvlText w:val="(%2)"/>
      <w:numFmt w:val="lowerLetter"/>
      <w:start w:val="1"/>
    </w:lvl>
  </w:abstractNum>
  <w:abstractNum w:abstractNumId="175">
    <w:nsid w:val="26A02C5E"/>
    <w:multiLevelType w:val="hybridMultilevel"/>
    <w:lvl w:ilvl="0">
      <w:lvlJc w:val="left"/>
      <w:lvlText w:val="%1"/>
      <w:numFmt w:val="decimal"/>
      <w:start w:val="1"/>
    </w:lvl>
    <w:lvl w:ilvl="1">
      <w:lvlJc w:val="left"/>
      <w:lvlText w:val="(%2)"/>
      <w:numFmt w:val="lowerLetter"/>
      <w:start w:val="3"/>
    </w:lvl>
  </w:abstractNum>
  <w:abstractNum w:abstractNumId="176">
    <w:nsid w:val="541C8153"/>
    <w:multiLevelType w:val="hybridMultilevel"/>
    <w:lvl w:ilvl="0">
      <w:lvlJc w:val="left"/>
      <w:lvlText w:val="%1."/>
      <w:numFmt w:val="decimal"/>
      <w:start w:val="10"/>
    </w:lvl>
    <w:lvl w:ilvl="1">
      <w:lvlJc w:val="left"/>
      <w:lvlText w:val="(%2)"/>
      <w:numFmt w:val="lowerLetter"/>
      <w:start w:val="1"/>
    </w:lvl>
  </w:abstractNum>
  <w:abstractNum w:abstractNumId="177">
    <w:nsid w:val="67906F60"/>
    <w:multiLevelType w:val="hybridMultilevel"/>
    <w:lvl w:ilvl="0">
      <w:lvlJc w:val="left"/>
      <w:lvlText w:val="%1"/>
      <w:numFmt w:val="decimal"/>
      <w:start w:val="1"/>
    </w:lvl>
    <w:lvl w:ilvl="1">
      <w:lvlJc w:val="left"/>
      <w:lvlText w:val="(%2)"/>
      <w:numFmt w:val="lowerLetter"/>
      <w:start w:val="2"/>
    </w:lvl>
  </w:abstractNum>
  <w:abstractNum w:abstractNumId="178">
    <w:nsid w:val="10DB9DAA"/>
    <w:multiLevelType w:val="hybridMultilevel"/>
    <w:lvl w:ilvl="0">
      <w:lvlJc w:val="left"/>
      <w:lvlText w:val="%1."/>
      <w:numFmt w:val="decimal"/>
      <w:start w:val="12"/>
    </w:lvl>
    <w:lvl w:ilvl="1">
      <w:lvlJc w:val="left"/>
      <w:lvlText w:val="(%2)"/>
      <w:numFmt w:val="lowerLetter"/>
      <w:start w:val="1"/>
    </w:lvl>
  </w:abstractNum>
  <w:abstractNum w:abstractNumId="179">
    <w:nsid w:val="697D2D2"/>
    <w:multiLevelType w:val="hybridMultilevel"/>
    <w:lvl w:ilvl="0">
      <w:lvlJc w:val="left"/>
      <w:lvlText w:val="%1"/>
      <w:numFmt w:val="decimal"/>
      <w:start w:val="1"/>
    </w:lvl>
    <w:lvl w:ilvl="1">
      <w:lvlJc w:val="left"/>
      <w:lvlText w:val="(%2)"/>
      <w:numFmt w:val="lowerLetter"/>
      <w:start w:val="3"/>
    </w:lvl>
  </w:abstractNum>
  <w:abstractNum w:abstractNumId="180">
    <w:nsid w:val="6D68AB2"/>
    <w:multiLevelType w:val="hybridMultilevel"/>
    <w:lvl w:ilvl="0">
      <w:lvlJc w:val="left"/>
      <w:lvlText w:val="%1."/>
      <w:numFmt w:val="decimal"/>
      <w:start w:val="13"/>
    </w:lvl>
    <w:lvl w:ilvl="1">
      <w:lvlJc w:val="left"/>
      <w:lvlText w:val="(%2)"/>
      <w:numFmt w:val="lowerLetter"/>
      <w:start w:val="1"/>
    </w:lvl>
  </w:abstractNum>
  <w:abstractNum w:abstractNumId="181">
    <w:nsid w:val="3A966CD0"/>
    <w:multiLevelType w:val="hybridMultilevel"/>
    <w:lvl w:ilvl="0">
      <w:lvlJc w:val="left"/>
      <w:lvlText w:val="%1"/>
      <w:numFmt w:val="decimal"/>
      <w:start w:val="1"/>
    </w:lvl>
    <w:lvl w:ilvl="1">
      <w:lvlJc w:val="left"/>
      <w:lvlText w:val="(%2)"/>
      <w:numFmt w:val="lowerLetter"/>
      <w:start w:val="3"/>
    </w:lvl>
  </w:abstractNum>
  <w:abstractNum w:abstractNumId="182">
    <w:nsid w:val="63F37E85"/>
    <w:multiLevelType w:val="hybridMultilevel"/>
    <w:lvl w:ilvl="0">
      <w:lvlJc w:val="left"/>
      <w:lvlText w:val="%1."/>
      <w:numFmt w:val="decimal"/>
      <w:start w:val="14"/>
    </w:lvl>
    <w:lvl w:ilvl="1">
      <w:lvlJc w:val="left"/>
      <w:lvlText w:val="(%2)"/>
      <w:numFmt w:val="lowerLetter"/>
      <w:start w:val="1"/>
    </w:lvl>
  </w:abstractNum>
  <w:abstractNum w:abstractNumId="183">
    <w:nsid w:val="5895F5FA"/>
    <w:multiLevelType w:val="hybridMultilevel"/>
    <w:lvl w:ilvl="0">
      <w:lvlJc w:val="left"/>
      <w:lvlText w:val="(%1)"/>
      <w:numFmt w:val="lowerLetter"/>
      <w:start w:val="2"/>
    </w:lvl>
  </w:abstractNum>
  <w:abstractNum w:abstractNumId="184">
    <w:nsid w:val="38A5D054"/>
    <w:multiLevelType w:val="hybridMultilevel"/>
    <w:lvl w:ilvl="0">
      <w:lvlJc w:val="left"/>
      <w:lvlText w:val="%1"/>
      <w:numFmt w:val="decimal"/>
      <w:start w:val="1"/>
    </w:lvl>
    <w:lvl w:ilvl="1">
      <w:lvlJc w:val="left"/>
      <w:lvlText w:val="(%2)"/>
      <w:numFmt w:val="lowerLetter"/>
      <w:start w:val="6"/>
    </w:lvl>
  </w:abstractNum>
  <w:abstractNum w:abstractNumId="185">
    <w:nsid w:val="F3F09D8"/>
    <w:multiLevelType w:val="hybridMultilevel"/>
    <w:lvl w:ilvl="0">
      <w:lvlJc w:val="left"/>
      <w:lvlText w:val="%1."/>
      <w:numFmt w:val="decimal"/>
      <w:start w:val="15"/>
    </w:lvl>
    <w:lvl w:ilvl="1">
      <w:lvlJc w:val="left"/>
      <w:lvlText w:val="(%2)"/>
      <w:numFmt w:val="lowerLetter"/>
      <w:start w:val="1"/>
    </w:lvl>
  </w:abstractNum>
  <w:abstractNum w:abstractNumId="186">
    <w:nsid w:val="4B793735"/>
    <w:multiLevelType w:val="hybridMultilevel"/>
    <w:lvl w:ilvl="0">
      <w:lvlJc w:val="left"/>
      <w:lvlText w:val="%1"/>
      <w:numFmt w:val="decimal"/>
      <w:start w:val="1"/>
    </w:lvl>
    <w:lvl w:ilvl="1">
      <w:lvlJc w:val="left"/>
      <w:lvlText w:val="(%2)"/>
      <w:numFmt w:val="lowerLetter"/>
      <w:start w:val="3"/>
    </w:lvl>
  </w:abstractNum>
  <w:abstractNum w:abstractNumId="187">
    <w:nsid w:val="4A10B4E8"/>
    <w:multiLevelType w:val="hybridMultilevel"/>
    <w:lvl w:ilvl="0">
      <w:lvlJc w:val="left"/>
      <w:lvlText w:val="%1."/>
      <w:numFmt w:val="decimal"/>
      <w:start w:val="17"/>
    </w:lvl>
    <w:lvl w:ilvl="1">
      <w:lvlJc w:val="left"/>
      <w:lvlText w:val="%2"/>
      <w:numFmt w:val="lowerLetter"/>
      <w:start w:val="1"/>
    </w:lvl>
  </w:abstractNum>
  <w:abstractNum w:abstractNumId="188">
    <w:nsid w:val="43D3BCD4"/>
    <w:multiLevelType w:val="hybridMultilevel"/>
    <w:lvl w:ilvl="0">
      <w:lvlJc w:val="left"/>
      <w:lvlText w:val="%1."/>
      <w:numFmt w:val="decimal"/>
      <w:start w:val="18"/>
    </w:lvl>
    <w:lvl w:ilvl="1">
      <w:lvlJc w:val="left"/>
      <w:lvlText w:val="(%2)"/>
      <w:numFmt w:val="lowerLetter"/>
      <w:start w:val="1"/>
    </w:lvl>
  </w:abstractNum>
  <w:abstractNum w:abstractNumId="189">
    <w:nsid w:val="4C2A7166"/>
    <w:multiLevelType w:val="hybridMultilevel"/>
    <w:lvl w:ilvl="0">
      <w:lvlJc w:val="left"/>
      <w:lvlText w:val="%1"/>
      <w:numFmt w:val="decimal"/>
      <w:start w:val="1"/>
    </w:lvl>
    <w:lvl w:ilvl="1">
      <w:lvlJc w:val="left"/>
      <w:lvlText w:val="(%2)"/>
      <w:numFmt w:val="lowerLetter"/>
      <w:start w:val="5"/>
    </w:lvl>
  </w:abstractNum>
  <w:abstractNum w:abstractNumId="190">
    <w:nsid w:val="2E534A82"/>
    <w:multiLevelType w:val="hybridMultilevel"/>
    <w:lvl w:ilvl="0">
      <w:lvlJc w:val="left"/>
      <w:lvlText w:val="%1."/>
      <w:numFmt w:val="decimal"/>
      <w:start w:val="20"/>
    </w:lvl>
    <w:lvl w:ilvl="1">
      <w:lvlJc w:val="left"/>
      <w:lvlText w:val="(%2)"/>
      <w:numFmt w:val="lowerLetter"/>
      <w:start w:val="1"/>
    </w:lvl>
  </w:abstractNum>
  <w:abstractNum w:abstractNumId="191">
    <w:nsid w:val="26F2D364"/>
    <w:multiLevelType w:val="hybridMultilevel"/>
    <w:lvl w:ilvl="0">
      <w:lvlJc w:val="left"/>
      <w:lvlText w:val="%1."/>
      <w:numFmt w:val="decimal"/>
      <w:start w:val="22"/>
    </w:lvl>
  </w:abstractNum>
  <w:abstractNum w:abstractNumId="192">
    <w:nsid w:val="71C1AF98"/>
    <w:multiLevelType w:val="hybridMultilevel"/>
    <w:lvl w:ilvl="0">
      <w:lvlJc w:val="left"/>
      <w:lvlText w:val="%1."/>
      <w:numFmt w:val="decimal"/>
      <w:start w:val="23"/>
    </w:lvl>
  </w:abstractNum>
  <w:abstractNum w:abstractNumId="193">
    <w:nsid w:val="3D00B9D9"/>
    <w:multiLevelType w:val="hybridMultilevel"/>
    <w:lvl w:ilvl="0">
      <w:lvlJc w:val="left"/>
      <w:lvlText w:val="●"/>
      <w:numFmt w:val="bullet"/>
      <w:start w:val="1"/>
    </w:lvl>
  </w:abstractNum>
  <w:abstractNum w:abstractNumId="194">
    <w:nsid w:val="15BCABA8"/>
    <w:multiLevelType w:val="hybridMultilevel"/>
    <w:lvl w:ilvl="0">
      <w:lvlJc w:val="left"/>
      <w:lvlText w:val="●"/>
      <w:numFmt w:val="bullet"/>
      <w:start w:val="1"/>
    </w:lvl>
  </w:abstractNum>
  <w:abstractNum w:abstractNumId="195">
    <w:nsid w:val="4E0B9A87"/>
    <w:multiLevelType w:val="hybridMultilevel"/>
    <w:lvl w:ilvl="0">
      <w:lvlJc w:val="left"/>
      <w:lvlText w:val="%1."/>
      <w:numFmt w:val="upperLetter"/>
      <w:start w:val="34"/>
    </w:lvl>
    <w:lvl w:ilvl="1">
      <w:lvlJc w:val="left"/>
      <w:lvlText w:val="●"/>
      <w:numFmt w:val="bullet"/>
      <w:start w:val="1"/>
    </w:lvl>
  </w:abstractNum>
  <w:abstractNum w:abstractNumId="196">
    <w:nsid w:val="434BAE75"/>
    <w:multiLevelType w:val="hybridMultilevel"/>
    <w:lvl w:ilvl="0">
      <w:lvlJc w:val="left"/>
      <w:lvlText w:val="●"/>
      <w:numFmt w:val="bullet"/>
      <w:start w:val="1"/>
    </w:lvl>
  </w:abstractNum>
  <w:abstractNum w:abstractNumId="197">
    <w:nsid w:val="4F38F265"/>
    <w:multiLevelType w:val="hybridMultilevel"/>
    <w:lvl w:ilvl="0">
      <w:lvlJc w:val="left"/>
      <w:lvlText w:val="●"/>
      <w:numFmt w:val="bullet"/>
      <w:start w:val="1"/>
    </w:lvl>
  </w:abstractNum>
  <w:abstractNum w:abstractNumId="198">
    <w:nsid w:val="4C502870"/>
    <w:multiLevelType w:val="hybridMultilevel"/>
    <w:lvl w:ilvl="0">
      <w:lvlJc w:val="left"/>
      <w:lvlText w:val="●"/>
      <w:numFmt w:val="bullet"/>
      <w:start w:val="1"/>
    </w:lvl>
  </w:abstractNum>
  <w:abstractNum w:abstractNumId="199">
    <w:nsid w:val="1DE8725A"/>
    <w:multiLevelType w:val="hybridMultilevel"/>
    <w:lvl w:ilvl="0">
      <w:lvlJc w:val="left"/>
      <w:lvlText w:val="●"/>
      <w:numFmt w:val="bullet"/>
      <w:start w:val="1"/>
    </w:lvl>
  </w:abstractNum>
  <w:abstractNum w:abstractNumId="200">
    <w:nsid w:val="6A37288A"/>
    <w:multiLevelType w:val="hybridMultilevel"/>
    <w:lvl w:ilvl="0">
      <w:lvlJc w:val="left"/>
      <w:lvlText w:val="●"/>
      <w:numFmt w:val="bullet"/>
      <w:start w:val="1"/>
    </w:lvl>
  </w:abstractNum>
  <w:abstractNum w:abstractNumId="201">
    <w:nsid w:val="8F8B73F"/>
    <w:multiLevelType w:val="hybridMultilevel"/>
    <w:lvl w:ilvl="0">
      <w:lvlJc w:val="left"/>
      <w:lvlText w:val="●"/>
      <w:numFmt w:val="bullet"/>
      <w:start w:val="1"/>
    </w:lvl>
  </w:abstractNum>
  <w:abstractNum w:abstractNumId="202">
    <w:nsid w:val="CA6B462"/>
    <w:multiLevelType w:val="hybridMultilevel"/>
    <w:lvl w:ilvl="0">
      <w:lvlJc w:val="left"/>
      <w:lvlText w:val="●"/>
      <w:numFmt w:val="bullet"/>
      <w:start w:val="1"/>
    </w:lvl>
  </w:abstractNum>
  <w:abstractNum w:abstractNumId="203">
    <w:nsid w:val="763CB680"/>
    <w:multiLevelType w:val="hybridMultilevel"/>
    <w:lvl w:ilvl="0">
      <w:lvlJc w:val="left"/>
      <w:lvlText w:val="●"/>
      <w:numFmt w:val="bullet"/>
      <w:start w:val="1"/>
    </w:lvl>
  </w:abstractNum>
  <w:abstractNum w:abstractNumId="204">
    <w:nsid w:val="15B71329"/>
    <w:multiLevelType w:val="hybridMultilevel"/>
    <w:lvl w:ilvl="0">
      <w:lvlJc w:val="left"/>
      <w:lvlText w:val="●"/>
      <w:numFmt w:val="bullet"/>
      <w:start w:val="1"/>
    </w:lvl>
  </w:abstractNum>
  <w:abstractNum w:abstractNumId="205">
    <w:nsid w:val="3DA97044"/>
    <w:multiLevelType w:val="hybridMultilevel"/>
    <w:lvl w:ilvl="0">
      <w:lvlJc w:val="left"/>
      <w:lvlText w:val="●"/>
      <w:numFmt w:val="bullet"/>
      <w:start w:val="1"/>
    </w:lvl>
  </w:abstractNum>
  <w:abstractNum w:abstractNumId="206">
    <w:nsid w:val="1CDCE2DE"/>
    <w:multiLevelType w:val="hybridMultilevel"/>
    <w:lvl w:ilvl="0">
      <w:lvlJc w:val="left"/>
      <w:lvlText w:val="●"/>
      <w:numFmt w:val="bullet"/>
      <w:start w:val="1"/>
    </w:lvl>
  </w:abstractNum>
  <w:abstractNum w:abstractNumId="207">
    <w:nsid w:val="69D3947C"/>
    <w:multiLevelType w:val="hybridMultilevel"/>
    <w:lvl w:ilvl="0">
      <w:lvlJc w:val="left"/>
      <w:lvlText w:val="%1"/>
      <w:numFmt w:val="decimal"/>
      <w:start w:val="1"/>
    </w:lvl>
    <w:lvl w:ilvl="1">
      <w:lvlJc w:val="left"/>
      <w:lvlText w:val="%2."/>
      <w:numFmt w:val="decimal"/>
      <w:start w:val="1"/>
    </w:lvl>
  </w:abstractNum>
  <w:abstractNum w:abstractNumId="208">
    <w:nsid w:val="2539DFA5"/>
    <w:multiLevelType w:val="hybridMultilevel"/>
    <w:lvl w:ilvl="0">
      <w:lvlJc w:val="left"/>
      <w:lvlText w:val="(%1)"/>
      <w:numFmt w:val="decimal"/>
      <w:start w:val="4"/>
    </w:lvl>
    <w:lvl w:ilvl="1">
      <w:lvlJc w:val="left"/>
      <w:lvlText w:val="%2"/>
      <w:numFmt w:val="decimal"/>
      <w:start w:val="1"/>
    </w:lvl>
  </w:abstractNum>
  <w:abstractNum w:abstractNumId="209">
    <w:nsid w:val="2DB88089"/>
    <w:multiLevelType w:val="hybridMultilevel"/>
    <w:lvl w:ilvl="0">
      <w:lvlJc w:val="left"/>
      <w:lvlText w:val="%1."/>
      <w:numFmt w:val="decimal"/>
      <w:start w:val="4"/>
    </w:lvl>
  </w:abstractNum>
  <w:abstractNum w:abstractNumId="210">
    <w:nsid w:val="706B674E"/>
    <w:multiLevelType w:val="hybridMultilevel"/>
    <w:lvl w:ilvl="0">
      <w:lvlJc w:val="left"/>
      <w:lvlText w:val="%1."/>
      <w:numFmt w:val="decimal"/>
      <w:start w:val="14"/>
    </w:lvl>
  </w:abstractNum>
  <w:abstractNum w:abstractNumId="211">
    <w:nsid w:val="2C106A57"/>
    <w:multiLevelType w:val="hybridMultilevel"/>
    <w:lvl w:ilvl="0">
      <w:lvlJc w:val="left"/>
      <w:lvlText w:val="%1."/>
      <w:numFmt w:val="decimal"/>
      <w:start w:val="23"/>
    </w:lvl>
  </w:abstractNum>
  <w:abstractNum w:abstractNumId="212">
    <w:nsid w:val="684EED59"/>
    <w:multiLevelType w:val="hybridMultilevel"/>
    <w:lvl w:ilvl="0">
      <w:lvlJc w:val="left"/>
      <w:lvlText w:val="●"/>
      <w:numFmt w:val="bullet"/>
      <w:start w:val="1"/>
    </w:lvl>
  </w:abstractNum>
  <w:abstractNum w:abstractNumId="213">
    <w:nsid w:val="545EE5D3"/>
    <w:multiLevelType w:val="hybridMultilevel"/>
    <w:lvl w:ilvl="0">
      <w:lvlJc w:val="left"/>
      <w:lvlText w:val="●"/>
      <w:numFmt w:val="bullet"/>
      <w:start w:val="1"/>
    </w:lvl>
  </w:abstractNum>
  <w:abstractNum w:abstractNumId="214">
    <w:nsid w:val="4A6605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4" Type="http://schemas.openxmlformats.org/officeDocument/2006/relationships/image" Target="media/image175.png"/><Relationship Id="rId186"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jpeg"/><Relationship Id="rId335" Type="http://schemas.openxmlformats.org/officeDocument/2006/relationships/image" Target="media/image320.png"/><Relationship Id="rId336" Type="http://schemas.openxmlformats.org/officeDocument/2006/relationships/image" Target="media/image321.jpe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182" Type="http://schemas.openxmlformats.org/officeDocument/2006/relationships/hyperlink" Target="http://www.sec.gov/Archives/edgar/data/1822145/000121390020040143/fs12020ex3-1_ventoux.htm" TargetMode="External"/><Relationship Id="rId183" Type="http://schemas.openxmlformats.org/officeDocument/2006/relationships/hyperlink" Target="http://www.sec.gov/Archives/edgar/data/1822145/000121390020040143/fs12020ex3-2_ventoux.htm" TargetMode="External"/><Relationship Id="rId185" Type="http://schemas.openxmlformats.org/officeDocument/2006/relationships/hyperlink" Target="http://www.sec.gov/Archives/edgar/data/1822145/000121390020040143/fs12020ex3-3_ventoux.htm" TargetMode="External"/><Relationship Id="rId187" Type="http://schemas.openxmlformats.org/officeDocument/2006/relationships/hyperlink" Target="http://www.sec.gov/Archives/edgar/data/1822145/000121390020040143/fs12020ex3-5_ventoux.htm" TargetMode="External"/><Relationship Id="rId188" Type="http://schemas.openxmlformats.org/officeDocument/2006/relationships/hyperlink" Target="http://www.sec.gov/Archives/edgar/data/1822145/000121390020040143/fs12020ex99-4_ventoux.htm" TargetMode="External"/><Relationship Id="rId189" Type="http://schemas.openxmlformats.org/officeDocument/2006/relationships/hyperlink" Target="http://www.sec.gov/Archives/edgar/data/1822145/000121390020040143/fs12020ex99-5_ventoux.htm" TargetMode="External"/><Relationship Id="rId190" Type="http://schemas.openxmlformats.org/officeDocument/2006/relationships/hyperlink" Target="https://www.sec.gov/Archives/edgar/data/1822145/000121390020040143/fs12020ex99-6_ventoux.htm" TargetMode="External"/><Relationship Id="rId191" Type="http://schemas.openxmlformats.org/officeDocument/2006/relationships/hyperlink" Target="http://www.sec.gov/Archives/edgar/data/1822145/000121390020040143/fs12020ex99-7_ventou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2020-12-15T05:41:24Z</dcterms:created>
  <dcterms:modified xsi:type="dcterms:W3CDTF">2020-12-15T05:41:24Z</dcterms:modified>
</cp:coreProperties>
</file>