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Securities Exchange Act of 1934 (Amendment No.)</w:t>
      </w:r>
    </w:p>
    <w:p>
      <w:pPr>
        <w:sectPr>
          <w:pgSz w:w="11900" w:h="16838" w:orient="portrait"/>
          <w:cols w:equalWidth="0" w:num="1">
            <w:col w:w="9019"/>
          </w:cols>
          <w:pgMar w:left="1440" w:top="617" w:right="1440" w:bottom="1440" w:gutter="0" w:footer="0" w:header="0"/>
        </w:sectPr>
      </w:pPr>
    </w:p>
    <w:p>
      <w:pPr>
        <w:spacing w:after="0" w:line="19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617"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617" w:right="1440" w:bottom="1440" w:gutter="0" w:footer="0" w:header="0"/>
          <w:type w:val="continuous"/>
        </w:sectPr>
      </w:pPr>
    </w:p>
    <w:p>
      <w:pPr>
        <w:spacing w:after="0" w:line="6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617" w:right="1440" w:bottom="1440" w:gutter="0" w:footer="0" w:header="0"/>
          <w:type w:val="continuous"/>
        </w:sectPr>
      </w:pPr>
    </w:p>
    <w:p>
      <w:pPr>
        <w:spacing w:after="0" w:line="196" w:lineRule="exact"/>
        <w:rPr>
          <w:sz w:val="24"/>
          <w:szCs w:val="24"/>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800" w:hanging="346"/>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7" w:lineRule="exact"/>
        <w:rPr>
          <w:sz w:val="24"/>
          <w:szCs w:val="24"/>
          <w:color w:val="auto"/>
        </w:rPr>
      </w:pPr>
    </w:p>
    <w:p>
      <w:pPr>
        <w:ind w:left="800" w:hanging="346"/>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7" w:lineRule="exact"/>
        <w:rPr>
          <w:sz w:val="24"/>
          <w:szCs w:val="24"/>
          <w:color w:val="auto"/>
        </w:rPr>
      </w:pPr>
    </w:p>
    <w:p>
      <w:pPr>
        <w:ind w:left="800" w:hanging="346"/>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Presto Automation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134"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w:t>
      </w:r>
    </w:p>
    <w:p>
      <w:pPr>
        <w:spacing w:after="0" w:line="31"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3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85" w:lineRule="exact"/>
        <w:rPr>
          <w:sz w:val="24"/>
          <w:szCs w:val="24"/>
          <w:color w:val="auto"/>
        </w:rPr>
      </w:pPr>
    </w:p>
    <w:p>
      <w:pPr>
        <w:ind w:left="800" w:hanging="346"/>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00" w:hanging="346"/>
        <w:spacing w:after="0"/>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previously with preliminary materials.</w:t>
      </w:r>
    </w:p>
    <w:p>
      <w:pPr>
        <w:spacing w:after="0" w:line="198" w:lineRule="exact"/>
        <w:rPr>
          <w:rFonts w:ascii="MS PGothic" w:cs="MS PGothic" w:eastAsia="MS PGothic" w:hAnsi="MS PGothic"/>
          <w:sz w:val="18"/>
          <w:szCs w:val="18"/>
          <w:color w:val="auto"/>
        </w:rPr>
      </w:pPr>
    </w:p>
    <w:p>
      <w:pPr>
        <w:ind w:left="800" w:hanging="346"/>
        <w:spacing w:after="0"/>
        <w:tabs>
          <w:tab w:leader="none" w:pos="8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530225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JULY 16,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27, 2024</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filing of its definitive proxy statement on Schedule 14A (the “Proxy Statement”) for the special meeting of stockholders to be held on July 16, 2024 (the “Special Meeting”) with the Securities and Exchange Commission on June 20, 2024, Presto Automation Inc. (the “Company”) discovered a typographical error in the record date for the Special Meeting listed in the Notice of Special Meeting of Stockholders (the “Notice”). Accordingly, the Company is hereby amending the Proxy Statement solely in order to correct the record date listed in the Notice from “July 14, 2024” to “June 14, 2024.” There are no other revisions to the Proxy Statement.</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 xml:space="preserve">The Notice set forth as the initial page of the Proxy Statement is hereby amended in its entirety to read as set forth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to reflect the correction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156845</wp:posOffset>
            </wp:positionV>
            <wp:extent cx="1594485" cy="5918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448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July 16, 2024</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behalf of the Board of Directors, I cordially invite you to attend the Special Meeting of Stockholders of Presto Automation Inc. (the “Special Meeting”) to be held on July 16, 2024 at 10:00 a.m. Pacific Time. The Special Meeting will be a completely virtual meeting, conducted via live audio webcast, with no physical in-person meeting. You will be able to attend the Special Meeting online, vote your shares electronically and</w:t>
      </w:r>
    </w:p>
    <w:p>
      <w:pPr>
        <w:spacing w:after="0" w:line="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submit your questions during the Special Meeting by visiting </w:t>
      </w:r>
      <w:r>
        <w:rPr>
          <w:rFonts w:ascii="Times New Roman" w:cs="Times New Roman" w:eastAsia="Times New Roman" w:hAnsi="Times New Roman"/>
          <w:sz w:val="18"/>
          <w:szCs w:val="18"/>
          <w:i w:val="1"/>
          <w:iCs w:val="1"/>
          <w:color w:val="auto"/>
        </w:rPr>
        <w:t xml:space="preserve">www.virtualshareholdermeeting.com/PRST2024SM2 </w:t>
      </w:r>
      <w:r>
        <w:rPr>
          <w:rFonts w:ascii="Times New Roman" w:cs="Times New Roman" w:eastAsia="Times New Roman" w:hAnsi="Times New Roman"/>
          <w:sz w:val="18"/>
          <w:szCs w:val="18"/>
          <w:color w:val="auto"/>
        </w:rPr>
        <w:t>and entering the control number found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instruction form or notice you previously received.</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the Special Meeting, you will be asked to:</w:t>
      </w:r>
    </w:p>
    <w:p>
      <w:pPr>
        <w:spacing w:after="0" w:line="144" w:lineRule="exact"/>
        <w:rPr>
          <w:sz w:val="20"/>
          <w:szCs w:val="20"/>
          <w:color w:val="auto"/>
        </w:rPr>
      </w:pPr>
    </w:p>
    <w:p>
      <w:pPr>
        <w:jc w:val="both"/>
        <w:ind w:left="1320" w:right="459" w:hanging="434"/>
        <w:spacing w:after="0" w:line="256"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Second Amended and Restated Certificate of Incorporation of the Company, as amended, to effect a reverse stock split of all of the issued and outstanding shares of our common stock, par value $0.0001 per share (“Common Stock”), at a ratio in the range of 1-for-25 to 1-for-100, with the exact ratio of, effective time of and decision to implement the reverse stock split to be determined at by the Board of Directors in its sole discretion (the “Reverse Stock Split Proposal”);</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Common Stock in an amount in excess of 20.0% of the Company’s outstanding Common Stock before the issuance of such shares, as required by and in accordance with Nasdaq Listing Rule 5635(d), which in the case of the issuance of shares to Presto CA LLC (“Presto CA”) set forth in subparagraph (i) will also result in an issuance of shares that may be deemed a change of control under Nasdaq Listing Rule 5635(b), pursuant to the terms of</w:t>
      </w:r>
    </w:p>
    <w:p>
      <w:pPr>
        <w:spacing w:after="0" w:line="3"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58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Common Stock in an amount in excess of 20.0%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potential issuance of shares of Common Stock underlying convertible notes and warrants, in an amount in excess of 20.0% of the Company’s outstanding Common Stock before the issuance of such convertible notes and warrants, as required by and in accordance with Nasdaq Listing Rule 5635(d), pursuant to (i) the terms of those certain Securities Purchase Agreements, dated January 29, 2024, by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248285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pacing w:after="0" w:line="99" w:lineRule="exact"/>
        <w:rPr>
          <w:sz w:val="20"/>
          <w:szCs w:val="20"/>
          <w:color w:val="auto"/>
        </w:rPr>
      </w:pPr>
    </w:p>
    <w:p>
      <w:pPr>
        <w:jc w:val="both"/>
        <w:ind w:left="1320" w:right="479" w:hanging="434"/>
        <w:spacing w:after="0" w:line="256" w:lineRule="auto"/>
        <w:tabs>
          <w:tab w:leader="none" w:pos="12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Common Stock in an amount in excess of 20.0% of the Company’s outstanding Common Stock before the issuance of such shares, as required by and in accordance with Nasdaq Listing Rule 5635(d), pursuant to the terms of those certain Common Stock Purchase Agreements, dated May 22, 2024, by and between the Company and the purchasers named therein upon the operation of anti-dilution provisions contained in such agreements (the “May Issuance Proposal”);</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2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issuance of shares of Common Stock to Triton Funds, LP (“Triton”), pursuant to that certain Common Stock Purchase Agreement, dated May 28, 2024, by and between the Company and Triton (as amended, the “CSPA”), which shares represent more than 20.0% of the Company’s issued and outstanding Common Stock as of immediately prior to the signing of the CSPA, as required by Nasdaq Listing Rules 5635(d) (the “CSPA Proposal”); and</w:t>
      </w:r>
    </w:p>
    <w:p>
      <w:pPr>
        <w:spacing w:after="0" w:line="115"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that may properly come before the Special Meeting and any adjournments or postponements thereof.</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Only stockholders of record at the close of business on June 14, 2024 may vote at the Special Meeting. Each stockholder of record is entitled to one vote for each share of common stock held at that time. During the Special Meeting, any stockholder attending the Special Meeting may access a list of the stockholders entitled to vote at the Special Meeting at </w:t>
      </w:r>
      <w:r>
        <w:rPr>
          <w:rFonts w:ascii="Times New Roman" w:cs="Times New Roman" w:eastAsia="Times New Roman" w:hAnsi="Times New Roman"/>
          <w:sz w:val="18"/>
          <w:szCs w:val="18"/>
          <w:i w:val="1"/>
          <w:iCs w:val="1"/>
          <w:color w:val="auto"/>
        </w:rPr>
        <w:t>www.virtualshareholdermeeting.com/PRST2024SM2</w:t>
      </w:r>
      <w:r>
        <w:rPr>
          <w:rFonts w:ascii="Times New Roman" w:cs="Times New Roman" w:eastAsia="Times New Roman" w:hAnsi="Times New Roman"/>
          <w:sz w:val="18"/>
          <w:szCs w:val="18"/>
          <w:color w:val="auto"/>
        </w:rPr>
        <w:t xml:space="preserve"> by following the instructions contained in the Proxy Statement.</w:t>
      </w:r>
    </w:p>
    <w:p>
      <w:pPr>
        <w:spacing w:after="0" w:line="112"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to us. </w:t>
      </w:r>
      <w:r>
        <w:rPr>
          <w:rFonts w:ascii="Times New Roman" w:cs="Times New Roman" w:eastAsia="Times New Roman" w:hAnsi="Times New Roman"/>
          <w:sz w:val="18"/>
          <w:szCs w:val="18"/>
          <w:color w:val="auto"/>
        </w:rPr>
        <w:t>Whether or not you plan to attend the Special Meeting, we strongly urge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to cast your vote promptly. You may vote over the Internet, as well as by mail. Please review the instructions on the proxy or voting instruction card regarding each of these voting options.</w:t>
      </w:r>
    </w:p>
    <w:p>
      <w:pPr>
        <w:spacing w:after="0" w:line="13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/s/ Edward Scheetz</w:t>
      </w:r>
    </w:p>
    <w:p>
      <w:pPr>
        <w:spacing w:after="0" w:line="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-127635</wp:posOffset>
            </wp:positionV>
            <wp:extent cx="2305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Chairperson of the Board</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Roman"/>
      <w:start w:val="1"/>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2024-06-27T06:16:55Z</dcterms:created>
  <dcterms:modified xsi:type="dcterms:W3CDTF">2024-06-27T06:16:55Z</dcterms:modified>
</cp:coreProperties>
</file>