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Healey William Robert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81"/>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60" w:type="dxa"/>
            <w:vAlign w:val="bottom"/>
          </w:tcPr>
          <w:p>
            <w:pPr>
              <w:ind w:left="2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04/25/2024</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100,000</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172,246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20,553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151,693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granted to the reporting person on April 25, 2024 (the "Grant Date") pursuant to the Issuer's 2022 Incentive Award Plan. The RSUs vested 50 percent on the Grant Date and the remaining 50 percent will vest on October 1, 2024, subject to the reporting person's continued employment. Each RSU represents the right to receive one share of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as RSUs. The disposition of shares is associated with tax obligations of the reporting person associated with the vesting of RSUs.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the weighted average sales price. These shares were sold in multiple transactions at prices ranging from $0.171 to $0.180, inclusive. The reporting person hereby undertakes to provide upon request to the SEC staff, the issuer or any security holder of the issuer full information regarding the number of shares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Susan Shinoff, Attorney-in- </w:t>
      </w:r>
      <w:r>
        <w:rPr>
          <w:rFonts w:ascii="Times New Roman" w:cs="Times New Roman" w:eastAsia="Times New Roman" w:hAnsi="Times New Roman"/>
          <w:sz w:val="33"/>
          <w:szCs w:val="33"/>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6779"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2024-05-29T17:19:55Z</dcterms:created>
  <dcterms:modified xsi:type="dcterms:W3CDTF">2024-05-29T17:19:55Z</dcterms:modified>
</cp:coreProperties>
</file>