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November 16,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43"/>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43"/>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43"/>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17"/>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November 17, 2023, Presto Automation Inc. (the “Company”) entered into common stock purchase agreements (the “Purchase Agreements”) with several investors (the “Purchasers”) relating to the issuance and sale of an aggregate of 7,750,000 shares of the Company’s common stock, par value $0.0001 per share (the “Offering”).</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Agreements, the Company will issue 4,000,000 shares of common stock at an offering price of $1.00. The offering also includes the issuance of 3,750,000 shares of common stock to one investor and its related party at an average price of $0.80 per share. The aggregate gross proceeds to the Company from the Offering are expected to be approximately $7,000,000, before deducting placement agent fees and other estimated Offering expenses payable by the Company. The Offering closed on November 21, 2023, subject to customary closing conditions.</w:t>
      </w:r>
    </w:p>
    <w:p>
      <w:pPr>
        <w:spacing w:after="0" w:line="18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Purchasers, upon the terms and subject to the conditions contained in the Purchase Agreements. If these anti-dilution provisions are triggered in the future, the issuance of additional shares thereunder will dilute the percentage ownership interest of all stockholders, will dilute the book value per share of the Company’s common stock and will increase the number of the Company’s outstanding shares, which could depress the market price of the Company’s common stock.</w:t>
      </w:r>
    </w:p>
    <w:p>
      <w:pPr>
        <w:spacing w:after="0" w:line="18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November 17, 2023, and accompanying prospectus, dated October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Triggering of Antidilution Adjustments</w:t>
      </w:r>
    </w:p>
    <w:p>
      <w:pPr>
        <w:spacing w:after="0" w:line="2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Offering triggered antidilution adjustment provisions in the CA Purchase Agreement and the Third Amendment Conversion Warrants (each as defined below).</w:t>
      </w:r>
    </w:p>
    <w:p>
      <w:pPr>
        <w:spacing w:after="0" w:line="16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October 10, 2023, the Company entered into a Securities Purchase Agreement (the “CA Purchase Agreement”) with Presto CA LLC (“CA”), pursuant to which the Company sold 1,500,000 shares of common stock, at a purchase price of $2.00 per share, for an aggregate purchase price of $3.0 million (the “Private Placement”). CA is affiliated with Cleveland Avenue LLC, and Keith Kravcik, a director of Presto, is the Chief Investment Officer of all of Cleveland Avenue’s various Investment Funds, including the funds invested in CA.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p>
      <w:pPr>
        <w:spacing w:after="0" w:line="18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Also on October 10, 2023, the Company entered into a Third Amendment (the “Third Amendment”) to the Credit Agreement (“Credit Agreement”) dated as of September 21, 2022, as amended on March 31, 2023 and May 22, 2023, with the Metropolitan Partners Group Administration, LLC, Metropolitan Levered Partners Fund VII, LP, Metropolitan Partners Fund VII, LP, Metropolitan Offshore Partners Fund VII, LP and CEOF Holdings LP (collectively, the “Lenders”). 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at a price per share below $2.00, upon the terms and subject to the conditions contained in the Third Amendment Conversion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agreed with each of CA and the Lenders that the “New Issuance Price” (as defined in the CA Purchase Agreement and Third Amendment Conversion Warrants, respectively) would be $1.00. As a result, the Company is required to issue an additional 1,500,000 shares to CA and increase the amount of common stock issuable upon the exercise of the Third Amendment Conversion Warrants from 3,000,000 shares to 6,000,000 shares. The issuance of shares of common stock to CA, and the issuance of shares of common stock to the Lenders upon the exercise of the Third Amendment Conversion warrants, will dilute the percentage ownership interest of all stockholders, will dilute the book value per share of the Company’s common stock and will increase the number of the Company’s outstanding shares, which could depress the market price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Waivers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in connection with their investments in the offering, the Company waived the lock-up restrictions under the Company’s bylaws with respect to</w:t>
      </w:r>
    </w:p>
    <w:p>
      <w:pPr>
        <w:spacing w:after="0" w:line="27" w:lineRule="exact"/>
        <w:rPr>
          <w:sz w:val="20"/>
          <w:szCs w:val="20"/>
          <w:color w:val="auto"/>
        </w:rPr>
      </w:pPr>
    </w:p>
    <w:p>
      <w:pPr>
        <w:jc w:val="both"/>
        <w:ind w:firstLine="8"/>
        <w:spacing w:after="0" w:line="253" w:lineRule="auto"/>
        <w:tabs>
          <w:tab w:leader="none" w:pos="2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638,076 shares of the Company’s common stock held by Zaffran Special Opportunities LLC, for which Mr. Gupta, the Company’s Chairman of the Board, is the sole general partner (the “Zaffran shares”), and (ii) an aggregate of 440,890 shares of the Company’s common stock held by two other investors in the Offering. Without such waiver, these shares would have been subject to lock-up restrictions until March 21, 2024. In addition, with consent of the Lenders, we waived the lock-up restrictions under a lock-up agreement entered into in connection with the Third Amendment that were applicable to the Zaffran shares. Without such waiver, the Zaffran shares would have been subject to lock-up restrictions until December 23, 2024.</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Agreements is qualified in its entirety by reference to the complete text of the form of Purchase Agreement, a copy of which is filed herewith as Exhibit 10.1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Agency Agreement</w:t>
      </w:r>
    </w:p>
    <w:p>
      <w:pPr>
        <w:spacing w:after="0" w:line="22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November 17, 2023, the Company entered into a placement agency agreement (the “Placement Agency Agreement”) with Northland Securities, Inc. (“Northland”), Chardan Capital Markets LLC (“Chardan”) and The Benchmark Company, LLC (“Benchmark”), to act as exclusive placement agents in connection with the Offering (collectively, the “Placement Agents”). The Company agreed to (i) pay the Placement Agents a cash fee equal to 7.0% of the aggregate gross proceeds from the Offering, (ii) reimburse Northland up to $100,000 for its reasonable and documented offering-related legal and other expenses and (iii) reimburse Benchmark and Chardan $15,000 each for reasonable and documented offering-related expenses.</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Placement Agency Agreement also contains representations, warranties, indemnification and other provisions customary for transactions of this nature, including liabilities under the Securities Act of 1933, as amended. The representations, warranties and covenants described in the Placement Agency Agreement were made only for purposes of such agreement and as of specific dates, were solely for the benefit of the parties to such agreement and may be subject to limitations agreed upon by such parties.</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addition, pursuant to the terms of the Placement Agency Agreement, the Company’s directors, officers and certain significant shareholders have entered into “lock-up” agreements with Northland that generally prohibit, without the prior written consent of Northland, the sale, transfer or other disposition of securities of the Company for a period of 90 days following the pricing of the Offering. We have also agreed, subject to customary exceptions, not to issue additional shares for a period of 90 days following the pricing of the Offering.</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Placement Agency Agreement is qualified in its entirety by reference to the complete text of the Placement Agency Agreement, a copy of which is filed herewith as Exhibit 10.2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Amended and Restated Governance Agreement</w:t>
      </w:r>
    </w:p>
    <w:p>
      <w:pPr>
        <w:spacing w:after="0" w:line="22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November 16, 2023, the Company and certain significant shareholders entered into Amendment No. 1 to the existing Governance Agreement (“Amendment No. 1”) and then entered into an Amended and Restated Governance Agreement (the “A&amp;R Governance Agreement”). Pursuant to Amendment No. 1 and the A&amp;R Governance Agreement the following actions have been taken:</w:t>
      </w:r>
    </w:p>
    <w:p>
      <w:pPr>
        <w:spacing w:after="0" w:line="176" w:lineRule="exact"/>
        <w:rPr>
          <w:sz w:val="20"/>
          <w:szCs w:val="20"/>
          <w:color w:val="auto"/>
        </w:rPr>
      </w:pPr>
    </w:p>
    <w:p>
      <w:pPr>
        <w:ind w:left="780" w:hanging="327"/>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size of the board of directors has been increased from eight to nine directors.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Company’s former CEO to appoint a director was terminated.</w:t>
      </w:r>
    </w:p>
    <w:p>
      <w:pPr>
        <w:spacing w:after="0" w:line="225" w:lineRule="exact"/>
        <w:rPr>
          <w:rFonts w:ascii="Times New Roman" w:cs="Times New Roman" w:eastAsia="Times New Roman" w:hAnsi="Times New Roman"/>
          <w:sz w:val="18"/>
          <w:szCs w:val="18"/>
          <w:color w:val="auto"/>
        </w:rPr>
      </w:pPr>
    </w:p>
    <w:p>
      <w:pPr>
        <w:jc w:val="both"/>
        <w:ind w:left="780" w:hanging="327"/>
        <w:spacing w:after="0" w:line="266"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REMUS Stockholders (as defined in Amendment No. 1) were granted the right to appoint two directors in addition to their current right to designate one director. The two additional directors appointed are Tewfik Cassis and Sasha Hoffman and are each appointed in Class III which is subject to reelection in 2025. Scott Raskin will be moved from a Class III director to a Class II director, as further described below.</w:t>
      </w:r>
    </w:p>
    <w:p>
      <w:pPr>
        <w:spacing w:after="0" w:line="175" w:lineRule="exact"/>
        <w:rPr>
          <w:rFonts w:ascii="Times New Roman" w:cs="Times New Roman" w:eastAsia="Times New Roman" w:hAnsi="Times New Roman"/>
          <w:sz w:val="18"/>
          <w:szCs w:val="18"/>
          <w:color w:val="auto"/>
        </w:rPr>
      </w:pPr>
    </w:p>
    <w:p>
      <w:pPr>
        <w:ind w:left="440" w:right="440" w:firstLine="13"/>
        <w:spacing w:after="0" w:line="500" w:lineRule="auto"/>
        <w:tabs>
          <w:tab w:leader="none" w:pos="7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vacant board seat can be filled by the board of directors upon the recommendation of the Nominating and Governance Committee. There was no other change to the current board membership or nomination rights.</w:t>
      </w:r>
    </w:p>
    <w:p>
      <w:pPr>
        <w:spacing w:after="0" w:line="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right of the REMUS Stockholders to nominate board members will decline if the REMUS Stockholders hold a lower number of the Company’s shares such that it shall be entitled to nominate a number of directors that is not greater than the aggregate percentage of the Company’s outstanding voting securities held by the REMUS Stockholders and any of their respective affiliates expressed as an integer calculated by rounding up such percent to the nearest whole number, in each case, at the time of such nomination.</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each of Amendment No. 1 and the A&amp;R Governance Agreement is qualified in its entirety by reference to the complete text of such agreement, copies of which are filed herewith as Exhibit 10.3 and 10.4, respectively, and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Agreement</w:t>
      </w:r>
    </w:p>
    <w:p>
      <w:pPr>
        <w:spacing w:after="0" w:line="2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November 16, 2023, we entered into an agreement (the “Stockholder Agreement”) with KKG Enterprises LLC, an affiliate of the REMUS Stockholders, and CA, pursuant to which the Company agreed that it will not undertake the following actions for the next 12 months without their consent:</w:t>
      </w:r>
    </w:p>
    <w:p>
      <w:pPr>
        <w:spacing w:after="0" w:line="162" w:lineRule="exact"/>
        <w:rPr>
          <w:sz w:val="20"/>
          <w:szCs w:val="20"/>
          <w:color w:val="auto"/>
        </w:rPr>
      </w:pPr>
    </w:p>
    <w:p>
      <w:pPr>
        <w:jc w:val="both"/>
        <w:ind w:left="780" w:hanging="327"/>
        <w:spacing w:after="0" w:line="261"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the Company’s common stock or of the Company’s subsidiaries, or securities convertible into or exercisable for common stock, other than limited exceptions including in connection with the Company’s equity incentive plans, upon the exercise of warrants or convertible securities outstanding on the date of the agreement, issuances between the Company and its subsidiaries, and to the Company’s lenders in connection with debt financings and other transactions; or</w:t>
      </w:r>
    </w:p>
    <w:p>
      <w:pPr>
        <w:spacing w:after="0" w:line="179"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the chief executive officer of the Company.</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veto rights terminate after 12 months after the date of the Stockholder Agreement or, with respect to either shareholder, when it and its affiliates hold less than 50% of the Company’s shares held on the date of the Stockholder Agreement.</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Stockholder Agreement is qualified in its entirety by reference to the complete text of the Stockholder Agreement, a copy of which is filed herewith as Exhibit 10.5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Amended and Restated Warrants to Purchase Common Stock</w:t>
      </w:r>
    </w:p>
    <w:p>
      <w:pPr>
        <w:spacing w:after="0" w:line="22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November 21, 2023, in connection with closing of the Offering, the Company amended and restated the Third Amendment Conversion Warrants to (i) reflect the increase in the number of shares issuable upon exercise thereof due to the anti-dilution provisions in the Third Amendment Conversion Warrants that were triggered by the Offering (the “Additional Shares”) and (ii) reduce the price per share at which future issuances or deemed issuances of the Company’s common stock would trigger the anti-dilution provisions included therein from $2.00 to $1.00 (the “A&amp;R Warrants”).</w:t>
      </w:r>
    </w:p>
    <w:p>
      <w:pPr>
        <w:spacing w:after="0" w:line="18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addition, the parties agreed that the Additional Shares constitute “Registerable Securities” as defined in the registration rights agreement, dated as of March 31, 2023, by and among the Company and the Lenders (the “Metropolitan Registration Rights Agreement”). Under the Metropolitan Registration Rights Agreement, the Company has agreed to file a Registration Statement with the SEC covering the Additional Shares within 30 days following the date of the issuance of the A&amp;R Warrants for purposes of registering the resale of the Additional Shares. The Company has also agreed to use its reasonable best efforts to cause the SEC to declare the Registration Statement effective as soon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3rd business day after the date the Company is notified by the SEC that the Registration Statement will not be “reviewed” or will not be subject to further review. The Company previously registered on Form S-3 the shares underling the original Third Amendment Conversion Warrants.</w:t>
      </w:r>
    </w:p>
    <w:p>
      <w:pPr>
        <w:spacing w:after="0" w:line="1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foregoing summary of the A&amp;R Warrants and the Metropolitan Registration Rights Agreement does not purport to be complete and is subject to, and qualified in its entirety by, the full text of the A&amp;R Warrants filed as Exhibit 10.6, 10.7, 10.8 and 10.9 and the Metropolitan Registration Rights Agreement incorporated by reference as Exhibit 10.10 to this Current Report on Form 8-K and incorporated herein by reference.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November 16, 2023, the board increased the number of directors that constitute the entire board of directors from seven directors to nine directors and appointed Tefwik Cassis and Sasha Hoffman to the board of directors, effective as of the closing of the Offering. Both Mr. Cassis and Ms. Hoffman will serve as Class III directors with terms expiring at the Company’s 2025 annual meeting of stockholders. As a result of the foregoing appointments, Scott Raskin, who previously served as a Class III director, became a Class II director to more evenly balance the classes.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Mr. Cassis was appointed to the Nominating and Governance Committee, Ms. Hoffman was appointed to the Compensation Committee, and Krishna Gupta will replace Mr. Raskin on the Strategic Finance Committee.</w:t>
      </w:r>
    </w:p>
    <w:p>
      <w:pPr>
        <w:spacing w:after="0" w:line="15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Sasha Hoffman</w:t>
      </w:r>
      <w:r>
        <w:rPr>
          <w:rFonts w:ascii="Times New Roman" w:cs="Times New Roman" w:eastAsia="Times New Roman" w:hAnsi="Times New Roman"/>
          <w:sz w:val="18"/>
          <w:szCs w:val="18"/>
          <w:color w:val="auto"/>
        </w:rPr>
        <w:t>, 36, has served as a member of the Company’s board of directors since November 2023. Ms. Hoffman is currently an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 with REMUS Capital, a technology-focused venture capital firm, a position that she has held since June 2023. Since 2019, Ms. Hoffman has also provided consultancy services for a variety of technology companies, including Thrasio Holdings, Inc., Zima International, Inc. (DBA: Dandy) and National Cycling League, Inc., where she focused on bringing new products to market, strategy and go-to-market. From January 2020 to May 2021, Ms. Hoffman was a Product Leader at Uber Technologies, Inc., where she led the rewards and subscriptions programs globally. From 2015 to August 2018, Ms. Hoffman was the Chief Operating Officer of the Fast Forward business unit at Piaggio &amp; C. SpA., a motor vehicle manufacturer, where she oversaw the development and manufacturing of semi-autonomous robotic vehicles. Ms. Hoffman began her career as a technology investment banker at Goldman Sachs and Lehman Brothers. Ms. Hoffman holds a Bachelor of Arts degree in Business Economics and Accounting from the University of California, Los Angeles.</w:t>
      </w:r>
    </w:p>
    <w:p>
      <w:pPr>
        <w:spacing w:after="0" w:line="18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Tewfik Cassis</w:t>
      </w:r>
      <w:r>
        <w:rPr>
          <w:rFonts w:ascii="Times New Roman" w:cs="Times New Roman" w:eastAsia="Times New Roman" w:hAnsi="Times New Roman"/>
          <w:sz w:val="18"/>
          <w:szCs w:val="18"/>
          <w:color w:val="auto"/>
        </w:rPr>
        <w:t>, 35, has served as a member of the Company’s board of directors since November 2023. Previously, Mr. Cassis was the Chief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Rain Financial, a regulated Crypto exchange in the Middle East from May 2022 to October 2023. Prior to that Mr. Cassis was the Director of Special Projects at Monzo Bank, overseeing commercial and product functions for the personal banking team, as well as working on product marketing and development at Meta Platforms, Inc. on the Commerce and Advertising teams from March 2017 to October 2021. Mr. Cassis is an active angel investor, focusing primarily in fintech, AI and mobility sectors and has previously founded and sold Daily Pnut in 2016. He also worked at McKinsey &amp; Company as a Business Analyst from 2010 to 2013 and worked as an associate at Romulus Capital in 2008 to 2010, where he first met the team from Presto. Mr. Cassis holds a BSc in Management from MIT and an MBA from Harvard Business School.</w:t>
      </w:r>
    </w:p>
    <w:p>
      <w:pPr>
        <w:spacing w:after="0" w:line="18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either Mr. Cassis or Ms. Hoffman, on the one hand, and any other persons, on the other, pursuant to which such director was selected as a director of the Company. The Company is not aware of any transaction in which either Mr. Cassis or Ms. Hoffman has an interest requiring disclosure under Item 404(a) of Regulation S-K.</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Both Mr. Cassis and Ms. Hoffman will be entitled to compensation for service on the board on the same basis as all other non-employee directors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Voice Update</w:t>
      </w:r>
    </w:p>
    <w:p>
      <w:pPr>
        <w:spacing w:after="0" w:line="22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As we continue to grow our Presto Voice business, we are focusing on increasing the rate at which our solution successfully receives orders without the need for any human agent intervention, commonly referred to as “humans-in-the-loop.” Currently, over 70% of orders taken by our Presto Voice solution require human agent intervention. As we continue to improve our AI accuracy and further deploy Presto Voice across store locations, we believe that the percentage of orders that do not require any human agent intervention will reach 30% or better. Further increasing automation of orders through our improving AI engine and continuing to optimize human intervention will allow us to maintain desired levels of order accuracy while achieving profitability at the restaurant location level (referred to as “site margin”). We are currently close to profitable at the site margin level based upon our current level of human agent intervention and are targeting positive site margins by June 30, 2024. We expect this to occur once 50% of our orders no longer require human agent intervention. We are targeting a further increase in those percentages, to 60% by September 30, 2024 and 70% by December 31, 2024, which will result in significantly higher site margins.</w:t>
      </w:r>
    </w:p>
    <w:p>
      <w:pPr>
        <w:spacing w:after="0" w:line="18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are also planning to increase the rollout of Presto Voice significantly in the future. We are targeting an installed base of 2,610 stores by the end of calendar year 2025. Set forth below is a chart with a quarterly breakdown of our targets over the next eight calendar quarters.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Q2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Q3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Q4</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Q2</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Q3</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Q4</w:t>
            </w:r>
          </w:p>
        </w:tc>
      </w:tr>
      <w:tr>
        <w:trPr>
          <w:trHeight w:val="245"/>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Calendar Quarter End</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70"/>
        </w:trPr>
        <w:tc>
          <w:tcPr>
            <w:tcW w:w="17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Target Locations</w:t>
            </w:r>
            <w:r>
              <w:rPr>
                <w:rFonts w:ascii="Times New Roman" w:cs="Times New Roman" w:eastAsia="Times New Roman" w:hAnsi="Times New Roman"/>
                <w:sz w:val="29"/>
                <w:szCs w:val="29"/>
                <w:b w:val="1"/>
                <w:bCs w:val="1"/>
                <w:color w:val="auto"/>
                <w:vertAlign w:val="superscript"/>
              </w:rPr>
              <w:t>(1)</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562</w:t>
            </w:r>
          </w:p>
        </w:tc>
        <w:tc>
          <w:tcPr>
            <w:tcW w:w="6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726</w:t>
            </w:r>
          </w:p>
        </w:tc>
        <w:tc>
          <w:tcPr>
            <w:tcW w:w="6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990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r>
      <w:tr>
        <w:trPr>
          <w:trHeight w:val="27"/>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expansion model is driven primarily by locations of restaurant brands and franchisee customers with whom we have master service or pilot agreements and in which Presto Voice has not been installed, to a lesser degree by the addition of new restaurant chains and franchise groups. The model reflects a recent decision by Del Taco not to move forward with our solution. We do not expect this to have a material impact given their rollout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gridSpan w:val="1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Opinion of White &amp; Case LLP</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00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Common Stock Purchase Agreement</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1000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Placement Agency Agreement, dated as of November 17, 2023, among the Company and the Placement Agents</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00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Amendment No. 1 to Governance Agreement, dated as of November 16, 2023, among the Company and the other parties thereto</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1000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Amended &amp; Restated Governance Agreement, dated as of November 16, 2023, among the Company and the other parties thereto</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tcPr>
          <w:p>
            <w:pPr>
              <w:spacing w:after="0"/>
              <w:rPr>
                <w:sz w:val="15"/>
                <w:szCs w:val="15"/>
                <w:color w:val="auto"/>
              </w:rPr>
            </w:pPr>
          </w:p>
        </w:tc>
        <w:tc>
          <w:tcPr>
            <w:tcW w:w="9300" w:type="dxa"/>
            <w:vAlign w:val="bottom"/>
            <w:tcBorders>
              <w:top w:val="single" w:sz="8" w:color="0000EE"/>
            </w:tcBorders>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Stockholders Agreement, dated as of November 16, 2023, among the Company and the other parties thereto</w:t>
            </w:r>
          </w:p>
        </w:tc>
        <w:tc>
          <w:tcPr>
            <w:tcW w:w="700" w:type="dxa"/>
            <w:vAlign w:val="bottom"/>
            <w:tcBorders>
              <w:top w:val="single" w:sz="8" w:color="CCEEFF"/>
            </w:tcBorders>
            <w:gridSpan w:val="2"/>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Amended &amp; Restated Warrant to Purchase Common Stock by and between Presto Automation Inc. and Metropolitan Levered Partners</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5"/>
              </w:rPr>
              <w:t>Fund VII, LP.</w:t>
            </w:r>
          </w:p>
        </w:tc>
        <w:tc>
          <w:tcPr>
            <w:tcW w:w="900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00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Amended &amp; Restated Warrant to Purchase Common Stock by and between Presto Automation Inc. and Metropolitan Partners Fund VII,</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LP.</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Amended &amp; Restated Warrant to Purchase Common Stock by and between Presto Automation Inc. and Metropolitan Offshore Partners</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5"/>
              </w:rPr>
              <w:t>Fund VII, LP.</w:t>
            </w:r>
          </w:p>
        </w:tc>
        <w:tc>
          <w:tcPr>
            <w:tcW w:w="9000" w:type="dxa"/>
            <w:vAlign w:val="bottom"/>
            <w:tcBorders>
              <w:bottom w:val="single" w:sz="8" w:color="CCEEFF"/>
            </w:tcBorders>
            <w:gridSpan w:val="11"/>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100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Amended &amp; Restated Warrant to Purchase Common Stock by and between Presto Automation Inc. and CEOF Holdings, LP.</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3"/>
            <w:shd w:val="clear" w:color="auto" w:fill="CCEEFF"/>
          </w:tcPr>
          <w:p>
            <w:pPr>
              <w:ind w:left="20"/>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Registration Rights Agreement, dated as of March 31, 2023, by and among Presto Automation Inc. and certain persons listed therein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0000EE"/>
            </w:tcBorders>
            <w:gridSpan w:val="6"/>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(incorporated by reference to Exhibit 10.7 of Presto’s Current Report on Form 8-K filed on April 6, 2023).</w:t>
              </w:r>
            </w:hyperlink>
          </w:p>
        </w:tc>
        <w:tc>
          <w:tcPr>
            <w:tcW w:w="232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4040" w:type="dxa"/>
            <w:vAlign w:val="bottom"/>
            <w:tcBorders>
              <w:bottom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Consent of White &amp; Case LLP (included in Exhibit 5.1)</w:t>
            </w:r>
          </w:p>
        </w:tc>
        <w:tc>
          <w:tcPr>
            <w:tcW w:w="5960" w:type="dxa"/>
            <w:vAlign w:val="bottom"/>
            <w:gridSpan w:val="8"/>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November 21,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2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w w:val="99"/>
              </w:rPr>
              <w:t>Exhibit 5.1</w:t>
            </w:r>
          </w:p>
        </w:tc>
        <w:tc>
          <w:tcPr>
            <w:tcW w:w="0" w:type="dxa"/>
            <w:vAlign w:val="bottom"/>
          </w:tcPr>
          <w:p>
            <w:pPr>
              <w:spacing w:after="0"/>
              <w:rPr>
                <w:sz w:val="1"/>
                <w:szCs w:val="1"/>
                <w:color w:val="auto"/>
              </w:rPr>
            </w:pPr>
          </w:p>
        </w:tc>
      </w:tr>
      <w:tr>
        <w:trPr>
          <w:trHeight w:val="655"/>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November 21, 2023</w:t>
            </w:r>
          </w:p>
        </w:tc>
        <w:tc>
          <w:tcPr>
            <w:tcW w:w="2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000" w:type="dxa"/>
            <w:vAlign w:val="bottom"/>
            <w:vMerge w:val="continue"/>
          </w:tcPr>
          <w:p>
            <w:pPr>
              <w:spacing w:after="0"/>
              <w:rPr>
                <w:sz w:val="17"/>
                <w:szCs w:val="17"/>
                <w:color w:val="auto"/>
              </w:rPr>
            </w:pP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xml:space="preserve">White &amp; Case </w:t>
            </w:r>
            <w:r>
              <w:rPr>
                <w:rFonts w:ascii="Times New Roman" w:cs="Times New Roman" w:eastAsia="Times New Roman" w:hAnsi="Times New Roman"/>
                <w:sz w:val="12"/>
                <w:szCs w:val="12"/>
                <w:color w:val="auto"/>
              </w:rPr>
              <w:t>llp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Avenue of the Americas</w:t>
            </w:r>
          </w:p>
        </w:tc>
        <w:tc>
          <w:tcPr>
            <w:tcW w:w="0" w:type="dxa"/>
            <w:vAlign w:val="bottom"/>
          </w:tcPr>
          <w:p>
            <w:pPr>
              <w:spacing w:after="0"/>
              <w:rPr>
                <w:sz w:val="1"/>
                <w:szCs w:val="1"/>
                <w:color w:val="auto"/>
              </w:rPr>
            </w:pPr>
          </w:p>
        </w:tc>
      </w:tr>
      <w:tr>
        <w:trPr>
          <w:trHeight w:val="212"/>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Presto Automation Inc.</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10020-1095</w:t>
            </w:r>
          </w:p>
        </w:tc>
        <w:tc>
          <w:tcPr>
            <w:tcW w:w="0" w:type="dxa"/>
            <w:vAlign w:val="bottom"/>
          </w:tcPr>
          <w:p>
            <w:pPr>
              <w:spacing w:after="0"/>
              <w:rPr>
                <w:sz w:val="1"/>
                <w:szCs w:val="1"/>
                <w:color w:val="auto"/>
              </w:rPr>
            </w:pPr>
          </w:p>
        </w:tc>
      </w:tr>
      <w:tr>
        <w:trPr>
          <w:trHeight w:val="22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985 Industrial Road</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+1 212 819 8200</w:t>
            </w:r>
          </w:p>
        </w:tc>
        <w:tc>
          <w:tcPr>
            <w:tcW w:w="0" w:type="dxa"/>
            <w:vAlign w:val="bottom"/>
          </w:tcPr>
          <w:p>
            <w:pPr>
              <w:spacing w:after="0"/>
              <w:rPr>
                <w:sz w:val="1"/>
                <w:szCs w:val="1"/>
                <w:color w:val="auto"/>
              </w:rPr>
            </w:pP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San Carlos, CA 94070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whitecase.com</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-1388110</wp:posOffset>
            </wp:positionV>
            <wp:extent cx="15430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543050" cy="13716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New York counsel to Presto Automation Inc., a corporation organized under the laws of Delaware (the “Company”), in connection with the issuance and sale of 7,750,000 shares of common stock, par value $0.0001 per share (the “Shares”), by the Company. The Shares are included in a registration statement on Form S–3 under the Securities Act of 1933, as amended (the “Securities Act”), filed with the Securities and Exchange Commission (the “Commission”) on October 20, 2023 (Registration No. 333-275112) (the “Registration Statement”), and are being offered pursuant to a base prospectus dated October 30, 2023 (the “Base Prospectus”) and a prospectus supplement dated November 17, 2023 filed with the Commission pursuant to Rule 424(b) under the Securities Act (together with the Base Prospectus, the “Prospectus”). The Shares are being sold pursuant to those certain common stock purchase agreements, each dated November 17, 2023, by and between the Company and the purchasers signatory thereto (the “Purchase Agreements”).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issuance of the Shares. 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87"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Purchase Agreement;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Second Amended and Restated Certificate of Incorporation, dated September 21, 2022 (the “Certificate of Incorporation”), filed as Exhibit 3.1 to the Company’s Annual Report on Form 10-K dated October 11, 2023 (the “Company’s 2023 Annual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Bylaws, as in effect on September 21, 2022 (the “Bylaws”), filed as Exhibit 3.2 to the Company’s 2023 Annual Report;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Company’s board of directors (the “Board”) adopted on November 16, 2023;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of the Secretary of the Company, certifying as to the name, title and incumbency of officers of the Company signing the Purchase Agreements or other documents in connection therewith; and</w:t>
      </w:r>
    </w:p>
    <w:p>
      <w:pPr>
        <w:spacing w:after="0" w:line="162"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Delaware Secretary of State dated November 21, 2023 certifying the good standing of the Company under the laws of the State of Delaware.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Shares will be executed and countersigned by the transfer agent or registrar therefor and issued by the Company as contemplated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the Shares, when issued and delivered by the Company pursuant to the Purchase Agreements against the payment of the consideration set forth in the Payment Agreements, will be validly issued, fully paid and nonassessable.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pursuant to the Registration Statement and is not to be relied upon for any other purpose.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November [20], 2023 and its incorporation by reference into the Registration Statement and to the reference to our firm as counsel for the Company under the caption “Legal Matters” in the Prospectus. In giving this consent, we do not thereby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CJD/LKM/SA/JL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Common Stock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November 16, 2023, between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purchaser (including the purchaser’s successors and assigns,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desires to issue and sell to the Purchaser, and the Purchaser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is entering into common stock purchase agreements with certain other investors (the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 pursuant to which such Other Investors have agreed to purchase on the Closing Date, inclusive of the Shares, an aggregate amount of up to 8,300,000 shares of Common Stock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2"/>
          <w:szCs w:val="12"/>
          <w:u w:val="single" w:color="auto"/>
          <w:color w:val="auto"/>
        </w:rPr>
        <w:t>efinitions</w:t>
      </w:r>
      <w:r>
        <w:rPr>
          <w:rFonts w:ascii="Times New Roman" w:cs="Times New Roman" w:eastAsia="Times New Roman" w:hAnsi="Times New Roman"/>
          <w:sz w:val="18"/>
          <w:szCs w:val="18"/>
          <w:color w:val="auto"/>
          <w:highlight w:val="white"/>
        </w:rPr>
        <w:t>. In addition to the terms defined elsewhere in this Agreement: the following terms have the meanings set forth in this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1.1:</w:t>
      </w:r>
    </w:p>
    <w:p>
      <w:pPr>
        <w:spacing w:after="0" w:line="203"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Trading Day following the date hereof.</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Purchaser; (ii) shares of Common Stock issued upon the conversion or exercise of Options or Convertible Securities (other than standard options to purchase Common Stock issued pursuant to an Approved Stock Plan that are covered by clause (i) above) outstanding prior to the Closing Date, provided that the conversion price of any such Options or Convertible Securities (other than standard options to purchase Common Stock issued pursuant to an Approved Stock Plan that are covered by clause (i) above) is not lowered, none of such Options or Convertible Securities (other than standard options to purchase Common Stock issued pursuant to an Approved Stock Plan that are covered by clause (i) above) are amended to increase the number of shares issuable thereunder and none of the terms or conditions of any such Options or Convertible Securities (other than standard options to purchase Common Stock issued pursuant to an Approved Stock Plan that are covered by clause (i) above) are otherwise materially changed in any manner that adversely affects the Purchaser;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in connection with the Third Amendment and (E) warrants to 3,000,000 purchase shares of Common Stock, with an exercise price of $0.01 per share, issued to in connection with the Third Amendment.</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Company’s business, properties, financial position or operations.</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Purchase Price</w:t>
      </w:r>
      <w:r>
        <w:rPr>
          <w:rFonts w:ascii="Times New Roman" w:cs="Times New Roman" w:eastAsia="Times New Roman" w:hAnsi="Times New Roman"/>
          <w:sz w:val="18"/>
          <w:szCs w:val="18"/>
          <w:color w:val="auto"/>
        </w:rPr>
        <w:t>” equals $1.00, subject to adjustment for reverse and forward stock splits, stock dividends, stock combinations and other similar transactions of the Common Stock that occur after the date of this Agreement but on or prior to the Closing Date.</w:t>
      </w:r>
    </w:p>
    <w:p>
      <w:pPr>
        <w:spacing w:after="0" w:line="15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the Purchaser at the Closing.</w:t>
      </w:r>
    </w:p>
    <w:p>
      <w:pPr>
        <w:spacing w:after="0" w:line="15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effective registration statement with Commission File No. 333-275112 that registers the sale of the Shares to the Purchaser.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of Common Stock issued or issuable to the Purchaser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Amount</w:t>
      </w:r>
      <w:r>
        <w:rPr>
          <w:rFonts w:ascii="Times New Roman" w:cs="Times New Roman" w:eastAsia="Times New Roman" w:hAnsi="Times New Roman"/>
          <w:sz w:val="18"/>
          <w:szCs w:val="18"/>
          <w:color w:val="auto"/>
        </w:rPr>
        <w:t>” means the aggregate amount to be paid for the Shares purchased hereunder as specified on Exhibit A of this Agreement and next to the heading “Subscription Amount” in United States dollars and in immediately available funds.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Capital Market, the Nasdaq Global Market, the Nasdaq Global Select Market, the New York Stock Exchange, the NYSE American (or any successors to any of the foregoing).</w:t>
      </w:r>
    </w:p>
    <w:p>
      <w:pPr>
        <w:spacing w:after="0" w:line="171"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any other documents or agreements executed in connection with the transactions contemplated hereunder.</w:t>
      </w:r>
    </w:p>
    <w:p>
      <w:pPr>
        <w:spacing w:after="0" w:line="162" w:lineRule="exact"/>
        <w:rPr>
          <w:sz w:val="20"/>
          <w:szCs w:val="20"/>
          <w:color w:val="auto"/>
        </w:rPr>
      </w:pPr>
    </w:p>
    <w:p>
      <w:pPr>
        <w:jc w:val="both"/>
        <w:ind w:left="660" w:right="20"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 and any successor transfer agent of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substantially concurrent with the execution and delivery of this Agreement by the parties hereto, the Company agrees to sell, and the Purchaser agrees to purchase, the Shares identified in Exhibit A hereto. The Purchaser’s Subscription Amount as set forth in Exhibit A hereto shall be made available for Deposit/Withdrawal at Custodian or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settlement with the Company or its designee. The Purchaser shall deliver to the Company, via wire transfer or a certified check, immediately available funds equal to the Purchaser’s Subscription Amount as set forth in Exhibit A hereto and the Company shall deliver to the Purchaser the Shares in accordance with Exhibit A hereto, and the Company and the Purchaser shall deliver the other items set forth in Section 2.3 deliverable at the Closing. Upon satisfaction of the conditions set forth in Sections 2.3 and 2.4, the Closing shall occur at the offices of the Company, 985 Industrial Road, San Carlos, California 94070, or such other location or by electronic exchange of documents, as the parties shall mutually agree. Northland Securities, Inc., The Benchmark Company LLC and Chardan Capital Markets LLC (the “</w:t>
      </w:r>
      <w:r>
        <w:rPr>
          <w:rFonts w:ascii="Times New Roman" w:cs="Times New Roman" w:eastAsia="Times New Roman" w:hAnsi="Times New Roman"/>
          <w:sz w:val="18"/>
          <w:szCs w:val="18"/>
          <w:b w:val="1"/>
          <w:bCs w:val="1"/>
          <w:color w:val="auto"/>
        </w:rPr>
        <w:t>Advisors</w:t>
      </w:r>
      <w:r>
        <w:rPr>
          <w:rFonts w:ascii="Times New Roman" w:cs="Times New Roman" w:eastAsia="Times New Roman" w:hAnsi="Times New Roman"/>
          <w:sz w:val="18"/>
          <w:szCs w:val="18"/>
          <w:color w:val="auto"/>
        </w:rPr>
        <w:t>”) are serving as placement agents for the Purchaser and the Other Investors in this offering. The Shares are being issued directly by the Company to the Purchaser.</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Purchaser, settlement of the Shares may be made through DWAC (i.e., on the Closing Date, the Company shall issue the Shares to the Purchaser with the assistance of the Transfer Agent through the Depository Trust Company and payment therefor shall be made by the Purchaser by wire transfer to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on or after the time of execution of this Agreement by the Company and the Purchaser, through, and including the time immediately prior to the Closing (the “</w:t>
      </w:r>
      <w:r>
        <w:rPr>
          <w:rFonts w:ascii="Times New Roman" w:cs="Times New Roman" w:eastAsia="Times New Roman" w:hAnsi="Times New Roman"/>
          <w:sz w:val="18"/>
          <w:szCs w:val="18"/>
          <w:b w:val="1"/>
          <w:bCs w:val="1"/>
          <w:color w:val="auto"/>
        </w:rPr>
        <w:t>Pre-Settlement Period</w:t>
      </w:r>
      <w:r>
        <w:rPr>
          <w:rFonts w:ascii="Times New Roman" w:cs="Times New Roman" w:eastAsia="Times New Roman" w:hAnsi="Times New Roman"/>
          <w:sz w:val="18"/>
          <w:szCs w:val="18"/>
          <w:color w:val="auto"/>
        </w:rPr>
        <w:t>”), if the Purchaser sells to any Person all, or any portion, of any Common Stock to be issued hereunder to the Purchaser at the Closing (collectively, the “</w:t>
      </w:r>
      <w:r>
        <w:rPr>
          <w:rFonts w:ascii="Times New Roman" w:cs="Times New Roman" w:eastAsia="Times New Roman" w:hAnsi="Times New Roman"/>
          <w:sz w:val="18"/>
          <w:szCs w:val="18"/>
          <w:b w:val="1"/>
          <w:bCs w:val="1"/>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Subscription Amount for such Pre-Settlement Shares hereunder; provided, further, that the Company hereby acknowledges and agrees that the forgoing shall not constitute a representation or covenant by the Purchaser as to whether or not the Purchaser will elect to sell any Pre-Settlement Shares during the Pre-Settlement Period. The decision to sell any shares of Common Stock will be made in the sole discretion of the Purchaser from time to time, including during the Pre-Settlement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2"/>
          <w:szCs w:val="12"/>
          <w:u w:val="single" w:color="auto"/>
          <w:color w:val="auto"/>
        </w:rPr>
        <w:t>rospectus</w:t>
      </w:r>
      <w:r>
        <w:rPr>
          <w:rFonts w:ascii="Times New Roman" w:cs="Times New Roman" w:eastAsia="Times New Roman" w:hAnsi="Times New Roman"/>
          <w:sz w:val="18"/>
          <w:szCs w:val="18"/>
          <w:color w:val="auto"/>
        </w:rPr>
        <w:t>. The Purchaser represents to the Company that it has received (or otherwise had made available to it by the filing by the Company of an electronic version thereof with the Commission) the Prospectus contained in the Registration Statement filed by the Company with the Commission, and the Prospectus Supplement relating thereto. The Purchaser acknowledges that, prior to the delivery of this Agreement by it to the Company, the Purchaser will receive certain additional information regarding the Offering, including pricing information. Such information may be provided to the Purchaser by any means permitted under the Securities Act, including the Prospectus Supplement and oral communications.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2"/>
          <w:szCs w:val="12"/>
          <w:u w:val="single" w:color="auto"/>
          <w:color w:val="auto"/>
        </w:rPr>
        <w:t>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the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via The Depository Trust Company Deposit or Withdrawal at Custodian system Shares equal to the Purchaser’s Share Subscription Amount, designated in Exhibit A as “Share Subscription Amount,” divided by the Per Share Purchase Price for Common Stock, registered in the name of the Purchaser; and</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Purchaser; and</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Subscription Amount by wire transfer to the account specified in writing by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agreements of the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 of the items set forth in Section 2.3(b) of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Purchaser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agreements of the Company required to be performed at or prior to the Closing Date shall have been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2.3(a)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2260" w:hanging="308"/>
        <w:spacing w:after="0"/>
        <w:tabs>
          <w:tab w:leader="none" w:pos="2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from the date hereof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makes it reasonably impracticable or inadvisable to purchase the Shares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ermination</w:t>
      </w:r>
      <w:r>
        <w:rPr>
          <w:rFonts w:ascii="Times New Roman" w:cs="Times New Roman" w:eastAsia="Times New Roman" w:hAnsi="Times New Roman"/>
          <w:sz w:val="18"/>
          <w:szCs w:val="18"/>
          <w:color w:val="auto"/>
        </w:rPr>
        <w:t>. This Agreement may be terminated by the Purchaser or by the Company by written notice to the other party if the Closing has not been consummated on or before November 24, 2023; provided, however, that no such termination will affect the right of any party to sue for any breach by any other party (or parties).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2"/>
          <w:szCs w:val="12"/>
          <w:u w:val="single" w:color="auto"/>
          <w:color w:val="auto"/>
        </w:rPr>
        <w:t>ees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Shares to the Purchaser, as well as the fees and expenses of the Advisors as set forth in the Placement Agency Agreement, by and between the Company and the Advisors, dated November 16, 2023.</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ntire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mendments</w:t>
      </w:r>
      <w:r>
        <w:rPr>
          <w:rFonts w:ascii="Times New Roman" w:cs="Times New Roman" w:eastAsia="Times New Roman" w:hAnsi="Times New Roman"/>
          <w:sz w:val="18"/>
          <w:szCs w:val="18"/>
          <w:u w:val="single" w:color="auto"/>
          <w:color w:val="auto"/>
        </w:rPr>
        <w:t>; W</w:t>
      </w:r>
      <w:r>
        <w:rPr>
          <w:rFonts w:ascii="Times New Roman" w:cs="Times New Roman" w:eastAsia="Times New Roman" w:hAnsi="Times New Roman"/>
          <w:sz w:val="12"/>
          <w:szCs w:val="12"/>
          <w:u w:val="single" w:color="auto"/>
          <w:color w:val="auto"/>
        </w:rPr>
        <w:t>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2"/>
          <w:szCs w:val="12"/>
          <w:u w:val="single" w:color="auto"/>
          <w:color w:val="auto"/>
        </w:rPr>
        <w:t>uccessors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Following the Closing, the Purchaser may assign any or all of its rights under this Agreement to any Person to whom the Purchaser assigns or transfers any Shares, provided that such transferee agrees in writing to be bound, with respect to the transferred Shares, by the provisions of the Transaction Documents that apply to the Purchaser.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2"/>
          <w:szCs w:val="12"/>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hird</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2"/>
          <w:szCs w:val="12"/>
          <w:u w:val="single" w:color="auto"/>
          <w:color w:val="auto"/>
        </w:rPr>
        <w:t>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2"/>
          <w:szCs w:val="12"/>
          <w:u w:val="single" w:color="auto"/>
          <w:color w:val="auto"/>
        </w:rPr>
        <w:t>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only,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2"/>
          <w:szCs w:val="12"/>
          <w:u w:val="single" w:color="auto"/>
          <w:color w:val="auto"/>
        </w:rPr>
        <w:t>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2"/>
          <w:szCs w:val="12"/>
          <w:u w:val="single" w:color="auto"/>
          <w:color w:val="auto"/>
        </w:rPr>
        <w:t>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County of New York, New York. Each party hereby irrevocably submits to the exclusive jurisdiction of the state and federal courts sitting in the County of New York,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or that such court is an improper or inconvenient venue for such suit, action or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 suit, action or Proceeding to enforce any provisions of the Transaction Documents, then the prevailing party in such suit, action or Proceeding shall be reimbursed by the other party for its reasonable attorneys’ fees and other reasonable costs and expenses incurred with the investigation, preparation and prosecution of such suit, action or Proceeding.</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xecution</w:t>
      </w:r>
      <w:r>
        <w:rPr>
          <w:rFonts w:ascii="Times New Roman" w:cs="Times New Roman" w:eastAsia="Times New Roman" w:hAnsi="Times New Roman"/>
          <w:sz w:val="18"/>
          <w:szCs w:val="18"/>
          <w:color w:val="auto"/>
        </w:rPr>
        <w:t>. This Agreement may be executed by electronic signature and in counterparts, all of which when taken together shall be considered one and the same agreement and this Agreement shall become effective when each party has delivered its signature to the other party. In the event that any signature is delivered by electronic signature,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2"/>
          <w:szCs w:val="12"/>
          <w:u w:val="single" w:color="auto"/>
          <w:color w:val="auto"/>
        </w:rPr>
        <w:t>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would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2"/>
          <w:szCs w:val="12"/>
          <w:u w:val="single" w:color="auto"/>
          <w:color w:val="auto"/>
        </w:rPr>
        <w:t>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2"/>
          <w:szCs w:val="12"/>
          <w:u w:val="single" w:color="auto"/>
          <w:color w:val="auto"/>
        </w:rPr>
        <w:t>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2"/>
          <w:szCs w:val="12"/>
          <w:u w:val="single" w:color="auto"/>
          <w:color w:val="auto"/>
        </w:rPr>
        <w:t>urchaser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2"/>
          <w:szCs w:val="12"/>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2"/>
          <w:szCs w:val="12"/>
          <w:u w:val="single" w:color="auto"/>
          <w:color w:val="auto"/>
        </w:rPr>
        <w:t>bligations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ights</w:t>
      </w:r>
      <w:r>
        <w:rPr>
          <w:rFonts w:ascii="Times New Roman" w:cs="Times New Roman" w:eastAsia="Times New Roman" w:hAnsi="Times New Roman"/>
          <w:sz w:val="18"/>
          <w:szCs w:val="18"/>
          <w:color w:val="auto"/>
        </w:rPr>
        <w:t>. The obligations of the Purchaser under any Transaction Document are several and not joint with the obligations of any Other Investor, and Purchaser shall not be responsible in any way for the performance or non-performance of the obligations of any Other Investor under any Transaction Document. Nothing contained herein or in any other Transaction Document, and no action taken by the Purchaser pursuant hereto or thereto, shall be deemed to constitute the Purchaser and the Other Investors as a partnership, an association, a joint venture or any other kind of entity, or create a presumption that the Purchaser and Other Investors are in any way acting in concert or as a group with respect to such obligations or the transactions contemplated by the Transaction Documents. The Purchaser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Purchaser and each Other Investor has been represented by its own separate legal counsel in its review and negotiation of the Transaction Documents. It is expressly understood and agreed that each provision contained in this Agreement and in each other Transaction Document is between the Company and the Purchaser, solely, and not between the Company, the Purchaser and the Other Investors collectively and not between and among the Purchaser and the Other Investors.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2"/>
          <w:szCs w:val="12"/>
          <w:u w:val="single" w:color="auto"/>
          <w:color w:val="auto"/>
        </w:rPr>
        <w:t>iquidated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2"/>
          <w:szCs w:val="12"/>
          <w:u w:val="single" w:color="auto"/>
          <w:color w:val="auto"/>
        </w:rPr>
        <w:t>amages</w:t>
      </w:r>
      <w:r>
        <w:rPr>
          <w:rFonts w:ascii="Times New Roman" w:cs="Times New Roman" w:eastAsia="Times New Roman" w:hAnsi="Times New Roman"/>
          <w:sz w:val="18"/>
          <w:szCs w:val="18"/>
          <w:color w:val="auto"/>
        </w:rPr>
        <w:t>. The Company’s obligation to pay any amounts owing under the Transaction Documents is a continuing obligation of the Company and shall not terminate until all unpaid amounts have been paid, notwithstanding the fact that the instrument or security pursuant to which such amounts are due and payable shall have been canceled.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nti</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ilution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2"/>
          <w:szCs w:val="12"/>
          <w:u w:val="single" w:color="auto"/>
          <w:color w:val="auto"/>
        </w:rPr>
        <w:t>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2"/>
          <w:szCs w:val="12"/>
          <w:u w:val="single" w:color="auto"/>
          <w:color w:val="auto"/>
        </w:rPr>
        <w:t>ssuance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2"/>
          <w:szCs w:val="12"/>
          <w:u w:val="single" w:color="auto"/>
          <w:color w:val="auto"/>
        </w:rPr>
        <w:t>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2"/>
          <w:szCs w:val="12"/>
          <w:u w:val="single" w:color="auto"/>
          <w:color w:val="auto"/>
        </w:rPr>
        <w:t>tock</w:t>
      </w:r>
      <w:r>
        <w:rPr>
          <w:rFonts w:ascii="Times New Roman" w:cs="Times New Roman" w:eastAsia="Times New Roman" w:hAnsi="Times New Roman"/>
          <w:sz w:val="18"/>
          <w:szCs w:val="18"/>
          <w:color w:val="auto"/>
        </w:rPr>
        <w:t>. If and whenever on or after the Closing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Article IV is deemed to have issued or sold, any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issuance or sale of shares of Common Stock owned or held by or for the account of the Company, but excluding Excluded Securities) for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the Per Share Purchase Price (as adjusted for any stock split, stock dividend, recapitalization or otherwise that occurs during the Anti-Dilution Period)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Company shall issue to the Purchaser such number of additional Shares equal to (i) the product of (a) the number of Shares purchased by the Purchaser pursuant to this Agreement, multiplied by (b) the quotient of (x) the Per Share Purchase Price (as adjusted for stock splits and consolidations and related corporate events), divided by (y) the New Issuance Price, less (ii) the number of Shares originally issued to the Purchaser pursuant to this Agreement. For all purposes of the foregoing (including, without limitation, determining the number of additional Shares and the New Issuance Price under this Article IV), the following shall be applicable:</w:t>
      </w:r>
    </w:p>
    <w:p>
      <w:pPr>
        <w:spacing w:after="0" w:line="189" w:lineRule="exact"/>
        <w:rPr>
          <w:sz w:val="20"/>
          <w:szCs w:val="20"/>
          <w:color w:val="auto"/>
        </w:rPr>
      </w:pPr>
    </w:p>
    <w:p>
      <w:pPr>
        <w:jc w:val="both"/>
        <w:ind w:firstLine="1304"/>
        <w:spacing w:after="0" w:line="25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rights, warrants or options to subscribe for or purchase shares of Common Stock or Convertible Securities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and the lowest price per share for which one share of Common Stock is at any time issuable upon the exercise of any such Option or upon conversion, exercise or exchange of any stock or securities (other than Options) directly or indirectly convertible into or exercisable or exchangeable for shares of Common Stock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issuable upon exercise of any such Option or otherwise pursuant to the terms thereof is less than the Per Share Purchase Price (such lowest price to be deemed the “New Issuance Price” for purposes of this Section 4.1), then such share of Common Stock shall be deemed to be outstanding and to have been issued and sold by the Company at the time of the granting or sale of such Option for such price per share. For purposes of this Section 4.1(a),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additional Shares shall be issued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Per Share Purchase Price (such lowest price to be deemed the “New Issuance Price” for purposes of this Section 4.1), then such share of Common Stock shall be deemed to be outstanding and to have been issued and sold by the Company at the time of the issuance or sale of such Convertible Securities for such price per share. For the purposes of this Section 4.1(b), the “lowest price per share for which one share of Common Stock is at any time issuable upon the conversion, exercise or exchange thereof or otherwise pursuant to the terms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additional Shares shall be issued upon the actual issuance of such shares of Common Stock upon conversion, exercise or exchange of such Convertible Securities or otherwise pursuant to the terms thereof, and if any such issuance or sale of such Convertible Securities is made upon exercise of any Options for which issuance of additional Shares has been or is to be made pursuant to other provisions of this Section 4.1, except as contemplated below, no additional Shares shall be issued by reason of such issuance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1304"/>
        <w:spacing w:after="0" w:line="251"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any right granted with respect to any securities issued in connection with, or with respect to, any issuance or sale (or deemed issuance or sale in accordance with Section 4.1) of shares of Common Stock that could result in a decrease in the net consideration received by the Company in connection with, or with respect to, such securities (including, without limitation, any cash settlement rights, cash adjustment or other similar rights) (an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is issued in connection with the issuance or sale or deemed issuance or sale of any other securities of the Company (as determined by the Purchaser,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4.1(a), (b) or (c) above and (z) the quotient of (I) the sum of the three lowest VWAPs of the Common Stock during the five Trading Day period immediately following the public announcement of such Dilutive Issuance, divided by (II) three (for the avoidance of doubt, if such public announcement is released prior to the opening of the Trading Market on a Trading Day, such Trading Day shall be the first Trading Day in such five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Purchaser. If such parties are unable to reach agreement within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Trading Days after the 10th day following such Valuation Event by an independent, reputable appraiser jointly selected by the Company and the Purchaser. The determination of such appraiser shall be final and binding upon all parties absent manifest error and the fees and expenses of such appraiser shall be borne by the Company.</w:t>
      </w:r>
    </w:p>
    <w:p>
      <w:pPr>
        <w:spacing w:after="0" w:line="20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Notwithstanding anything to the contrary contained herein, the Purchaser and the Company agree that the total number of shares of Common Stock issued in connection with the Transaction may not exceed the requirements of Nasdaq Listing Rule 5635(d) (“</w:t>
      </w:r>
      <w:r>
        <w:rPr>
          <w:rFonts w:ascii="Times New Roman" w:cs="Times New Roman" w:eastAsia="Times New Roman" w:hAnsi="Times New Roman"/>
          <w:sz w:val="18"/>
          <w:szCs w:val="18"/>
          <w:b w:val="1"/>
          <w:bCs w:val="1"/>
          <w:color w:val="auto"/>
        </w:rPr>
        <w:t>Nasdaq 19.99%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 reaches the Nasdaq 19.99% Cap, so as not to violate the 20% limit established in Listing Rule 5635(d), the Company shall as soon as reasonably practicable take all action necessary to obtain stockholder approval of the issuance of additional shares of Common Stock issuable pursuant to the terms of this Agreement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issuances of Common Stock pursuant to Section 4.1 hereof shall be made to the Purchaser as nearly as possible on a pro rata basis based on the total amount of shares of Common Stock issued or issuable to such party.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Common Stock Purchase Agreement to be duly executed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signatories as of the date first indicated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resto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utomation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Xavier Casanova</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 for Notice: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Colin Diamond; Laura Katherine 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cdiamond@whitecase.com; laurakatherine.mann@whitecase.com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6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caused this Common Stock Purchase Agreement to be duly executed by an authorized signatory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indicated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634365</wp:posOffset>
            </wp:positionV>
            <wp:extent cx="37719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771900" cy="171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325755</wp:posOffset>
            </wp:positionV>
            <wp:extent cx="37719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771900" cy="171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7719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0140" w:val="left"/>
        </w:tabs>
        <w:rPr>
          <w:sz w:val="20"/>
          <w:szCs w:val="20"/>
          <w:color w:val="auto"/>
        </w:rPr>
      </w:pPr>
      <w:r>
        <w:rPr>
          <w:rFonts w:ascii="Times New Roman" w:cs="Times New Roman" w:eastAsia="Times New Roman" w:hAnsi="Times New Roman"/>
          <w:sz w:val="18"/>
          <w:szCs w:val="18"/>
          <w:color w:val="auto"/>
        </w:rPr>
        <w:t>Common Stock Purchase Agreement</w:t>
      </w:r>
      <w:r>
        <w:rPr>
          <w:sz w:val="20"/>
          <w:szCs w:val="20"/>
          <w:color w:val="auto"/>
        </w:rPr>
        <w:tab/>
      </w:r>
      <w:r>
        <w:rPr>
          <w:rFonts w:ascii="Times New Roman" w:cs="Times New Roman" w:eastAsia="Times New Roman" w:hAnsi="Times New Roman"/>
          <w:sz w:val="17"/>
          <w:szCs w:val="17"/>
          <w:color w:val="auto"/>
        </w:rPr>
        <w:t>Signature Page</w:t>
      </w:r>
    </w:p>
    <w:p>
      <w:pPr>
        <w:sectPr>
          <w:pgSz w:w="11900" w:h="16838" w:orient="portrait"/>
          <w:cols w:equalWidth="0" w:num="1">
            <w:col w:w="11240"/>
          </w:cols>
          <w:pgMar w:left="320" w:top="90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4900" w:type="dxa"/>
            <w:vAlign w:val="bottom"/>
            <w:gridSpan w:val="5"/>
          </w:tcPr>
          <w:p>
            <w:pPr>
              <w:jc w:val="right"/>
              <w:ind w:right="2636"/>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0"/>
        </w:trPr>
        <w:tc>
          <w:tcPr>
            <w:tcW w:w="3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Subscription Amount</w:t>
            </w: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$[__]</w:t>
            </w:r>
          </w:p>
        </w:tc>
        <w:tc>
          <w:tcPr>
            <w:tcW w:w="1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55"/>
        </w:trPr>
        <w:tc>
          <w:tcPr>
            <w:tcW w:w="3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r>
      <w:tr>
        <w:trPr>
          <w:trHeight w:val="234"/>
        </w:trPr>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Purchase Agreement</w:t>
            </w:r>
          </w:p>
        </w:tc>
        <w:tc>
          <w:tcPr>
            <w:tcW w:w="1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7"/>
              </w:rPr>
              <w:t>Signature Page</w:t>
            </w:r>
          </w:p>
        </w:tc>
        <w:tc>
          <w:tcPr>
            <w:tcW w:w="2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Agency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Placement Agents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herein (this “Agreement”), Presto Automation Inc., a Delaware corporation (the “Company”), hereby agrees to sell an aggregate of up to 8,300,000 shares (the “Shares”) of the Company’s common stock, $0.0001 par value (the “Common Stock”) directly to various investors (each, an “Investor” and collectively, the “Investors”) through the several placement agents listed in Schedule 1 hereto (the “Placement Agents”), for whom you are acting as representative (the “Representative”). The documents executed and delivered by the Company and the Investors in connection with the Offering (as defined below), including, without limitation, common stock purchase agreements (each, a “Purchase Agreement”), shall be collectively referred to herein as the “Transaction Documents.” The purchase price to the Investors for each Share is $1.00, unless otherwise set forth in a Purchase Agreement. The Placement Agents may retain other brokers or dealers to act as sub-agents or selected dealers on their behalf in connection with the Offering.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Placement Agents as follows:</w:t>
      </w:r>
    </w:p>
    <w:p>
      <w:pPr>
        <w:spacing w:after="0" w:line="225" w:lineRule="exact"/>
        <w:rPr>
          <w:sz w:val="20"/>
          <w:szCs w:val="20"/>
          <w:color w:val="auto"/>
        </w:rPr>
      </w:pPr>
    </w:p>
    <w:p>
      <w:pPr>
        <w:jc w:val="both"/>
        <w:ind w:firstLine="656"/>
        <w:spacing w:after="0" w:line="252" w:lineRule="auto"/>
        <w:tabs>
          <w:tab w:leader="none" w:pos="8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333-275112),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At or prior to the Applicable Time (as defined below), the Company has prepared the following information (collectively with the pricing information set forth on Annex A, the “Pricing Disclosure Package”): the Preliminary Prospectus, all Purchase Agreements and any issuer free writing prospectus as defined in Rule 433 of the Act, if any, that the parties thereto shall hereafter expressly agree in writing to treat as part of the Pricing Disclosure Package.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“Applicable Time” means 8:00 A.M., New York City time, on November 17, 2023.</w:t>
      </w:r>
    </w:p>
    <w:p>
      <w:pPr>
        <w:spacing w:after="0" w:line="225"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Act as Placement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Agents (together with any sub-agents) shall be the exclusive placement agents in connection with the offering and sale by the Company of the Shares pursuant to the Registration Statement, with the terms of such offering (the “Offering”) to be subject to market conditions and negotiations between the Company and the prospective Investors. The Company agrees and acknowledges that there is no guarantee of the successful placement of the Shares, or any portion thereof, in the prospective Offering. Under no circumstances will the Placement Agents or any of their “Affiliates” (as defined below) be obligated to underwrite or purchase any of the Shares for their own account or otherwise provide any financing. The Company acknowledges and agrees that the Representative and the other Placement Agents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 nor any other Placement Agent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 nor the other Placement Agents shall have any responsibility or liability to the Company with respect thereto. Any review by the Representative and the other Placement Agents of the Company, the transactions contemplated hereby or other matters relating to such transactions will be performed solely for the benefit of the Placement Agents and shall not be on behalf of the Company. The Placement Agents shall have no authority to bind the Company with respect to any prospective offer to purchase Shares and the Company shall have the sole right to accept offers to purchase Shares and may reject any such offer, in whole or in part. Subject to the terms and conditions hereof, payment of the purchase price for, and delivery of, the Shares shall be made at one or more closings (each a “Closing” and the date on which each Closing occurs a “Closing Date”). The Company acknowledges and agrees that the Placement Agents may offer and sell Shares to or through any affiliate of a Placement Agent. As compensation for services rendered, on each Closing Date, the Company shall pay to the Placement Agents the fees and expenses set forth below:</w:t>
      </w:r>
    </w:p>
    <w:p>
      <w:pPr>
        <w:spacing w:after="0" w:line="18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 cash fee (the “Cash Fee”) equal to 7% of the gross proceeds received by the Company from the sale of the Shares at each Closing with the percentage of such fees to be paid to each Placement Agent set forth on Schedule 1.</w:t>
      </w:r>
    </w:p>
    <w:p>
      <w:pPr>
        <w:spacing w:after="0" w:line="162" w:lineRule="exact"/>
        <w:rPr>
          <w:sz w:val="20"/>
          <w:szCs w:val="20"/>
          <w:color w:val="auto"/>
        </w:rPr>
      </w:pPr>
    </w:p>
    <w:p>
      <w:pPr>
        <w:jc w:val="both"/>
        <w:ind w:firstLine="656"/>
        <w:spacing w:after="0" w:line="253" w:lineRule="auto"/>
        <w:tabs>
          <w:tab w:leader="none" w:pos="9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of the Placement Agents’ exclusive engagement will be until the completion of the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party hereto may terminate the engagement with respect to itself at any time upon 10 days written notice to the other parties.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2, will survive any expiration or termination of this Agreement. Nothing in this Agreement shall be construed to limit the ability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Closing shall occur at the offices of Faegre Drinker Biddle &amp; Reath LLP, at 2200 Wells Fargo Center 90 S. Seventh Street, Minneapolis, Minnesota 55402 (“Placement Agents’ Counsel”) at 10:00 A.M. New York City time on November 21, 2023 (or at such other time or place on the same or such other date, not later than the fifth business day thereafter, as shall be agreed upon by the Representative and the Company). Subject to the terms and conditions hereof, at each Closing payment of the purchase price for the Shares sold on such Closing Date shall be made by the Investors directly to the Company as set forth in the Purchase Agreements, against delivery of the securities described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656"/>
        <w:spacing w:after="0" w:line="282" w:lineRule="auto"/>
        <w:tabs>
          <w:tab w:leader="none" w:pos="9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Deliveries of the documents with respect to the purchase of the Shares, if any, shall be made at the offices of Placement Agents’ Counsel. All actions taken at a Closing shall be deemed to have occurred simultaneously.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Placement Agent that:</w:t>
      </w:r>
    </w:p>
    <w:p>
      <w:pPr>
        <w:spacing w:after="0" w:line="223" w:lineRule="exact"/>
        <w:rPr>
          <w:sz w:val="20"/>
          <w:szCs w:val="20"/>
          <w:color w:val="auto"/>
        </w:rPr>
      </w:pPr>
    </w:p>
    <w:p>
      <w:pPr>
        <w:jc w:val="both"/>
        <w:ind w:firstLine="656"/>
        <w:spacing w:after="0" w:line="252" w:lineRule="auto"/>
        <w:tabs>
          <w:tab w:leader="none" w:pos="923"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Registration Requirements</w:t>
      </w:r>
      <w:r>
        <w:rPr>
          <w:rFonts w:ascii="Times New Roman" w:cs="Times New Roman" w:eastAsia="Times New Roman" w:hAnsi="Times New Roman"/>
          <w:sz w:val="18"/>
          <w:szCs w:val="18"/>
          <w:color w:val="auto"/>
        </w:rPr>
        <w:t>. The Registration Statement has become effective under the Securities Act.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related to the Registration Statement. No stop order suspending the effectiveness of the Registration Statement is in effect and no proceedings for such purpose or pursuant to Section 8A of the Securities Act against the Company or related to the offering of the Shares have been instituted or are pending or, to the best knowledge of the Company, are contemplated or threatened by the Commission. At the time the Company’s Annual Report on Form 10-K for the year ended June 30, 2023 (the “Annual Report”)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Financial Industry Regulatory Authority, Inc. (“FINRA”) Conduct Rule 5110(h)(1)(C). The documents incorporated or deemed to be incorporated by reference in the Registration Statement, the Pricing Disclosure Package and the Prospectus, at the time they were or hereafter are filed with the Commission, or became effective under the Exchange Act, as the case may be, complied and will comply in all material respects with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903"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Each Preliminary Prospectus and the Prospectus when filed complied in all material respects with the Securities Act and, if filed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transmission pursuant to the Commission’s Electronic Data Gathering Analysis and Retrieval system (“EDGAR”), was identical (except as may be permitted by Regulation S-T under the Securities Act) to the copy thereof delivered to the Placement Agents for use in connection with the placement of the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Pricing Disclosure Package (including any preliminary prospectus wrapper) did not, and at each Closing Date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each Closing Date will not, contain any untrue statement of a material fact or omit to state a material fact necessary in order to make the statements therein, in the light of the circumstances under which they were made, not misleading. There are no contracts or other documents required to be described in the Pricing Disclosure Package or the Prospectus or to be filed as an exhibit to the Registration Statement which have not been described or filed as required.</w:t>
      </w:r>
    </w:p>
    <w:p>
      <w:pPr>
        <w:spacing w:after="0" w:line="189"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903"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Free Writing Prospectuses; Road Show</w:t>
      </w:r>
      <w:r>
        <w:rPr>
          <w:rFonts w:ascii="Times New Roman" w:cs="Times New Roman" w:eastAsia="Times New Roman" w:hAnsi="Times New Roman"/>
          <w:sz w:val="18"/>
          <w:szCs w:val="18"/>
          <w:color w:val="auto"/>
        </w:rPr>
        <w:t>. As of the determination date referenced in Rule 164(h) under the Securities Act, the Company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“ineligible issuer” in connection with the offering of the Shares pursuant to Rules 164, 405 and 433 under the Securities Act. The Company shall not prepare, use, file or refer to any free writing prospectuses. If at any time when a prospectus is required by the Securities Act to be delivered (whether physically or through compliance with Rule 172 under the Securities Act or any similar rule) in connection with the placement of Shares contemplated under this Agreement (but in any event if at any time through and including each Closing Date) there occurred or occurs an event or development as a result the Preliminary Prospectus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the Preliminary Prospectus to eliminate or correct such conflict or so that the statements in the Preliminary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however, that prior to amending or supplementing the Preliminary Prospectus, the Company shall furnish to the Representative for review, a reasonable amount of time prior to the proposed time of filing or use thereof, a copy of such proposed amended or supplemented Preliminary Prospectus, and the Company shall not file, use or refer to such amended or supplemented Preliminary Prospectus without the Representative’s prior written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55" w:lineRule="auto"/>
        <w:tabs>
          <w:tab w:leader="none" w:pos="907"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Distribution of Offering Material By the Company</w:t>
      </w:r>
      <w:r>
        <w:rPr>
          <w:rFonts w:ascii="Times New Roman" w:cs="Times New Roman" w:eastAsia="Times New Roman" w:hAnsi="Times New Roman"/>
          <w:sz w:val="18"/>
          <w:szCs w:val="18"/>
          <w:color w:val="auto"/>
        </w:rPr>
        <w:t>. Neither the Company nor any of its directors and officers has distributed and none of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distribute, prior to each Closing Date, any offering material in connection with the offering and sale of the Shares other than the Registration Statement, the Pricing Disclosure Package or the Prospectus and any oral or written communication with potential investors undertaken in reliance on either Section 5(d) of, or Rule 163B under, the Securities Act (each, a “Testing-the-Waters Communication” and, if a written communication, a “Written Testing-the-Waters Communication”). The Company has not distributed or approved for distribution any Written Testing-the-Waters Communications other than those listed on Annex B hereto. Each Written Testing-the-Waters Communication,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w:t>
      </w:r>
    </w:p>
    <w:p>
      <w:pPr>
        <w:spacing w:after="0" w:line="184" w:lineRule="exact"/>
        <w:rPr>
          <w:rFonts w:ascii="Times New Roman" w:cs="Times New Roman" w:eastAsia="Times New Roman" w:hAnsi="Times New Roman"/>
          <w:sz w:val="18"/>
          <w:szCs w:val="18"/>
          <w:i w:val="1"/>
          <w:iCs w:val="1"/>
          <w:color w:val="auto"/>
        </w:rPr>
      </w:pPr>
    </w:p>
    <w:p>
      <w:pPr>
        <w:ind w:left="900" w:hanging="244"/>
        <w:spacing w:after="0"/>
        <w:tabs>
          <w:tab w:leader="none" w:pos="900"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Placement Agency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870"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Authorization of the Shares</w:t>
      </w:r>
      <w:r>
        <w:rPr>
          <w:rFonts w:ascii="Times New Roman" w:cs="Times New Roman" w:eastAsia="Times New Roman" w:hAnsi="Times New Roman"/>
          <w:sz w:val="18"/>
          <w:szCs w:val="18"/>
          <w:color w:val="auto"/>
        </w:rPr>
        <w:t>. (i) The Shares have been duly authorized for issuance and sale pursuant to the Transaction Documents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delivered by the Company against payment therefor pursuant to the applicable Transaction Documents, will be validly issued, fully paid and nonassessable; and (ii) and the issuance and sale of the Shares is not subject to any preemptive rights, rights of first refusal or other similar rights to subscribe for or purchase the Shares.</w:t>
      </w:r>
    </w:p>
    <w:p>
      <w:pPr>
        <w:spacing w:after="0" w:line="179"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912"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 and each of the other Transaction Documents, except for such rights as have been duly waived.</w:t>
      </w:r>
    </w:p>
    <w:p>
      <w:pPr>
        <w:spacing w:after="0" w:line="173"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903"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Except as otherwise disclosed in the Registration Statement, the Pricing Disclosure Package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the respective dates as of which information is given in the Registration Statement, the Pricing Disclosure Package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“Material Adverse Change”);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w:t>
      </w:r>
    </w:p>
    <w:p>
      <w:pPr>
        <w:jc w:val="both"/>
        <w:ind w:firstLine="8"/>
        <w:spacing w:after="0" w:line="253"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6" w:lineRule="exact"/>
        <w:rPr>
          <w:rFonts w:ascii="Times New Roman" w:cs="Times New Roman" w:eastAsia="Times New Roman" w:hAnsi="Times New Roman"/>
          <w:sz w:val="18"/>
          <w:szCs w:val="18"/>
          <w:color w:val="auto"/>
        </w:rPr>
      </w:pPr>
    </w:p>
    <w:p>
      <w:pPr>
        <w:jc w:val="both"/>
        <w:ind w:firstLine="656"/>
        <w:spacing w:after="0" w:line="257" w:lineRule="auto"/>
        <w:tabs>
          <w:tab w:leader="none" w:pos="870"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Moss Adams LLP, which has expressed its opinion with respect to the financial statements (which term as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includes the related notes thereto) filed with the Commission as a part of the Registration Statement, the Pricing Disclosure Package and the Prospectus, is (i) an independent registered public accounting firm as required by the Securities Act, the Exchange Act, and the rules of the Public Company Accounting Oversight Board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656"/>
        <w:spacing w:after="0" w:line="253" w:lineRule="auto"/>
        <w:tabs>
          <w:tab w:leader="none" w:pos="89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(“GAAP”), applied on a consistent basis throughout the periods involved, except as may be expressly stated in the related notes thereto. All disclosures contained in the Registration Statement, any preliminary prospectus or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Pricing Disclosure Package and the Prospectus.</w:t>
      </w:r>
    </w:p>
    <w:p>
      <w:pPr>
        <w:spacing w:after="0" w:line="191" w:lineRule="exact"/>
        <w:rPr>
          <w:rFonts w:ascii="Times New Roman" w:cs="Times New Roman" w:eastAsia="Times New Roman" w:hAnsi="Times New Roman"/>
          <w:sz w:val="18"/>
          <w:szCs w:val="18"/>
          <w:i w:val="1"/>
          <w:iCs w:val="1"/>
          <w:color w:val="auto"/>
        </w:rPr>
      </w:pPr>
    </w:p>
    <w:p>
      <w:pPr>
        <w:jc w:val="both"/>
        <w:ind w:firstLine="656"/>
        <w:spacing w:after="0" w:line="255" w:lineRule="auto"/>
        <w:tabs>
          <w:tab w:leader="none" w:pos="893"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and maintain a system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spacing w:after="0" w:line="184"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884"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Except as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described in the Registration Statement, the Pricing Disclosure Package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i w:val="1"/>
          <w:iCs w:val="1"/>
          <w:color w:val="auto"/>
        </w:rPr>
      </w:pPr>
    </w:p>
    <w:p>
      <w:pPr>
        <w:jc w:val="both"/>
        <w:ind w:firstLine="656"/>
        <w:spacing w:after="0" w:line="256" w:lineRule="auto"/>
        <w:tabs>
          <w:tab w:leader="none" w:pos="949"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corporation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State of Delaware and has the corporate power and authority to own, lease and operate its properties and to conduct its business as described in the Registration Statement, the Pricing Disclosure Package and the Prospectus and to enter into and perform its obligations under this Agreement and each of the other Transaction Documents.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as the case may be, or to have such power or authority would not, individually or in the aggregate, have a Material Adverse Effect (defined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56"/>
        <w:spacing w:after="0" w:line="253" w:lineRule="auto"/>
        <w:tabs>
          <w:tab w:leader="none" w:pos="903"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Securities Act)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incorporated or organized, as the case may be, and is validly existing and in good standing (where such concept is recognized) under the laws of the jurisdiction of its incorporation or organization and has the power and authority (corporate or other) to own, lease and operate its properties and to conduct its business as described in the Registration Statement, the Pricing Disclosure Package and the Prospectus. Each of the Company’s subsidiaries is duly qualified to transact business and is in good standing (where such concept is recognized) in each jurisdiction in which such qualification is required, whether by reason of the ownership or leasing of property or the conduct of business, except where the failure to be so qualified or in good standing, as the case may be, or have such power or authority would not, individually or in the aggregate,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Exhibit 21.1 to the Annual Report.</w:t>
      </w:r>
    </w:p>
    <w:p>
      <w:pPr>
        <w:spacing w:after="0" w:line="191"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919"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(other than for subsequent issuances, if any, pursuant to employee benefit plans, or upon the exercise of outstanding options or warrants, in each case described in the Registration Statement, the Pricing Disclosure Package and the Prospectus). The Shares, when issued pursuant to the terms of the Transaction Documents will conform, in all material respects, to the description thereof contained in the Pricing Disclosure Package. All of the issued and outstanding shares of Common Stock have been duly authorized and validly issued, are fully paid and nonassessable and have been issued in compliance with all applicable federal and state securities laws. None of the outstanding shares of Common Stock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Pricing Disclosure Package and the Prospectus. The descriptions of the Company’s stock option, stock bonus and other stock plans or arrangements (each, a “Company Stock Plan”), and the options or other rights granted thereunder, set forth in the Registration Statement, the Pricing Disclosure Package and the Prospectus accurately and fairly presents, in all material respects, the information required to be shown with respect to such plans, arrangements, options and rights.</w:t>
      </w:r>
    </w:p>
    <w:p>
      <w:pPr>
        <w:spacing w:after="0" w:line="187" w:lineRule="exact"/>
        <w:rPr>
          <w:rFonts w:ascii="Times New Roman" w:cs="Times New Roman" w:eastAsia="Times New Roman" w:hAnsi="Times New Roman"/>
          <w:sz w:val="18"/>
          <w:szCs w:val="18"/>
          <w:i w:val="1"/>
          <w:iCs w:val="1"/>
          <w:color w:val="auto"/>
        </w:rPr>
      </w:pPr>
    </w:p>
    <w:p>
      <w:pPr>
        <w:jc w:val="both"/>
        <w:ind w:firstLine="656"/>
        <w:spacing w:after="0" w:line="258" w:lineRule="auto"/>
        <w:tabs>
          <w:tab w:leader="none" w:pos="907"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Common Stock is registered pursuant to Section 12(b) or 12(g) of the Exchange Act and is listed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Market (the “Nasdaq”), and the Company has taken no action designed to, or likely to have the effect of, terminating the registration of the Common Stock under the Exchange Act or delisting the Common Stock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183" w:lineRule="exact"/>
        <w:rPr>
          <w:rFonts w:ascii="Times New Roman" w:cs="Times New Roman" w:eastAsia="Times New Roman" w:hAnsi="Times New Roman"/>
          <w:sz w:val="18"/>
          <w:szCs w:val="18"/>
          <w:i w:val="1"/>
          <w:iCs w:val="1"/>
          <w:color w:val="auto"/>
        </w:rPr>
      </w:pPr>
    </w:p>
    <w:p>
      <w:pPr>
        <w:jc w:val="both"/>
        <w:ind w:firstLine="656"/>
        <w:spacing w:after="0" w:line="251" w:lineRule="auto"/>
        <w:tabs>
          <w:tab w:leader="none" w:pos="95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is in violation of its charter or by-laws, partnership agreement or operating agreement or similar organizational documents, as applicable, or is in default (or, with the giving of notice or lapse of time, would be in default) (“Default”)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“Existing Instrument”), except for such Defaults as could not be expected, individually or in the aggregate, to have a material adverse effect on the condition (financial or other), earnings, business, properties, operations, assets, liabilities or prospects of the Company and its subsidiaries, considered as one entity (a “Material Adverse Effect”). The Company’s execution, delivery and performance of this Agreement and the other Transaction Documents to which it is a party, consummation of the transactions contemplated hereby and thereby and by the Registration Statement, the Pricing Disclosure Package and the Prospectus and the issuance and sale of the Shares (including the use of proceeds from the sale of the Shares as described in the Registration Statement, the Pricing Disclosure Package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or any of its subsidiaries, except for such violations as would not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the other Transaction Documents to which it is a party and the consummation of the transactions contemplated hereby and thereby and by the Registration Statement, the Pricing Disclosure Package and the Prospectus, except such as have been obtained or made or will be made by the Company under the Securities Act and such as may be required under applicable state securities or blue sky laws or FINRA. As used herein, a “Debt Repayment Triggering Event”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left="-20" w:firstLine="656"/>
        <w:spacing w:after="0" w:line="267" w:lineRule="auto"/>
        <w:tabs>
          <w:tab w:leader="none" w:pos="87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Compliance with Laws. </w:t>
      </w:r>
      <w:r>
        <w:rPr>
          <w:rFonts w:ascii="Times New Roman" w:cs="Times New Roman" w:eastAsia="Times New Roman" w:hAnsi="Times New Roman"/>
          <w:sz w:val="18"/>
          <w:szCs w:val="18"/>
          <w:color w:val="auto"/>
        </w:rPr>
        <w:t>Except as described in the Registration Statement, the Pricing Disclosure Package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have been and are in compliance with all applicable laws, rules and regulations, except where failure to be so in compliance could not be expected, individually or in the aggregate, to have a Material Adverse Effect.</w:t>
      </w:r>
    </w:p>
    <w:p>
      <w:pPr>
        <w:spacing w:after="0" w:line="173" w:lineRule="exact"/>
        <w:rPr>
          <w:rFonts w:ascii="Times New Roman" w:cs="Times New Roman" w:eastAsia="Times New Roman" w:hAnsi="Times New Roman"/>
          <w:sz w:val="18"/>
          <w:szCs w:val="18"/>
          <w:i w:val="1"/>
          <w:iCs w:val="1"/>
          <w:color w:val="auto"/>
        </w:rPr>
      </w:pPr>
    </w:p>
    <w:p>
      <w:pPr>
        <w:jc w:val="both"/>
        <w:ind w:left="-20" w:firstLine="656"/>
        <w:spacing w:after="0" w:line="254" w:lineRule="auto"/>
        <w:tabs>
          <w:tab w:leader="none" w:pos="87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Material Actions or Proceedings</w:t>
      </w:r>
      <w:r>
        <w:rPr>
          <w:rFonts w:ascii="Times New Roman" w:cs="Times New Roman" w:eastAsia="Times New Roman" w:hAnsi="Times New Roman"/>
          <w:sz w:val="18"/>
          <w:szCs w:val="18"/>
          <w:color w:val="auto"/>
        </w:rPr>
        <w:t>. Except as described in the Registration Statement, the Pricing Disclosure Package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no action, suit, proceeding, inquiry or investigation brought by or before any governmental entity now pending or, to the knowledge of the Company, threatened, against or affecting the Company or any of its subsidiaries, which if determined adversely to the Company or any of its subsidiaries would reasonably be expected, individually or in the aggregate, to have a Material Adverse Effect or materially and adversely affect the consummation of the transactions contemplated by this Agreement and each of the Transaction Documents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individually or in the aggregate, to have a Material Adverse Effect. No material labor dispute with the employees of the Company or any of its subsidiaries exists or, to the knowledge of the Company, is threatened or imminent. To the knowledge of the Company, no material labor dispute with the employees of any principal supplier, manufacturer, customer or contractor of the Company, exists, or is threatened or imminent.</w:t>
      </w:r>
    </w:p>
    <w:p>
      <w:pPr>
        <w:spacing w:after="0" w:line="185" w:lineRule="exact"/>
        <w:rPr>
          <w:rFonts w:ascii="Times New Roman" w:cs="Times New Roman" w:eastAsia="Times New Roman" w:hAnsi="Times New Roman"/>
          <w:sz w:val="18"/>
          <w:szCs w:val="18"/>
          <w:i w:val="1"/>
          <w:iCs w:val="1"/>
          <w:color w:val="auto"/>
        </w:rPr>
      </w:pPr>
    </w:p>
    <w:p>
      <w:pPr>
        <w:jc w:val="both"/>
        <w:ind w:left="-20" w:firstLine="656"/>
        <w:spacing w:after="0" w:line="254" w:lineRule="auto"/>
        <w:tabs>
          <w:tab w:leader="none" w:pos="843"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To the knowledge of the Company, and except as would not reasonably be expected to have a Material Adverse Effect,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(ii) the Company’s and its subsidiaries’ conduct of their respective businesses does not infringe, misappropriate or otherwise violate any Intellectual Property of any person; (iii) since the date of the Company’s last audited financial statements, the Company and its subsidiaries have not received any written notice of any claim relating to the infringement, misappropriation or violation of any third party’s Intellectual Property; and (iv) the Intellectual Property of the Company and its subsidiaries is not being infringed, misappropriated or otherwise violated by any person.</w:t>
      </w:r>
    </w:p>
    <w:p>
      <w:pPr>
        <w:spacing w:after="0" w:line="188" w:lineRule="exact"/>
        <w:rPr>
          <w:rFonts w:ascii="Times New Roman" w:cs="Times New Roman" w:eastAsia="Times New Roman" w:hAnsi="Times New Roman"/>
          <w:sz w:val="18"/>
          <w:szCs w:val="18"/>
          <w:i w:val="1"/>
          <w:iCs w:val="1"/>
          <w:color w:val="auto"/>
        </w:rPr>
      </w:pPr>
    </w:p>
    <w:p>
      <w:pPr>
        <w:jc w:val="both"/>
        <w:ind w:left="-20" w:firstLine="656"/>
        <w:spacing w:after="0" w:line="256" w:lineRule="auto"/>
        <w:tabs>
          <w:tab w:leader="none" w:pos="88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Necessary Permits, etc</w:t>
      </w:r>
      <w:r>
        <w:rPr>
          <w:rFonts w:ascii="Times New Roman" w:cs="Times New Roman" w:eastAsia="Times New Roman" w:hAnsi="Times New Roman"/>
          <w:sz w:val="18"/>
          <w:szCs w:val="18"/>
          <w:color w:val="auto"/>
        </w:rPr>
        <w:t>. The Company and its subsidiaries possess such valid and current certificates, authorizations or permits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federal or foreign regulatory agencies or bodies to conduct their respective businesses as currently conducted and as described in the Registration Statement, the Pricing Disclosure Package or the Prospectus (“Permits”), except where the failure to possess the same or so qualify would not reasonably be expected, individually or in the aggregate, to have a Material Adverse Effect. Neither the Company nor any of its subsidiaries is in violation of, or in default under, any of the Permits or has received any notice of proceedings relating to the revocation or modification of, or non-compliance with the Permits, except for such violations, defaults or proceedings if resolved unfavorably, would not reasonably be expected, individually or in the aggregate, to result in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28" w:name="page29"/>
    <w:bookmarkEnd w:id="28"/>
    <w:p>
      <w:pPr>
        <w:jc w:val="both"/>
        <w:ind w:left="-20" w:firstLine="656"/>
        <w:spacing w:after="0" w:line="255" w:lineRule="auto"/>
        <w:tabs>
          <w:tab w:leader="none" w:pos="877"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Title to Properties</w:t>
      </w:r>
      <w:r>
        <w:rPr>
          <w:rFonts w:ascii="Times New Roman" w:cs="Times New Roman" w:eastAsia="Times New Roman" w:hAnsi="Times New Roman"/>
          <w:sz w:val="18"/>
          <w:szCs w:val="18"/>
          <w:color w:val="auto"/>
        </w:rPr>
        <w:t>. Except as disclosed in the Registration Statement, the Pricing Disclosure Package and the Prospectus,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have good and marketable title to all of the real and personal property and other assets reflected as owned in the financial statements referred to in Section 1(j) above (or elsewhere in the Registration Statement, the Pricing Disclosure Package or the Prospectus), in each case free and clear of any security interests, mortgages, liens, encumbrances, equities, adverse claims and other defects, except such as do not materially and adversely affect the value of such property and do not materially interfere with the use made or proposed to be made of such property by the Company.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4" w:lineRule="exact"/>
        <w:rPr>
          <w:rFonts w:ascii="Times New Roman" w:cs="Times New Roman" w:eastAsia="Times New Roman" w:hAnsi="Times New Roman"/>
          <w:sz w:val="18"/>
          <w:szCs w:val="18"/>
          <w:i w:val="1"/>
          <w:iCs w:val="1"/>
          <w:color w:val="auto"/>
        </w:rPr>
      </w:pPr>
    </w:p>
    <w:p>
      <w:pPr>
        <w:jc w:val="both"/>
        <w:ind w:left="-20" w:firstLine="656"/>
        <w:spacing w:after="0" w:line="256" w:lineRule="auto"/>
        <w:tabs>
          <w:tab w:leader="none" w:pos="92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Law Compliance</w:t>
      </w:r>
      <w:r>
        <w:rPr>
          <w:rFonts w:ascii="Times New Roman" w:cs="Times New Roman" w:eastAsia="Times New Roman" w:hAnsi="Times New Roman"/>
          <w:sz w:val="18"/>
          <w:szCs w:val="18"/>
          <w:color w:val="auto"/>
        </w:rPr>
        <w:t>. Except in any case in which failure to pay or file (as applicable) would not, individually or in the aggregate,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Except to the extent of any inadequacy that would not, individually or in the aggregate, result in a Material Adverse Effect, the Company has made adequate charges, accruals and reserves in the applicable financial statements referred to in Section 1(j) above in respect of all federal, state and foreign income and franchise taxes for all periods as to which the tax liability of the Company or any of its subsidiaries has not been finally determined.</w:t>
      </w:r>
    </w:p>
    <w:p>
      <w:pPr>
        <w:spacing w:after="0" w:line="182" w:lineRule="exact"/>
        <w:rPr>
          <w:rFonts w:ascii="Times New Roman" w:cs="Times New Roman" w:eastAsia="Times New Roman" w:hAnsi="Times New Roman"/>
          <w:sz w:val="18"/>
          <w:szCs w:val="18"/>
          <w:i w:val="1"/>
          <w:iCs w:val="1"/>
          <w:color w:val="auto"/>
        </w:rPr>
      </w:pPr>
    </w:p>
    <w:p>
      <w:pPr>
        <w:jc w:val="both"/>
        <w:ind w:left="-20" w:firstLine="656"/>
        <w:spacing w:after="0" w:line="255" w:lineRule="auto"/>
        <w:tabs>
          <w:tab w:leader="none" w:pos="88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Each of the Company and its subsidiaries are insured by recognized, financially sound and reputable institutions with policies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and with such deductibles and covering such risks as are reasonably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have a Material Adverse Effect. Neither the Company nor any of its subsidiaries has been denied any insurance coverage which it has sought or for which it has applied.</w:t>
      </w:r>
    </w:p>
    <w:p>
      <w:pPr>
        <w:spacing w:after="0" w:line="184" w:lineRule="exact"/>
        <w:rPr>
          <w:rFonts w:ascii="Times New Roman" w:cs="Times New Roman" w:eastAsia="Times New Roman" w:hAnsi="Times New Roman"/>
          <w:sz w:val="18"/>
          <w:szCs w:val="18"/>
          <w:i w:val="1"/>
          <w:iCs w:val="1"/>
          <w:color w:val="auto"/>
        </w:rPr>
      </w:pPr>
    </w:p>
    <w:p>
      <w:pPr>
        <w:jc w:val="both"/>
        <w:ind w:left="-20" w:firstLine="656"/>
        <w:spacing w:after="0" w:line="253"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Environmental Laws</w:t>
      </w:r>
      <w:r>
        <w:rPr>
          <w:rFonts w:ascii="Times New Roman" w:cs="Times New Roman" w:eastAsia="Times New Roman" w:hAnsi="Times New Roman"/>
          <w:sz w:val="18"/>
          <w:szCs w:val="18"/>
          <w:color w:val="auto"/>
        </w:rPr>
        <w:t>. Except as would not reasonably be expected, individually or in the aggregate,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29" w:name="page30"/>
    <w:bookmarkEnd w:id="29"/>
    <w:p>
      <w:pPr>
        <w:ind w:firstLine="656"/>
        <w:spacing w:after="0" w:line="284" w:lineRule="auto"/>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Rated Debt or Preferred Securities. </w:t>
      </w:r>
      <w:r>
        <w:rPr>
          <w:rFonts w:ascii="Times New Roman" w:cs="Times New Roman" w:eastAsia="Times New Roman" w:hAnsi="Times New Roman"/>
          <w:sz w:val="18"/>
          <w:szCs w:val="18"/>
          <w:color w:val="auto"/>
        </w:rPr>
        <w:t>There are no debt or preferred securities issued, or guaranteed, by the Company or its subsidiaries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rated by a “nationally recognized statistical rating organization,” as such term is defined in Section 3(a)(62) of the Exchange Act.</w:t>
      </w:r>
    </w:p>
    <w:p>
      <w:pPr>
        <w:spacing w:after="0" w:line="158" w:lineRule="exact"/>
        <w:rPr>
          <w:sz w:val="20"/>
          <w:szCs w:val="20"/>
          <w:color w:val="auto"/>
        </w:rPr>
      </w:pPr>
    </w:p>
    <w:p>
      <w:pPr>
        <w:jc w:val="both"/>
        <w:ind w:firstLine="656"/>
        <w:spacing w:after="0" w:line="253" w:lineRule="auto"/>
        <w:tabs>
          <w:tab w:leader="none" w:pos="9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 Compliance</w:t>
      </w:r>
      <w:r>
        <w:rPr>
          <w:rFonts w:ascii="Times New Roman" w:cs="Times New Roman" w:eastAsia="Times New Roman" w:hAnsi="Times New Roman"/>
          <w:sz w:val="18"/>
          <w:szCs w:val="18"/>
          <w:color w:val="auto"/>
        </w:rPr>
        <w:t>. The Company and its subsidiaries and any “employee benefit plan” (as defined under the Employee Retirement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Act of 1974, as amended, and the regulations and published interpretations thereunder (collectively, “ERISA”)) established or maintained by the Company, its subsidiaries or their “ERISA Affiliates” (as defined below) are in compliance in all material respects with ERISA. “ERISA Affiliate” means, with respect to the Company or any of its subsidiaries, any member of any group of organizations described in Sections 414(b), (c), (m) or (o) of the Internal Revenue Code of 1986, as amended, and the regulations and published interpretations thereunder (the “Code”) of which the Company or such subsidiary is a member. No “reportable event” (as defined under ERISA), for which notice has not been waived,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10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Not an “Investment Company.” </w:t>
      </w:r>
      <w:r>
        <w:rPr>
          <w:rFonts w:ascii="Times New Roman" w:cs="Times New Roman" w:eastAsia="Times New Roman" w:hAnsi="Times New Roman"/>
          <w:sz w:val="18"/>
          <w:szCs w:val="18"/>
          <w:color w:val="auto"/>
        </w:rPr>
        <w:t>The Company is not, and will not be, either after receipt of payment for the Shares or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therefrom as described under “Use of Proceeds” in the Registration Statement, the Pricing Disclosure Package or the Prospectus, required to register as an “investment company” under the Investment Company Act of 1940, as amended (the “Investment Company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indirectly, without giving effect to activities by the Placement Agents, any action designed to or that might reasonably be expected to cause or result in stabilization or manipulation of the price of the Shares or of any “reference security” (as defined in Rule 100 of Regulation M under the Exchange Act (“Regulation M”)) with respect to the Shares, whether to facilitate the sale or resale of the Shares or otherwise,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other person required to be described in the Registration Statement, the Pricing Disclosure Package or the Prospectus that have not been described as required.</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 Matters</w:t>
      </w:r>
      <w:r>
        <w:rPr>
          <w:rFonts w:ascii="Times New Roman" w:cs="Times New Roman" w:eastAsia="Times New Roman" w:hAnsi="Times New Roman"/>
          <w:sz w:val="18"/>
          <w:szCs w:val="18"/>
          <w:color w:val="auto"/>
        </w:rPr>
        <w:t>. All of the information provided to the Placement Agents or to Placement Agents’ Counsel by the Company, its counsel,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directors and, to the Company’s knowledge, the holders of any securities (debt or equity) or options to acquire any securities of the Company in connection with the offering of the Shares is true, complete, correct and compliant with FINRA’s rules and any letters, filings or other supplemental information provided to FINRA pursuant to FINRA Rules or NASD Conduct Rules is true, complete and correct.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Parties to Lock-Up Agreements</w:t>
      </w:r>
      <w:r>
        <w:rPr>
          <w:rFonts w:ascii="Times New Roman" w:cs="Times New Roman" w:eastAsia="Times New Roman" w:hAnsi="Times New Roman"/>
          <w:sz w:val="18"/>
          <w:szCs w:val="18"/>
          <w:color w:val="auto"/>
        </w:rPr>
        <w:t>. The Company has furnished to the Placement Agents a letter agreement in the form attached hereto as Annex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(the “Lock-up Agreement”) from each executive officer and director of the Company. If any additional persons shall become directors or officers of the Company prior to the end of the 90-day restricted period referred to in Section 4(h) hereof, the Company shall cause each such person, prior to or contemporaneously with their appointment or election as a director or officer of the Company, to execute and deliver to the Representative a Lock-up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56"/>
        <w:spacing w:after="0" w:line="267"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Contributions or Other Payments</w:t>
      </w:r>
      <w:r>
        <w:rPr>
          <w:rFonts w:ascii="Times New Roman" w:cs="Times New Roman" w:eastAsia="Times New Roman" w:hAnsi="Times New Roman"/>
          <w:sz w:val="18"/>
          <w:szCs w:val="18"/>
          <w:color w:val="auto"/>
        </w:rPr>
        <w:t>. Neither the Company nor any of its subsidiaries nor, to the best knowledge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employee or agent of the Company or any of its subsidiaries, has made any contribution or other payment to any official of, or candidate for, any federal, state or foreign office in violation of any applicable law or of the character required to be disclosed in the Registration Statement, the Pricing Disclosure Package or the Prospectus.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Neither the Company nor any of its subsidiaries nor, to the knowledge of the Company, any director,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employee, controlled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“FCPA”)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other controlled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Neither the Company nor any of its subsidiaries nor, to the knowledge of the Company, after due inquiry, any director, officer,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controlled affiliate or person acting on behalf of the Company or any of its subsidiaries is currently subject to any U.S. sanctions administered by the Office of Foreign Assets Control of the U.S. Treasury Department (“OFAC”) of the Treasury or the U.S. Department of State and including, without limitation, the designation as a “specially designated national” or “blocked person”), the United Nations Security Council, the European Union, His Majesty’s Treasury or other relevant sanctions authority (“Sanctions”), nor is the Company located, organized or resident in a country or territory that is the subject or target of Sanctions, including, without limitation, Cuba, Iran, North Korea, Syria, the Crimea Region and the non-government controlled areas of the Zaporizhzhia and Kherson Regions of Ukraine, the so-called Donetsk People’s Republic, the so-called Luhansk People’s Republic and any other Covered Region of Ukraine identified pursuant to Executive Order 14065 (each, a “Sanctioned Country”); and the Company will not directly or indirectly use the proceeds of this offering, or lend, contribute or otherwise make available such proceeds to any subsidiary, or any joint venture partner or other person or entity, (i) for the purpose of financing the activities of or business with any person, or in any country or territory, that currently is the subject of Sanctions, (ii) to fund or facilitate any activities of or business in any Sanctioned Country or (iii) in any other manner that will result in a violation by any person (including any person participating in the transaction whether as underwriter, advisor, investor or otherwise) of applicable Sanctions.</w:t>
      </w:r>
    </w:p>
    <w:p>
      <w:pPr>
        <w:spacing w:after="0" w:line="189" w:lineRule="exact"/>
        <w:rPr>
          <w:rFonts w:ascii="Times New Roman" w:cs="Times New Roman" w:eastAsia="Times New Roman" w:hAnsi="Times New Roman"/>
          <w:sz w:val="18"/>
          <w:szCs w:val="18"/>
          <w:color w:val="auto"/>
        </w:rPr>
      </w:pPr>
    </w:p>
    <w:p>
      <w:pPr>
        <w:ind w:right="20" w:firstLine="656"/>
        <w:spacing w:after="0" w:line="284"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Except pursuant to this Agreement, there is no broker, finder or other party that is entitled to receive from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brokerage or finder’s fee or other fee or commission as a result of any transactions contemplated by the Transaction Documents.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56"/>
        <w:spacing w:after="0" w:line="257" w:lineRule="auto"/>
        <w:tabs>
          <w:tab w:leader="none" w:pos="10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Pricing Disclosure Package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0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 Status</w:t>
      </w:r>
      <w:r>
        <w:rPr>
          <w:rFonts w:ascii="Times New Roman" w:cs="Times New Roman" w:eastAsia="Times New Roman" w:hAnsi="Times New Roman"/>
          <w:sz w:val="18"/>
          <w:szCs w:val="18"/>
          <w:color w:val="auto"/>
        </w:rPr>
        <w:t>. The Company is an “emerging growth company,” as defined in Section 2(a) of the Securities Act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Growth Company”).</w:t>
      </w:r>
    </w:p>
    <w:p>
      <w:pPr>
        <w:spacing w:after="0" w:line="158" w:lineRule="exact"/>
        <w:rPr>
          <w:sz w:val="20"/>
          <w:szCs w:val="20"/>
          <w:color w:val="auto"/>
        </w:rPr>
      </w:pPr>
    </w:p>
    <w:p>
      <w:pPr>
        <w:jc w:val="both"/>
        <w:ind w:firstLine="656"/>
        <w:spacing w:after="0" w:line="253" w:lineRule="auto"/>
        <w:tabs>
          <w:tab w:leader="none" w:pos="10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Data Privacy Laws</w:t>
      </w:r>
      <w:r>
        <w:rPr>
          <w:rFonts w:ascii="Times New Roman" w:cs="Times New Roman" w:eastAsia="Times New Roman" w:hAnsi="Times New Roman"/>
          <w:sz w:val="18"/>
          <w:szCs w:val="18"/>
          <w:color w:val="auto"/>
        </w:rPr>
        <w:t>. To the Company’s knowledge, the Company and its subsidiaries are, and at all prior times were,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compliance with all applicable state and federal data privacy and security laws and regulations (collectively, the “Privacy Laws”). To ensure compliance with the Privacy Laws, the Company and its subsidiaries have in place, comply with, and take commercially reasonable steps reasonably designed to ensure compliance in all material respects with their policies and procedures relating to data privacy and security and the collection, storage, use, disclosure, handling, and analysis of Personal Data (as defined below) (the “Policies”). The Company and its subsidiaries have at all times made all disclosures to users or customers required by the Privacy Laws, and none of such disclosures made or contained in any Policy have, to the knowledge of the Company, been inaccurate or in violation of any Privacy Laws in any material respect. The Company further certifies that neither it nor any subsidiary:</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2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written notice of any actual or potential liability under or relating to, or actual or potential violation of, any of the Privacy Laws, (ii) is currently conducting or paying for, in whole or in part, any investigation, remediation, or other corrective action pursuant to any Privacy Law; or (iii) is a party to any order, decree, or agreement from or with a governmental or regulatory authority or agency that imposes any obligation or liability under any Privacy Law.</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9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To the Company’s knowledge, the Company and its subsidiaries’ information technology assets and equipment,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jc w:val="both"/>
        <w:ind w:firstLine="8"/>
        <w:spacing w:after="0" w:line="251" w:lineRule="auto"/>
        <w:tabs>
          <w:tab w:leader="none" w:pos="3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as defined by GDPR;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7" w:lineRule="auto"/>
        <w:tabs>
          <w:tab w:leader="none" w:pos="9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to Purchase Preferred Stock. </w:t>
      </w:r>
      <w:r>
        <w:rPr>
          <w:rFonts w:ascii="Times New Roman" w:cs="Times New Roman" w:eastAsia="Times New Roman" w:hAnsi="Times New Roman"/>
          <w:sz w:val="18"/>
          <w:szCs w:val="18"/>
          <w:color w:val="auto"/>
        </w:rPr>
        <w:t>The issuance and sale of the Shares as contemplated hereby will not cause any holder of any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56"/>
        <w:spacing w:after="0" w:line="258" w:lineRule="auto"/>
        <w:tabs>
          <w:tab w:leader="none" w:pos="10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Restrictions</w:t>
      </w:r>
      <w:r>
        <w:rPr>
          <w:rFonts w:ascii="Times New Roman" w:cs="Times New Roman" w:eastAsia="Times New Roman" w:hAnsi="Times New Roman"/>
          <w:sz w:val="18"/>
          <w:szCs w:val="18"/>
          <w:color w:val="auto"/>
        </w:rPr>
        <w:t>. Except as otherwise disclosed in the Registration Statement, the Pricing Disclosure Package and the Prospectus,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9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w:t>
      </w:r>
      <w:r>
        <w:rPr>
          <w:rFonts w:ascii="Times New Roman" w:cs="Times New Roman" w:eastAsia="Times New Roman" w:hAnsi="Times New Roman"/>
          <w:sz w:val="18"/>
          <w:szCs w:val="18"/>
          <w:color w:val="auto"/>
        </w:rPr>
        <w:t>The Company is, and after giving effect to the offering and sale of Shares will be, in compliance in all material respects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applicable effective provisions of the Sarbanes-Oxley Act of 2002 and the rules and regulations of the Commission promulgated thereunder.</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0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Pricing Disclosure Package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that the Company or any offering participant made a bona fide offer (within the meaning of Rule 164(h)(2) under the Securities Act) of the Shares and at the date hereof, the Company was and is an “ineligible issuer,” in connection with the offering of the Shares pursuant to Rules 164, 405 and 433 under the Securities Act.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Placement Agent that:</w:t>
      </w:r>
    </w:p>
    <w:p>
      <w:pPr>
        <w:spacing w:after="0" w:line="223" w:lineRule="exact"/>
        <w:rPr>
          <w:sz w:val="20"/>
          <w:szCs w:val="20"/>
          <w:color w:val="auto"/>
        </w:rPr>
      </w:pPr>
    </w:p>
    <w:p>
      <w:pPr>
        <w:jc w:val="both"/>
        <w:ind w:firstLine="656"/>
        <w:spacing w:after="0" w:line="256" w:lineRule="auto"/>
        <w:tabs>
          <w:tab w:leader="none" w:pos="903"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Following the determination of pricing among the Company and the prospective Investors introduced to the Company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Agents, the Company will file the final Prospectus with the Commission within the time periods specified by Rule 424(b) and Rule 430A, 430B or 430C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to the Placement Agents in New York City prior to 10:00 A.M., New York City time, on the business day next succeeding the date of this Agreement in such quantities as the Representative may reasonably request.</w:t>
      </w:r>
    </w:p>
    <w:p>
      <w:pPr>
        <w:spacing w:after="0" w:line="182" w:lineRule="exact"/>
        <w:rPr>
          <w:rFonts w:ascii="Times New Roman" w:cs="Times New Roman" w:eastAsia="Times New Roman" w:hAnsi="Times New Roman"/>
          <w:sz w:val="18"/>
          <w:szCs w:val="18"/>
          <w:i w:val="1"/>
          <w:iCs w:val="1"/>
          <w:color w:val="auto"/>
        </w:rPr>
      </w:pPr>
    </w:p>
    <w:p>
      <w:pPr>
        <w:jc w:val="both"/>
        <w:ind w:firstLine="656"/>
        <w:spacing w:after="0" w:line="255" w:lineRule="auto"/>
        <w:tabs>
          <w:tab w:leader="none" w:pos="916"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Representative, two signed copies of the Registration Statement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filed and each amendment thereto, in each case including all exhibits and consents filed therewith and documents incorporated by reference therein; and (ii) to each Placement Agent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as the Representative may reasonably request. As used herein, the term “Prospectus Delivery Period” means such period of time after the first date of the public offering of the Shares as in the opinion of Placement Agents’ Counsel a prospectus relating to the Shares is required by law to be delivered (or required to be delivered but for Rule 172 under the Securities Act) in connection with distribution of the Shares by any Placement Agent or dealer.</w:t>
      </w:r>
    </w:p>
    <w:p>
      <w:pPr>
        <w:spacing w:after="0" w:line="184"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893"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filing any amendment or supplement to the Registration Statement, the Pricing Disclosure Package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whether before or after the time that the Registration Statement becomes effective, the Company will furnish to the Representative and Placement Agents’ Counsel a copy of the proposed amendment or supplement for review and will not make, prepare, use, authorize, approve, refer to or file any such proposed amendment or supplement to which the Representative reasonably object.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firstLine="656"/>
        <w:spacing w:after="0" w:line="252" w:lineRule="auto"/>
        <w:tabs>
          <w:tab w:leader="none" w:pos="911"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(which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delivered by electronic mail), (i) when the Registration Statement has become effective; (ii) when any amendment to the Registration Statement has been filed or becomes effective; (iii) when any supplement to the Pricing Disclosure Package, the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Company’s knowledge, threatening of any proceeding for that purpose or pursuant to Section 8A of the Securities Act; (vi) of the occurrence of any event or development within the Prospectus Delivery Period as a result of which the Prospectus, any of the Pricing Disclosure Package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Written Testing-the-Waters Communication is delivered to a purchaser, not misleading; and (vii) of the receipt by the Company of any notice with respect to any suspension of the qualification of the Shares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190" w:lineRule="exact"/>
        <w:rPr>
          <w:rFonts w:ascii="Times New Roman" w:cs="Times New Roman" w:eastAsia="Times New Roman" w:hAnsi="Times New Roman"/>
          <w:sz w:val="18"/>
          <w:szCs w:val="18"/>
          <w:i w:val="1"/>
          <w:iCs w:val="1"/>
          <w:color w:val="auto"/>
        </w:rPr>
      </w:pPr>
    </w:p>
    <w:p>
      <w:pPr>
        <w:jc w:val="both"/>
        <w:ind w:firstLine="656"/>
        <w:spacing w:after="0" w:line="252" w:lineRule="auto"/>
        <w:tabs>
          <w:tab w:leader="none" w:pos="897"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Placement Agents thereof and forthwith prepare and, subject to paragraph (c) above, file with the Commission and furnish to the Placement Agents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each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Placement Agents thereof and forthwith prepare and, subject to paragraph (c) above, file with the Commission (to the extent required) and furnish to the Placement Agents and to such dealers as the Representative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191" w:lineRule="exact"/>
        <w:rPr>
          <w:rFonts w:ascii="Times New Roman" w:cs="Times New Roman" w:eastAsia="Times New Roman" w:hAnsi="Times New Roman"/>
          <w:sz w:val="18"/>
          <w:szCs w:val="18"/>
          <w:i w:val="1"/>
          <w:iCs w:val="1"/>
          <w:color w:val="auto"/>
        </w:rPr>
      </w:pPr>
    </w:p>
    <w:p>
      <w:pPr>
        <w:jc w:val="both"/>
        <w:ind w:firstLine="656"/>
        <w:spacing w:after="0" w:line="258" w:lineRule="auto"/>
        <w:tabs>
          <w:tab w:leader="none" w:pos="863"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Shares for offer and sale under the securities or Blue Sky laws of such jurisdictions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and Investors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firstLine="656"/>
        <w:spacing w:after="0" w:line="258" w:lineRule="auto"/>
        <w:tabs>
          <w:tab w:leader="none" w:pos="903"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 to the extent they are filed on EDGAR or any successor system.</w:t>
      </w:r>
    </w:p>
    <w:p>
      <w:pPr>
        <w:spacing w:after="0" w:line="183" w:lineRule="exact"/>
        <w:rPr>
          <w:rFonts w:ascii="Times New Roman" w:cs="Times New Roman" w:eastAsia="Times New Roman" w:hAnsi="Times New Roman"/>
          <w:sz w:val="18"/>
          <w:szCs w:val="18"/>
          <w:i w:val="1"/>
          <w:iCs w:val="1"/>
          <w:color w:val="auto"/>
        </w:rPr>
      </w:pPr>
    </w:p>
    <w:p>
      <w:pPr>
        <w:jc w:val="both"/>
        <w:ind w:firstLine="656"/>
        <w:spacing w:after="0" w:line="256" w:lineRule="auto"/>
        <w:tabs>
          <w:tab w:leader="none" w:pos="916"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90 days after the date of the Prospectus, the Company will not (i) offer, pledge, sell, contract to sell, sell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to undertake any of the foregoing, or (ii) enter into any hedging,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Representative, other than the Shares to be sold hereunder.</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restrictions described above do not apply to (i) the issuance of shares of Common Stock or securities convertible into or exercisable for shares of Common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inducement plan or an equity compensation plan in effect as of each Closing Date and described in the Prospectus; (iii) the issuance of up to 10% of the outstanding shares of Common Stock, or securities convertible into, exercisable for, or which are otherwise exchangeable for, Common Stock, immediately following each Closing Date, in acquisitions, strategic transactions of assets or acquisition of equity of another entity or in connection with a transaction with an unaffiliated third party that includes a bona fide commercial relationship (including joint ventures, marketing or distribution arrangements, collaboration agreements, intellectual property license agreements, or lending agreements or arrangements), provided that such recipients enter into a lock-up agreement with the Placement Agents; or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185" w:lineRule="exact"/>
        <w:rPr>
          <w:sz w:val="20"/>
          <w:szCs w:val="20"/>
          <w:color w:val="auto"/>
        </w:rPr>
      </w:pPr>
    </w:p>
    <w:p>
      <w:pPr>
        <w:ind w:firstLine="656"/>
        <w:spacing w:after="0" w:line="284" w:lineRule="auto"/>
        <w:tabs>
          <w:tab w:leader="none" w:pos="87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and the Prospectus under the heading “Use of proceeds.”</w:t>
      </w:r>
    </w:p>
    <w:p>
      <w:pPr>
        <w:spacing w:after="0" w:line="158"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876"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will take, and the Company will ensure that its controlled affiliates will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any action designed to or that could reasonably be expected to cause or result in any stabilization or manipulation of the price of the Common Stock and will not take any action prohibited by Regulation M under the Exchange Act in connection with the distribution of the Shares contemplated hereby.</w:t>
      </w:r>
    </w:p>
    <w:p>
      <w:pPr>
        <w:spacing w:after="0" w:line="179" w:lineRule="exact"/>
        <w:rPr>
          <w:rFonts w:ascii="Times New Roman" w:cs="Times New Roman" w:eastAsia="Times New Roman" w:hAnsi="Times New Roman"/>
          <w:sz w:val="18"/>
          <w:szCs w:val="18"/>
          <w:i w:val="1"/>
          <w:iCs w:val="1"/>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Nasdaq.</w:t>
      </w:r>
    </w:p>
    <w:p>
      <w:pPr>
        <w:spacing w:after="0" w:line="225" w:lineRule="exact"/>
        <w:rPr>
          <w:rFonts w:ascii="Times New Roman" w:cs="Times New Roman" w:eastAsia="Times New Roman" w:hAnsi="Times New Roman"/>
          <w:sz w:val="18"/>
          <w:szCs w:val="18"/>
          <w:i w:val="1"/>
          <w:iCs w:val="1"/>
          <w:color w:val="auto"/>
        </w:rPr>
      </w:pPr>
    </w:p>
    <w:p>
      <w:pPr>
        <w:jc w:val="both"/>
        <w:ind w:firstLine="656"/>
        <w:spacing w:after="0" w:line="258" w:lineRule="auto"/>
        <w:tabs>
          <w:tab w:leader="none" w:pos="876"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two years from the date of this Agreement, so long as the Shares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on which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 or any successor system.</w:t>
      </w:r>
    </w:p>
    <w:p>
      <w:pPr>
        <w:spacing w:after="0" w:line="183"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97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Shares within the meaning of the Securities Act and (ii) completion of the 90-day restricted period referred to in Section 4(h)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656"/>
        <w:spacing w:after="0" w:line="261"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The Company will enter into any subscription, purchase or other customary agreements as the Placement Agents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deem necessary or appropriate to consummate the Offering, all of which will be in form and substance reasonably acceptable to the Placement Agents and the Investors. The Company agrees that the Placement Agents may rely upon, and each is a third party beneficiary of, the representations and warranties, and applicable covenants, set forth in any such purchase, subscription or other agreement with Investors in the Offering.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Placement Agents</w:t>
      </w:r>
      <w:r>
        <w:rPr>
          <w:rFonts w:ascii="Times New Roman" w:cs="Times New Roman" w:eastAsia="Times New Roman" w:hAnsi="Times New Roman"/>
          <w:sz w:val="18"/>
          <w:szCs w:val="18"/>
          <w:color w:val="auto"/>
        </w:rPr>
        <w:t>. Each Placement Agent hereby represents and agrees that:</w:t>
      </w:r>
    </w:p>
    <w:p>
      <w:pPr>
        <w:spacing w:after="0" w:line="225" w:lineRule="exact"/>
        <w:rPr>
          <w:sz w:val="20"/>
          <w:szCs w:val="20"/>
          <w:color w:val="auto"/>
        </w:rPr>
      </w:pPr>
    </w:p>
    <w:p>
      <w:pPr>
        <w:jc w:val="both"/>
        <w:ind w:firstLine="656"/>
        <w:spacing w:after="0" w:line="258" w:lineRule="auto"/>
        <w:tabs>
          <w:tab w:leader="none" w:pos="8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a free writing prospectus that contains no “issuer information” (as defined in Rule 433(h)(2) under the Securities Act) that was not included (including through incorporation by reference) in the Preliminary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Placement Agents may use a term sheet substantially in the form of Annex C hereto without the consent of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Placement Agent using such term sheet shall notify the Company, and provide a copy of such term sheet to the Company, prior to, or substantially concurrently with, the first use of such term sheet.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ind w:firstLine="656"/>
        <w:spacing w:after="0" w:line="282" w:lineRule="auto"/>
        <w:tabs>
          <w:tab w:leader="none" w:pos="8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Placement Agents’ Obligations.</w:t>
      </w:r>
      <w:r>
        <w:rPr>
          <w:rFonts w:ascii="Times New Roman" w:cs="Times New Roman" w:eastAsia="Times New Roman" w:hAnsi="Times New Roman"/>
          <w:sz w:val="18"/>
          <w:szCs w:val="18"/>
          <w:color w:val="auto"/>
        </w:rPr>
        <w:t xml:space="preserve"> The obligations of each Placement Agent as of each Closing Date hereunder shall be subject to the performance by the Company of its covenants and other obligations hereunder and to the following additional conditions:</w:t>
      </w:r>
    </w:p>
    <w:p>
      <w:pPr>
        <w:spacing w:after="0" w:line="160" w:lineRule="exact"/>
        <w:rPr>
          <w:sz w:val="20"/>
          <w:szCs w:val="20"/>
          <w:color w:val="auto"/>
        </w:rPr>
      </w:pPr>
    </w:p>
    <w:p>
      <w:pPr>
        <w:jc w:val="both"/>
        <w:ind w:firstLine="656"/>
        <w:spacing w:after="0" w:line="258" w:lineRule="auto"/>
        <w:tabs>
          <w:tab w:leader="none" w:pos="932"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threatened by the Commission; the Prospectus and any free writing prospectus shall have been timely filed with the Commission under the Securities Act,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3"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92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each Closing Date; and the statements of the Company and its officers made in any certificates delivered pursuant to this Agreement shall be true and correct on and as of each Closing Date.</w:t>
      </w:r>
    </w:p>
    <w:p>
      <w:pPr>
        <w:spacing w:after="0" w:line="173" w:lineRule="exact"/>
        <w:rPr>
          <w:rFonts w:ascii="Times New Roman" w:cs="Times New Roman" w:eastAsia="Times New Roman" w:hAnsi="Times New Roman"/>
          <w:sz w:val="18"/>
          <w:szCs w:val="18"/>
          <w:i w:val="1"/>
          <w:iCs w:val="1"/>
          <w:color w:val="auto"/>
        </w:rPr>
      </w:pPr>
    </w:p>
    <w:p>
      <w:pPr>
        <w:jc w:val="both"/>
        <w:ind w:firstLine="656"/>
        <w:spacing w:after="0" w:line="258" w:lineRule="auto"/>
        <w:tabs>
          <w:tab w:leader="none" w:pos="898"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a Closing Date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i w:val="1"/>
          <w:iCs w:val="1"/>
          <w:color w:val="auto"/>
        </w:rPr>
      </w:pPr>
    </w:p>
    <w:p>
      <w:pPr>
        <w:jc w:val="both"/>
        <w:ind w:firstLine="656"/>
        <w:spacing w:after="0" w:line="257" w:lineRule="auto"/>
        <w:tabs>
          <w:tab w:leader="none" w:pos="907"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 shall have received on and as of each Closing Date a certificate of the chief financial officer or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of the Company and one additional senior executive officer of the Company who is satisfactory to the Representative (i) confirming that such officers have carefully reviewed the Registration Statement, the Pricing Disclosure Package and the Prospectus and, to the knowledge of such officers, the representations set forth in Sections 3(a) and 3(b)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such Closing Date, and (iii) to the effect set forth in paragraphs (a), (b) and (c) above.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56"/>
        <w:spacing w:after="0" w:line="257" w:lineRule="auto"/>
        <w:tabs>
          <w:tab w:leader="none" w:pos="897"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(i) On the date of this Agreement and on each Closing Date, Moss Adams LLP shall have furnished to the Representative,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request of the Company, letters, dated the respective dates of delivery thereof and addressed to the Placement Agents,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such Closing Date shall use a “cut-off” date no more than three business days prior to such Closing Date.</w:t>
      </w:r>
    </w:p>
    <w:p>
      <w:pPr>
        <w:spacing w:after="0" w:line="182"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902"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Opinion and ]0b-5 Statement of Counsel for the Company. </w:t>
      </w:r>
      <w:r>
        <w:rPr>
          <w:rFonts w:ascii="Times New Roman" w:cs="Times New Roman" w:eastAsia="Times New Roman" w:hAnsi="Times New Roman"/>
          <w:sz w:val="18"/>
          <w:szCs w:val="18"/>
          <w:color w:val="auto"/>
        </w:rPr>
        <w:t>White &amp; Case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at the request of the Company, their written opinion and 10b-5 statement, dated each Closing Date and addressed to the Placement Agents, in form and substance reasonably satisfactory to the Representative.</w:t>
      </w:r>
    </w:p>
    <w:p>
      <w:pPr>
        <w:spacing w:after="0" w:line="173"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907"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Opinion of Placement Agents’ Counsel. </w:t>
      </w:r>
      <w:r>
        <w:rPr>
          <w:rFonts w:ascii="Times New Roman" w:cs="Times New Roman" w:eastAsia="Times New Roman" w:hAnsi="Times New Roman"/>
          <w:sz w:val="18"/>
          <w:szCs w:val="18"/>
          <w:color w:val="auto"/>
        </w:rPr>
        <w:t>The Representative shall have received on and as of each Closing Date an opinion that shall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assurance statement, addressed to the Placement Agents, of Placement Agents’ Counsel with respect to such matters as the Representative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911"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each Closing Date prevent the issuance or sale of the Shares by the Company; and no injunction or order of any federal, state or foreign court shall have been issued that would, as of each Closing Date prevent the issuance or sale of the Shares.</w:t>
      </w:r>
    </w:p>
    <w:p>
      <w:pPr>
        <w:spacing w:after="0" w:line="179"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883"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each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i w:val="1"/>
          <w:iCs w:val="1"/>
          <w:color w:val="auto"/>
        </w:rPr>
      </w:pPr>
    </w:p>
    <w:p>
      <w:pPr>
        <w:jc w:val="both"/>
        <w:ind w:firstLine="656"/>
        <w:spacing w:after="0" w:line="267" w:lineRule="auto"/>
        <w:tabs>
          <w:tab w:leader="none" w:pos="89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Annex D hereto, between you and certain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relating to sales and certain other dispositions of shares of Common Stock or certain other securities, delivered to you on or before the date hereof, shall be in full force and effect on each Closing Date.</w:t>
      </w:r>
    </w:p>
    <w:p>
      <w:pPr>
        <w:spacing w:after="0" w:line="173" w:lineRule="exact"/>
        <w:rPr>
          <w:rFonts w:ascii="Times New Roman" w:cs="Times New Roman" w:eastAsia="Times New Roman" w:hAnsi="Times New Roman"/>
          <w:sz w:val="18"/>
          <w:szCs w:val="18"/>
          <w:i w:val="1"/>
          <w:iCs w:val="1"/>
          <w:color w:val="auto"/>
        </w:rPr>
      </w:pPr>
    </w:p>
    <w:p>
      <w:pPr>
        <w:jc w:val="both"/>
        <w:ind w:firstLine="656"/>
        <w:spacing w:after="0" w:line="261" w:lineRule="auto"/>
        <w:tabs>
          <w:tab w:leader="none" w:pos="893"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CFO Certificate</w:t>
      </w:r>
      <w:r>
        <w:rPr>
          <w:rFonts w:ascii="Times New Roman" w:cs="Times New Roman" w:eastAsia="Times New Roman" w:hAnsi="Times New Roman"/>
          <w:sz w:val="18"/>
          <w:szCs w:val="18"/>
          <w:color w:val="auto"/>
        </w:rPr>
        <w:t>. On the date of this Agreement and on each Closing Date the Company shall have furnished to the Representative a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respective dates of delivery thereof and addressed to the Placement Agents, of its chief financial officer with respect to certain financial data contained in the Pricing Disclosure Package and the Prospectus, providing “management comfort” with respect to such information, in form and substance reasonably satisfactory to the Representative.</w:t>
      </w:r>
    </w:p>
    <w:p>
      <w:pPr>
        <w:spacing w:after="0" w:line="179" w:lineRule="exact"/>
        <w:rPr>
          <w:rFonts w:ascii="Times New Roman" w:cs="Times New Roman" w:eastAsia="Times New Roman" w:hAnsi="Times New Roman"/>
          <w:sz w:val="18"/>
          <w:szCs w:val="18"/>
          <w:i w:val="1"/>
          <w:iCs w:val="1"/>
          <w:color w:val="auto"/>
        </w:rPr>
      </w:pPr>
    </w:p>
    <w:p>
      <w:pPr>
        <w:ind w:left="880" w:hanging="224"/>
        <w:spacing w:after="0"/>
        <w:tabs>
          <w:tab w:leader="none" w:pos="88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shall have submitted a Listing of Additional Shares Notification Form to Nasdaq with respect to the Shares.</w:t>
      </w:r>
    </w:p>
    <w:p>
      <w:pPr>
        <w:spacing w:after="0" w:line="225" w:lineRule="exact"/>
        <w:rPr>
          <w:rFonts w:ascii="Times New Roman" w:cs="Times New Roman" w:eastAsia="Times New Roman" w:hAnsi="Times New Roman"/>
          <w:sz w:val="18"/>
          <w:szCs w:val="18"/>
          <w:i w:val="1"/>
          <w:iCs w:val="1"/>
          <w:color w:val="auto"/>
        </w:rPr>
      </w:pPr>
    </w:p>
    <w:p>
      <w:pPr>
        <w:ind w:firstLine="656"/>
        <w:spacing w:after="0" w:line="284" w:lineRule="auto"/>
        <w:tabs>
          <w:tab w:leader="none" w:pos="943"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or prior to each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Placement Agent’s Counsel.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ind w:left="840" w:hanging="18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91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Indemnification of the Placement Agents. </w:t>
      </w:r>
      <w:r>
        <w:rPr>
          <w:rFonts w:ascii="Times New Roman" w:cs="Times New Roman" w:eastAsia="Times New Roman" w:hAnsi="Times New Roman"/>
          <w:sz w:val="18"/>
          <w:szCs w:val="18"/>
          <w:color w:val="auto"/>
        </w:rPr>
        <w:t>The Company agrees to indemnify and hold harmless each Placement Agent, its affiliates,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and each person, if any, who controls such Placement Agent within the meaning of Section 15 of the Securities Act or Section 20 of the Exchange Act, from and against any and all losses, claims, damages and liabilities (including, without limitation, reasonable and documented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information” filed or required to be filed pursuant to Rule 433(d) under the Securities Act, any Written Testing-the-Waters Communication, any road show as defined in Rule 433(h) under the Securities Act (a “road show”), any Pricing Disclosure Package (including any Pricing Disclosure Package that has subsequently been amended) or any other materials provided by the Company to the Investors, or caused by any omission or alleged omission to state therein a material fact necessary in order to make the statements therein, in light of the circumstances under which they were made, not misleading.</w:t>
      </w:r>
    </w:p>
    <w:p>
      <w:pPr>
        <w:spacing w:after="0" w:line="189" w:lineRule="exact"/>
        <w:rPr>
          <w:rFonts w:ascii="Times New Roman" w:cs="Times New Roman" w:eastAsia="Times New Roman" w:hAnsi="Times New Roman"/>
          <w:sz w:val="18"/>
          <w:szCs w:val="18"/>
          <w:i w:val="1"/>
          <w:iCs w:val="1"/>
          <w:color w:val="auto"/>
        </w:rPr>
      </w:pPr>
    </w:p>
    <w:p>
      <w:pPr>
        <w:jc w:val="both"/>
        <w:ind w:firstLine="656"/>
        <w:spacing w:after="0" w:line="251" w:lineRule="auto"/>
        <w:tabs>
          <w:tab w:leader="none" w:pos="923"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and documented fees and expenses in such proceeding and shall pay the reasonably incurred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Placement Agent, its affiliates, directors and officers and any control persons of such Placement Agent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(ii) such Indemnifying Person shall have reasonable notice of the terms of such settlement at least 30 days prior to such settlement being entered into, and (iii)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56"/>
        <w:spacing w:after="0" w:line="253" w:lineRule="auto"/>
        <w:tabs>
          <w:tab w:leader="none" w:pos="913"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Placement Agents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Placement Agents on the other, in connection with the statements or omissions that resulted in such losses, claims, damages or liabilities, as well as any other relevant equitable considerations. The relative benefits received by the Company, on the one hand, and the Placement Agents on the other, shall be deemed to be in the same respective proportions as the net proceeds (before deducting expenses) received by the Company from the sale of the Shares and the total fees paid to the Placement Agents in connection therewith, in each case as set forth in the table on the cover of the Prospectus, bear to the aggregate offering price of the Shares. The relative fault of the Company, on the one hand, and the Placement Agents on the other, shall be determined by reference to, among other things, whether the untrue or alleged untrue statement of a material fact or the omission or alleged omission to state a material fact relates to information supplied by the Company or by the Placement Agents and the parties’ relative intent, knowledge, access to information and opportunity to correct or prevent such statement or omission.</w:t>
      </w:r>
    </w:p>
    <w:p>
      <w:pPr>
        <w:spacing w:after="0" w:line="185" w:lineRule="exact"/>
        <w:rPr>
          <w:rFonts w:ascii="Times New Roman" w:cs="Times New Roman" w:eastAsia="Times New Roman" w:hAnsi="Times New Roman"/>
          <w:sz w:val="18"/>
          <w:szCs w:val="18"/>
          <w:i w:val="1"/>
          <w:iCs w:val="1"/>
          <w:color w:val="auto"/>
        </w:rPr>
      </w:pPr>
    </w:p>
    <w:p>
      <w:pPr>
        <w:jc w:val="both"/>
        <w:ind w:firstLine="656"/>
        <w:spacing w:after="0" w:line="253" w:lineRule="auto"/>
        <w:tabs>
          <w:tab w:leader="none" w:pos="926"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Placement Agents agree that it would not be just and equitable if contribution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Placement Agents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documented legal or other expenses reasonably incurred by such Indemnified Person in connection with any such action or claim. Notwithstanding the provisions of paragraphs (d) and (e), in no event shall a Placement Agent be required to contribute any amount in excess of the amount by which the total fees received by such Placement Agent with respect to the offering of the Shares exceeds the amount of any damages that such Placement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Placement Agents’ obligations to contribute pursuant to paragraphs (d) and (e) are several in proportion to the percentages set forth on Schedule 1 and not joint.</w:t>
      </w:r>
    </w:p>
    <w:p>
      <w:pPr>
        <w:spacing w:after="0" w:line="191" w:lineRule="exact"/>
        <w:rPr>
          <w:rFonts w:ascii="Times New Roman" w:cs="Times New Roman" w:eastAsia="Times New Roman" w:hAnsi="Times New Roman"/>
          <w:sz w:val="18"/>
          <w:szCs w:val="18"/>
          <w:i w:val="1"/>
          <w:iCs w:val="1"/>
          <w:color w:val="auto"/>
        </w:rPr>
      </w:pPr>
    </w:p>
    <w:p>
      <w:pPr>
        <w:ind w:firstLine="656"/>
        <w:spacing w:after="0" w:line="284" w:lineRule="auto"/>
        <w:tabs>
          <w:tab w:leader="none" w:pos="893"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paragraphs (a) through (d)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ind w:firstLine="656"/>
        <w:spacing w:after="0" w:line="282" w:lineRule="auto"/>
        <w:tabs>
          <w:tab w:leader="none" w:pos="8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 upon the execution and delivery hereof by the parties hereto.</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on or prior to each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a Closing Date on the terms and in the manner contemplated by this Agreement, the Pricing Disclosure Package and the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56"/>
        <w:spacing w:after="0" w:line="252" w:lineRule="auto"/>
        <w:tabs>
          <w:tab w:leader="none" w:pos="9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Preliminary Prospectus, any Pricing Disclosure Package and the Prospectus (including all exhibits, amendments and supplements thereto) and the distribution thereof; (ii) the cost of printing or producing this Agreement, the Blue Sky survey, closing documents (including any compilations thereof) and any other documents in connection with the offering, purchase, sale and delivery of the Shares; (iii) all expenses in connection with the qualification of the Shares for offering and sale under state securities laws; (iv) all fees and expenses in connection with listing the Shares on the Nasdaq; (v) the filing fees incident to and in connection with, any required review by FINRA of the terms of the sale of the Shares; (vi) the cost of preparing stock certificates, if applicable; (vii) the cost and charges of any transfer agent, or registrar; (viii) the costs and expenses of the Company relating to investor presentations on any “road show” undertaken in connection with the marketing of the Shares, including without limitation, expenses associated with the production of road show slides and graphics, fees; and (ix) all other costs and expenses incident to the performance of its obligations hereunder which are not otherwise specifically provided for in this Section 10. It is understood, however, that, except as provided in this Section 10 and Section 7 hereof, the Placement Agents will pay all of their own costs and expenses; provided, however, that the Company will reimburse the Representative for all out-of-pocket expenses (including fees and expenses of its counsel) reasonably incurred and documented by it in connection with its engagement hereunder in an aggregate amount that shall not exceed $100,000 without the prior written approval of the Company (which approval shall not be unreasonably withheld); provided, further, that the Company shall reimburse each of Chardan Capital Markets LLC and The Benchmark Company, LLC for all out of pocket expenses reasonably incurred and documented by them in connection with their engagement hereunder in an aggregate amount that shall not exceed $15,000 each without the prior written approval of the Company (which approval shall not be unreasonably withheld).</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or (ii) the Company for any reason fails to tender the Shares for delivery to the Investors, the Company agrees to reimburse the Placement Agents for all out-of-pocket costs and expenses (including the fees and expenses of their counsel) reasonably incurred by the Placement Agent in connection with this Agreement and the offering contemplated hereby.</w:t>
      </w:r>
    </w:p>
    <w:p>
      <w:pPr>
        <w:spacing w:after="0" w:line="176" w:lineRule="exact"/>
        <w:rPr>
          <w:sz w:val="20"/>
          <w:szCs w:val="20"/>
          <w:color w:val="auto"/>
        </w:rPr>
      </w:pPr>
    </w:p>
    <w:p>
      <w:pPr>
        <w:jc w:val="both"/>
        <w:ind w:firstLine="656"/>
        <w:spacing w:after="0" w:line="261" w:lineRule="auto"/>
        <w:tabs>
          <w:tab w:leader="none" w:pos="93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Placement Agent referred to in Section 7 hereof. Nothing in this Agreement is intended or shall be construed to give any other person any legal or equitable right, remedy or claim under or in respect of this Agreement or any provision contained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Placement Agents contained in this Agreement or made by or on behalf of the Company or the Placement Agents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Placement Agents or the directors, officers, controlling persons or affiliates referred to in Section 7 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“subsidiary” has the meaning set forth in Rule 405 under the Securities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jc w:val="both"/>
        <w:ind w:firstLine="721"/>
        <w:spacing w:after="0" w:line="261" w:lineRule="auto"/>
        <w:tabs>
          <w:tab w:leader="none" w:pos="9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Placement Agents are required to obtain, verify and record information that identifies their respective clients, including the Company, which information may include the name and address of their respective clients, as well as other information that will allow the Placement Agents to properly identify their respective clients.</w:t>
      </w:r>
    </w:p>
    <w:p>
      <w:pPr>
        <w:spacing w:after="0" w:line="179" w:lineRule="exact"/>
        <w:rPr>
          <w:rFonts w:ascii="Times New Roman" w:cs="Times New Roman" w:eastAsia="Times New Roman" w:hAnsi="Times New Roman"/>
          <w:sz w:val="18"/>
          <w:szCs w:val="18"/>
          <w:color w:val="auto"/>
        </w:rPr>
      </w:pPr>
    </w:p>
    <w:p>
      <w:pPr>
        <w:ind w:left="1000" w:hanging="27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721"/>
        <w:spacing w:after="0" w:line="256" w:lineRule="auto"/>
        <w:tabs>
          <w:tab w:leader="none" w:pos="99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Placement Agents shall be given to the Representative c/o Northland Securities, Inc., 150 South Fifth Street, Suite 3300 Minneapolis, MN 55402, Attention: Investment Banking, with a copy (which shall not constitute notice) to Faegre Drinker Biddle &amp; Reath LLP, 200 Wells Fargo Center 90 S. Seventh Street, Minneapolis, Minnesota 55402 Attention: Jonathan Zimmerman. Notices to the Company shall be given to it at Presto Automation Inc, 985 Industrial Road, Suite 205, San Carlos, CA 94070, Attention: Susan Shinoff, with a copy (which shall not constitute notice) to White &amp; Case LLP, 1221 Avenue of the Americas New York, New York 10020, Attention: Colin Diamond and Laura Katherine Mann.</w:t>
      </w:r>
    </w:p>
    <w:p>
      <w:pPr>
        <w:spacing w:after="0" w:line="182" w:lineRule="exact"/>
        <w:rPr>
          <w:rFonts w:ascii="Times New Roman" w:cs="Times New Roman" w:eastAsia="Times New Roman" w:hAnsi="Times New Roman"/>
          <w:sz w:val="18"/>
          <w:szCs w:val="18"/>
          <w:i w:val="1"/>
          <w:iCs w:val="1"/>
          <w:color w:val="auto"/>
        </w:rPr>
      </w:pPr>
    </w:p>
    <w:p>
      <w:pPr>
        <w:ind w:firstLine="721"/>
        <w:spacing w:after="0" w:line="284" w:lineRule="auto"/>
        <w:tabs>
          <w:tab w:leader="none" w:pos="977"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i w:val="1"/>
          <w:iCs w:val="1"/>
          <w:color w:val="auto"/>
        </w:rPr>
      </w:pPr>
    </w:p>
    <w:p>
      <w:pPr>
        <w:jc w:val="both"/>
        <w:ind w:firstLine="721"/>
        <w:spacing w:after="0" w:line="258" w:lineRule="auto"/>
        <w:tabs>
          <w:tab w:leader="none" w:pos="971"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3" w:lineRule="exact"/>
        <w:rPr>
          <w:rFonts w:ascii="Times New Roman" w:cs="Times New Roman" w:eastAsia="Times New Roman" w:hAnsi="Times New Roman"/>
          <w:sz w:val="18"/>
          <w:szCs w:val="18"/>
          <w:i w:val="1"/>
          <w:iCs w:val="1"/>
          <w:color w:val="auto"/>
        </w:rPr>
      </w:pPr>
    </w:p>
    <w:p>
      <w:pPr>
        <w:ind w:right="20" w:firstLine="721"/>
        <w:spacing w:after="0" w:line="284" w:lineRule="auto"/>
        <w:tabs>
          <w:tab w:leader="none" w:pos="976"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or the transactions contemplated hereby.</w:t>
      </w:r>
    </w:p>
    <w:p>
      <w:pPr>
        <w:spacing w:after="0" w:line="158" w:lineRule="exact"/>
        <w:rPr>
          <w:rFonts w:ascii="Times New Roman" w:cs="Times New Roman" w:eastAsia="Times New Roman" w:hAnsi="Times New Roman"/>
          <w:sz w:val="18"/>
          <w:szCs w:val="18"/>
          <w:i w:val="1"/>
          <w:iCs w:val="1"/>
          <w:color w:val="auto"/>
        </w:rPr>
      </w:pPr>
    </w:p>
    <w:p>
      <w:pPr>
        <w:ind w:left="960" w:hanging="239"/>
        <w:spacing w:after="0"/>
        <w:tabs>
          <w:tab w:leader="none" w:pos="9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i w:val="1"/>
          <w:iCs w:val="1"/>
          <w:color w:val="auto"/>
        </w:rPr>
      </w:pPr>
    </w:p>
    <w:p>
      <w:pPr>
        <w:jc w:val="both"/>
        <w:ind w:left="720" w:firstLine="584"/>
        <w:spacing w:after="0" w:line="261" w:lineRule="auto"/>
        <w:tabs>
          <w:tab w:leader="none" w:pos="154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Placement Agent that is a Covered Entity becomes subject to a proceeding under a U.S. Special Resolution Regime, the transfer from such Placement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720" w:firstLine="584"/>
        <w:spacing w:after="0" w:line="261" w:lineRule="auto"/>
        <w:tabs>
          <w:tab w:leader="none" w:pos="157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Placement Agent that is a Covered Entity or a BHC Act Affiliate of such Placement Agent becomes subject to a proceeding under a U.S. Special Resolution Regime, Default Rights under this Agreement that may be exercised against such Placement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this Section 14(e):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1841(k).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6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2220" w:hanging="223"/>
        <w:spacing w:after="0"/>
        <w:tabs>
          <w:tab w:leader="none" w:pos="2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260" w:hanging="263"/>
        <w:spacing w:after="0"/>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320" w:hanging="323"/>
        <w:spacing w:after="0"/>
        <w:tabs>
          <w:tab w:leader="none" w:pos="2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6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60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jc w:val="both"/>
        <w:ind w:left="-20" w:firstLine="656"/>
        <w:spacing w:after="0" w:line="258" w:lineRule="auto"/>
        <w:tabs>
          <w:tab w:leader="none" w:pos="897"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i w:val="1"/>
          <w:iCs w:val="1"/>
          <w:color w:val="auto"/>
        </w:rPr>
      </w:pPr>
    </w:p>
    <w:p>
      <w:pPr>
        <w:ind w:left="-20" w:right="20" w:firstLine="656"/>
        <w:spacing w:after="0" w:line="284" w:lineRule="auto"/>
        <w:tabs>
          <w:tab w:leader="none" w:pos="9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i w:val="1"/>
          <w:iCs w:val="1"/>
          <w:color w:val="auto"/>
        </w:rPr>
      </w:pPr>
    </w:p>
    <w:p>
      <w:pPr>
        <w:ind w:left="-20" w:firstLine="656"/>
        <w:spacing w:after="0" w:line="284" w:lineRule="auto"/>
        <w:tabs>
          <w:tab w:leader="none" w:pos="89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Xavier Casanova</w:t>
      </w:r>
    </w:p>
    <w:p>
      <w:pPr>
        <w:spacing w:after="0" w:line="27"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Placement Agents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Jeff Peterson</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Jeff Peterson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Investment Banking</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w:t>
            </w:r>
          </w:p>
        </w:tc>
      </w:tr>
      <w:tr>
        <w:trPr>
          <w:trHeight w:val="414"/>
        </w:trPr>
        <w:tc>
          <w:tcPr>
            <w:tcW w:w="39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241"/>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Placement Agent</w:t>
            </w:r>
          </w:p>
        </w:tc>
        <w:tc>
          <w:tcPr>
            <w:tcW w:w="59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Northland Securities, Inc.</w:t>
            </w: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7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Benchmark Company, LLC</w:t>
            </w:r>
          </w:p>
        </w:tc>
        <w:tc>
          <w:tcPr>
            <w:tcW w:w="7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655"/>
        </w:trPr>
        <w:tc>
          <w:tcPr>
            <w:tcW w:w="3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Pricing Disclosure Package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(unless otherwise set forth in a Purchase Agreement): $1.00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Up to 8,300,000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0580"/>
        <w:spacing w:after="0"/>
        <w:rPr>
          <w:sz w:val="20"/>
          <w:szCs w:val="20"/>
          <w:color w:val="auto"/>
        </w:rPr>
      </w:pPr>
      <w:r>
        <w:rPr>
          <w:rFonts w:ascii="Times New Roman" w:cs="Times New Roman" w:eastAsia="Times New Roman" w:hAnsi="Times New Roman"/>
          <w:sz w:val="18"/>
          <w:szCs w:val="18"/>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Placement Agents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Ito the Placement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Chardan Capital Markets LLC</w:t>
      </w:r>
    </w:p>
    <w:p>
      <w:pPr>
        <w:spacing w:after="0" w:line="205" w:lineRule="auto"/>
        <w:rPr>
          <w:sz w:val="20"/>
          <w:szCs w:val="20"/>
          <w:color w:val="auto"/>
        </w:rPr>
      </w:pPr>
      <w:r>
        <w:rPr>
          <w:rFonts w:ascii="Times New Roman" w:cs="Times New Roman" w:eastAsia="Times New Roman" w:hAnsi="Times New Roman"/>
          <w:sz w:val="18"/>
          <w:szCs w:val="18"/>
          <w:color w:val="auto"/>
        </w:rPr>
        <w:t>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Benchmark Company, LLC</w:t>
      </w:r>
    </w:p>
    <w:p>
      <w:pPr>
        <w:spacing w:after="0" w:line="205" w:lineRule="auto"/>
        <w:rPr>
          <w:sz w:val="20"/>
          <w:szCs w:val="20"/>
          <w:color w:val="auto"/>
        </w:rPr>
      </w:pPr>
      <w:r>
        <w:rPr>
          <w:rFonts w:ascii="Times New Roman" w:cs="Times New Roman" w:eastAsia="Times New Roman" w:hAnsi="Times New Roman"/>
          <w:sz w:val="18"/>
          <w:szCs w:val="18"/>
          <w:color w:val="auto"/>
        </w:rPr>
        <w:t>150 East 58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Presto Automation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the placement agents (the “Placement Agents”), propose to enter into a placement agency agreement (the “Placement Agency Agreement”) as Placement Agents, with Presto Automation Inc., a Delaware corporation (the “Company”), providing for the public offering (the “Public Offering”) of common stock, par value $0.0001 per share (the “Common Stock”), of the Company and potentially certain warrants to purchase Common Stock (the “Securities”). Capitalized terms used herein and not otherwise defined shall have the meanings set forth in the Placement Agency Agreement.</w:t>
      </w:r>
    </w:p>
    <w:p>
      <w:pPr>
        <w:spacing w:after="0" w:line="183" w:lineRule="exact"/>
        <w:rPr>
          <w:sz w:val="20"/>
          <w:szCs w:val="20"/>
          <w:color w:val="auto"/>
        </w:rPr>
      </w:pPr>
    </w:p>
    <w:p>
      <w:pPr>
        <w:jc w:val="both"/>
        <w:ind w:firstLine="389"/>
        <w:spacing w:after="0" w:line="252" w:lineRule="auto"/>
        <w:rPr>
          <w:sz w:val="20"/>
          <w:szCs w:val="20"/>
          <w:color w:val="auto"/>
        </w:rPr>
      </w:pPr>
      <w:r>
        <w:rPr>
          <w:rFonts w:ascii="Times New Roman" w:cs="Times New Roman" w:eastAsia="Times New Roman" w:hAnsi="Times New Roman"/>
          <w:sz w:val="18"/>
          <w:szCs w:val="18"/>
          <w:color w:val="auto"/>
        </w:rPr>
        <w:t>In consideration of the Placement Agents’ agreement to act as Placement Agents for the Public Offering of the Securities, and for other good and valuable consideration receipt of which is hereby acknowledged, the undersigned hereby agrees that, without the prior written consent of Northland Securities, Inc., the undersigned will not, and will not cause any direct or indirect affiliate to, during the period beginning on the date of the final prospectus supplement relating to the Public Offering (the “Prospectus”) and ending at the close of business 90 days after the date of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Northland Securities, Inc. with the details of any transaction the undersigned, or any of its affiliates, is a party to as of the date hereof, which transaction would have been restricted by this Letter Agreement (the “Letter Agreement”) if it had been entered into by the undersigned during the Restricted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640" w:hanging="243"/>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the undersigned’s Lock-Up Securities:</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25" w:lineRule="exact"/>
        <w:rPr>
          <w:sz w:val="20"/>
          <w:szCs w:val="20"/>
          <w:color w:val="auto"/>
        </w:rPr>
      </w:pPr>
    </w:p>
    <w:p>
      <w:pPr>
        <w:jc w:val="both"/>
        <w:ind w:firstLine="980"/>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6" w:lineRule="exact"/>
        <w:rPr>
          <w:sz w:val="20"/>
          <w:szCs w:val="20"/>
          <w:color w:val="auto"/>
        </w:rPr>
      </w:pPr>
    </w:p>
    <w:p>
      <w:pPr>
        <w:ind w:firstLine="980"/>
        <w:spacing w:after="0" w:line="282" w:lineRule="auto"/>
        <w:tabs>
          <w:tab w:leader="none" w:pos="11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or the immediate family of the undersigned are the legal and beneficial owner of all of the outstanding equity securities or similar interests,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to a nominee or custodian of a person or entity to whom a disposition or transfer would be permissible under clauses (i) through (iv)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jc w:val="both"/>
        <w:ind w:firstLine="980"/>
        <w:spacing w:after="0" w:line="256" w:lineRule="auto"/>
        <w:tabs>
          <w:tab w:leader="none" w:pos="12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equityholders of the undersigned,</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 or related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order,</w:t>
      </w:r>
    </w:p>
    <w:p>
      <w:pPr>
        <w:spacing w:after="0" w:line="206"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25" w:lineRule="exact"/>
        <w:rPr>
          <w:rFonts w:ascii="Times New Roman" w:cs="Times New Roman" w:eastAsia="Times New Roman" w:hAnsi="Times New Roman"/>
          <w:sz w:val="18"/>
          <w:szCs w:val="18"/>
          <w:color w:val="auto"/>
        </w:rPr>
      </w:pPr>
    </w:p>
    <w:p>
      <w:pPr>
        <w:ind w:right="20" w:firstLine="980"/>
        <w:spacing w:after="0" w:line="282" w:lineRule="auto"/>
        <w:tabs>
          <w:tab w:leader="none" w:pos="12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the Public Offering and any transaction with respect to shares of Common Stock acquired in open market transactions after the completion of the Public Offering,</w:t>
      </w:r>
    </w:p>
    <w:p>
      <w:pPr>
        <w:spacing w:after="0" w:line="162" w:lineRule="exact"/>
        <w:rPr>
          <w:sz w:val="20"/>
          <w:szCs w:val="20"/>
          <w:color w:val="auto"/>
        </w:rPr>
      </w:pPr>
    </w:p>
    <w:p>
      <w:pPr>
        <w:jc w:val="both"/>
        <w:ind w:firstLine="980"/>
        <w:spacing w:after="0" w:line="254" w:lineRule="auto"/>
        <w:tabs>
          <w:tab w:leader="none" w:pos="1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vesting, settlement, or exercise of restricted stock units, options, warrants or other rights to purchase shares of Common Stock (including, in each case, by way of “net” or “cashless” exercise), provided that only such Lock-Up Securities as are necessary to cover the undersigned’s good faith and reasonable determination of taxes that would otherwise be due as a result of such vesting, settlement, or exercise of such restricted stock units, options, warrants or rights shall be transferred or disposed pursuant to this clause (x), provided further that any such shares of Common Stock received upon such exercise, vesting or settlement (other than such shares as are transferred to cover the undersigned’s taxes that would otherwise be due in connection with such vesting, settlement or exercise event)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980"/>
        <w:spacing w:after="0" w:line="255" w:lineRule="auto"/>
        <w:tabs>
          <w:tab w:leader="none" w:pos="13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(other than the Placement Agents pursuant to the Public Offering), of shares of capital stock if, after such transfer, such person or group of affiliated persons would hold more than 75% of the outstanding voting securities of the Company (or the surviving entity)); provided that in the event that such tender offer, merger, consolidation or other similar transaction is not completed, the undersigned’s Lock-Up Securities shall remain subject to the provisions of this Letter Agreement;</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clauses (a)(i), (ii), (iii), (iv), (v) and (vi), such transfer shall not involve a disposition for value, (B) in the case of any transfer or distribution pursuant to clauses (a)(i), (ii), (iii), (iv), (v), (vi) and (vii), each donee, devisee, transferee or distributee shall execute and deliver to Northland Securities, Inc. a lock-up letter in the form of this Letter Agreement, (C) in the case of any transfer or distribution pursuant to clause (a)(ii), (iii), (iv), (v), (vi) and (ix), no filing by any party (donor, donee, devisee, transferor, transferee, distributer or distributee) under the Exchange Act, or other public announcement reporting a reduction in beneficial ownership of shares of Common Stock shall be required or shall be made voluntarily in connection with such transfer or distribution (other than a filing on a Form 5 made after the expiration of the Restricted Period referred to above) and (D) in the case of any transfer or distribution pursuant to clauses (a)(i),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92" w:lineRule="exact"/>
        <w:rPr>
          <w:sz w:val="20"/>
          <w:szCs w:val="20"/>
          <w:color w:val="auto"/>
        </w:rPr>
      </w:pPr>
    </w:p>
    <w:p>
      <w:pPr>
        <w:jc w:val="both"/>
        <w:ind w:firstLine="462"/>
        <w:spacing w:after="0" w:line="255"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outstanding options, settle restricted stock units or other equity awards or exercise outstanding warrants pursuant to plans described in the Registration Statement, the Pricing Disclosure Package and the Prospectus; provided that any Lock-up Securities received upon such exercise, vesting or settlement shall be subject to the terms of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make any filing under Section 16(a) of the Exchange Act, or other public filing, report or announcement during the Restricted Period, the undersigned shall clearly indicate in the footnotes thereto that the filing relates to the circumstances described in this clause and that the shares of Common Stock received upon the exercise or settlement, as applicable, of the stock option, warrant or restricted stock unit or other right or vesting event are subject to this Letter Agreement, and no public filing, report or announcement shall be voluntarily made; and</w:t>
      </w:r>
    </w:p>
    <w:p>
      <w:pPr>
        <w:spacing w:after="0" w:line="188" w:lineRule="exact"/>
        <w:rPr>
          <w:rFonts w:ascii="Times New Roman" w:cs="Times New Roman" w:eastAsia="Times New Roman" w:hAnsi="Times New Roman"/>
          <w:sz w:val="18"/>
          <w:szCs w:val="18"/>
          <w:color w:val="auto"/>
        </w:rPr>
      </w:pPr>
    </w:p>
    <w:p>
      <w:pPr>
        <w:jc w:val="both"/>
        <w:ind w:firstLine="462"/>
        <w:spacing w:after="0" w:line="261" w:lineRule="auto"/>
        <w:tabs>
          <w:tab w:leader="none" w:pos="7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trading plans pursuant to Rule 10b5-1 under the Exchange Act for the transfer of shares of Lock-Up Securities (each such plan, a “Trading Plan”); provided that (1) such Trading Plans do not provide for the transfer of Lock-Up Securities during the Restricted Period and (2) no filing by any party under the Exchange Act or other public announcement shall be made in connection with such Trading Plan during the Restricted Period in contravention of this Lock-Up Agreement (other than as required under Items 408 and 601 of Regulation S-K).</w:t>
      </w:r>
    </w:p>
    <w:p>
      <w:pPr>
        <w:spacing w:after="0" w:line="180"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Letter Agreement in substantially the same form as this Letter Agreement, beneficially owns, directly or indirectly, 50% or more of the common equity interests, or 50% or more of the voting power, in the undersigned.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Placement Agents have not provided any recommendation or investment advice nor have the Placement Agents solicited any action from the undersigned with respect to the Public Offering of the Securities and the undersigned has consulted its own legal, accounting, financial, regulatory and tax advisors to the extent deemed appropriate. The undersigned further acknowledges and agrees that, although the Placement Agents may be required or choose to provide certain Regulation Best Interest and Form CRS disclosures to you in connection with the Public Offering, the Placement Agents are not making a recommendation to you to enter into this Letter Agreement and nothing set forth in such disclosures is intended to suggest that the Placement Agents are making such a recommendation.</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(i) if the Placement Agency Agreement does not become effective by December 15, 2023, (ii) if the Placement Agency Agreement (other than the provisions thereof which survive termination) shall terminate or be terminated prior to payment for and delivery of the Securities to be sold in the Public Offering, (iii) the Company notifies Northland Securities, Inc. in writing prior to the execution of the Placement Agency Agreement that it does not intend to proceed with the Public Offering, or (iv) prior to payment for the Securities, the Registration Statement is withdrawn prior to the execution of the Placement Agency Agreement, the Letter Agreement shall automatically terminate and be of no further force or effect and undersigned shall be released from all obligations under this Letter Agreement. The undersigned understands that the Placement Agents are entering into the Placement Agency Agreement and proceeding with the Public Offering in reliance upon this Letter Agreement.</w:t>
      </w:r>
    </w:p>
    <w:p>
      <w:pPr>
        <w:spacing w:after="0" w:line="189"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hereby consents to receipt of this Letter Agreement in electronic form and understands and agrees that this Letter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454"/>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292735</wp:posOffset>
            </wp:positionV>
            <wp:extent cx="28460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GOVERNANCE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THIS AMENDMENT NO. 1 TO GOVERNANCE AGREEMENT</w:t>
      </w:r>
      <w:r>
        <w:rPr>
          <w:rFonts w:ascii="Times New Roman" w:cs="Times New Roman" w:eastAsia="Times New Roman" w:hAnsi="Times New Roman"/>
          <w:sz w:val="18"/>
          <w:szCs w:val="18"/>
          <w:color w:val="auto"/>
        </w:rPr>
        <w:t>, dated as of November 14, 2023, is entered into by and among (i) Presto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the REMUS Stockholders (as defined herein), (iii) Rajat Suri (“</w:t>
      </w:r>
      <w:r>
        <w:rPr>
          <w:rFonts w:ascii="Times New Roman" w:cs="Times New Roman" w:eastAsia="Times New Roman" w:hAnsi="Times New Roman"/>
          <w:sz w:val="18"/>
          <w:szCs w:val="18"/>
          <w:u w:val="single" w:color="auto"/>
          <w:color w:val="auto"/>
        </w:rPr>
        <w:t>Former Chief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and (iv) Presto CA LLC, a Delaware limited liability company (“</w:t>
      </w:r>
      <w:r>
        <w:rPr>
          <w:rFonts w:ascii="Times New Roman" w:cs="Times New Roman" w:eastAsia="Times New Roman" w:hAnsi="Times New Roman"/>
          <w:sz w:val="18"/>
          <w:szCs w:val="18"/>
          <w:u w:val="single" w:color="auto"/>
          <w:color w:val="auto"/>
        </w:rPr>
        <w:t>CA</w:t>
      </w:r>
      <w:r>
        <w:rPr>
          <w:rFonts w:ascii="Times New Roman" w:cs="Times New Roman" w:eastAsia="Times New Roman" w:hAnsi="Times New Roman"/>
          <w:sz w:val="18"/>
          <w:szCs w:val="18"/>
          <w:color w:val="auto"/>
        </w:rPr>
        <w:t>,” and together with the REMUS Stockholders and the Former Chief Executive Officer, collectively, the “</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Principal Stockholder</w:t>
      </w:r>
      <w:r>
        <w:rPr>
          <w:rFonts w:ascii="Times New Roman" w:cs="Times New Roman" w:eastAsia="Times New Roman" w:hAnsi="Times New Roman"/>
          <w:sz w:val="18"/>
          <w:szCs w:val="18"/>
          <w:color w:val="auto"/>
        </w:rPr>
        <w:t xml:space="preserve">”), and amends that certain Governance Agreement dated as of September 21, 2022, by and among the Company, the Principal Stockholders and solely for purposes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I2BF Global Investments Ltd., a Cayman Islands exempted company (the “</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Capitalized terms used and not defined in this Amendment have the respective meanings given to such terms in the Governance Agreement.</w:t>
      </w:r>
    </w:p>
    <w:p>
      <w:pPr>
        <w:spacing w:after="0" w:line="18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4.3(a) of the Governance Agreement, the Governance Agreement may be amended only by a written instrument duly executed by the Company and the Principal Stockholders;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amend the Governance Agreement as described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and understandings set forth herein, the parties hereto hereby agree as follows:</w:t>
      </w:r>
    </w:p>
    <w:p>
      <w:pPr>
        <w:spacing w:after="0" w:line="225" w:lineRule="exact"/>
        <w:rPr>
          <w:sz w:val="20"/>
          <w:szCs w:val="20"/>
          <w:color w:val="auto"/>
        </w:rPr>
      </w:pPr>
    </w:p>
    <w:p>
      <w:pPr>
        <w:ind w:firstLine="656"/>
        <w:spacing w:after="0" w:line="282" w:lineRule="auto"/>
        <w:tabs>
          <w:tab w:leader="none" w:pos="8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“Principal Stockholders”</w:t>
      </w:r>
      <w:r>
        <w:rPr>
          <w:rFonts w:ascii="Times New Roman" w:cs="Times New Roman" w:eastAsia="Times New Roman" w:hAnsi="Times New Roman"/>
          <w:sz w:val="18"/>
          <w:szCs w:val="18"/>
          <w:color w:val="auto"/>
        </w:rPr>
        <w:t>. The definition of “Principal Stockholders” is hereby amended by deleting “(iii) Rajat Suri (“</w:t>
      </w:r>
      <w:r>
        <w:rPr>
          <w:rFonts w:ascii="Times New Roman" w:cs="Times New Roman" w:eastAsia="Times New Roman" w:hAnsi="Times New Roman"/>
          <w:sz w:val="18"/>
          <w:szCs w:val="18"/>
          <w:u w:val="single" w:color="auto"/>
          <w:color w:val="auto"/>
        </w:rPr>
        <w:t>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and “and the Chief Executive Officer.”</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“Chief Executive Officer”</w:t>
      </w:r>
      <w:r>
        <w:rPr>
          <w:rFonts w:ascii="Times New Roman" w:cs="Times New Roman" w:eastAsia="Times New Roman" w:hAnsi="Times New Roman"/>
          <w:sz w:val="18"/>
          <w:szCs w:val="18"/>
          <w:color w:val="auto"/>
        </w:rPr>
        <w:t>. The definition of “Chief Executive Officer” is hereby deleted in its entirety.</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“Chief Executive Officer Designee”</w:t>
      </w:r>
      <w:r>
        <w:rPr>
          <w:rFonts w:ascii="Times New Roman" w:cs="Times New Roman" w:eastAsia="Times New Roman" w:hAnsi="Times New Roman"/>
          <w:sz w:val="18"/>
          <w:szCs w:val="18"/>
          <w:color w:val="auto"/>
        </w:rPr>
        <w:t>. The definition of “Chief Executive Officer Designee” is hereby deleted in its entirety.</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Deletion of Section 2.1(f)</w:t>
      </w:r>
      <w:r>
        <w:rPr>
          <w:rFonts w:ascii="Times New Roman" w:cs="Times New Roman" w:eastAsia="Times New Roman" w:hAnsi="Times New Roman"/>
          <w:sz w:val="18"/>
          <w:szCs w:val="18"/>
          <w:color w:val="auto"/>
        </w:rPr>
        <w:t>. Section 2.1(f) of the Governance Agreement is hereby deleted in its entirety.</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Deletion of Section 4.4(e)</w:t>
      </w:r>
      <w:r>
        <w:rPr>
          <w:rFonts w:ascii="Times New Roman" w:cs="Times New Roman" w:eastAsia="Times New Roman" w:hAnsi="Times New Roman"/>
          <w:sz w:val="18"/>
          <w:szCs w:val="18"/>
          <w:color w:val="auto"/>
        </w:rPr>
        <w:t>. Section 4.4(e) of the Governance Agreement is hereby deleted in its entirety.</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Amendment</w:t>
      </w:r>
      <w:r>
        <w:rPr>
          <w:rFonts w:ascii="Times New Roman" w:cs="Times New Roman" w:eastAsia="Times New Roman" w:hAnsi="Times New Roman"/>
          <w:sz w:val="18"/>
          <w:szCs w:val="18"/>
          <w:color w:val="auto"/>
        </w:rPr>
        <w:t>. This Amendment is made in accordance with Section 4.3 of the Governance Agreement and constitutes an integral part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8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Ratification and Entire Agreements</w:t>
      </w:r>
      <w:r>
        <w:rPr>
          <w:rFonts w:ascii="Times New Roman" w:cs="Times New Roman" w:eastAsia="Times New Roman" w:hAnsi="Times New Roman"/>
          <w:sz w:val="18"/>
          <w:szCs w:val="18"/>
          <w:color w:val="auto"/>
        </w:rPr>
        <w:t>. Except as expressly amended and modified herein, the Governance Agreement shall continue in full force and effect, and the parties hereby ratify and confirm the Governance Agreement as hereby amended. All references to the Governance Agreement in any document, instrument, agreement, or writing delivered pursuant to the Governance Agreement (as amended hereby) shall hereafter be deemed to refer to the Governance as amended hereby. The Governance Agreement (as amended hereby) and any other documents, instruments, and agreements among the parties as contemplated by or referenced in the Governance Agreement comprise the complete and exclusive agreement between the parties regarding the subject matter of this Amendment, and supersede all oral and written communications, negotiations, representations or agreements in relation to that subject matter made or entered into before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4.2 (Successors and Assigns; Beneficiaries), 4.3(b) (Waiver of Compliance), 4.4 (Notices), 4.7 (Severability), 4.8 (CHOICE OF LAW AND VENUE; WAIVER OF RIGHT TO JURY TRIAL) and 4.9 (Counterparts) of the Governance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Upon the effectiveness of this Amendment, each reference in the Governance Agreement to “this Agreement,” “hereunder,” “herein,” “hereof” or words of like import referring to the Governance Agreement shall mean and refer to the Governance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IN WITNESS WHEREOF, each of the undersigned has signed this Amendment No. 1 to Governance Agreement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REMUS STOCKHOLDERS: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ROMULUS CAPITAL I, L.P.</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By: Romulus Capital Partners I, LLC, its General</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ROMULUS CAPITAL II, L.P.</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By: Romulus Capital Partners II, LLC, its General</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ROMULUS CAPITAL III, L.P.</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By: Romulus Capital Partners II, LLC, its General</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ROMULUS ELC B3 SPECIAL OPPORTUNITY, L.P.</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By: Romulus GP, its General Partner</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ZAFFRAN SPECIAL OPPORTUNITIES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PRESTO CA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McCoy</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26035</wp:posOffset>
            </wp:positionV>
            <wp:extent cx="24942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454660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GOVERNANCE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AMENDED AND RESTATED GOVERNANCE AGREEMENT</w:t>
      </w:r>
      <w:r>
        <w:rPr>
          <w:rFonts w:ascii="Times New Roman" w:cs="Times New Roman" w:eastAsia="Times New Roman" w:hAnsi="Times New Roman"/>
          <w:sz w:val="18"/>
          <w:szCs w:val="18"/>
          <w:color w:val="auto"/>
        </w:rPr>
        <w:t>, dated as of November 16, 2023, is entered into by and among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the REMUS Stockholders (as defined herein), (iii) Presto CA LLC, a Delaware limited liability company (“</w:t>
      </w:r>
      <w:r>
        <w:rPr>
          <w:rFonts w:ascii="Times New Roman" w:cs="Times New Roman" w:eastAsia="Times New Roman" w:hAnsi="Times New Roman"/>
          <w:sz w:val="18"/>
          <w:szCs w:val="18"/>
          <w:u w:val="single" w:color="auto"/>
          <w:color w:val="auto"/>
        </w:rPr>
        <w:t>CA</w:t>
      </w:r>
      <w:r>
        <w:rPr>
          <w:rFonts w:ascii="Times New Roman" w:cs="Times New Roman" w:eastAsia="Times New Roman" w:hAnsi="Times New Roman"/>
          <w:sz w:val="18"/>
          <w:szCs w:val="18"/>
          <w:color w:val="auto"/>
        </w:rPr>
        <w:t>,” and together with the REMUS Stockholders, collectively, the “</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and (iv) solely for purposes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I2BF Global Investments Ltd., a Cayman Islands exempted company (“</w:t>
      </w:r>
      <w:r>
        <w:rPr>
          <w:rFonts w:ascii="Times New Roman" w:cs="Times New Roman" w:eastAsia="Times New Roman" w:hAnsi="Times New Roman"/>
          <w:sz w:val="18"/>
          <w:szCs w:val="18"/>
          <w:u w:val="single" w:color="auto"/>
          <w:color w:val="auto"/>
        </w:rPr>
        <w:t>I2BF</w:t>
      </w:r>
      <w:r>
        <w:rPr>
          <w:rFonts w:ascii="Times New Roman" w:cs="Times New Roman" w:eastAsia="Times New Roman" w:hAnsi="Times New Roman"/>
          <w:sz w:val="18"/>
          <w:szCs w:val="18"/>
          <w:color w:val="auto"/>
        </w:rPr>
        <w:t xml:space="preserve">”). Capitalized terms used herein without definition shall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Principal Stockholders entered into that certain Governance Agreement dated September 21, 2022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Original Agreement was amended on November 15, 2023 pursuant to an amendment signed by the parties thereto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1</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desire to amend and restate the Original Agreement, as subsequently amended pursuant to Amendment No. 1.</w:t>
      </w:r>
    </w:p>
    <w:p>
      <w:pPr>
        <w:spacing w:after="0" w:line="22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and understandings set forth herein, the parties hereto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Governance Agreement as in effect on the date hereof and as hereafter from time to time amended, modified or supplemented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Designees</w:t>
      </w:r>
      <w:r>
        <w:rPr>
          <w:rFonts w:ascii="Times New Roman" w:cs="Times New Roman" w:eastAsia="Times New Roman" w:hAnsi="Times New Roman"/>
          <w:sz w:val="18"/>
          <w:szCs w:val="18"/>
          <w:color w:val="auto"/>
        </w:rPr>
        <w:t xml:space="preserve">” shall mean the directors designated by the Principal Stockholders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 Designee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to act in a certain manner, including causing members of the Board of Directors or any nominating or similar committee of the Board of Directors to recommend the appointment or nomination of any Board Designees as provided by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REMUS Designee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REMUS Stockholders</w:t>
      </w:r>
      <w:r>
        <w:rPr>
          <w:rFonts w:ascii="Times New Roman" w:cs="Times New Roman" w:eastAsia="Times New Roman" w:hAnsi="Times New Roman"/>
          <w:sz w:val="18"/>
          <w:szCs w:val="18"/>
          <w:color w:val="auto"/>
        </w:rPr>
        <w:t>” means, collectively, those entities set forth under the heading “REMUS Stockholders” on the signature pages hereto and such other entities as may be part of a “group” in the future as such term is defined under Rule 13d-5(b) under the Exchange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of Initial Board</w:t>
      </w:r>
      <w:r>
        <w:rPr>
          <w:rFonts w:ascii="Times New Roman" w:cs="Times New Roman" w:eastAsia="Times New Roman" w:hAnsi="Times New Roman"/>
          <w:sz w:val="18"/>
          <w:szCs w:val="18"/>
          <w:color w:val="auto"/>
        </w:rPr>
        <w:t>. The Company and the Principal Stockholders shall take all Necessary Action to cause the Board of Directors to be comprised of nine directors, divided into three classes of directors each of whose members shall serve for staggered three-year terms. The initial eight members of the Board of Directors shall be as follows, with the vacancy to be filled after the date of this Agreement by an individual proposed by the Company’s Nominating and Governance Committee and approved by the Board of Directors:</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(subject to reelection in 2023) which shall be:</w:t>
      </w:r>
    </w:p>
    <w:p>
      <w:pPr>
        <w:spacing w:after="0" w:line="225"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designated by the REMUS Stockholders (which director is currently Krishna Gupta);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2920" w:hanging="320"/>
        <w:spacing w:after="0"/>
        <w:tabs>
          <w:tab w:leader="none" w:pos="292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designated by CA (which director is currently Keith Kravcik); and</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Scheetz;</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(subject to reelection in 2024) shall be:</w:t>
      </w:r>
    </w:p>
    <w:p>
      <w:pPr>
        <w:spacing w:after="0" w:line="225"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Ilya Golubovich; and</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Raskin (who shall be moved from Class III to Class II as of the date of this Agreement); and</w:t>
      </w:r>
    </w:p>
    <w:p>
      <w:pPr>
        <w:spacing w:after="0" w:line="225"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(subject to reelection in 2025) shall be:</w:t>
      </w:r>
    </w:p>
    <w:p>
      <w:pPr>
        <w:spacing w:after="0" w:line="225"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designated by the REMUS Stockholders (which director shall be Sasha Hoffman);</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designated by the REMUS Stockholders (which director shall be Tewfik Cassis); and</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Gail Zauder.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Krishna Gupta shall initially serve as the Chairperson of the Board of Directors and shall continue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(which will be the 2026 annual meeting, so long as Krishna Gupta remains a Class I director).</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Any change to the size of the Board of Directors must be authorized by the affirmative vote of a majority of the entire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Nominations</w:t>
      </w:r>
      <w:r>
        <w:rPr>
          <w:rFonts w:ascii="Times New Roman" w:cs="Times New Roman" w:eastAsia="Times New Roman" w:hAnsi="Times New Roman"/>
          <w:sz w:val="18"/>
          <w:szCs w:val="18"/>
          <w:color w:val="auto"/>
        </w:rPr>
        <w:t xml:space="preserve">. Each of the initial Class I directors have been nominated for reelection by stockholders at the 2023 annual meeting of stockholders and, subject to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shall hold office until the annual meeting of stockholders in 2026 or until their earlier resignation, removal or death. Subject to Sections 2.1(e) and (f) below, (i) Class II directors shall be nominated for reelection by the stockholders at the 2024 annual meeting of stockholders and shall hold office until the annual meeting of stockholders in 2027 or until their earlier resignation, removal or death, and (ii) Class III directors shall be nominated for reelection by the stockholders at the 2025 annual meeting of stockholders and shall and shall hold office until the annual meeting of stockholders in 2028 or until their earlier resignation, removal or death.</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REMUS Representation</w:t>
      </w:r>
      <w:r>
        <w:rPr>
          <w:rFonts w:ascii="Times New Roman" w:cs="Times New Roman" w:eastAsia="Times New Roman" w:hAnsi="Times New Roman"/>
          <w:sz w:val="18"/>
          <w:szCs w:val="18"/>
          <w:color w:val="auto"/>
        </w:rPr>
        <w:t>. For so long as the REMUS Stockholders and any of their respective Affiliates hold, in the aggregate, not less than five percent of the Company’s outstanding voting securities, the REMUS Stockholders shall be entitled (but not obligated) to nominate for election up to three directors as set forth in Section 2.1(a) (each board member nominated by the REMUS Stockholders, a “</w:t>
      </w:r>
      <w:r>
        <w:rPr>
          <w:rFonts w:ascii="Times New Roman" w:cs="Times New Roman" w:eastAsia="Times New Roman" w:hAnsi="Times New Roman"/>
          <w:sz w:val="18"/>
          <w:szCs w:val="18"/>
          <w:u w:val="single" w:color="auto"/>
          <w:color w:val="auto"/>
        </w:rPr>
        <w:t>REMUS Nominee</w:t>
      </w:r>
      <w:r>
        <w:rPr>
          <w:rFonts w:ascii="Times New Roman" w:cs="Times New Roman" w:eastAsia="Times New Roman" w:hAnsi="Times New Roman"/>
          <w:sz w:val="18"/>
          <w:szCs w:val="18"/>
          <w:color w:val="auto"/>
        </w:rPr>
        <w:t>”) and the Company and the Principal Stockholders shall take Necessary Action to include each REMUS Nominee on the board; provided, however, that the number of directors that the REMUS Stockholders are entitled to nominate shall not be greater than the aggregate percentage of the Company’s outstanding voting securities held by the REMUS Stockholders and any of their respective Affiliates expressed as an integer calculated by rounding up such percent to the nearest whole number, in each case, at the time of such nomination. The nomination rights set forth herein may be effected by KKG Enterprises LLC on behalf of the REMUS Stockholders provided that KKG is a shareholder of the Company and a member of a “group” with the REMUS Stockholders as such term is defined under Rule 13d-5(b) under the Exchange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304"/>
        <w:spacing w:after="0" w:line="254" w:lineRule="auto"/>
        <w:tabs>
          <w:tab w:leader="none" w:pos="15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 Representation</w:t>
      </w:r>
      <w:r>
        <w:rPr>
          <w:rFonts w:ascii="Times New Roman" w:cs="Times New Roman" w:eastAsia="Times New Roman" w:hAnsi="Times New Roman"/>
          <w:sz w:val="18"/>
          <w:szCs w:val="18"/>
          <w:color w:val="auto"/>
        </w:rPr>
        <w:t>. For so long as CA and its Affiliates hold, in the aggregate, not less than 75.0%, collectively, of the shares of Common Stock they held immediately following the consummation of the transactions contemplated by the Merger Agreement, CA shall be entitled (but not obligated) to nominate for election and require the Company and the Principal Stockholders to take Necessary Action to include a single Class I director (a “</w:t>
      </w:r>
      <w:r>
        <w:rPr>
          <w:rFonts w:ascii="Times New Roman" w:cs="Times New Roman" w:eastAsia="Times New Roman" w:hAnsi="Times New Roman"/>
          <w:sz w:val="18"/>
          <w:szCs w:val="18"/>
          <w:u w:val="single" w:color="auto"/>
          <w:color w:val="auto"/>
        </w:rPr>
        <w:t>CA Designee</w:t>
      </w:r>
      <w:r>
        <w:rPr>
          <w:rFonts w:ascii="Times New Roman" w:cs="Times New Roman" w:eastAsia="Times New Roman" w:hAnsi="Times New Roman"/>
          <w:sz w:val="18"/>
          <w:szCs w:val="18"/>
          <w:color w:val="auto"/>
        </w:rPr>
        <w:t xml:space="preserve">”) in the slate of nominees recommended by the Board of Directors for election as directors at each applicable annual or special meeting of stockholders at which directors are to be elected;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provision of this Agreement to the contrary notwithstanding, within three business days of the date on which CA and its Affiliates hold, in the aggregate, less than 75.0%, collectively, of the shares of Common Stock they hold immediately following the consummation of the transactions contemplated by the Merger Agreement, CA shall notify the Company and, promptly following the written request of the Nominating and Governance Committee of the Board of Directors, shall cause the CA Designee to execute and deliver an irrevocable written resignation from the Board of Directors and any committees on which he or she then sits.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Obligations</w:t>
      </w:r>
      <w:r>
        <w:rPr>
          <w:rFonts w:ascii="Times New Roman" w:cs="Times New Roman" w:eastAsia="Times New Roman" w:hAnsi="Times New Roman"/>
          <w:sz w:val="18"/>
          <w:szCs w:val="18"/>
          <w:color w:val="auto"/>
        </w:rPr>
        <w:t xml:space="preserve">. An individual designated by a Principal Stockholder for election (including pursuant to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as a director shall comply with the requirements of the charter for, and related guidelines of, the Company’s Nominating and Governance Committee. Notwithstanding anything to the contrary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event that the Board of Directors determines in good faith, after consultation with outside legal counsel, that its nomination, appointment or election of a particular Board Designee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and the Board of Directors and the Company shall take all of the actions required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Board Designees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as applicable, with respect to decreases in ownership of the Principal Stockholders, (i) each Principal Stockholder shall have the exclusive right to request the resignation of its Board Designee from the Board of Directors and (ii) each Principal Stockholder shall have the exclusive right to designate a replacement director to fill the vacancy (for the remainder of the then current term) created by reason of death, disability, removal or resignation of its Board Designee, and, subject to the provisions of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the Company and the Principal Stockholders shall take all Necessary Action to cause any such vacancies to be filled by the replacement director designated by such designating Principal Stockholder as promptly as reasonably practicable.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Nominations; Vacancies</w:t>
      </w:r>
      <w:r>
        <w:rPr>
          <w:rFonts w:ascii="Times New Roman" w:cs="Times New Roman" w:eastAsia="Times New Roman" w:hAnsi="Times New Roman"/>
          <w:sz w:val="18"/>
          <w:szCs w:val="18"/>
          <w:color w:val="auto"/>
        </w:rPr>
        <w:t xml:space="preserve">. Notwithstanding anything contained in this Agreement to the contrary, other than the Principal Stockholders’ rights to (i) nominate individuals for election as specifically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and (ii) designate replacement directors in accordance with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 no Principal Stockholder shall have any right nominate or designate any individual for election or appointment to the Board of Directors, or to fill any vacancy on the Board of Directors, whether such vacancy is caused by a change to the size of the Board of Directors or by the resignation, removal or death of a director.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Committees of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applicable law. The Board of Directors may dissolve any committee or remove any member of a committee at any time.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constituted and chartered an Audit Committee, a Compensation Committee, a Nominating and Governance Committee and a Strategic Finance Committee, comprised solely of independent directors and with an initial constitution as follows: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Audit Committee shall be Keith Kravcik (Chair), Ilya Golubovich, Edward Scheetz and Gail Zauder;</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Compensation Committee shall be Gail Zauder (Chair), Sasha Hoffman, Scott Raskin and Edward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Scheetz;</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Nominating and Governance Committee shall be Ilya Golubovich (Chair), Krishna Gupta, Keith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Kravcik and Tewfik Cassis; and</w:t>
      </w:r>
    </w:p>
    <w:p>
      <w:pPr>
        <w:spacing w:after="0" w:line="206"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Strategic Finance Committee shall be Gail Zauder (Chair), Keith Kravcik, Krishna Gupta and Edward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Scheetz.</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to otherwise effect the intent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Agreement of Company</w:t>
      </w:r>
      <w:r>
        <w:rPr>
          <w:rFonts w:ascii="Times New Roman" w:cs="Times New Roman" w:eastAsia="Times New Roman" w:hAnsi="Times New Roman"/>
          <w:sz w:val="18"/>
          <w:szCs w:val="18"/>
          <w:color w:val="auto"/>
        </w:rPr>
        <w:t xml:space="preserve">. The Company hereby agrees that it will take all Necessary Actions to cause the matters addressed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Restrictions on Other Agreements</w:t>
      </w:r>
      <w:r>
        <w:rPr>
          <w:rFonts w:ascii="Times New Roman" w:cs="Times New Roman" w:eastAsia="Times New Roman" w:hAnsi="Times New Roman"/>
          <w:sz w:val="18"/>
          <w:szCs w:val="18"/>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parties to this Agreement hereby represents and warrants to each other party to this Agreement, severally on behalf of itself and not jointly, that as of the date such party executes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Existence; Authority; Enforceability</w:t>
      </w:r>
      <w:r>
        <w:rPr>
          <w:rFonts w:ascii="Times New Roman" w:cs="Times New Roman" w:eastAsia="Times New Roman" w:hAnsi="Times New Roman"/>
          <w:sz w:val="18"/>
          <w:szCs w:val="18"/>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The execution and delivery by such party of this Agreement and the performance of its obligations hereunder does not and will not (i) 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MISCELLAENOUS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be of no further force and effect (a) solely with respect to a party hereto, in the event that such party no longer as the right to designate a director hereunder, (b) upon the written agreement of the Principal Stockholders to terminate this Agreement or (c) subject to the final sentence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Successors and Assigns; Beneficiaries</w:t>
      </w:r>
      <w:r>
        <w:rPr>
          <w:rFonts w:ascii="Times New Roman" w:cs="Times New Roman" w:eastAsia="Times New Roman" w:hAnsi="Times New Roman"/>
          <w:sz w:val="18"/>
          <w:szCs w:val="18"/>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Affiliate agrees be bound by the obligations 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Amendment and Modification; Waiver of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0" w:hanging="296"/>
        <w:spacing w:after="0"/>
        <w:tabs>
          <w:tab w:leader="none" w:pos="1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only by a written instrument duly executed by the Company and the Principal Stockholders.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the Company, addressed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Xavier Casanova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xavier@presto.com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REMUS Stockholders, addressed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Romulus Capital II, 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307 Harvard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Krishna Gupta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kkg@romulusgroup.com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0221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William Schnoor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wschnoor@goodwinlaw.com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8"/>
          <w:szCs w:val="18"/>
          <w:color w:val="auto"/>
        </w:rPr>
        <w:t>(c) If to I2BF, addressed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I2BF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115 E 23rd Street, Suite 507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mike@i2bf.com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If to CA, addressed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Presto CA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222 N. Canal Street, Third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Keith Kravcik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kkravcik@clevelandave.com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Riley Safer Holmes &amp; Cancila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70 W. Madison Street, Suite 2900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Illinois 60602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Jeff Larry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jlarry@rshc-law.com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or, in each case, to such other address or electronic mail address as such party may designate in writing to each Principal Stockholder by written notice given in the manner specified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CHOICE OF LAW AND VENUE; WAIVER OF RIGHT TO JURY TRIAL</w:t>
      </w:r>
      <w:r>
        <w:rPr>
          <w:rFonts w:ascii="Times New Roman" w:cs="Times New Roman" w:eastAsia="Times New Roman" w:hAnsi="Times New Roman"/>
          <w:sz w:val="18"/>
          <w:szCs w:val="18"/>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w:t>
      </w:r>
    </w:p>
    <w:p>
      <w:pPr>
        <w:spacing w:after="0" w:line="4" w:lineRule="exact"/>
        <w:rPr>
          <w:sz w:val="20"/>
          <w:szCs w:val="20"/>
          <w:color w:val="auto"/>
        </w:rPr>
      </w:pPr>
    </w:p>
    <w:p>
      <w:pPr>
        <w:jc w:val="both"/>
        <w:ind w:firstLine="8"/>
        <w:spacing w:after="0" w:line="251" w:lineRule="auto"/>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IN WITNESS WHEREOF, each of the undersigned has signed this Governance Agreement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64" w:name="page65"/>
    <w:bookmarkEnd w:id="64"/>
    <w:p>
      <w:pPr>
        <w:ind w:left="5640"/>
        <w:spacing w:after="0"/>
        <w:rPr>
          <w:sz w:val="20"/>
          <w:szCs w:val="20"/>
          <w:color w:val="auto"/>
        </w:rPr>
      </w:pPr>
      <w:r>
        <w:rPr>
          <w:rFonts w:ascii="Times New Roman" w:cs="Times New Roman" w:eastAsia="Times New Roman" w:hAnsi="Times New Roman"/>
          <w:sz w:val="18"/>
          <w:szCs w:val="18"/>
          <w:b w:val="1"/>
          <w:bCs w:val="1"/>
          <w:color w:val="auto"/>
        </w:rPr>
        <w:t>REMUS STOCKHOLDERS: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ROMULUS CAPITAL I,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Romulus Capital Partners I, LLC, its General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ROMULUS CAPITAL II,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Romulus Capital Partners II, LLC, its General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ROMULUS CAPITAL III,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Romulus Capital Partners II, LLC, its General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ROMULUS ELC B3 SPECIAL OPPORTUNITY, L.P.</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ZAFFRAN SPECIAL OPPORTUNITIES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1440" w:top="900" w:right="659" w:bottom="1440" w:gutter="0" w:footer="0" w:header="0"/>
        </w:sectPr>
      </w:pPr>
    </w:p>
    <w:bookmarkStart w:id="65" w:name="page66"/>
    <w:bookmarkEnd w:id="65"/>
    <w:p>
      <w:pPr>
        <w:ind w:left="5640"/>
        <w:spacing w:after="0"/>
        <w:rPr>
          <w:sz w:val="20"/>
          <w:szCs w:val="20"/>
          <w:color w:val="auto"/>
        </w:rPr>
      </w:pPr>
      <w:r>
        <w:rPr>
          <w:rFonts w:ascii="Times New Roman" w:cs="Times New Roman" w:eastAsia="Times New Roman" w:hAnsi="Times New Roman"/>
          <w:sz w:val="17"/>
          <w:szCs w:val="17"/>
          <w:b w:val="1"/>
          <w:bCs w:val="1"/>
          <w:color w:val="auto"/>
        </w:rPr>
        <w:t>I2BF GLOBAL INVESTMENTS LTD.</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Lousteau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Lousteau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CA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STOCKHOLDERS AGREEMENT</w:t>
      </w:r>
      <w:r>
        <w:rPr>
          <w:rFonts w:ascii="Times New Roman" w:cs="Times New Roman" w:eastAsia="Times New Roman" w:hAnsi="Times New Roman"/>
          <w:sz w:val="18"/>
          <w:szCs w:val="18"/>
          <w:color w:val="auto"/>
        </w:rPr>
        <w:t>, dated as of November 15, 2023, is entered into by and among (i) Presto Automation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the REMUS Stockholder (as defined herein) and (iii) Presto CA LLC, a Delaware limited liability company (“</w:t>
      </w:r>
      <w:r>
        <w:rPr>
          <w:rFonts w:ascii="Times New Roman" w:cs="Times New Roman" w:eastAsia="Times New Roman" w:hAnsi="Times New Roman"/>
          <w:sz w:val="18"/>
          <w:szCs w:val="18"/>
          <w:u w:val="single" w:color="auto"/>
          <w:color w:val="auto"/>
        </w:rPr>
        <w:t>CA</w:t>
      </w:r>
      <w:r>
        <w:rPr>
          <w:rFonts w:ascii="Times New Roman" w:cs="Times New Roman" w:eastAsia="Times New Roman" w:hAnsi="Times New Roman"/>
          <w:sz w:val="18"/>
          <w:szCs w:val="18"/>
          <w:color w:val="auto"/>
        </w:rPr>
        <w:t>,” and together with the REMUS Stockholder, collectively, the “</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Principal Stockholder</w:t>
      </w:r>
      <w:r>
        <w:rPr>
          <w:rFonts w:ascii="Times New Roman" w:cs="Times New Roman" w:eastAsia="Times New Roman" w:hAnsi="Times New Roman"/>
          <w:sz w:val="18"/>
          <w:szCs w:val="18"/>
          <w:color w:val="auto"/>
        </w:rPr>
        <w:t>”). Capitalized terms used herein without definition shall have the meanings set forth in Section 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desire to set forth certain understandings between such parties, including with respect to certain governance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20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and understandings set forth herein, the parties hereto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Stockholders Agreement as in effect on the date hereof and as hereafter from time to time amended, modified or supplemented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REMUS Stockholder</w:t>
      </w:r>
      <w:r>
        <w:rPr>
          <w:rFonts w:ascii="Times New Roman" w:cs="Times New Roman" w:eastAsia="Times New Roman" w:hAnsi="Times New Roman"/>
          <w:sz w:val="18"/>
          <w:szCs w:val="18"/>
          <w:color w:val="auto"/>
        </w:rPr>
        <w:t>” means KKG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Consent to Certain Actions</w:t>
      </w:r>
      <w:r>
        <w:rPr>
          <w:rFonts w:ascii="Times New Roman" w:cs="Times New Roman" w:eastAsia="Times New Roman" w:hAnsi="Times New Roman"/>
          <w:sz w:val="18"/>
          <w:szCs w:val="18"/>
          <w:color w:val="auto"/>
        </w:rPr>
        <w:t>. Subject to the provisions of Section 3.1, without the prior written approval of each of the Principal Stockholders, until the 12-month anniversary of the date of this Agreement, the Company shall not, and shall (to the extent applicable) cause each of its subsidiaries not to:</w:t>
      </w:r>
    </w:p>
    <w:p>
      <w:pPr>
        <w:spacing w:after="0" w:line="176" w:lineRule="exact"/>
        <w:rPr>
          <w:sz w:val="20"/>
          <w:szCs w:val="20"/>
          <w:color w:val="auto"/>
        </w:rPr>
      </w:pPr>
    </w:p>
    <w:p>
      <w:pPr>
        <w:jc w:val="both"/>
        <w:ind w:left="660" w:firstLine="644"/>
        <w:spacing w:after="0" w:line="255" w:lineRule="auto"/>
        <w:tabs>
          <w:tab w:leader="none" w:pos="15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shares of common stock of the Company or any of its subsidiaries (“Common Stock”), or securities convertible into or exercisable for Common Stock of the Company, other than (A) pursuant to the grant, vesting or exercise of any award under any board-approved equity compensation plan, (B) upon the exercise of warrants or convertible securities outstanding on the date of this Agreement, including as a result of any anti-dilution or other adjustment mechanisms contained therein, (C) any intra-company issuance among the Company and its wholly-owned subsidiaries, or (D) to lenders in connection with debt financings of the Company or its subsidiaries or any re-financings, workouts, waivers, consents, amendments, conversions, exchanges or other modifications of existing debt financings of the Company or its subsidiaries, or any other transactions with any lender to the Company or its subsidiaries related to any existing debt financings; or</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the chief executive officer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MISCELLAENOUS</w:t>
      </w:r>
    </w:p>
    <w:p>
      <w:pPr>
        <w:spacing w:after="0" w:line="20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terminate and be of no further force and effect (a) with respect to a Principal Stockholder at such time as such Principal Stockholder, together with such Principal Stockholder’s Affiliates, no longer beneficially owns at least 50% of the outstanding shares of Common Stock held by such Principal Stockholder, together with such Principal Stockholder’s Affiliates, as of the date hereof, (b) upon the written agreement of each of the Principal Stockholders to terminate this Agreement or (c) subject to the final sentence of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this Agreement, if its provisions become illegal or are interpreted by any governmental authority to be illegal, or any exchange on which the Common Stock is traded asserts in writing that its existence will threaten the continued listing of the Common Stock on such exchange. In the event of a circumstance contemplated by clause</w:t>
      </w:r>
    </w:p>
    <w:p>
      <w:pPr>
        <w:spacing w:after="0" w:line="5" w:lineRule="exact"/>
        <w:rPr>
          <w:sz w:val="20"/>
          <w:szCs w:val="20"/>
          <w:color w:val="auto"/>
        </w:rPr>
      </w:pPr>
    </w:p>
    <w:p>
      <w:pPr>
        <w:ind w:firstLine="8"/>
        <w:spacing w:after="0" w:line="260"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Successors and Assigns; Beneficiaries</w:t>
      </w:r>
      <w:r>
        <w:rPr>
          <w:rFonts w:ascii="Times New Roman" w:cs="Times New Roman" w:eastAsia="Times New Roman" w:hAnsi="Times New Roman"/>
          <w:sz w:val="18"/>
          <w:szCs w:val="18"/>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Affiliate agrees be bound by the obligations 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Amendment and Modification; Waiver of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only by a written instrument duly executed by the Company and the Principal Stockholders.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76" w:lineRule="exact"/>
        <w:rPr>
          <w:sz w:val="20"/>
          <w:szCs w:val="20"/>
          <w:color w:val="auto"/>
        </w:rPr>
      </w:pPr>
    </w:p>
    <w:p>
      <w:pPr>
        <w:ind w:left="1960" w:hanging="656"/>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ind w:left="1960" w:right="76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985 Industrial Road San Carlos, CA 94070 Attn: Ashish Gupta</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ashish@presto.com</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REMUS Stockholder, addressed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Capital II, L.P.</w:t>
      </w:r>
    </w:p>
    <w:p>
      <w:pPr>
        <w:spacing w:after="0" w:line="27" w:lineRule="exact"/>
        <w:rPr>
          <w:rFonts w:ascii="Times New Roman" w:cs="Times New Roman" w:eastAsia="Times New Roman" w:hAnsi="Times New Roman"/>
          <w:sz w:val="18"/>
          <w:szCs w:val="18"/>
          <w:color w:val="auto"/>
        </w:rPr>
      </w:pPr>
    </w:p>
    <w:p>
      <w:pPr>
        <w:ind w:left="1960" w:right="76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307 Harvard Street Cambridge, MA 02139 Attn: Krishna Gupta</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kkg@romulusgroup.com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960" w:right="76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Goodwin Procter LLP 100 Northern Avenue Boston, MA 0221 Attn: William Schnoor</w:t>
      </w:r>
    </w:p>
    <w:p>
      <w:pPr>
        <w:spacing w:after="0" w:line="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wschnoor@goodwinlaw.com</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 addressed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CA LLC</w:t>
      </w:r>
    </w:p>
    <w:p>
      <w:pPr>
        <w:spacing w:after="0" w:line="27" w:lineRule="exact"/>
        <w:rPr>
          <w:rFonts w:ascii="Times New Roman" w:cs="Times New Roman" w:eastAsia="Times New Roman" w:hAnsi="Times New Roman"/>
          <w:sz w:val="18"/>
          <w:szCs w:val="18"/>
          <w:color w:val="auto"/>
        </w:rPr>
      </w:pPr>
    </w:p>
    <w:p>
      <w:pPr>
        <w:ind w:left="1960" w:right="69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N. Canal Street, Third Floor Chicago, IL 60606</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Keith Kravcik</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kkravcik@clevelandave.com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CA LLC</w:t>
      </w:r>
    </w:p>
    <w:p>
      <w:pPr>
        <w:spacing w:after="0" w:line="27" w:lineRule="exact"/>
        <w:rPr>
          <w:rFonts w:ascii="Times New Roman" w:cs="Times New Roman" w:eastAsia="Times New Roman" w:hAnsi="Times New Roman"/>
          <w:sz w:val="18"/>
          <w:szCs w:val="18"/>
          <w:color w:val="auto"/>
        </w:rPr>
      </w:pPr>
    </w:p>
    <w:p>
      <w:pPr>
        <w:ind w:left="1960" w:right="69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N. Canal Street, Third Floor Chicago, IL 60606</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Office of the General Counsel</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mseale@clevelandave.com</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or, in each case, to such other address or electronic mail address as such party may designate in writing to each Principal Stockholder by written notice given in the manner specified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CHOICE OF LAW AND VENUE; WAIVER OF RIGHT TO JURY TRIAL</w:t>
      </w:r>
      <w:r>
        <w:rPr>
          <w:rFonts w:ascii="Times New Roman" w:cs="Times New Roman" w:eastAsia="Times New Roman" w:hAnsi="Times New Roman"/>
          <w:sz w:val="18"/>
          <w:szCs w:val="18"/>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w:t>
      </w:r>
    </w:p>
    <w:p>
      <w:pPr>
        <w:spacing w:after="0" w:line="4" w:lineRule="exact"/>
        <w:rPr>
          <w:sz w:val="20"/>
          <w:szCs w:val="20"/>
          <w:color w:val="auto"/>
        </w:rPr>
      </w:pPr>
    </w:p>
    <w:p>
      <w:pPr>
        <w:jc w:val="both"/>
        <w:ind w:firstLine="8"/>
        <w:spacing w:after="0" w:line="251" w:lineRule="auto"/>
        <w:tabs>
          <w:tab w:leader="none" w:pos="2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IN WITNESS WHEREOF, each of the undersigned has signed this Stockholders Agreement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72" w:name="page73"/>
    <w:bookmarkEnd w:id="72"/>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REMUS STOCKHOLDER: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KKG ENTERPRISES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3" w:name="page74"/>
    <w:bookmarkEnd w:id="73"/>
    <w:p>
      <w:pPr>
        <w:ind w:left="5640"/>
        <w:spacing w:after="0"/>
        <w:rPr>
          <w:sz w:val="20"/>
          <w:szCs w:val="20"/>
          <w:color w:val="auto"/>
        </w:rPr>
      </w:pPr>
      <w:r>
        <w:rPr>
          <w:rFonts w:ascii="Times New Roman" w:cs="Times New Roman" w:eastAsia="Times New Roman" w:hAnsi="Times New Roman"/>
          <w:sz w:val="18"/>
          <w:szCs w:val="18"/>
          <w:b w:val="1"/>
          <w:bCs w:val="1"/>
          <w:color w:val="auto"/>
        </w:rPr>
        <w:t>PRESTO CA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36" w:lineRule="exact"/>
        <w:rPr>
          <w:sz w:val="20"/>
          <w:szCs w:val="20"/>
          <w:color w:val="auto"/>
        </w:rPr>
      </w:pPr>
    </w:p>
    <w:p>
      <w:pPr>
        <w:jc w:val="right"/>
        <w:ind w:right="1279"/>
        <w:spacing w:after="0"/>
        <w:tabs>
          <w:tab w:leader="none" w:pos="1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1,924,200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November 21, 2023</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Levered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1,924,200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962,100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1480" w:hanging="176"/>
        <w:spacing w:after="0"/>
        <w:tabs>
          <w:tab w:leader="none" w:pos="1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2200" w:hanging="248"/>
        <w:spacing w:after="0"/>
        <w:tabs>
          <w:tab w:leader="none" w:pos="2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1952"/>
        <w:spacing w:after="0" w:line="258" w:lineRule="auto"/>
        <w:tabs>
          <w:tab w:leader="none" w:pos="22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952"/>
        <w:spacing w:after="0" w:line="266" w:lineRule="auto"/>
        <w:tabs>
          <w:tab w:leader="none" w:pos="21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952"/>
        <w:spacing w:after="0" w:line="267" w:lineRule="auto"/>
        <w:tabs>
          <w:tab w:leader="none" w:pos="219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rFonts w:ascii="Times New Roman" w:cs="Times New Roman" w:eastAsia="Times New Roman" w:hAnsi="Times New Roman"/>
          <w:sz w:val="17"/>
          <w:szCs w:val="17"/>
          <w:color w:val="auto"/>
        </w:rPr>
      </w:pPr>
    </w:p>
    <w:p>
      <w:pPr>
        <w:jc w:val="both"/>
        <w:ind w:firstLine="8"/>
        <w:spacing w:after="0" w:line="250" w:lineRule="auto"/>
        <w:tabs>
          <w:tab w:leader="none" w:pos="2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14" w:lineRule="exact"/>
        <w:rPr>
          <w:rFonts w:ascii="Times New Roman" w:cs="Times New Roman" w:eastAsia="Times New Roman" w:hAnsi="Times New Roman"/>
          <w:sz w:val="18"/>
          <w:szCs w:val="18"/>
          <w:color w:val="auto"/>
        </w:rPr>
      </w:pPr>
    </w:p>
    <w:p>
      <w:pPr>
        <w:jc w:val="both"/>
        <w:ind w:firstLine="8"/>
        <w:spacing w:after="0" w:line="253" w:lineRule="auto"/>
        <w:tabs>
          <w:tab w:leader="none" w:pos="2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952"/>
        <w:spacing w:after="0" w:line="252" w:lineRule="auto"/>
        <w:tabs>
          <w:tab w:leader="none" w:pos="21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952"/>
        <w:spacing w:after="0" w:line="254" w:lineRule="auto"/>
        <w:tabs>
          <w:tab w:leader="none" w:pos="21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$1.00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and the amendment and restatement is as of a result of a Dilutive Issuance with a $1.00 per share New Issuance Price. For all purposes of the foregoing (including, without limitation, determining the adjusted number of Warrant Shares and the New Issuance Price under this Section 2(b)), the following shall be applicable:</w:t>
      </w:r>
    </w:p>
    <w:p>
      <w:pPr>
        <w:spacing w:after="0" w:line="188" w:lineRule="exact"/>
        <w:rPr>
          <w:rFonts w:ascii="Times New Roman" w:cs="Times New Roman" w:eastAsia="Times New Roman" w:hAnsi="Times New Roman"/>
          <w:sz w:val="18"/>
          <w:szCs w:val="18"/>
          <w:color w:val="auto"/>
        </w:rPr>
      </w:pPr>
    </w:p>
    <w:p>
      <w:pPr>
        <w:jc w:val="both"/>
        <w:ind w:firstLine="2600"/>
        <w:spacing w:after="0" w:line="252" w:lineRule="auto"/>
        <w:tabs>
          <w:tab w:leader="none" w:pos="280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jc w:val="both"/>
        <w:ind w:firstLine="2600"/>
        <w:spacing w:after="0" w:line="252" w:lineRule="auto"/>
        <w:tabs>
          <w:tab w:leader="none" w:pos="285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2600"/>
        <w:spacing w:after="0" w:line="253" w:lineRule="auto"/>
        <w:tabs>
          <w:tab w:leader="none" w:pos="29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91" w:lineRule="exact"/>
        <w:rPr>
          <w:rFonts w:ascii="Times New Roman" w:cs="Times New Roman" w:eastAsia="Times New Roman" w:hAnsi="Times New Roman"/>
          <w:sz w:val="18"/>
          <w:szCs w:val="18"/>
          <w:color w:val="auto"/>
        </w:rPr>
      </w:pPr>
    </w:p>
    <w:p>
      <w:pPr>
        <w:jc w:val="both"/>
        <w:ind w:firstLine="2600"/>
        <w:spacing w:after="0" w:line="267" w:lineRule="auto"/>
        <w:tabs>
          <w:tab w:leader="none" w:pos="292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7"/>
          <w:szCs w:val="17"/>
          <w:b w:val="1"/>
          <w:bCs w:val="1"/>
          <w:color w:val="auto"/>
        </w:rPr>
        <w:t>Primary Security</w:t>
      </w:r>
      <w:r>
        <w:rPr>
          <w:rFonts w:ascii="Times New Roman" w:cs="Times New Roman" w:eastAsia="Times New Roman" w:hAnsi="Times New Roman"/>
          <w:sz w:val="17"/>
          <w:szCs w:val="17"/>
          <w:color w:val="auto"/>
        </w:rPr>
        <w:t>”, and such Option and/or Convertible Security and/or Adjustment Right, the “</w:t>
      </w:r>
      <w:r>
        <w:rPr>
          <w:rFonts w:ascii="Times New Roman" w:cs="Times New Roman" w:eastAsia="Times New Roman" w:hAnsi="Times New Roman"/>
          <w:sz w:val="17"/>
          <w:szCs w:val="17"/>
          <w:b w:val="1"/>
          <w:bCs w:val="1"/>
          <w:color w:val="auto"/>
        </w:rPr>
        <w:t>Secondary Securities</w:t>
      </w:r>
      <w:r>
        <w:rPr>
          <w:rFonts w:ascii="Times New Roman" w:cs="Times New Roman" w:eastAsia="Times New Roman" w:hAnsi="Times New Roman"/>
          <w:sz w:val="17"/>
          <w:szCs w:val="17"/>
          <w:color w:val="auto"/>
        </w:rPr>
        <w:t>” and together with the Primary Security, each a “</w:t>
      </w:r>
      <w:r>
        <w:rPr>
          <w:rFonts w:ascii="Times New Roman" w:cs="Times New Roman" w:eastAsia="Times New Roman" w:hAnsi="Times New Roman"/>
          <w:sz w:val="17"/>
          <w:szCs w:val="17"/>
          <w:b w:val="1"/>
          <w:bCs w:val="1"/>
          <w:color w:val="auto"/>
        </w:rPr>
        <w:t>Unit</w:t>
      </w:r>
      <w:r>
        <w:rPr>
          <w:rFonts w:ascii="Times New Roman" w:cs="Times New Roman" w:eastAsia="Times New Roman" w:hAnsi="Times New Roman"/>
          <w:sz w:val="17"/>
          <w:szCs w:val="17"/>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2" w:lineRule="exact"/>
        <w:rPr>
          <w:rFonts w:ascii="Times New Roman" w:cs="Times New Roman" w:eastAsia="Times New Roman" w:hAnsi="Times New Roman"/>
          <w:sz w:val="17"/>
          <w:szCs w:val="17"/>
          <w:color w:val="auto"/>
        </w:rPr>
      </w:pPr>
    </w:p>
    <w:p>
      <w:pPr>
        <w:jc w:val="both"/>
        <w:ind w:firstLine="8"/>
        <w:spacing w:after="0" w:line="250" w:lineRule="auto"/>
        <w:tabs>
          <w:tab w:leader="none" w:pos="2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600"/>
        <w:spacing w:after="0" w:line="258" w:lineRule="auto"/>
        <w:tabs>
          <w:tab w:leader="none" w:pos="284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18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52" w:lineRule="auto"/>
        <w:tabs>
          <w:tab w:leader="none" w:pos="14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97"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0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2600"/>
        <w:spacing w:after="0" w:line="251" w:lineRule="auto"/>
        <w:tabs>
          <w:tab w:leader="none" w:pos="28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952"/>
        <w:spacing w:after="0" w:line="254" w:lineRule="auto"/>
        <w:tabs>
          <w:tab w:leader="none" w:pos="218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1480" w:hanging="176"/>
        <w:spacing w:after="0"/>
        <w:tabs>
          <w:tab w:leader="none" w:pos="14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304"/>
        <w:spacing w:after="0" w:line="258" w:lineRule="auto"/>
        <w:tabs>
          <w:tab w:leader="none" w:pos="14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304"/>
        <w:spacing w:after="0" w:line="253"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1580" w:hanging="276"/>
        <w:spacing w:after="0"/>
        <w:tabs>
          <w:tab w:leader="none" w:pos="1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Act.</w:t>
      </w:r>
    </w:p>
    <w:p>
      <w:pPr>
        <w:spacing w:after="0" w:line="206"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0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952"/>
        <w:spacing w:after="0" w:line="253" w:lineRule="auto"/>
        <w:tabs>
          <w:tab w:leader="none" w:pos="2199"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Times New Roman" w:cs="Times New Roman" w:eastAsia="Times New Roman" w:hAnsi="Times New Roman"/>
          <w:sz w:val="18"/>
          <w:szCs w:val="18"/>
          <w:b w:val="1"/>
          <w:bCs w:val="1"/>
          <w:i w:val="1"/>
          <w:iCs w:val="1"/>
          <w:color w:val="auto"/>
        </w:rPr>
        <w:t>2023 Form 10-K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4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3"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952"/>
        <w:spacing w:after="0" w:line="254" w:lineRule="auto"/>
        <w:tabs>
          <w:tab w:leader="none" w:pos="221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952"/>
        <w:spacing w:after="0" w:line="256" w:lineRule="auto"/>
        <w:tabs>
          <w:tab w:leader="none" w:pos="22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6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952"/>
        <w:spacing w:after="0" w:line="262" w:lineRule="auto"/>
        <w:tabs>
          <w:tab w:leader="none" w:pos="218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ind w:firstLine="1952"/>
        <w:spacing w:after="0" w:line="286" w:lineRule="auto"/>
        <w:tabs>
          <w:tab w:leader="none" w:pos="219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1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952"/>
        <w:spacing w:after="0" w:line="257" w:lineRule="auto"/>
        <w:tabs>
          <w:tab w:leader="none" w:pos="22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firstLine="1952"/>
        <w:spacing w:after="0" w:line="286" w:lineRule="auto"/>
        <w:tabs>
          <w:tab w:leader="none" w:pos="22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ind w:firstLine="1952"/>
        <w:spacing w:after="0" w:line="253" w:lineRule="auto"/>
        <w:tabs>
          <w:tab w:leader="none" w:pos="21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firstLine="1952"/>
        <w:spacing w:after="0" w:line="286" w:lineRule="auto"/>
        <w:tabs>
          <w:tab w:leader="none" w:pos="21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2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1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right="20" w:firstLine="1952"/>
        <w:spacing w:after="0" w:line="286" w:lineRule="auto"/>
        <w:tabs>
          <w:tab w:leader="none" w:pos="22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1952"/>
        <w:spacing w:after="0" w:line="251" w:lineRule="auto"/>
        <w:tabs>
          <w:tab w:leader="none" w:pos="2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952"/>
        <w:spacing w:after="0" w:line="259" w:lineRule="auto"/>
        <w:tabs>
          <w:tab w:leader="none" w:pos="21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rFonts w:ascii="Times New Roman" w:cs="Times New Roman" w:eastAsia="Times New Roman" w:hAnsi="Times New Roman"/>
          <w:sz w:val="18"/>
          <w:szCs w:val="18"/>
          <w:color w:val="auto"/>
        </w:rPr>
      </w:pPr>
    </w:p>
    <w:p>
      <w:pPr>
        <w:ind w:right="20" w:firstLine="1952"/>
        <w:spacing w:after="0" w:line="286" w:lineRule="auto"/>
        <w:tabs>
          <w:tab w:leader="none" w:pos="219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18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1952"/>
        <w:spacing w:after="0" w:line="278" w:lineRule="auto"/>
        <w:tabs>
          <w:tab w:leader="none" w:pos="219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3" w:lineRule="exact"/>
        <w:rPr>
          <w:rFonts w:ascii="Times New Roman" w:cs="Times New Roman" w:eastAsia="Times New Roman" w:hAnsi="Times New Roman"/>
          <w:sz w:val="17"/>
          <w:szCs w:val="17"/>
          <w:color w:val="auto"/>
        </w:rPr>
      </w:pPr>
    </w:p>
    <w:p>
      <w:pPr>
        <w:jc w:val="both"/>
        <w:ind w:firstLine="1952"/>
        <w:spacing w:after="0" w:line="253" w:lineRule="auto"/>
        <w:tabs>
          <w:tab w:leader="none" w:pos="21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firstLine="65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 Electronic Delivery</w:t>
            </w:r>
          </w:p>
        </w:tc>
        <w:tc>
          <w:tcPr>
            <w:tcW w:w="67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60" w:type="dxa"/>
            <w:vAlign w:val="bottom"/>
          </w:tcPr>
          <w:p>
            <w:pPr>
              <w:ind w:left="1680"/>
              <w:spacing w:after="0" w:line="196" w:lineRule="exact"/>
              <w:rPr>
                <w:sz w:val="20"/>
                <w:szCs w:val="20"/>
                <w:color w:val="auto"/>
              </w:rPr>
            </w:pPr>
            <w:r>
              <w:rPr>
                <w:rFonts w:ascii="Times New Roman" w:cs="Times New Roman" w:eastAsia="Times New Roman" w:hAnsi="Times New Roman"/>
                <w:sz w:val="18"/>
                <w:szCs w:val="18"/>
                <w:color w:val="auto"/>
              </w:rPr>
              <w:t>DTC Number:</w:t>
            </w:r>
          </w:p>
        </w:tc>
        <w:tc>
          <w:tcPr>
            <w:tcW w:w="33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60" w:type="dxa"/>
            <w:vAlign w:val="bottom"/>
          </w:tcPr>
          <w:p>
            <w:pPr>
              <w:ind w:left="1680"/>
              <w:spacing w:after="0" w:line="196" w:lineRule="exact"/>
              <w:rPr>
                <w:sz w:val="20"/>
                <w:szCs w:val="20"/>
                <w:color w:val="auto"/>
              </w:rPr>
            </w:pPr>
            <w:r>
              <w:rPr>
                <w:rFonts w:ascii="Times New Roman" w:cs="Times New Roman" w:eastAsia="Times New Roman" w:hAnsi="Times New Roman"/>
                <w:sz w:val="18"/>
                <w:szCs w:val="18"/>
                <w:color w:val="auto"/>
              </w:rPr>
              <w:t>Account Name:</w:t>
            </w:r>
          </w:p>
        </w:tc>
        <w:tc>
          <w:tcPr>
            <w:tcW w:w="3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60" w:type="dxa"/>
            <w:vAlign w:val="bottom"/>
          </w:tcPr>
          <w:p>
            <w:pPr>
              <w:ind w:left="1680"/>
              <w:spacing w:after="0" w:line="196" w:lineRule="exact"/>
              <w:rPr>
                <w:sz w:val="20"/>
                <w:szCs w:val="20"/>
                <w:color w:val="auto"/>
              </w:rPr>
            </w:pPr>
            <w:r>
              <w:rPr>
                <w:rFonts w:ascii="Times New Roman" w:cs="Times New Roman" w:eastAsia="Times New Roman" w:hAnsi="Times New Roman"/>
                <w:sz w:val="18"/>
                <w:szCs w:val="18"/>
                <w:color w:val="auto"/>
              </w:rPr>
              <w:t>Account Number:</w:t>
            </w:r>
          </w:p>
        </w:tc>
        <w:tc>
          <w:tcPr>
            <w:tcW w:w="3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 Physical Delivery</w:t>
            </w:r>
          </w:p>
        </w:tc>
        <w:tc>
          <w:tcPr>
            <w:tcW w:w="67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196"/>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 _______________ __, ______</w:t>
            </w:r>
          </w:p>
        </w:tc>
        <w:tc>
          <w:tcPr>
            <w:tcW w:w="3360" w:type="dxa"/>
            <w:vAlign w:val="bottom"/>
          </w:tcPr>
          <w:p>
            <w:pPr>
              <w:spacing w:after="0"/>
              <w:rPr>
                <w:sz w:val="17"/>
                <w:szCs w:val="17"/>
                <w:color w:val="auto"/>
              </w:rPr>
            </w:pPr>
          </w:p>
        </w:tc>
        <w:tc>
          <w:tcPr>
            <w:tcW w:w="33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3360" w:type="dxa"/>
            <w:vAlign w:val="bottom"/>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33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5349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3492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Dated: __________________, ____</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2143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2143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14605</wp:posOffset>
            </wp:positionV>
            <wp:extent cx="21431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2,677,800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November 21, 2023</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2,677,800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1,338,900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ind w:left="840" w:hanging="184"/>
        <w:spacing w:after="0"/>
        <w:tabs>
          <w:tab w:leader="none" w:pos="8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1560" w:hanging="256"/>
        <w:spacing w:after="0"/>
        <w:tabs>
          <w:tab w:leader="none" w:pos="1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304"/>
        <w:spacing w:after="0" w:line="261" w:lineRule="auto"/>
        <w:tabs>
          <w:tab w:leader="none" w:pos="15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304"/>
        <w:spacing w:after="0" w:line="266" w:lineRule="auto"/>
        <w:tabs>
          <w:tab w:leader="none" w:pos="1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304"/>
        <w:spacing w:after="0" w:line="250" w:lineRule="auto"/>
        <w:tabs>
          <w:tab w:leader="none" w:pos="152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304"/>
        <w:spacing w:after="0" w:line="252" w:lineRule="auto"/>
        <w:tabs>
          <w:tab w:leader="none" w:pos="155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304"/>
        <w:spacing w:after="0" w:line="254" w:lineRule="auto"/>
        <w:tabs>
          <w:tab w:leader="none" w:pos="155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$1.00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and the amendment and restatement is as of a result of a Dilutive Issuance with a $1.00 per share New Issuance Price. For all purposes of the foregoing (including, without limitation, determining the adjusted number of Warrant Shares and the New Issuance Price under this Section 2(b)), the following shall be applicable:</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7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3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952"/>
        <w:spacing w:after="0" w:line="253" w:lineRule="auto"/>
        <w:tabs>
          <w:tab w:leader="none" w:pos="2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91" w:lineRule="exact"/>
        <w:rPr>
          <w:rFonts w:ascii="Times New Roman" w:cs="Times New Roman" w:eastAsia="Times New Roman" w:hAnsi="Times New Roman"/>
          <w:sz w:val="18"/>
          <w:szCs w:val="18"/>
          <w:color w:val="auto"/>
        </w:rPr>
      </w:pPr>
    </w:p>
    <w:p>
      <w:pPr>
        <w:jc w:val="both"/>
        <w:ind w:firstLine="1952"/>
        <w:spacing w:after="0" w:line="251" w:lineRule="auto"/>
        <w:tabs>
          <w:tab w:leader="none" w:pos="226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1952"/>
        <w:spacing w:after="0" w:line="258" w:lineRule="auto"/>
        <w:tabs>
          <w:tab w:leader="none" w:pos="21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firstLine="1304"/>
        <w:spacing w:after="0" w:line="282" w:lineRule="auto"/>
        <w:tabs>
          <w:tab w:leader="none" w:pos="155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952"/>
        <w:spacing w:after="0" w:line="251" w:lineRule="auto"/>
        <w:tabs>
          <w:tab w:leader="none" w:pos="220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304"/>
        <w:spacing w:after="0" w:line="254" w:lineRule="auto"/>
        <w:tabs>
          <w:tab w:leader="none" w:pos="156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6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840" w:hanging="184"/>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56"/>
        <w:spacing w:after="0" w:line="258" w:lineRule="auto"/>
        <w:tabs>
          <w:tab w:leader="none" w:pos="82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56"/>
        <w:spacing w:after="0" w:line="253" w:lineRule="auto"/>
        <w:tabs>
          <w:tab w:leader="none" w:pos="9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920" w:hanging="264"/>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firstLine="656"/>
        <w:spacing w:after="0" w:line="282" w:lineRule="auto"/>
        <w:tabs>
          <w:tab w:leader="none" w:pos="93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Times New Roman" w:cs="Times New Roman" w:eastAsia="Times New Roman" w:hAnsi="Times New Roman"/>
          <w:sz w:val="18"/>
          <w:szCs w:val="18"/>
          <w:b w:val="1"/>
          <w:bCs w:val="1"/>
          <w:i w:val="1"/>
          <w:iCs w:val="1"/>
          <w:color w:val="auto"/>
        </w:rPr>
        <w:t>2023 Form 10-K</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1304"/>
        <w:spacing w:after="0" w:line="255" w:lineRule="auto"/>
        <w:tabs>
          <w:tab w:leader="none" w:pos="15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304"/>
        <w:spacing w:after="0" w:line="266" w:lineRule="auto"/>
        <w:tabs>
          <w:tab w:leader="none" w:pos="152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155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1304"/>
        <w:spacing w:after="0" w:line="253" w:lineRule="auto"/>
        <w:tabs>
          <w:tab w:leader="none" w:pos="155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3" w:lineRule="auto"/>
        <w:tabs>
          <w:tab w:leader="none" w:pos="153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w:t>
      </w:r>
    </w:p>
    <w:p>
      <w:pPr>
        <w:jc w:val="both"/>
        <w:ind w:firstLine="8"/>
        <w:spacing w:after="0" w:line="251" w:lineRule="auto"/>
        <w:tabs>
          <w:tab w:leader="none" w:pos="21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55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firstLine="1304"/>
        <w:spacing w:after="0" w:line="253" w:lineRule="auto"/>
        <w:tabs>
          <w:tab w:leader="none" w:pos="151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right="20" w:firstLine="1304"/>
        <w:spacing w:after="0" w:line="286" w:lineRule="auto"/>
        <w:tabs>
          <w:tab w:leader="none" w:pos="155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1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firstLine="1304"/>
        <w:spacing w:after="0" w:line="286" w:lineRule="auto"/>
        <w:tabs>
          <w:tab w:leader="none" w:pos="155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ind w:left="1560" w:hanging="256"/>
        <w:spacing w:after="0"/>
        <w:tabs>
          <w:tab w:leader="none" w:pos="15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15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9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1304"/>
        <w:spacing w:after="0" w:line="278" w:lineRule="auto"/>
        <w:tabs>
          <w:tab w:leader="none" w:pos="155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firstLine="1304"/>
        <w:spacing w:after="0" w:line="253" w:lineRule="auto"/>
        <w:tabs>
          <w:tab w:leader="none" w:pos="15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firstLine="65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 “Cashless Exercise” with respect to _________________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Electronic Delivery</w:t>
            </w:r>
          </w:p>
        </w:tc>
        <w:tc>
          <w:tcPr>
            <w:tcW w:w="6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09"/>
        </w:trPr>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33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DTC Number:</w:t>
            </w:r>
          </w:p>
        </w:tc>
        <w:tc>
          <w:tcPr>
            <w:tcW w:w="33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3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Account Name:</w:t>
            </w: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3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Account Number:</w:t>
            </w: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Physical Delivery</w:t>
            </w:r>
          </w:p>
        </w:tc>
        <w:tc>
          <w:tcPr>
            <w:tcW w:w="3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Address:</w:t>
            </w: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Date: _______________ __, ______</w:t>
            </w:r>
          </w:p>
        </w:tc>
        <w:tc>
          <w:tcPr>
            <w:tcW w:w="338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338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500" w:type="dxa"/>
            <w:vAlign w:val="bottom"/>
            <w:gridSpan w:val="3"/>
            <w:vMerge w:val="continue"/>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3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6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4997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4997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49974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__________________, ____</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168910</wp:posOffset>
            </wp:positionV>
            <wp:extent cx="22802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22860</wp:posOffset>
            </wp:positionV>
            <wp:extent cx="22802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-121920</wp:posOffset>
            </wp:positionV>
            <wp:extent cx="22802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2023-10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634,200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November 21, 2023</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Offshore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634,200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317,100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1480" w:hanging="176"/>
        <w:spacing w:after="0"/>
        <w:tabs>
          <w:tab w:leader="none" w:pos="1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2200" w:hanging="248"/>
        <w:spacing w:after="0"/>
        <w:tabs>
          <w:tab w:leader="none" w:pos="22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1952"/>
        <w:spacing w:after="0" w:line="256" w:lineRule="auto"/>
        <w:tabs>
          <w:tab w:leader="none" w:pos="22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(other than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952"/>
        <w:spacing w:after="0" w:line="266" w:lineRule="auto"/>
        <w:tabs>
          <w:tab w:leader="none" w:pos="21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12.</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p>
      <w:pPr>
        <w:jc w:val="both"/>
        <w:ind w:firstLine="1952"/>
        <w:spacing w:after="0" w:line="266" w:lineRule="auto"/>
        <w:tabs>
          <w:tab w:leader="none" w:pos="2196"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color w:val="auto"/>
        </w:rPr>
        <w:t xml:space="preserve">1(f). For purposes of this Section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color w:val="auto"/>
        </w:rPr>
        <w:t>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color w:val="auto"/>
        </w:rPr>
        <w:t>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198" w:lineRule="exact"/>
        <w:rPr>
          <w:rFonts w:ascii="Times New Roman" w:cs="Times New Roman" w:eastAsia="Times New Roman" w:hAnsi="Times New Roman"/>
          <w:sz w:val="17"/>
          <w:szCs w:val="17"/>
          <w:color w:val="auto"/>
        </w:rPr>
      </w:pPr>
    </w:p>
    <w:p>
      <w:pPr>
        <w:jc w:val="both"/>
        <w:ind w:firstLine="8"/>
        <w:spacing w:after="0" w:line="249" w:lineRule="auto"/>
        <w:tabs>
          <w:tab w:leader="none" w:pos="2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1(f) to the extent necessary to correct this paragraph or any portion of this paragraph which may be defective or inconsistent with the intended beneficial ownership limitation contained in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5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952"/>
        <w:spacing w:after="0" w:line="252" w:lineRule="auto"/>
        <w:tabs>
          <w:tab w:leader="none" w:pos="21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1(g) shall limit any obligations of the Company under any provision of the Credit Agreement.</w:t>
      </w:r>
    </w:p>
    <w:p>
      <w:pPr>
        <w:spacing w:after="0" w:line="180"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8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$1.00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and the amendment and restatement is as of a result of a Dilutive Issuance with a $1.00 per share New Issuance Price. For all purposes of the foregoing (including, without limitation, determining the adjusted number of Warrant Shares and the New Issuance Price under this Section 2(b)), the following shall be applicable:</w:t>
      </w:r>
    </w:p>
    <w:p>
      <w:pPr>
        <w:spacing w:after="0" w:line="188" w:lineRule="exact"/>
        <w:rPr>
          <w:rFonts w:ascii="Times New Roman" w:cs="Times New Roman" w:eastAsia="Times New Roman" w:hAnsi="Times New Roman"/>
          <w:sz w:val="18"/>
          <w:szCs w:val="18"/>
          <w:color w:val="auto"/>
        </w:rPr>
      </w:pPr>
    </w:p>
    <w:p>
      <w:pPr>
        <w:jc w:val="both"/>
        <w:ind w:firstLine="2600"/>
        <w:spacing w:after="0" w:line="252" w:lineRule="auto"/>
        <w:tabs>
          <w:tab w:leader="none" w:pos="2807"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63" w:gutter="0" w:footer="0" w:header="0"/>
        </w:sectPr>
      </w:pPr>
    </w:p>
    <w:bookmarkStart w:id="133" w:name="page134"/>
    <w:bookmarkEnd w:id="133"/>
    <w:p>
      <w:pPr>
        <w:jc w:val="both"/>
        <w:ind w:firstLine="2600"/>
        <w:spacing w:after="0" w:line="252" w:lineRule="auto"/>
        <w:tabs>
          <w:tab w:leader="none" w:pos="285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4" w:lineRule="exact"/>
        <w:rPr>
          <w:rFonts w:ascii="Times New Roman" w:cs="Times New Roman" w:eastAsia="Times New Roman" w:hAnsi="Times New Roman"/>
          <w:sz w:val="18"/>
          <w:szCs w:val="18"/>
          <w:color w:val="auto"/>
        </w:rPr>
      </w:pPr>
    </w:p>
    <w:p>
      <w:pPr>
        <w:jc w:val="both"/>
        <w:ind w:firstLine="2600"/>
        <w:spacing w:after="0" w:line="253" w:lineRule="auto"/>
        <w:tabs>
          <w:tab w:leader="none" w:pos="290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2600"/>
        <w:spacing w:after="0" w:line="267" w:lineRule="auto"/>
        <w:tabs>
          <w:tab w:leader="none" w:pos="2924"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7"/>
          <w:szCs w:val="17"/>
          <w:b w:val="1"/>
          <w:bCs w:val="1"/>
          <w:color w:val="auto"/>
        </w:rPr>
        <w:t>Primary Security</w:t>
      </w:r>
      <w:r>
        <w:rPr>
          <w:rFonts w:ascii="Times New Roman" w:cs="Times New Roman" w:eastAsia="Times New Roman" w:hAnsi="Times New Roman"/>
          <w:sz w:val="17"/>
          <w:szCs w:val="17"/>
          <w:color w:val="auto"/>
        </w:rPr>
        <w:t>”, and such Option and/or Convertible Security and/or Adjustment Right, the “</w:t>
      </w:r>
      <w:r>
        <w:rPr>
          <w:rFonts w:ascii="Times New Roman" w:cs="Times New Roman" w:eastAsia="Times New Roman" w:hAnsi="Times New Roman"/>
          <w:sz w:val="17"/>
          <w:szCs w:val="17"/>
          <w:b w:val="1"/>
          <w:bCs w:val="1"/>
          <w:color w:val="auto"/>
        </w:rPr>
        <w:t>Secondary Securities</w:t>
      </w:r>
      <w:r>
        <w:rPr>
          <w:rFonts w:ascii="Times New Roman" w:cs="Times New Roman" w:eastAsia="Times New Roman" w:hAnsi="Times New Roman"/>
          <w:sz w:val="17"/>
          <w:szCs w:val="17"/>
          <w:color w:val="auto"/>
        </w:rPr>
        <w:t>” and together with the Primary Security, each a “</w:t>
      </w:r>
      <w:r>
        <w:rPr>
          <w:rFonts w:ascii="Times New Roman" w:cs="Times New Roman" w:eastAsia="Times New Roman" w:hAnsi="Times New Roman"/>
          <w:sz w:val="17"/>
          <w:szCs w:val="17"/>
          <w:b w:val="1"/>
          <w:bCs w:val="1"/>
          <w:color w:val="auto"/>
        </w:rPr>
        <w:t>Unit</w:t>
      </w:r>
      <w:r>
        <w:rPr>
          <w:rFonts w:ascii="Times New Roman" w:cs="Times New Roman" w:eastAsia="Times New Roman" w:hAnsi="Times New Roman"/>
          <w:sz w:val="17"/>
          <w:szCs w:val="17"/>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2" w:lineRule="exact"/>
        <w:rPr>
          <w:rFonts w:ascii="Times New Roman" w:cs="Times New Roman" w:eastAsia="Times New Roman" w:hAnsi="Times New Roman"/>
          <w:sz w:val="17"/>
          <w:szCs w:val="17"/>
          <w:color w:val="auto"/>
        </w:rPr>
      </w:pPr>
    </w:p>
    <w:p>
      <w:pPr>
        <w:jc w:val="both"/>
        <w:ind w:firstLine="8"/>
        <w:spacing w:after="0" w:line="250" w:lineRule="auto"/>
        <w:tabs>
          <w:tab w:leader="none" w:pos="26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600"/>
        <w:spacing w:after="0" w:line="258" w:lineRule="auto"/>
        <w:tabs>
          <w:tab w:leader="none" w:pos="2847"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1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952"/>
        <w:spacing w:after="0" w:line="266" w:lineRule="auto"/>
        <w:tabs>
          <w:tab w:leader="none" w:pos="219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62"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8"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2200" w:hanging="248"/>
        <w:spacing w:after="0"/>
        <w:tabs>
          <w:tab w:leader="none" w:pos="22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0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5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under this Warrant and the other Loan Documents in accordance with the provisions of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such Fundamental Transaction). Upon the consummation of each Fundamental Transaction described in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4(a)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the Holder may elect,</w:t>
      </w:r>
    </w:p>
    <w:p>
      <w:pPr>
        <w:spacing w:after="0" w:line="4"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sole option, by delivery of written notice to the Company to waive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permit the Public Fundamental Transaction without the assumption of this Warrant.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1" w:lineRule="exact"/>
        <w:rPr>
          <w:sz w:val="20"/>
          <w:szCs w:val="20"/>
          <w:color w:val="auto"/>
        </w:rPr>
      </w:pPr>
    </w:p>
    <w:p>
      <w:pPr>
        <w:jc w:val="both"/>
        <w:ind w:firstLine="1952"/>
        <w:spacing w:after="0" w:line="255" w:lineRule="auto"/>
        <w:tabs>
          <w:tab w:leader="none" w:pos="218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xml:space="preserve">. Notwithstanding the foregoing and the provisions of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7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1304"/>
        <w:spacing w:after="0" w:line="253" w:lineRule="auto"/>
        <w:tabs>
          <w:tab w:leader="none" w:pos="14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6, the Company shall provide the Holder with copies of the same notices and other information given to the stockholders of the Company generally, contemporaneously with the giving thereof to the stockholders.</w:t>
      </w:r>
    </w:p>
    <w:p>
      <w:pPr>
        <w:spacing w:after="0" w:line="184"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0" w:lineRule="auto"/>
        <w:tabs>
          <w:tab w:leader="none" w:pos="218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7(d)) to the Holder representing the right to purchase the number of Warrant Shares not being transferred. For the avoidance of doubt, this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7(a) will not apply to a sale, transfer, pledge or assignment of this Warrant that does not involve a reissuance of this Warrant.</w:t>
      </w:r>
    </w:p>
    <w:p>
      <w:pPr>
        <w:spacing w:after="0" w:line="192"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7(d)) representing the right to purchase the Warrant Shares then underlying this Warrant.</w:t>
      </w:r>
    </w:p>
    <w:p>
      <w:pPr>
        <w:spacing w:after="0" w:line="17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8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7(a) or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1304"/>
        <w:spacing w:after="0" w:line="258" w:lineRule="auto"/>
        <w:tabs>
          <w:tab w:leader="none" w:pos="148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304"/>
        <w:spacing w:after="0" w:line="253" w:lineRule="auto"/>
        <w:tabs>
          <w:tab w:leader="none" w:pos="15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1(c) will apply.</w:t>
      </w:r>
    </w:p>
    <w:p>
      <w:pPr>
        <w:spacing w:after="0" w:line="17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firstLine="1304"/>
        <w:spacing w:after="0" w:line="282" w:lineRule="auto"/>
        <w:tabs>
          <w:tab w:leader="none" w:pos="15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Act.</w:t>
      </w:r>
    </w:p>
    <w:p>
      <w:pPr>
        <w:spacing w:after="0" w:line="206"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0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952"/>
        <w:spacing w:after="0" w:line="253" w:lineRule="auto"/>
        <w:tabs>
          <w:tab w:leader="none" w:pos="2199"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Times New Roman" w:cs="Times New Roman" w:eastAsia="Times New Roman" w:hAnsi="Times New Roman"/>
          <w:sz w:val="18"/>
          <w:szCs w:val="18"/>
          <w:b w:val="1"/>
          <w:bCs w:val="1"/>
          <w:i w:val="1"/>
          <w:iCs w:val="1"/>
          <w:color w:val="auto"/>
        </w:rPr>
        <w:t>2023 Form 10-K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9"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952"/>
        <w:spacing w:after="0" w:line="254" w:lineRule="auto"/>
        <w:tabs>
          <w:tab w:leader="none" w:pos="221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0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2"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952"/>
        <w:spacing w:after="0" w:line="256" w:lineRule="auto"/>
        <w:tabs>
          <w:tab w:leader="none" w:pos="219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5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952"/>
        <w:spacing w:after="0" w:line="262" w:lineRule="auto"/>
        <w:tabs>
          <w:tab w:leader="none" w:pos="218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ind w:firstLine="1952"/>
        <w:spacing w:after="0" w:line="286" w:lineRule="auto"/>
        <w:tabs>
          <w:tab w:leader="none" w:pos="219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15"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1952"/>
        <w:spacing w:after="0" w:line="257" w:lineRule="auto"/>
        <w:tabs>
          <w:tab w:leader="none" w:pos="221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xml:space="preserve">” means the value of the unexercised portion of this Warrant remaining on the date of the consummation of the Fundamental Transaction referred to in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xml:space="preserve">” means the value of the unexercised portion of this Warrant remaining on the date of the Holder’s request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4(c) and (2) the remaining term of this Warrant as of the date of consummation of the applicable Fundamental Transaction or as of the date of the Holder’s request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2200" w:hanging="248"/>
        <w:spacing w:after="0"/>
        <w:tabs>
          <w:tab w:leader="none" w:pos="22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firstLine="1952"/>
        <w:spacing w:after="0" w:line="286" w:lineRule="auto"/>
        <w:tabs>
          <w:tab w:leader="none" w:pos="221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12. All such determinations to be appropriately adjusted for any stock dividend, stock split, stock combination, reclassification or other similar transaction during the applicable calculation period.</w:t>
      </w:r>
    </w:p>
    <w:p>
      <w:pPr>
        <w:spacing w:after="0" w:line="188" w:lineRule="exact"/>
        <w:rPr>
          <w:rFonts w:ascii="Times New Roman" w:cs="Times New Roman" w:eastAsia="Times New Roman" w:hAnsi="Times New Roman"/>
          <w:sz w:val="18"/>
          <w:szCs w:val="18"/>
          <w:color w:val="auto"/>
        </w:rPr>
      </w:pPr>
    </w:p>
    <w:p>
      <w:pPr>
        <w:ind w:firstLine="1952"/>
        <w:spacing w:after="0" w:line="286" w:lineRule="auto"/>
        <w:tabs>
          <w:tab w:leader="none" w:pos="21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2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1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1952"/>
        <w:spacing w:after="0" w:line="252" w:lineRule="auto"/>
        <w:tabs>
          <w:tab w:leader="none" w:pos="22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191" w:lineRule="exact"/>
        <w:rPr>
          <w:rFonts w:ascii="Times New Roman" w:cs="Times New Roman" w:eastAsia="Times New Roman" w:hAnsi="Times New Roman"/>
          <w:sz w:val="18"/>
          <w:szCs w:val="18"/>
          <w:color w:val="auto"/>
        </w:rPr>
      </w:pPr>
    </w:p>
    <w:p>
      <w:pPr>
        <w:ind w:firstLine="1952"/>
        <w:spacing w:after="0" w:line="286" w:lineRule="auto"/>
        <w:tabs>
          <w:tab w:leader="none" w:pos="221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1952"/>
        <w:spacing w:after="0" w:line="251" w:lineRule="auto"/>
        <w:tabs>
          <w:tab w:leader="none" w:pos="2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952"/>
        <w:spacing w:after="0" w:line="259" w:lineRule="auto"/>
        <w:tabs>
          <w:tab w:leader="none" w:pos="21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rFonts w:ascii="Times New Roman" w:cs="Times New Roman" w:eastAsia="Times New Roman" w:hAnsi="Times New Roman"/>
          <w:sz w:val="18"/>
          <w:szCs w:val="18"/>
          <w:color w:val="auto"/>
        </w:rPr>
      </w:pPr>
    </w:p>
    <w:p>
      <w:pPr>
        <w:ind w:right="20" w:firstLine="1952"/>
        <w:spacing w:after="0" w:line="286" w:lineRule="auto"/>
        <w:tabs>
          <w:tab w:leader="none" w:pos="219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1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3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1952"/>
        <w:spacing w:after="0" w:line="278" w:lineRule="auto"/>
        <w:tabs>
          <w:tab w:leader="none" w:pos="219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jc w:val="both"/>
        <w:ind w:firstLine="1952"/>
        <w:spacing w:after="0" w:line="252" w:lineRule="auto"/>
        <w:tabs>
          <w:tab w:leader="none" w:pos="219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firstLine="65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____________</w:t>
        <w:tab/>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Electronic Delivery</w:t>
            </w:r>
          </w:p>
        </w:tc>
        <w:tc>
          <w:tcPr>
            <w:tcW w:w="780" w:type="dxa"/>
            <w:vAlign w:val="bottom"/>
          </w:tcPr>
          <w:p>
            <w:pPr>
              <w:spacing w:after="0"/>
              <w:rPr>
                <w:sz w:val="20"/>
                <w:szCs w:val="20"/>
                <w:color w:val="auto"/>
              </w:rPr>
            </w:pPr>
          </w:p>
        </w:tc>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8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8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Physical Delivery</w:t>
            </w:r>
          </w:p>
        </w:tc>
        <w:tc>
          <w:tcPr>
            <w:tcW w:w="78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Address:</w:t>
            </w: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Date: _______________ __, ______</w:t>
            </w:r>
          </w:p>
        </w:tc>
        <w:tc>
          <w:tcPr>
            <w:tcW w:w="7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7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26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780" w:type="dxa"/>
            <w:vAlign w:val="bottom"/>
            <w:tcBorders>
              <w:top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42862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2862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4286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42862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Dated: __________________, ____</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17830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17830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14605</wp:posOffset>
            </wp:positionV>
            <wp:extent cx="17830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763,800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November 21, 2023</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CEOF Holdings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763,800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381,900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ind w:left="840" w:hanging="184"/>
        <w:spacing w:after="0"/>
        <w:tabs>
          <w:tab w:leader="none" w:pos="8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 1(d))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1560" w:hanging="256"/>
        <w:spacing w:after="0"/>
        <w:tabs>
          <w:tab w:leader="none" w:pos="1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ind w:firstLine="1304"/>
        <w:spacing w:after="0" w:line="262" w:lineRule="auto"/>
        <w:tabs>
          <w:tab w:leader="none" w:pos="15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the Holder may, in its sole discretion (and without limiting the Holder’s rights and remedies contained herein), exercise this Warrant in whole or in part and, subject to the provisions of Section 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304"/>
        <w:spacing w:after="0" w:line="266" w:lineRule="auto"/>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both"/>
        <w:ind w:firstLine="1304"/>
        <w:spacing w:after="0" w:line="250" w:lineRule="auto"/>
        <w:tabs>
          <w:tab w:leader="none" w:pos="152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purposes of this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1304"/>
        <w:spacing w:after="0" w:line="252" w:lineRule="auto"/>
        <w:tabs>
          <w:tab w:leader="none" w:pos="155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limit any obligations of the Company under any provision of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firstLine="656"/>
        <w:spacing w:after="0" w:line="282" w:lineRule="auto"/>
        <w:tabs>
          <w:tab w:leader="none" w:pos="84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$1.00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and the amendment and restatement is as of a result of a Dilutive Issuance with a $1.00 per share New Issuance Price. For all purposes of the foregoing (including, without limitation, determining the adjusted number of Warrant Shares and the New Issuance Price under this Section 2(b)), the following shall be applicable:</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72"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1952"/>
        <w:spacing w:after="0" w:line="252" w:lineRule="auto"/>
        <w:tabs>
          <w:tab w:leader="none" w:pos="22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5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1952"/>
        <w:spacing w:after="0" w:line="251" w:lineRule="auto"/>
        <w:tabs>
          <w:tab w:leader="none" w:pos="226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1952"/>
        <w:spacing w:after="0" w:line="258" w:lineRule="auto"/>
        <w:tabs>
          <w:tab w:leader="none" w:pos="219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firstLine="1304"/>
        <w:spacing w:after="0" w:line="282" w:lineRule="auto"/>
        <w:tabs>
          <w:tab w:leader="none" w:pos="155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1"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left="1560" w:hanging="256"/>
        <w:spacing w:after="0"/>
        <w:tabs>
          <w:tab w:leader="none" w:pos="15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under this Warrant and the other Loan Documents in accordance with the provisions of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such Fundamental Transaction). Upon the consummation of each Fundamental Transaction described in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4(a)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the Holder may elect,</w:t>
      </w:r>
    </w:p>
    <w:p>
      <w:pPr>
        <w:spacing w:after="0" w:line="4"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sole option, by delivery of written notice to the Company to waive this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permit the Public Fundamental Transaction without the assumption of this Warrant.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1304"/>
        <w:spacing w:after="0" w:line="255" w:lineRule="auto"/>
        <w:tabs>
          <w:tab w:leader="none" w:pos="156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rFonts w:ascii="Times New Roman" w:cs="Times New Roman" w:eastAsia="Times New Roman" w:hAnsi="Times New Roman"/>
          <w:sz w:val="18"/>
          <w:szCs w:val="18"/>
          <w:color w:val="auto"/>
        </w:rPr>
      </w:pPr>
    </w:p>
    <w:p>
      <w:pPr>
        <w:jc w:val="both"/>
        <w:ind w:firstLine="656"/>
        <w:spacing w:after="0" w:line="253" w:lineRule="auto"/>
        <w:tabs>
          <w:tab w:leader="none" w:pos="8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jc w:val="both"/>
        <w:ind w:firstLine="656"/>
        <w:spacing w:after="0" w:line="253" w:lineRule="auto"/>
        <w:tabs>
          <w:tab w:leader="none" w:pos="8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provide the Holder with copies of the same notices and other information given to the stockholders of the Company generally, contemporaneously with the giving thereof to the stockholders.</w:t>
      </w:r>
    </w:p>
    <w:p>
      <w:pPr>
        <w:spacing w:after="0" w:line="19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of the Holder a new Warrant (in accordance with Section 7(d)),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Section 7(d))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Holder representing the right to purchase the number of Warrant Shares not being transferred. For the avoidance of doubt, this Section 7(a)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not apply to a sale, transfer, pledge or assignment of this Warrant that does not involve a reissuance of this Warrant.</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1304"/>
        <w:spacing w:after="0" w:line="256" w:lineRule="auto"/>
        <w:tabs>
          <w:tab w:leader="none" w:pos="155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Section 7(c),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56"/>
        <w:spacing w:after="0" w:line="261" w:lineRule="auto"/>
        <w:tabs>
          <w:tab w:leader="none" w:pos="91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apply.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right="20" w:firstLine="656"/>
        <w:spacing w:after="0" w:line="282" w:lineRule="auto"/>
        <w:tabs>
          <w:tab w:leader="none" w:pos="9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1304"/>
        <w:spacing w:after="0" w:line="253" w:lineRule="auto"/>
        <w:tabs>
          <w:tab w:leader="none" w:pos="155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Times New Roman" w:cs="Times New Roman" w:eastAsia="Times New Roman" w:hAnsi="Times New Roman"/>
          <w:sz w:val="18"/>
          <w:szCs w:val="18"/>
          <w:b w:val="1"/>
          <w:bCs w:val="1"/>
          <w:i w:val="1"/>
          <w:iCs w:val="1"/>
          <w:color w:val="auto"/>
        </w:rPr>
        <w:t>2023 Form 10-K</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5"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1304"/>
        <w:spacing w:after="0" w:line="266" w:lineRule="auto"/>
        <w:tabs>
          <w:tab w:leader="none" w:pos="154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1304"/>
        <w:spacing w:after="0" w:line="258" w:lineRule="auto"/>
        <w:tabs>
          <w:tab w:leader="none" w:pos="15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right="20" w:firstLine="1304"/>
        <w:spacing w:after="0" w:line="286" w:lineRule="auto"/>
        <w:tabs>
          <w:tab w:leader="none" w:pos="155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w:t>
      </w:r>
    </w:p>
    <w:p>
      <w:pPr>
        <w:spacing w:after="0" w:line="3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Fundamental Transaction referred to in Section 4(b)(i),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3" w:lineRule="auto"/>
        <w:tabs>
          <w:tab w:leader="none" w:pos="153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value is calculated using the Black Scholes Option Pricing Model obtained from the “OV” function on Bloomberg utilizing</w:t>
      </w:r>
    </w:p>
    <w:p>
      <w:pPr>
        <w:jc w:val="both"/>
        <w:ind w:firstLine="8"/>
        <w:spacing w:after="0" w:line="251" w:lineRule="auto"/>
        <w:tabs>
          <w:tab w:leader="none" w:pos="21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(2) the remaining term of this Warrant as of the date of consummation of the applicable Fundamental Transaction or as of the date of the Holder’s request pursuant to Section 4(c)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ind w:left="1560" w:hanging="256"/>
        <w:spacing w:after="0"/>
        <w:tabs>
          <w:tab w:leader="none" w:pos="15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5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right="20" w:firstLine="1304"/>
        <w:spacing w:after="0" w:line="286" w:lineRule="auto"/>
        <w:tabs>
          <w:tab w:leader="none" w:pos="15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both"/>
        <w:ind w:firstLine="1304"/>
        <w:spacing w:after="0" w:line="252" w:lineRule="auto"/>
        <w:tabs>
          <w:tab w:leader="none" w:pos="161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191"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ind w:left="1560" w:hanging="256"/>
        <w:spacing w:after="0"/>
        <w:tabs>
          <w:tab w:leader="none" w:pos="15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154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9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1304"/>
        <w:spacing w:after="0" w:line="278" w:lineRule="auto"/>
        <w:tabs>
          <w:tab w:leader="none" w:pos="1551"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3" w:lineRule="exact"/>
        <w:rPr>
          <w:rFonts w:ascii="Times New Roman" w:cs="Times New Roman" w:eastAsia="Times New Roman" w:hAnsi="Times New Roman"/>
          <w:sz w:val="17"/>
          <w:szCs w:val="17"/>
          <w:color w:val="auto"/>
        </w:rPr>
      </w:pPr>
    </w:p>
    <w:p>
      <w:pPr>
        <w:jc w:val="both"/>
        <w:ind w:firstLine="1304"/>
        <w:spacing w:after="0" w:line="253" w:lineRule="auto"/>
        <w:tabs>
          <w:tab w:leader="none" w:pos="15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____________</w:t>
            </w:r>
          </w:p>
        </w:tc>
        <w:tc>
          <w:tcPr>
            <w:tcW w:w="5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 “Cashless Exercise” with respect to _________________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 Electronic Delivery</w:t>
            </w:r>
          </w:p>
        </w:tc>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DTC Participant:</w:t>
            </w: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DTC Number:</w:t>
            </w:r>
          </w:p>
        </w:tc>
        <w:tc>
          <w:tcPr>
            <w:tcW w:w="3920" w:type="dxa"/>
            <w:vAlign w:val="bottom"/>
            <w:tcBorders>
              <w:top w:val="single" w:sz="8" w:color="auto"/>
              <w:bottom w:val="single" w:sz="8" w:color="auto"/>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 Name:</w:t>
            </w:r>
          </w:p>
        </w:tc>
        <w:tc>
          <w:tcPr>
            <w:tcW w:w="3920" w:type="dxa"/>
            <w:vAlign w:val="bottom"/>
            <w:tcBorders>
              <w:bottom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 Number:</w:t>
            </w:r>
          </w:p>
        </w:tc>
        <w:tc>
          <w:tcPr>
            <w:tcW w:w="3920" w:type="dxa"/>
            <w:vAlign w:val="bottom"/>
            <w:tcBorders>
              <w:bottom w:val="single" w:sz="8" w:color="auto"/>
            </w:tcBorders>
          </w:tcPr>
          <w:p>
            <w:pPr>
              <w:spacing w:after="0"/>
              <w:rPr>
                <w:sz w:val="18"/>
                <w:szCs w:val="18"/>
                <w:color w:val="auto"/>
              </w:rPr>
            </w:pPr>
          </w:p>
        </w:tc>
      </w:tr>
      <w:tr>
        <w:trPr>
          <w:trHeight w:val="42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 Physical Delivery</w:t>
            </w:r>
          </w:p>
        </w:tc>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Address:</w:t>
            </w:r>
          </w:p>
        </w:tc>
      </w:tr>
      <w:tr>
        <w:trPr>
          <w:trHeight w:val="42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_______________ __, ______</w:t>
            </w:r>
          </w:p>
        </w:tc>
        <w:tc>
          <w:tcPr>
            <w:tcW w:w="282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28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28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2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34"/>
        </w:trPr>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55"/>
        </w:trPr>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4997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9974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4997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Dated: __________________, ____</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160020</wp:posOffset>
            </wp:positionV>
            <wp:extent cx="21342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1)"/>
      <w:numFmt w:val="lowerRoman"/>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1)"/>
      <w:numFmt w:val="decimal"/>
      <w:start w:val="1"/>
    </w:lvl>
  </w:abstractNum>
  <w:abstractNum w:abstractNumId="5">
    <w:nsid w:val="59ADEA3D"/>
    <w:multiLevelType w:val="hybridMultilevel"/>
    <w:lvl w:ilvl="0">
      <w:lvlJc w:val="left"/>
      <w:lvlText w:val="%1"/>
      <w:numFmt w:val="decimal"/>
      <w:start w:val="104"/>
    </w:lvl>
  </w:abstractNum>
  <w:abstractNum w:abstractNumId="6">
    <w:nsid w:val="288F1A34"/>
    <w:multiLevelType w:val="hybridMultilevel"/>
    <w:lvl w:ilvl="0">
      <w:lvlJc w:val="left"/>
      <w:lvlText w:val="(%1)"/>
      <w:numFmt w:val="lowerLetter"/>
      <w:start w:val="1"/>
    </w:lvl>
  </w:abstractNum>
  <w:abstractNum w:abstractNumId="7">
    <w:nsid w:val="2A155DBC"/>
    <w:multiLevelType w:val="hybridMultilevel"/>
    <w:lvl w:ilvl="0">
      <w:lvlJc w:val="left"/>
      <w:lvlText w:val="(%1)"/>
      <w:numFmt w:val="lowerRoman"/>
      <w:start w:val="1"/>
    </w:lvl>
  </w:abstractNum>
  <w:abstractNum w:abstractNumId="8">
    <w:nsid w:val="1D9F6E5F"/>
    <w:multiLevelType w:val="hybridMultilevel"/>
    <w:lvl w:ilvl="0">
      <w:lvlJc w:val="left"/>
      <w:lvlText w:val="(%1)"/>
      <w:numFmt w:val="lowerLetter"/>
      <w:start w:val="1"/>
    </w:lvl>
  </w:abstractNum>
  <w:abstractNum w:abstractNumId="9">
    <w:nsid w:val="97E1B4E"/>
    <w:multiLevelType w:val="hybridMultilevel"/>
    <w:lvl w:ilvl="0">
      <w:lvlJc w:val="left"/>
      <w:lvlText w:val="(%1)"/>
      <w:numFmt w:val="lowerLetter"/>
      <w:start w:val="1"/>
    </w:lvl>
    <w:lvl w:ilvl="1">
      <w:lvlJc w:val="left"/>
      <w:lvlText w:val="(%2)"/>
      <w:numFmt w:val="lowerRoman"/>
      <w:start w:val="1"/>
    </w:lvl>
  </w:abstractNum>
  <w:abstractNum w:abstractNumId="10">
    <w:nsid w:val="51088277"/>
    <w:multiLevelType w:val="hybridMultilevel"/>
    <w:lvl w:ilvl="0">
      <w:lvlJc w:val="left"/>
      <w:lvlText w:val="(%1)"/>
      <w:numFmt w:val="lowerLetter"/>
      <w:start w:val="1"/>
    </w:lvl>
    <w:lvl w:ilvl="1">
      <w:lvlJc w:val="left"/>
      <w:lvlText w:val="(%2)"/>
      <w:numFmt w:val="lowerRoman"/>
      <w:start w:val="1"/>
    </w:lvl>
  </w:abstractNum>
  <w:abstractNum w:abstractNumId="11">
    <w:nsid w:val="1CA0C5FA"/>
    <w:multiLevelType w:val="hybridMultilevel"/>
    <w:lvl w:ilvl="0">
      <w:lvlJc w:val="left"/>
      <w:lvlText w:val="(%1)"/>
      <w:numFmt w:val="lowerRoman"/>
      <w:start w:val="3"/>
    </w:lvl>
  </w:abstractNum>
  <w:abstractNum w:abstractNumId="12">
    <w:nsid w:val="53584BCB"/>
    <w:multiLevelType w:val="hybridMultilevel"/>
    <w:lvl w:ilvl="0">
      <w:lvlJc w:val="left"/>
      <w:lvlText w:val="(%1)"/>
      <w:numFmt w:val="lowerLetter"/>
      <w:start w:val="1"/>
    </w:lvl>
  </w:abstractNum>
  <w:abstractNum w:abstractNumId="13">
    <w:nsid w:val="415E286C"/>
    <w:multiLevelType w:val="hybridMultilevel"/>
    <w:lvl w:ilvl="0">
      <w:lvlJc w:val="left"/>
      <w:lvlText w:val="(%1)"/>
      <w:numFmt w:val="lowerLetter"/>
      <w:start w:val="3"/>
    </w:lvl>
  </w:abstractNum>
  <w:abstractNum w:abstractNumId="14">
    <w:nsid w:val="7C58FD05"/>
    <w:multiLevelType w:val="hybridMultilevel"/>
    <w:lvl w:ilvl="0">
      <w:lvlJc w:val="left"/>
      <w:lvlText w:val="%1."/>
      <w:numFmt w:val="decimal"/>
      <w:start w:val="1"/>
    </w:lvl>
  </w:abstractNum>
  <w:abstractNum w:abstractNumId="15">
    <w:nsid w:val="23D86AAC"/>
    <w:multiLevelType w:val="hybridMultilevel"/>
    <w:lvl w:ilvl="0">
      <w:lvlJc w:val="left"/>
      <w:lvlText w:val="%1."/>
      <w:numFmt w:val="decimal"/>
      <w:start w:val="2"/>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1)"/>
      <w:numFmt w:val="lowerLetter"/>
      <w:start w:val="2"/>
    </w:lvl>
  </w:abstractNum>
  <w:abstractNum w:abstractNumId="18">
    <w:nsid w:val="E7FFA2B"/>
    <w:multiLevelType w:val="hybridMultilevel"/>
    <w:lvl w:ilvl="0">
      <w:lvlJc w:val="left"/>
      <w:lvlText w:val="(%1)"/>
      <w:numFmt w:val="lowerLetter"/>
      <w:start w:val="4"/>
    </w:lvl>
  </w:abstractNum>
  <w:abstractNum w:abstractNumId="19">
    <w:nsid w:val="3C5991AA"/>
    <w:multiLevelType w:val="hybridMultilevel"/>
    <w:lvl w:ilvl="0">
      <w:lvlJc w:val="left"/>
      <w:lvlText w:val="(%1)"/>
      <w:numFmt w:val="lowerLetter"/>
      <w:start w:val="1"/>
    </w:lvl>
  </w:abstractNum>
  <w:abstractNum w:abstractNumId="20">
    <w:nsid w:val="4BD8591A"/>
    <w:multiLevelType w:val="hybridMultilevel"/>
    <w:lvl w:ilvl="0">
      <w:lvlJc w:val="left"/>
      <w:lvlText w:val="%1"/>
      <w:numFmt w:val="lowerLetter"/>
      <w:start w:val="1"/>
    </w:lvl>
    <w:lvl w:ilvl="1">
      <w:lvlJc w:val="left"/>
      <w:lvlText w:val="(%2)"/>
      <w:numFmt w:val="lowerLetter"/>
      <w:start w:val="4"/>
    </w:lvl>
  </w:abstractNum>
  <w:abstractNum w:abstractNumId="21">
    <w:nsid w:val="78DF6A55"/>
    <w:multiLevelType w:val="hybridMultilevel"/>
    <w:lvl w:ilvl="0">
      <w:lvlJc w:val="left"/>
      <w:lvlText w:val="(%1)"/>
      <w:numFmt w:val="lowerLetter"/>
      <w:start w:val="61"/>
    </w:lvl>
    <w:lvl w:ilvl="1">
      <w:lvlJc w:val="left"/>
      <w:lvlText w:val="(%2)"/>
      <w:numFmt w:val="lowerLetter"/>
      <w:start w:val="9"/>
    </w:lvl>
  </w:abstractNum>
  <w:abstractNum w:abstractNumId="22">
    <w:nsid w:val="39B7AAA2"/>
    <w:multiLevelType w:val="hybridMultilevel"/>
    <w:lvl w:ilvl="0">
      <w:lvlJc w:val="left"/>
      <w:lvlText w:val="(%1)"/>
      <w:numFmt w:val="lowerLetter"/>
      <w:start w:val="10"/>
    </w:lvl>
  </w:abstractNum>
  <w:abstractNum w:abstractNumId="23">
    <w:nsid w:val="2B0D8DBE"/>
    <w:multiLevelType w:val="hybridMultilevel"/>
    <w:lvl w:ilvl="0">
      <w:lvlJc w:val="left"/>
      <w:lvlText w:val="(%1)"/>
      <w:numFmt w:val="lowerLetter"/>
      <w:start w:val="14"/>
    </w:lvl>
  </w:abstractNum>
  <w:abstractNum w:abstractNumId="24">
    <w:nsid w:val="6C80EC70"/>
    <w:multiLevelType w:val="hybridMultilevel"/>
    <w:lvl w:ilvl="0">
      <w:lvlJc w:val="left"/>
      <w:lvlText w:val="(%1)"/>
      <w:numFmt w:val="lowerLetter"/>
      <w:start w:val="18"/>
    </w:lvl>
  </w:abstractNum>
  <w:abstractNum w:abstractNumId="25">
    <w:nsid w:val="379E21B5"/>
    <w:multiLevelType w:val="hybridMultilevel"/>
    <w:lvl w:ilvl="0">
      <w:lvlJc w:val="left"/>
      <w:lvlText w:val="(%1)"/>
      <w:numFmt w:val="lowerLetter"/>
      <w:start w:val="22"/>
    </w:lvl>
  </w:abstractNum>
  <w:abstractNum w:abstractNumId="26">
    <w:nsid w:val="69E373"/>
    <w:multiLevelType w:val="hybridMultilevel"/>
    <w:lvl w:ilvl="0">
      <w:lvlJc w:val="left"/>
      <w:lvlText w:val="(%1)"/>
      <w:numFmt w:val="lowerLetter"/>
      <w:start w:val="26"/>
    </w:lvl>
  </w:abstractNum>
  <w:abstractNum w:abstractNumId="27">
    <w:nsid w:val="2C27173B"/>
    <w:multiLevelType w:val="hybridMultilevel"/>
    <w:lvl w:ilvl="0">
      <w:lvlJc w:val="left"/>
      <w:lvlText w:val="(%1)"/>
      <w:numFmt w:val="lowerLetter"/>
      <w:start w:val="27"/>
    </w:lvl>
  </w:abstractNum>
  <w:abstractNum w:abstractNumId="28">
    <w:nsid w:val="4C9B0904"/>
    <w:multiLevelType w:val="hybridMultilevel"/>
    <w:lvl w:ilvl="0">
      <w:lvlJc w:val="left"/>
      <w:lvlText w:val="(%1)"/>
      <w:numFmt w:val="lowerLetter"/>
      <w:start w:val="33"/>
    </w:lvl>
  </w:abstractNum>
  <w:abstractNum w:abstractNumId="29">
    <w:nsid w:val="6AA7B75C"/>
    <w:multiLevelType w:val="hybridMultilevel"/>
    <w:lvl w:ilvl="0">
      <w:lvlJc w:val="left"/>
      <w:lvlText w:val="(%1)"/>
      <w:numFmt w:val="lowerLetter"/>
      <w:start w:val="39"/>
    </w:lvl>
  </w:abstractNum>
  <w:abstractNum w:abstractNumId="30">
    <w:nsid w:val="1DF029D3"/>
    <w:multiLevelType w:val="hybridMultilevel"/>
    <w:lvl w:ilvl="0">
      <w:lvlJc w:val="left"/>
      <w:lvlText w:val="%1"/>
      <w:numFmt w:val="lowerLetter"/>
      <w:start w:val="1"/>
    </w:lvl>
    <w:lvl w:ilvl="1">
      <w:lvlJc w:val="left"/>
      <w:lvlText w:val="(%2)"/>
      <w:numFmt w:val="lowerLetter"/>
      <w:start w:val="43"/>
    </w:lvl>
  </w:abstractNum>
  <w:abstractNum w:abstractNumId="31">
    <w:nsid w:val="5675FF36"/>
    <w:multiLevelType w:val="hybridMultilevel"/>
    <w:lvl w:ilvl="0">
      <w:lvlJc w:val="left"/>
      <w:lvlText w:val="(%1)"/>
      <w:numFmt w:val="lowerLetter"/>
      <w:start w:val="9"/>
    </w:lvl>
    <w:lvl w:ilvl="1">
      <w:lvlJc w:val="left"/>
      <w:lvlText w:val="(%2)"/>
      <w:numFmt w:val="lowerLetter"/>
      <w:start w:val="44"/>
    </w:lvl>
  </w:abstractNum>
  <w:abstractNum w:abstractNumId="32">
    <w:nsid w:val="3DD15094"/>
    <w:multiLevelType w:val="hybridMultilevel"/>
    <w:lvl w:ilvl="0">
      <w:lvlJc w:val="left"/>
      <w:lvlText w:val="(%1)"/>
      <w:numFmt w:val="lowerLetter"/>
      <w:start w:val="61"/>
    </w:lvl>
    <w:lvl w:ilvl="1">
      <w:lvlJc w:val="left"/>
      <w:lvlText w:val="(%2)"/>
      <w:numFmt w:val="lowerLetter"/>
      <w:start w:val="45"/>
    </w:lvl>
  </w:abstractNum>
  <w:abstractNum w:abstractNumId="33">
    <w:nsid w:val="3DB012B3"/>
    <w:multiLevelType w:val="hybridMultilevel"/>
    <w:lvl w:ilvl="0">
      <w:lvlJc w:val="left"/>
      <w:lvlText w:val="(%1)"/>
      <w:numFmt w:val="lowerLetter"/>
      <w:start w:val="47"/>
    </w:lvl>
  </w:abstractNum>
  <w:abstractNum w:abstractNumId="34">
    <w:nsid w:val="2708C9AF"/>
    <w:multiLevelType w:val="hybridMultilevel"/>
    <w:lvl w:ilvl="0">
      <w:lvlJc w:val="left"/>
      <w:lvlText w:val="(%1)"/>
      <w:numFmt w:val="lowerLetter"/>
      <w:start w:val="1"/>
    </w:lvl>
  </w:abstractNum>
  <w:abstractNum w:abstractNumId="35">
    <w:nsid w:val="5B25ACE2"/>
    <w:multiLevelType w:val="hybridMultilevel"/>
    <w:lvl w:ilvl="0">
      <w:lvlJc w:val="left"/>
      <w:lvlText w:val="(%1)"/>
      <w:numFmt w:val="lowerLetter"/>
      <w:start w:val="4"/>
    </w:lvl>
  </w:abstractNum>
  <w:abstractNum w:abstractNumId="36">
    <w:nsid w:val="175DFCF0"/>
    <w:multiLevelType w:val="hybridMultilevel"/>
    <w:lvl w:ilvl="0">
      <w:lvlJc w:val="left"/>
      <w:lvlText w:val="(%1)"/>
      <w:numFmt w:val="lowerLetter"/>
      <w:start w:val="7"/>
    </w:lvl>
  </w:abstractNum>
  <w:abstractNum w:abstractNumId="37">
    <w:nsid w:val="4F97E3E4"/>
    <w:multiLevelType w:val="hybridMultilevel"/>
    <w:lvl w:ilvl="0">
      <w:lvlJc w:val="left"/>
      <w:lvlText w:val="(%1)"/>
      <w:numFmt w:val="lowerLetter"/>
      <w:start w:val="9"/>
    </w:lvl>
  </w:abstractNum>
  <w:abstractNum w:abstractNumId="38">
    <w:nsid w:val="53B0A9E"/>
    <w:multiLevelType w:val="hybridMultilevel"/>
    <w:lvl w:ilvl="0">
      <w:lvlJc w:val="left"/>
      <w:lvlText w:val="(%1)"/>
      <w:numFmt w:val="lowerLetter"/>
      <w:start w:val="14"/>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decimal"/>
      <w:start w:val="6"/>
    </w:lvl>
  </w:abstractNum>
  <w:abstractNum w:abstractNumId="41">
    <w:nsid w:val="56438D15"/>
    <w:multiLevelType w:val="hybridMultilevel"/>
    <w:lvl w:ilvl="0">
      <w:lvlJc w:val="left"/>
      <w:lvlText w:val="(%1)"/>
      <w:numFmt w:val="lowerLetter"/>
      <w:start w:val="1"/>
    </w:lvl>
  </w:abstractNum>
  <w:abstractNum w:abstractNumId="42">
    <w:nsid w:val="519E3149"/>
    <w:multiLevelType w:val="hybridMultilevel"/>
    <w:lvl w:ilvl="0">
      <w:lvlJc w:val="left"/>
      <w:lvlText w:val="(%1)"/>
      <w:numFmt w:val="lowerLetter"/>
      <w:start w:val="5"/>
    </w:lvl>
  </w:abstractNum>
  <w:abstractNum w:abstractNumId="43">
    <w:nsid w:val="2C6E4AFD"/>
    <w:multiLevelType w:val="hybridMultilevel"/>
    <w:lvl w:ilvl="0">
      <w:lvlJc w:val="left"/>
      <w:lvlText w:val="%1."/>
      <w:numFmt w:val="decimal"/>
      <w:start w:val="7"/>
    </w:lvl>
  </w:abstractNum>
  <w:abstractNum w:abstractNumId="44">
    <w:nsid w:val="17A1B582"/>
    <w:multiLevelType w:val="hybridMultilevel"/>
    <w:lvl w:ilvl="0">
      <w:lvlJc w:val="left"/>
      <w:lvlText w:val="(%1)"/>
      <w:numFmt w:val="lowerLetter"/>
      <w:start w:val="1"/>
    </w:lvl>
  </w:abstractNum>
  <w:abstractNum w:abstractNumId="45">
    <w:nsid w:val="4DF72E4E"/>
    <w:multiLevelType w:val="hybridMultilevel"/>
    <w:lvl w:ilvl="0">
      <w:lvlJc w:val="left"/>
      <w:lvlText w:val="(%1)"/>
      <w:numFmt w:val="lowerLetter"/>
      <w:start w:val="3"/>
    </w:lvl>
  </w:abstractNum>
  <w:abstractNum w:abstractNumId="46">
    <w:nsid w:val="5046B5A9"/>
    <w:multiLevelType w:val="hybridMultilevel"/>
    <w:lvl w:ilvl="0">
      <w:lvlJc w:val="left"/>
      <w:lvlText w:val="%1."/>
      <w:numFmt w:val="decimal"/>
      <w:start w:val="8"/>
    </w:lvl>
  </w:abstractNum>
  <w:abstractNum w:abstractNumId="47">
    <w:nsid w:val="5D888A08"/>
    <w:multiLevelType w:val="hybridMultilevel"/>
    <w:lvl w:ilvl="0">
      <w:lvlJc w:val="left"/>
      <w:lvlText w:val="%1."/>
      <w:numFmt w:val="decimal"/>
      <w:start w:val="10"/>
    </w:lvl>
  </w:abstractNum>
  <w:abstractNum w:abstractNumId="48">
    <w:nsid w:val="2A082C70"/>
    <w:multiLevelType w:val="hybridMultilevel"/>
    <w:lvl w:ilvl="0">
      <w:lvlJc w:val="left"/>
      <w:lvlText w:val="(%1)"/>
      <w:numFmt w:val="lowerLetter"/>
      <w:start w:val="1"/>
    </w:lvl>
  </w:abstractNum>
  <w:abstractNum w:abstractNumId="49">
    <w:nsid w:val="5EC6AFD4"/>
    <w:multiLevelType w:val="hybridMultilevel"/>
    <w:lvl w:ilvl="0">
      <w:lvlJc w:val="left"/>
      <w:lvlText w:val="%1"/>
      <w:numFmt w:val="lowerLetter"/>
      <w:start w:val="1"/>
    </w:lvl>
    <w:lvl w:ilvl="1">
      <w:lvlJc w:val="left"/>
      <w:lvlText w:val="%2."/>
      <w:numFmt w:val="decimal"/>
      <w:start w:val="11"/>
    </w:lvl>
  </w:abstractNum>
  <w:abstractNum w:abstractNumId="50">
    <w:nsid w:val="19E21BB2"/>
    <w:multiLevelType w:val="hybridMultilevel"/>
    <w:lvl w:ilvl="0">
      <w:lvlJc w:val="left"/>
      <w:lvlText w:val="(%1)"/>
      <w:numFmt w:val="lowerLetter"/>
      <w:start w:val="3"/>
    </w:lvl>
    <w:lvl w:ilvl="1">
      <w:lvlJc w:val="left"/>
      <w:lvlText w:val="%2"/>
      <w:numFmt w:val="decimal"/>
      <w:start w:val="1"/>
    </w:lvl>
  </w:abstractNum>
  <w:abstractNum w:abstractNumId="51">
    <w:nsid w:val="75E0858A"/>
    <w:multiLevelType w:val="hybridMultilevel"/>
    <w:lvl w:ilvl="0">
      <w:lvlJc w:val="left"/>
      <w:lvlText w:val="%1."/>
      <w:numFmt w:val="decimal"/>
      <w:start w:val="14"/>
    </w:lvl>
  </w:abstractNum>
  <w:abstractNum w:abstractNumId="52">
    <w:nsid w:val="57A61A29"/>
    <w:multiLevelType w:val="hybridMultilevel"/>
    <w:lvl w:ilvl="0">
      <w:lvlJc w:val="left"/>
      <w:lvlText w:val="(%1)"/>
      <w:numFmt w:val="lowerLetter"/>
      <w:start w:val="1"/>
    </w:lvl>
    <w:lvl w:ilvl="1">
      <w:lvlJc w:val="left"/>
      <w:lvlText w:val="(%2)"/>
      <w:numFmt w:val="lowerRoman"/>
      <w:start w:val="1"/>
    </w:lvl>
  </w:abstractNum>
  <w:abstractNum w:abstractNumId="53">
    <w:nsid w:val="5399C654"/>
    <w:multiLevelType w:val="hybridMultilevel"/>
    <w:lvl w:ilvl="0">
      <w:lvlJc w:val="left"/>
      <w:lvlText w:val="(%1)"/>
      <w:numFmt w:val="lowerRoman"/>
      <w:start w:val="1"/>
    </w:lvl>
  </w:abstractNum>
  <w:abstractNum w:abstractNumId="54">
    <w:nsid w:val="20EE1348"/>
    <w:multiLevelType w:val="hybridMultilevel"/>
    <w:lvl w:ilvl="0">
      <w:lvlJc w:val="left"/>
      <w:lvlText w:val="(%1)"/>
      <w:numFmt w:val="lowerLetter"/>
      <w:start w:val="6"/>
    </w:lvl>
  </w:abstractNum>
  <w:abstractNum w:abstractNumId="55">
    <w:nsid w:val="4427069A"/>
    <w:multiLevelType w:val="hybridMultilevel"/>
    <w:lvl w:ilvl="0">
      <w:lvlJc w:val="left"/>
      <w:lvlText w:val="(%1)"/>
      <w:numFmt w:val="lowerLetter"/>
      <w:start w:val="1"/>
    </w:lvl>
    <w:lvl w:ilvl="1">
      <w:lvlJc w:val="left"/>
      <w:lvlText w:val="(%2)"/>
      <w:numFmt w:val="lowerRoman"/>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1)"/>
      <w:numFmt w:val="lowerRoman"/>
      <w:start w:val="1"/>
    </w:lvl>
  </w:abstractNum>
  <w:abstractNum w:abstractNumId="58">
    <w:nsid w:val="704E1DD5"/>
    <w:multiLevelType w:val="hybridMultilevel"/>
    <w:lvl w:ilvl="0">
      <w:lvlJc w:val="left"/>
      <w:lvlText w:val="(%1)"/>
      <w:numFmt w:val="lowerRoman"/>
      <w:start w:val="2"/>
    </w:lvl>
  </w:abstractNum>
  <w:abstractNum w:abstractNumId="59">
    <w:nsid w:val="57D2F10E"/>
    <w:multiLevelType w:val="hybridMultilevel"/>
    <w:lvl w:ilvl="0">
      <w:lvlJc w:val="left"/>
      <w:lvlText w:val="(%1)"/>
      <w:numFmt w:val="lowerRoman"/>
      <w:start w:val="4"/>
    </w:lvl>
  </w:abstractNum>
  <w:abstractNum w:abstractNumId="60">
    <w:nsid w:val="BFFAE18"/>
    <w:multiLevelType w:val="hybridMultilevel"/>
    <w:lvl w:ilvl="0">
      <w:lvlJc w:val="left"/>
      <w:lvlText w:val="(%1)"/>
      <w:numFmt w:val="lowerRoman"/>
      <w:start w:val="11"/>
    </w:lvl>
  </w:abstractNum>
  <w:abstractNum w:abstractNumId="61">
    <w:nsid w:val="E3E47A8"/>
    <w:multiLevelType w:val="hybridMultilevel"/>
    <w:lvl w:ilvl="0">
      <w:lvlJc w:val="left"/>
      <w:lvlText w:val="(%1)"/>
      <w:numFmt w:val="lowerLetter"/>
      <w:start w:val="2"/>
    </w:lvl>
  </w:abstractNum>
  <w:abstractNum w:abstractNumId="62">
    <w:nsid w:val="2E48F044"/>
    <w:multiLevelType w:val="hybridMultilevel"/>
    <w:lvl w:ilvl="0">
      <w:lvlJc w:val="left"/>
      <w:lvlText w:val="%1."/>
      <w:numFmt w:val="decimal"/>
      <w:start w:val="1"/>
    </w:lvl>
  </w:abstractNum>
  <w:abstractNum w:abstractNumId="63">
    <w:nsid w:val="49D0FE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5">
    <w:nsid w:val="5551B9F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6">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7">
    <w:nsid w:val="634C574C"/>
    <w:multiLevelType w:val="hybridMultilevel"/>
    <w:lvl w:ilvl="0">
      <w:lvlJc w:val="left"/>
      <w:lvlText w:val="(%1)"/>
      <w:numFmt w:val="lowerLetter"/>
      <w:start w:val="6"/>
    </w:lvl>
  </w:abstractNum>
  <w:abstractNum w:abstractNumId="68">
    <w:nsid w:val="24E99DD7"/>
    <w:multiLevelType w:val="hybridMultilevel"/>
    <w:lvl w:ilvl="0">
      <w:lvlJc w:val="left"/>
      <w:lvlText w:val="(%1)"/>
      <w:numFmt w:val="lowerLetter"/>
      <w:start w:val="1"/>
    </w:lvl>
    <w:lvl w:ilvl="1">
      <w:lvlJc w:val="left"/>
      <w:lvlText w:val="(%2)"/>
      <w:numFmt w:val="lowerRoman"/>
      <w:start w:val="1"/>
    </w:lvl>
  </w:abstractNum>
  <w:abstractNum w:abstractNumId="69">
    <w:nsid w:val="2A31B62D"/>
    <w:multiLevelType w:val="hybridMultilevel"/>
    <w:lvl w:ilvl="0">
      <w:lvlJc w:val="left"/>
      <w:lvlText w:val="(%1)"/>
      <w:numFmt w:val="lowerLetter"/>
      <w:start w:val="1"/>
    </w:lvl>
  </w:abstractNum>
  <w:abstractNum w:abstractNumId="70">
    <w:nsid w:val="1849C29B"/>
    <w:multiLevelType w:val="hybridMultilevel"/>
    <w:lvl w:ilvl="0">
      <w:lvlJc w:val="left"/>
      <w:lvlText w:val="(%1)"/>
      <w:numFmt w:val="decimal"/>
      <w:start w:val="3"/>
    </w:lvl>
  </w:abstractNum>
  <w:abstractNum w:abstractNumId="71">
    <w:nsid w:val="7DFF9D09"/>
    <w:multiLevelType w:val="hybridMultilevel"/>
    <w:lvl w:ilvl="0">
      <w:lvlJc w:val="left"/>
      <w:lvlText w:val="(%1)"/>
      <w:numFmt w:val="lowerLetter"/>
      <w:start w:val="1"/>
    </w:lvl>
  </w:abstractNum>
  <w:abstractNum w:abstractNumId="72">
    <w:nsid w:val="754342"/>
    <w:multiLevelType w:val="hybridMultilevel"/>
    <w:lvl w:ilvl="0">
      <w:lvlJc w:val="left"/>
      <w:lvlText w:val="(%1)"/>
      <w:numFmt w:val="lowerLetter"/>
      <w:start w:val="1"/>
    </w:lvl>
  </w:abstractNum>
  <w:abstractNum w:abstractNumId="73">
    <w:nsid w:val="69E7F3E5"/>
    <w:multiLevelType w:val="hybridMultilevel"/>
    <w:lvl w:ilvl="0">
      <w:lvlJc w:val="left"/>
      <w:lvlText w:val="(%1)"/>
      <w:numFmt w:val="lowerLetter"/>
      <w:start w:val="1"/>
    </w:lvl>
  </w:abstractNum>
  <w:abstractNum w:abstractNumId="74">
    <w:nsid w:val="2A6DE806"/>
    <w:multiLevelType w:val="hybridMultilevel"/>
    <w:lvl w:ilvl="0">
      <w:lvlJc w:val="left"/>
      <w:lvlText w:val="(%1)"/>
      <w:numFmt w:val="lowerLetter"/>
      <w:start w:val="1"/>
    </w:lvl>
  </w:abstractNum>
  <w:abstractNum w:abstractNumId="75">
    <w:nsid w:val="1816F8C4"/>
    <w:multiLevelType w:val="hybridMultilevel"/>
    <w:lvl w:ilvl="0">
      <w:lvlJc w:val="left"/>
      <w:lvlText w:val="(%1)"/>
      <w:numFmt w:val="decimal"/>
      <w:start w:val="3"/>
    </w:lvl>
  </w:abstractNum>
  <w:abstractNum w:abstractNumId="76">
    <w:nsid w:val="37DF2233"/>
    <w:multiLevelType w:val="hybridMultilevel"/>
    <w:lvl w:ilvl="0">
      <w:lvlJc w:val="left"/>
      <w:lvlText w:val="%1."/>
      <w:numFmt w:val="decimal"/>
      <w:start w:val="1"/>
    </w:lvl>
    <w:lvl w:ilvl="1">
      <w:lvlJc w:val="left"/>
      <w:lvlText w:val="(%2)"/>
      <w:numFmt w:val="lowerLetter"/>
      <w:start w:val="1"/>
    </w:lvl>
  </w:abstractNum>
  <w:abstractNum w:abstractNumId="77">
    <w:nsid w:val="7AB49DAF"/>
    <w:multiLevelType w:val="hybridMultilevel"/>
    <w:lvl w:ilvl="0">
      <w:lvlJc w:val="left"/>
      <w:lvlText w:val="(%1)"/>
      <w:numFmt w:val="lowerLetter"/>
      <w:start w:val="2"/>
    </w:lvl>
  </w:abstractNum>
  <w:abstractNum w:abstractNumId="78">
    <w:nsid w:val="759F82CD"/>
    <w:multiLevelType w:val="hybridMultilevel"/>
    <w:lvl w:ilvl="0">
      <w:lvlJc w:val="left"/>
      <w:lvlText w:val="(%1)"/>
      <w:numFmt w:val="lowerLetter"/>
      <w:start w:val="4"/>
    </w:lvl>
  </w:abstractNum>
  <w:abstractNum w:abstractNumId="79">
    <w:nsid w:val="61E74EA3"/>
    <w:multiLevelType w:val="hybridMultilevel"/>
    <w:lvl w:ilvl="0">
      <w:lvlJc w:val="left"/>
      <w:lvlText w:val="(%1)"/>
      <w:numFmt w:val="lowerLetter"/>
      <w:start w:val="5"/>
    </w:lvl>
  </w:abstractNum>
  <w:abstractNum w:abstractNumId="80">
    <w:nsid w:val="597B4D84"/>
    <w:multiLevelType w:val="hybridMultilevel"/>
    <w:lvl w:ilvl="0">
      <w:lvlJc w:val="left"/>
      <w:lvlText w:val="%1"/>
      <w:numFmt w:val="lowerLetter"/>
      <w:start w:val="1"/>
    </w:lvl>
    <w:lvl w:ilvl="1">
      <w:lvlJc w:val="left"/>
      <w:lvlText w:val="(%2)"/>
      <w:numFmt w:val="lowerLetter"/>
      <w:start w:val="6"/>
    </w:lvl>
  </w:abstractNum>
  <w:abstractNum w:abstractNumId="81">
    <w:nsid w:val="F819E7F"/>
    <w:multiLevelType w:val="hybridMultilevel"/>
    <w:lvl w:ilvl="0">
      <w:lvlJc w:val="left"/>
      <w:lvlText w:val="(%1)"/>
      <w:numFmt w:val="lowerLetter"/>
      <w:start w:val="35"/>
    </w:lvl>
    <w:lvl w:ilvl="1">
      <w:lvlJc w:val="left"/>
      <w:lvlText w:val="%2"/>
      <w:numFmt w:val="lowerLetter"/>
      <w:start w:val="1"/>
    </w:lvl>
  </w:abstractNum>
  <w:abstractNum w:abstractNumId="82">
    <w:nsid w:val="57C7D42D"/>
    <w:multiLevelType w:val="hybridMultilevel"/>
    <w:lvl w:ilvl="0">
      <w:lvlJc w:val="left"/>
      <w:lvlText w:val="(%1)"/>
      <w:numFmt w:val="lowerLetter"/>
      <w:start w:val="24"/>
    </w:lvl>
    <w:lvl w:ilvl="1">
      <w:lvlJc w:val="left"/>
      <w:lvlText w:val="%2"/>
      <w:numFmt w:val="lowerLetter"/>
      <w:start w:val="1"/>
    </w:lvl>
  </w:abstractNum>
  <w:abstractNum w:abstractNumId="83">
    <w:nsid w:val="312167AD"/>
    <w:multiLevelType w:val="hybridMultilevel"/>
    <w:lvl w:ilvl="0">
      <w:lvlJc w:val="left"/>
      <w:lvlText w:val="%1"/>
      <w:numFmt w:val="decimal"/>
      <w:start w:val="1"/>
    </w:lvl>
    <w:lvl w:ilvl="1">
      <w:lvlJc w:val="left"/>
      <w:lvlText w:val="(%2)"/>
      <w:numFmt w:val="lowerLetter"/>
      <w:start w:val="7"/>
    </w:lvl>
  </w:abstractNum>
  <w:abstractNum w:abstractNumId="84">
    <w:nsid w:val="631B64D4"/>
    <w:multiLevelType w:val="hybridMultilevel"/>
    <w:lvl w:ilvl="0">
      <w:lvlJc w:val="left"/>
      <w:lvlText w:val="%1."/>
      <w:numFmt w:val="decimal"/>
      <w:start w:val="2"/>
    </w:lvl>
    <w:lvl w:ilvl="1">
      <w:lvlJc w:val="left"/>
      <w:lvlText w:val="(%2)"/>
      <w:numFmt w:val="lowerLetter"/>
      <w:start w:val="1"/>
    </w:lvl>
  </w:abstractNum>
  <w:abstractNum w:abstractNumId="85">
    <w:nsid w:val="78B5E776"/>
    <w:multiLevelType w:val="hybridMultilevel"/>
    <w:lvl w:ilvl="0">
      <w:lvlJc w:val="left"/>
      <w:lvlText w:val="(%1)"/>
      <w:numFmt w:val="lowerLetter"/>
      <w:start w:val="2"/>
    </w:lvl>
    <w:lvl w:ilvl="1">
      <w:lvlJc w:val="left"/>
      <w:lvlText w:val="(%2)"/>
      <w:numFmt w:val="lowerRoman"/>
      <w:start w:val="1"/>
    </w:lvl>
  </w:abstractNum>
  <w:abstractNum w:abstractNumId="86">
    <w:nsid w:val="75486E47"/>
    <w:multiLevelType w:val="hybridMultilevel"/>
    <w:lvl w:ilvl="0">
      <w:lvlJc w:val="left"/>
      <w:lvlText w:val="%1"/>
      <w:numFmt w:val="decimal"/>
      <w:start w:val="1"/>
    </w:lvl>
    <w:lvl w:ilvl="1">
      <w:lvlJc w:val="left"/>
      <w:lvlText w:val="(%2)"/>
      <w:numFmt w:val="lowerRoman"/>
      <w:start w:val="3"/>
    </w:lvl>
  </w:abstractNum>
  <w:abstractNum w:abstractNumId="87">
    <w:nsid w:val="6E534CDE"/>
    <w:multiLevelType w:val="hybridMultilevel"/>
    <w:lvl w:ilvl="0">
      <w:lvlJc w:val="left"/>
      <w:lvlText w:val="(%1)"/>
      <w:numFmt w:val="decimal"/>
      <w:start w:val="5"/>
    </w:lvl>
    <w:lvl w:ilvl="1">
      <w:lvlJc w:val="left"/>
      <w:lvlText w:val="%2"/>
      <w:numFmt w:val="lowerRoman"/>
      <w:start w:val="1"/>
    </w:lvl>
  </w:abstractNum>
  <w:abstractNum w:abstractNumId="88">
    <w:nsid w:val="1A0DDE32"/>
    <w:multiLevelType w:val="hybridMultilevel"/>
    <w:lvl w:ilvl="0">
      <w:lvlJc w:val="left"/>
      <w:lvlText w:val="%1"/>
      <w:numFmt w:val="lowerLetter"/>
      <w:start w:val="1"/>
    </w:lvl>
    <w:lvl w:ilvl="1">
      <w:lvlJc w:val="left"/>
      <w:lvlText w:val="(%2)"/>
      <w:numFmt w:val="lowerLetter"/>
      <w:start w:val="22"/>
    </w:lvl>
  </w:abstractNum>
  <w:abstractNum w:abstractNumId="89">
    <w:nsid w:val="65968C1C"/>
    <w:multiLevelType w:val="hybridMultilevel"/>
    <w:lvl w:ilvl="0">
      <w:lvlJc w:val="left"/>
      <w:lvlText w:val="(%1)"/>
      <w:numFmt w:val="lowerLetter"/>
      <w:start w:val="3"/>
    </w:lvl>
    <w:lvl w:ilvl="1">
      <w:lvlJc w:val="left"/>
      <w:lvlText w:val="%2"/>
      <w:numFmt w:val="lowerLetter"/>
      <w:start w:val="1"/>
    </w:lvl>
  </w:abstractNum>
  <w:abstractNum w:abstractNumId="90">
    <w:nsid w:val="46263DE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91">
    <w:nsid w:val="260D8C4A"/>
    <w:multiLevelType w:val="hybridMultilevel"/>
    <w:lvl w:ilvl="0">
      <w:lvlJc w:val="left"/>
      <w:lvlText w:val="(%1)"/>
      <w:numFmt w:val="lowerRoman"/>
      <w:start w:val="2"/>
    </w:lvl>
  </w:abstractNum>
  <w:abstractNum w:abstractNumId="92">
    <w:nsid w:val="73D4D3C4"/>
    <w:multiLevelType w:val="hybridMultilevel"/>
    <w:lvl w:ilvl="0">
      <w:lvlJc w:val="left"/>
      <w:lvlText w:val="%1"/>
      <w:numFmt w:val="decimal"/>
      <w:start w:val="1"/>
    </w:lvl>
    <w:lvl w:ilvl="1">
      <w:lvlJc w:val="left"/>
      <w:lvlText w:val="(%2)"/>
      <w:numFmt w:val="lowerLetter"/>
      <w:start w:val="3"/>
    </w:lvl>
  </w:abstractNum>
  <w:abstractNum w:abstractNumId="93">
    <w:nsid w:val="746F2E30"/>
    <w:multiLevelType w:val="hybridMultilevel"/>
    <w:lvl w:ilvl="0">
      <w:lvlJc w:val="left"/>
      <w:lvlText w:val="%1."/>
      <w:numFmt w:val="decimal"/>
      <w:start w:val="5"/>
    </w:lvl>
    <w:lvl w:ilvl="1">
      <w:lvlJc w:val="left"/>
      <w:lvlText w:val="%2"/>
      <w:numFmt w:val="lowerLetter"/>
      <w:start w:val="1"/>
    </w:lvl>
  </w:abstractNum>
  <w:abstractNum w:abstractNumId="94">
    <w:nsid w:val="6FDE8AF6"/>
    <w:multiLevelType w:val="hybridMultilevel"/>
    <w:lvl w:ilvl="0">
      <w:lvlJc w:val="left"/>
      <w:lvlText w:val="%1."/>
      <w:numFmt w:val="decimal"/>
      <w:start w:val="7"/>
    </w:lvl>
    <w:lvl w:ilvl="1">
      <w:lvlJc w:val="left"/>
      <w:lvlText w:val="(%2)"/>
      <w:numFmt w:val="lowerLetter"/>
      <w:start w:val="1"/>
    </w:lvl>
  </w:abstractNum>
  <w:abstractNum w:abstractNumId="95">
    <w:nsid w:val="3FC32E20"/>
    <w:multiLevelType w:val="hybridMultilevel"/>
    <w:lvl w:ilvl="0">
      <w:lvlJc w:val="left"/>
      <w:lvlText w:val="%1."/>
      <w:numFmt w:val="decimal"/>
      <w:start w:val="8"/>
    </w:lvl>
  </w:abstractNum>
  <w:abstractNum w:abstractNumId="96">
    <w:nsid w:val="49C0E823"/>
    <w:multiLevelType w:val="hybridMultilevel"/>
    <w:lvl w:ilvl="0">
      <w:lvlJc w:val="left"/>
      <w:lvlText w:val="%1."/>
      <w:numFmt w:val="decimal"/>
      <w:start w:val="12"/>
    </w:lvl>
  </w:abstractNum>
  <w:abstractNum w:abstractNumId="97">
    <w:nsid w:val="14D53685"/>
    <w:multiLevelType w:val="hybridMultilevel"/>
    <w:lvl w:ilvl="0">
      <w:lvlJc w:val="left"/>
      <w:lvlText w:val="%1."/>
      <w:numFmt w:val="decimal"/>
      <w:start w:val="17"/>
    </w:lvl>
    <w:lvl w:ilvl="1">
      <w:lvlJc w:val="left"/>
      <w:lvlText w:val="(%2)"/>
      <w:numFmt w:val="lowerLetter"/>
      <w:start w:val="1"/>
    </w:lvl>
  </w:abstractNum>
  <w:abstractNum w:abstractNumId="98">
    <w:nsid w:val="230F85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99">
    <w:nsid w:val="6EAA85FB"/>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00">
    <w:nsid w:val="3F06ECB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01">
    <w:nsid w:val="3B594807"/>
    <w:multiLevelType w:val="hybridMultilevel"/>
    <w:lvl w:ilvl="0">
      <w:lvlJc w:val="left"/>
      <w:lvlText w:val="%1"/>
      <w:numFmt w:val="lowerRoman"/>
      <w:start w:val="1"/>
    </w:lvl>
    <w:lvl w:ilvl="1">
      <w:lvlJc w:val="left"/>
      <w:lvlText w:val="(%2)"/>
      <w:numFmt w:val="lowerLetter"/>
      <w:start w:val="4"/>
    </w:lvl>
  </w:abstractNum>
  <w:abstractNum w:abstractNumId="102">
    <w:nsid w:val="6CAA2304"/>
    <w:multiLevelType w:val="hybridMultilevel"/>
    <w:lvl w:ilvl="0">
      <w:lvlJc w:val="left"/>
      <w:lvlText w:val="(%1)"/>
      <w:numFmt w:val="lowerRoman"/>
      <w:start w:val="4"/>
    </w:lvl>
    <w:lvl w:ilvl="1">
      <w:lvlJc w:val="left"/>
      <w:lvlText w:val="(%2)"/>
      <w:numFmt w:val="lowerLetter"/>
      <w:start w:val="6"/>
    </w:lvl>
  </w:abstractNum>
  <w:abstractNum w:abstractNumId="103">
    <w:nsid w:val="3F7C2FF4"/>
    <w:multiLevelType w:val="hybridMultilevel"/>
    <w:lvl w:ilvl="0">
      <w:lvlJc w:val="left"/>
      <w:lvlText w:val="%1"/>
      <w:numFmt w:val="decimal"/>
      <w:start w:val="1"/>
    </w:lvl>
    <w:lvl w:ilvl="1">
      <w:lvlJc w:val="left"/>
      <w:lvlText w:val="(%2)"/>
      <w:numFmt w:val="lowerLetter"/>
      <w:start w:val="8"/>
    </w:lvl>
  </w:abstractNum>
  <w:abstractNum w:abstractNumId="104">
    <w:nsid w:val="25413BEC"/>
    <w:multiLevelType w:val="hybridMultilevel"/>
    <w:lvl w:ilvl="0">
      <w:lvlJc w:val="left"/>
      <w:lvlText w:val="%1."/>
      <w:numFmt w:val="decimal"/>
      <w:start w:val="19"/>
    </w:lvl>
    <w:lvl w:ilvl="1">
      <w:lvlJc w:val="left"/>
      <w:lvlText w:val="(%2)"/>
      <w:numFmt w:val="lowerLetter"/>
      <w:start w:val="1"/>
    </w:lvl>
  </w:abstractNum>
  <w:abstractNum w:abstractNumId="105">
    <w:nsid w:val="17180B0B"/>
    <w:multiLevelType w:val="hybridMultilevel"/>
    <w:lvl w:ilvl="0">
      <w:lvlJc w:val="left"/>
      <w:lvlText w:val="(%1)"/>
      <w:numFmt w:val="lowerLetter"/>
      <w:start w:val="4"/>
    </w:lvl>
  </w:abstractNum>
  <w:abstractNum w:abstractNumId="106">
    <w:nsid w:val="579328B9"/>
    <w:multiLevelType w:val="hybridMultilevel"/>
    <w:lvl w:ilvl="0">
      <w:lvlJc w:val="left"/>
      <w:lvlText w:val="(%1)"/>
      <w:numFmt w:val="lowerLetter"/>
      <w:start w:val="9"/>
    </w:lvl>
  </w:abstractNum>
  <w:abstractNum w:abstractNumId="107">
    <w:nsid w:val="5D205E20"/>
    <w:multiLevelType w:val="hybridMultilevel"/>
    <w:lvl w:ilvl="0">
      <w:lvlJc w:val="left"/>
      <w:lvlText w:val="(%1)"/>
      <w:numFmt w:val="lowerLetter"/>
      <w:start w:val="14"/>
    </w:lvl>
  </w:abstractNum>
  <w:abstractNum w:abstractNumId="108">
    <w:nsid w:val="11CCA8BA"/>
    <w:multiLevelType w:val="hybridMultilevel"/>
    <w:lvl w:ilvl="0">
      <w:lvlJc w:val="left"/>
      <w:lvlText w:val="(%1)"/>
      <w:numFmt w:val="lowerLetter"/>
      <w:start w:val="18"/>
    </w:lvl>
  </w:abstractNum>
  <w:abstractNum w:abstractNumId="109">
    <w:nsid w:val="4D32AB86"/>
    <w:multiLevelType w:val="hybridMultilevel"/>
    <w:lvl w:ilvl="0">
      <w:lvlJc w:val="left"/>
      <w:lvlText w:val="%1."/>
      <w:numFmt w:val="decimal"/>
      <w:start w:val="2"/>
    </w:lvl>
  </w:abstractNum>
  <w:abstractNum w:abstractNumId="110">
    <w:nsid w:val="3F07ACC3"/>
    <w:multiLevelType w:val="hybridMultilevel"/>
    <w:lvl w:ilvl="0">
      <w:lvlJc w:val="left"/>
      <w:lvlText w:val="%1."/>
      <w:numFmt w:val="decimal"/>
      <w:start w:val="1"/>
    </w:lvl>
    <w:lvl w:ilvl="1">
      <w:lvlJc w:val="left"/>
      <w:lvlText w:val="(%2)"/>
      <w:numFmt w:val="lowerLetter"/>
      <w:start w:val="1"/>
    </w:lvl>
  </w:abstractNum>
  <w:abstractNum w:abstractNumId="111">
    <w:nsid w:val="6B47F63E"/>
    <w:multiLevelType w:val="hybridMultilevel"/>
    <w:lvl w:ilvl="0">
      <w:lvlJc w:val="left"/>
      <w:lvlText w:val="(%1)"/>
      <w:numFmt w:val="lowerLetter"/>
      <w:start w:val="2"/>
    </w:lvl>
  </w:abstractNum>
  <w:abstractNum w:abstractNumId="112">
    <w:nsid w:val="5CB44A05"/>
    <w:multiLevelType w:val="hybridMultilevel"/>
    <w:lvl w:ilvl="0">
      <w:lvlJc w:val="left"/>
      <w:lvlText w:val="(%1)"/>
      <w:numFmt w:val="lowerLetter"/>
      <w:start w:val="4"/>
    </w:lvl>
  </w:abstractNum>
  <w:abstractNum w:abstractNumId="113">
    <w:nsid w:val="16CF80F1"/>
    <w:multiLevelType w:val="hybridMultilevel"/>
    <w:lvl w:ilvl="0">
      <w:lvlJc w:val="left"/>
      <w:lvlText w:val="(%1)"/>
      <w:numFmt w:val="lowerLetter"/>
      <w:start w:val="5"/>
    </w:lvl>
  </w:abstractNum>
  <w:abstractNum w:abstractNumId="114">
    <w:nsid w:val="1C695DEC"/>
    <w:multiLevelType w:val="hybridMultilevel"/>
    <w:lvl w:ilvl="0">
      <w:lvlJc w:val="left"/>
      <w:lvlText w:val="(%1)"/>
      <w:numFmt w:val="lowerLetter"/>
      <w:start w:val="6"/>
    </w:lvl>
  </w:abstractNum>
  <w:abstractNum w:abstractNumId="115">
    <w:nsid w:val="3FCFAED9"/>
    <w:multiLevelType w:val="hybridMultilevel"/>
    <w:lvl w:ilvl="0">
      <w:lvlJc w:val="left"/>
      <w:lvlText w:val="%1"/>
      <w:numFmt w:val="decimal"/>
      <w:start w:val="1"/>
    </w:lvl>
    <w:lvl w:ilvl="1">
      <w:lvlJc w:val="left"/>
      <w:lvlText w:val="(%2)"/>
      <w:numFmt w:val="lowerLetter"/>
      <w:start w:val="7"/>
    </w:lvl>
  </w:abstractNum>
  <w:abstractNum w:abstractNumId="116">
    <w:nsid w:val="F856867"/>
    <w:multiLevelType w:val="hybridMultilevel"/>
    <w:lvl w:ilvl="0">
      <w:lvlJc w:val="left"/>
      <w:lvlText w:val="%1."/>
      <w:numFmt w:val="decimal"/>
      <w:start w:val="2"/>
    </w:lvl>
    <w:lvl w:ilvl="1">
      <w:lvlJc w:val="left"/>
      <w:lvlText w:val="(%2)"/>
      <w:numFmt w:val="lowerLetter"/>
      <w:start w:val="1"/>
    </w:lvl>
  </w:abstractNum>
  <w:abstractNum w:abstractNumId="117">
    <w:nsid w:val="11B1CC33"/>
    <w:multiLevelType w:val="hybridMultilevel"/>
    <w:lvl w:ilvl="0">
      <w:lvlJc w:val="left"/>
      <w:lvlText w:val="(%1)"/>
      <w:numFmt w:val="lowerLetter"/>
      <w:start w:val="2"/>
    </w:lvl>
    <w:lvl w:ilvl="1">
      <w:lvlJc w:val="left"/>
      <w:lvlText w:val="(%2)"/>
      <w:numFmt w:val="lowerRoman"/>
      <w:start w:val="1"/>
    </w:lvl>
  </w:abstractNum>
  <w:abstractNum w:abstractNumId="118">
    <w:nsid w:val="2E22FBB7"/>
    <w:multiLevelType w:val="hybridMultilevel"/>
    <w:lvl w:ilvl="0">
      <w:lvlJc w:val="left"/>
      <w:lvlText w:val="(%1)"/>
      <w:numFmt w:val="lowerRoman"/>
      <w:start w:val="3"/>
    </w:lvl>
  </w:abstractNum>
  <w:abstractNum w:abstractNumId="119">
    <w:nsid w:val="29934699"/>
    <w:multiLevelType w:val="hybridMultilevel"/>
    <w:lvl w:ilvl="0">
      <w:lvlJc w:val="left"/>
      <w:lvlText w:val="(%1)"/>
      <w:numFmt w:val="lowerRoman"/>
      <w:start w:val="5"/>
    </w:lvl>
  </w:abstractNum>
  <w:abstractNum w:abstractNumId="120">
    <w:nsid w:val="7748585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1">
    <w:nsid w:val="744939A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22">
    <w:nsid w:val="4FA0D2E3"/>
    <w:multiLevelType w:val="hybridMultilevel"/>
    <w:lvl w:ilvl="0">
      <w:lvlJc w:val="left"/>
      <w:lvlText w:val="(%1)"/>
      <w:numFmt w:val="lowerRoman"/>
      <w:start w:val="2"/>
    </w:lvl>
  </w:abstractNum>
  <w:abstractNum w:abstractNumId="123">
    <w:nsid w:val="6B1D2C14"/>
    <w:multiLevelType w:val="hybridMultilevel"/>
    <w:lvl w:ilvl="0">
      <w:lvlJc w:val="left"/>
      <w:lvlText w:val="%1"/>
      <w:numFmt w:val="decimal"/>
      <w:start w:val="1"/>
    </w:lvl>
    <w:lvl w:ilvl="1">
      <w:lvlJc w:val="left"/>
      <w:lvlText w:val="(%2)"/>
      <w:numFmt w:val="lowerLetter"/>
      <w:start w:val="3"/>
    </w:lvl>
  </w:abstractNum>
  <w:abstractNum w:abstractNumId="124">
    <w:nsid w:val="68B867D3"/>
    <w:multiLevelType w:val="hybridMultilevel"/>
    <w:lvl w:ilvl="0">
      <w:lvlJc w:val="left"/>
      <w:lvlText w:val="%1."/>
      <w:numFmt w:val="decimal"/>
      <w:start w:val="5"/>
    </w:lvl>
    <w:lvl w:ilvl="1">
      <w:lvlJc w:val="left"/>
      <w:lvlText w:val="%2"/>
      <w:numFmt w:val="lowerLetter"/>
      <w:start w:val="1"/>
    </w:lvl>
  </w:abstractNum>
  <w:abstractNum w:abstractNumId="125">
    <w:nsid w:val="3F7F5DD9"/>
    <w:multiLevelType w:val="hybridMultilevel"/>
    <w:lvl w:ilvl="0">
      <w:lvlJc w:val="left"/>
      <w:lvlText w:val="%1."/>
      <w:numFmt w:val="decimal"/>
      <w:start w:val="7"/>
    </w:lvl>
    <w:lvl w:ilvl="1">
      <w:lvlJc w:val="left"/>
      <w:lvlText w:val="(%2)"/>
      <w:numFmt w:val="lowerLetter"/>
      <w:start w:val="1"/>
    </w:lvl>
  </w:abstractNum>
  <w:abstractNum w:abstractNumId="126">
    <w:nsid w:val="2AE05A34"/>
    <w:multiLevelType w:val="hybridMultilevel"/>
    <w:lvl w:ilvl="0">
      <w:lvlJc w:val="left"/>
      <w:lvlText w:val="%1."/>
      <w:numFmt w:val="decimal"/>
      <w:start w:val="8"/>
    </w:lvl>
  </w:abstractNum>
  <w:abstractNum w:abstractNumId="127">
    <w:nsid w:val="32794FF7"/>
    <w:multiLevelType w:val="hybridMultilevel"/>
    <w:lvl w:ilvl="0">
      <w:lvlJc w:val="left"/>
      <w:lvlText w:val="%1."/>
      <w:numFmt w:val="decimal"/>
      <w:start w:val="12"/>
    </w:lvl>
  </w:abstractNum>
  <w:abstractNum w:abstractNumId="128">
    <w:nsid w:val="5454945E"/>
    <w:multiLevelType w:val="hybridMultilevel"/>
    <w:lvl w:ilvl="0">
      <w:lvlJc w:val="left"/>
      <w:lvlText w:val="%1."/>
      <w:numFmt w:val="decimal"/>
      <w:start w:val="17"/>
    </w:lvl>
    <w:lvl w:ilvl="1">
      <w:lvlJc w:val="left"/>
      <w:lvlText w:val="(%2)"/>
      <w:numFmt w:val="lowerLetter"/>
      <w:start w:val="1"/>
    </w:lvl>
  </w:abstractNum>
  <w:abstractNum w:abstractNumId="129">
    <w:nsid w:val="4DEFDFA0"/>
    <w:multiLevelType w:val="hybridMultilevel"/>
    <w:lvl w:ilvl="0">
      <w:lvlJc w:val="left"/>
      <w:lvlText w:val="%1."/>
      <w:numFmt w:val="decimal"/>
      <w:start w:val="18"/>
    </w:lvl>
    <w:lvl w:ilvl="1">
      <w:lvlJc w:val="left"/>
      <w:lvlText w:val="(%2)"/>
      <w:numFmt w:val="lowerLetter"/>
      <w:start w:val="1"/>
    </w:lvl>
  </w:abstractNum>
  <w:abstractNum w:abstractNumId="130">
    <w:nsid w:val="2123D5F2"/>
    <w:multiLevelType w:val="hybridMultilevel"/>
    <w:lvl w:ilvl="0">
      <w:lvlJc w:val="left"/>
      <w:lvlText w:val="(%1)"/>
      <w:numFmt w:val="lowerLetter"/>
      <w:start w:val="5"/>
    </w:lvl>
  </w:abstractNum>
  <w:abstractNum w:abstractNumId="131">
    <w:nsid w:val="135B8110"/>
    <w:multiLevelType w:val="hybridMultilevel"/>
    <w:lvl w:ilvl="0">
      <w:lvlJc w:val="left"/>
      <w:lvlText w:val="%1"/>
      <w:numFmt w:val="decimal"/>
      <w:start w:val="1"/>
    </w:lvl>
    <w:lvl w:ilvl="1">
      <w:lvlJc w:val="left"/>
      <w:lvlText w:val="(%2)"/>
      <w:numFmt w:val="lowerLetter"/>
      <w:start w:val="9"/>
    </w:lvl>
  </w:abstractNum>
  <w:abstractNum w:abstractNumId="132">
    <w:nsid w:val="94927A8"/>
    <w:multiLevelType w:val="hybridMultilevel"/>
    <w:lvl w:ilvl="0">
      <w:lvlJc w:val="left"/>
      <w:lvlText w:val="%1."/>
      <w:numFmt w:val="decimal"/>
      <w:start w:val="19"/>
    </w:lvl>
    <w:lvl w:ilvl="1">
      <w:lvlJc w:val="left"/>
      <w:lvlText w:val="(%2)"/>
      <w:numFmt w:val="lowerLetter"/>
      <w:start w:val="1"/>
    </w:lvl>
  </w:abstractNum>
  <w:abstractNum w:abstractNumId="133">
    <w:nsid w:val="DCDF8F6"/>
    <w:multiLevelType w:val="hybridMultilevel"/>
    <w:lvl w:ilvl="0">
      <w:lvlJc w:val="left"/>
      <w:lvlText w:val="%1"/>
      <w:numFmt w:val="lowerLetter"/>
      <w:start w:val="1"/>
    </w:lvl>
    <w:lvl w:ilvl="1">
      <w:lvlJc w:val="left"/>
      <w:lvlText w:val="(%2)"/>
      <w:numFmt w:val="lowerLetter"/>
      <w:start w:val="5"/>
    </w:lvl>
  </w:abstractNum>
  <w:abstractNum w:abstractNumId="134">
    <w:nsid w:val="52D7B105"/>
    <w:multiLevelType w:val="hybridMultilevel"/>
    <w:lvl w:ilvl="0">
      <w:lvlJc w:val="left"/>
      <w:lvlText w:val="(%1)"/>
      <w:numFmt w:val="lowerLetter"/>
      <w:start w:val="9"/>
    </w:lvl>
    <w:lvl w:ilvl="1">
      <w:lvlJc w:val="left"/>
      <w:lvlText w:val="(%2)"/>
      <w:numFmt w:val="lowerLetter"/>
      <w:start w:val="7"/>
    </w:lvl>
  </w:abstractNum>
  <w:abstractNum w:abstractNumId="135">
    <w:nsid w:val="2E8A6394"/>
    <w:multiLevelType w:val="hybridMultilevel"/>
    <w:lvl w:ilvl="0">
      <w:lvlJc w:val="left"/>
      <w:lvlText w:val="(%1)"/>
      <w:numFmt w:val="lowerLetter"/>
      <w:start w:val="9"/>
    </w:lvl>
  </w:abstractNum>
  <w:abstractNum w:abstractNumId="136">
    <w:nsid w:val="24E60401"/>
    <w:multiLevelType w:val="hybridMultilevel"/>
    <w:lvl w:ilvl="0">
      <w:lvlJc w:val="left"/>
      <w:lvlText w:val="%1"/>
      <w:numFmt w:val="upperLetter"/>
      <w:start w:val="1"/>
    </w:lvl>
    <w:lvl w:ilvl="1">
      <w:lvlJc w:val="left"/>
      <w:lvlText w:val="(%2)"/>
      <w:numFmt w:val="lowerLetter"/>
      <w:start w:val="14"/>
    </w:lvl>
  </w:abstractNum>
  <w:abstractNum w:abstractNumId="137">
    <w:nsid w:val="2A6AD9BE"/>
    <w:multiLevelType w:val="hybridMultilevel"/>
    <w:lvl w:ilvl="0">
      <w:lvlJc w:val="left"/>
      <w:lvlText w:val="(%1)"/>
      <w:numFmt w:val="upperLetter"/>
      <w:start w:val="2"/>
    </w:lvl>
    <w:lvl w:ilvl="1">
      <w:lvlJc w:val="left"/>
      <w:lvlText w:val="%2"/>
      <w:numFmt w:val="lowerLetter"/>
      <w:start w:val="1"/>
    </w:lvl>
  </w:abstractNum>
  <w:abstractNum w:abstractNumId="138">
    <w:nsid w:val="BAAC1B4"/>
    <w:multiLevelType w:val="hybridMultilevel"/>
    <w:lvl w:ilvl="0">
      <w:lvlJc w:val="left"/>
      <w:lvlText w:val="(%1)"/>
      <w:numFmt w:val="lowerLetter"/>
      <w:start w:val="16"/>
    </w:lvl>
  </w:abstractNum>
  <w:abstractNum w:abstractNumId="139">
    <w:nsid w:val="36B2ACBC"/>
    <w:multiLevelType w:val="hybridMultilevel"/>
    <w:lvl w:ilvl="0">
      <w:lvlJc w:val="left"/>
      <w:lvlText w:val="(%1)"/>
      <w:numFmt w:val="lowerLetter"/>
      <w:start w:val="25"/>
    </w:lvl>
  </w:abstractNum>
  <w:abstractNum w:abstractNumId="140">
    <w:nsid w:val="779D8544"/>
    <w:multiLevelType w:val="hybridMultilevel"/>
    <w:lvl w:ilvl="0">
      <w:lvlJc w:val="left"/>
      <w:lvlText w:val="%1."/>
      <w:numFmt w:val="decimal"/>
      <w:start w:val="2"/>
    </w:lvl>
  </w:abstractNum>
  <w:abstractNum w:abstractNumId="141">
    <w:nsid w:val="4AB26E78"/>
    <w:multiLevelType w:val="hybridMultilevel"/>
    <w:lvl w:ilvl="0">
      <w:lvlJc w:val="left"/>
      <w:lvlText w:val="%1."/>
      <w:numFmt w:val="decimal"/>
      <w:start w:val="1"/>
    </w:lvl>
    <w:lvl w:ilvl="1">
      <w:lvlJc w:val="left"/>
      <w:lvlText w:val="(%2)"/>
      <w:numFmt w:val="lowerLetter"/>
      <w:start w:val="1"/>
    </w:lvl>
  </w:abstractNum>
  <w:abstractNum w:abstractNumId="142">
    <w:nsid w:val="21FAA2FA"/>
    <w:multiLevelType w:val="hybridMultilevel"/>
    <w:lvl w:ilvl="0">
      <w:lvlJc w:val="left"/>
      <w:lvlText w:val="(%1)"/>
      <w:numFmt w:val="lowerLetter"/>
      <w:start w:val="2"/>
    </w:lvl>
  </w:abstractNum>
  <w:abstractNum w:abstractNumId="143">
    <w:nsid w:val="5451CF49"/>
    <w:multiLevelType w:val="hybridMultilevel"/>
    <w:lvl w:ilvl="0">
      <w:lvlJc w:val="left"/>
      <w:lvlText w:val="(%1)"/>
      <w:numFmt w:val="lowerLetter"/>
      <w:start w:val="4"/>
    </w:lvl>
  </w:abstractNum>
  <w:abstractNum w:abstractNumId="144">
    <w:nsid w:val="6181EF69"/>
    <w:multiLevelType w:val="hybridMultilevel"/>
    <w:lvl w:ilvl="0">
      <w:lvlJc w:val="left"/>
      <w:lvlText w:val="(%1)"/>
      <w:numFmt w:val="lowerLetter"/>
      <w:start w:val="5"/>
    </w:lvl>
  </w:abstractNum>
  <w:abstractNum w:abstractNumId="145">
    <w:nsid w:val="3E6400E6"/>
    <w:multiLevelType w:val="hybridMultilevel"/>
    <w:lvl w:ilvl="0">
      <w:lvlJc w:val="left"/>
      <w:lvlText w:val="%1"/>
      <w:numFmt w:val="lowerLetter"/>
      <w:start w:val="1"/>
    </w:lvl>
    <w:lvl w:ilvl="1">
      <w:lvlJc w:val="left"/>
      <w:lvlText w:val="(%2)"/>
      <w:numFmt w:val="lowerLetter"/>
      <w:start w:val="6"/>
    </w:lvl>
  </w:abstractNum>
  <w:abstractNum w:abstractNumId="146">
    <w:nsid w:val="14217E23"/>
    <w:multiLevelType w:val="hybridMultilevel"/>
    <w:lvl w:ilvl="0">
      <w:lvlJc w:val="left"/>
      <w:lvlText w:val="(%1)"/>
      <w:numFmt w:val="lowerLetter"/>
      <w:start w:val="35"/>
    </w:lvl>
    <w:lvl w:ilvl="1">
      <w:lvlJc w:val="left"/>
      <w:lvlText w:val="%2"/>
      <w:numFmt w:val="lowerLetter"/>
      <w:start w:val="1"/>
    </w:lvl>
  </w:abstractNum>
  <w:abstractNum w:abstractNumId="147">
    <w:nsid w:val="710757D0"/>
    <w:multiLevelType w:val="hybridMultilevel"/>
    <w:lvl w:ilvl="0">
      <w:lvlJc w:val="left"/>
      <w:lvlText w:val="(%1)"/>
      <w:numFmt w:val="lowerLetter"/>
      <w:start w:val="24"/>
    </w:lvl>
    <w:lvl w:ilvl="1">
      <w:lvlJc w:val="left"/>
      <w:lvlText w:val="%2"/>
      <w:numFmt w:val="lowerLetter"/>
      <w:start w:val="1"/>
    </w:lvl>
  </w:abstractNum>
  <w:abstractNum w:abstractNumId="148">
    <w:nsid w:val="5015CD1A"/>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49">
    <w:nsid w:val="424479D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50">
    <w:nsid w:val="1A9A9E69"/>
    <w:multiLevelType w:val="hybridMultilevel"/>
    <w:lvl w:ilvl="0">
      <w:lvlJc w:val="left"/>
      <w:lvlText w:val="(%1)"/>
      <w:numFmt w:val="lowerRoman"/>
      <w:start w:val="2"/>
    </w:lvl>
  </w:abstractNum>
  <w:abstractNum w:abstractNumId="151">
    <w:nsid w:val="475E256A"/>
    <w:multiLevelType w:val="hybridMultilevel"/>
    <w:lvl w:ilvl="0">
      <w:lvlJc w:val="left"/>
      <w:lvlText w:val="%1"/>
      <w:numFmt w:val="decimal"/>
      <w:start w:val="1"/>
    </w:lvl>
    <w:lvl w:ilvl="1">
      <w:lvlJc w:val="left"/>
      <w:lvlText w:val="(%2)"/>
      <w:numFmt w:val="lowerRoman"/>
      <w:start w:val="4"/>
    </w:lvl>
  </w:abstractNum>
  <w:abstractNum w:abstractNumId="152">
    <w:nsid w:val="368DB37E"/>
    <w:multiLevelType w:val="hybridMultilevel"/>
    <w:lvl w:ilvl="0">
      <w:lvlJc w:val="left"/>
      <w:lvlText w:val="(%1)"/>
      <w:numFmt w:val="decimal"/>
      <w:start w:val="5"/>
    </w:lvl>
    <w:lvl w:ilvl="1">
      <w:lvlJc w:val="left"/>
      <w:lvlText w:val="%2"/>
      <w:numFmt w:val="lowerRoman"/>
      <w:start w:val="1"/>
    </w:lvl>
  </w:abstractNum>
  <w:abstractNum w:abstractNumId="153">
    <w:nsid w:val="6A3B714C"/>
    <w:multiLevelType w:val="hybridMultilevel"/>
    <w:lvl w:ilvl="0">
      <w:lvlJc w:val="left"/>
      <w:lvlText w:val="%1"/>
      <w:numFmt w:val="lowerLetter"/>
      <w:start w:val="1"/>
    </w:lvl>
    <w:lvl w:ilvl="1">
      <w:lvlJc w:val="left"/>
      <w:lvlText w:val="(%2)"/>
      <w:numFmt w:val="lowerLetter"/>
      <w:start w:val="22"/>
    </w:lvl>
  </w:abstractNum>
  <w:abstractNum w:abstractNumId="154">
    <w:nsid w:val="327B517E"/>
    <w:multiLevelType w:val="hybridMultilevel"/>
    <w:lvl w:ilvl="0">
      <w:lvlJc w:val="left"/>
      <w:lvlText w:val="(%1)"/>
      <w:numFmt w:val="lowerLetter"/>
      <w:start w:val="3"/>
    </w:lvl>
    <w:lvl w:ilvl="1">
      <w:lvlJc w:val="left"/>
      <w:lvlText w:val="%2"/>
      <w:numFmt w:val="lowerLetter"/>
      <w:start w:val="1"/>
    </w:lvl>
  </w:abstractNum>
  <w:abstractNum w:abstractNumId="155">
    <w:nsid w:val="1F461B51"/>
    <w:multiLevelType w:val="hybridMultilevel"/>
    <w:lvl w:ilvl="0">
      <w:lvlJc w:val="left"/>
      <w:lvlText w:val="%1"/>
      <w:numFmt w:val="decimal"/>
      <w:start w:val="1"/>
    </w:lvl>
    <w:lvl w:ilvl="1">
      <w:lvlJc w:val="left"/>
      <w:lvlText w:val="(%2)"/>
      <w:numFmt w:val="lowerLetter"/>
      <w:start w:val="4"/>
    </w:lvl>
  </w:abstractNum>
  <w:abstractNum w:abstractNumId="156">
    <w:nsid w:val="29BACF25"/>
    <w:multiLevelType w:val="hybridMultilevel"/>
    <w:lvl w:ilvl="0">
      <w:lvlJc w:val="left"/>
      <w:lvlText w:val="%1."/>
      <w:numFmt w:val="decimal"/>
      <w:start w:val="3"/>
    </w:lvl>
    <w:lvl w:ilvl="1">
      <w:lvlJc w:val="left"/>
      <w:lvlText w:val="(%2)"/>
      <w:numFmt w:val="lowerLetter"/>
      <w:start w:val="1"/>
    </w:lvl>
  </w:abstractNum>
  <w:abstractNum w:abstractNumId="157">
    <w:nsid w:val="5D5BABB3"/>
    <w:multiLevelType w:val="hybridMultilevel"/>
    <w:lvl w:ilvl="0">
      <w:lvlJc w:val="left"/>
      <w:lvlText w:val="(%1)"/>
      <w:numFmt w:val="lowerLetter"/>
      <w:start w:val="2"/>
    </w:lvl>
    <w:lvl w:ilvl="1">
      <w:lvlJc w:val="left"/>
      <w:lvlText w:val="(%2)"/>
      <w:numFmt w:val="lowerRoman"/>
      <w:start w:val="1"/>
    </w:lvl>
  </w:abstractNum>
  <w:abstractNum w:abstractNumId="158">
    <w:nsid w:val="51BF6B48"/>
    <w:multiLevelType w:val="hybridMultilevel"/>
    <w:lvl w:ilvl="0">
      <w:lvlJc w:val="left"/>
      <w:lvlText w:val="%1"/>
      <w:numFmt w:val="decimal"/>
      <w:start w:val="1"/>
    </w:lvl>
    <w:lvl w:ilvl="1">
      <w:lvlJc w:val="left"/>
      <w:lvlText w:val="(%2)"/>
      <w:numFmt w:val="lowerLetter"/>
      <w:start w:val="3"/>
    </w:lvl>
  </w:abstractNum>
  <w:abstractNum w:abstractNumId="159">
    <w:nsid w:val="7E0F6384"/>
    <w:multiLevelType w:val="hybridMultilevel"/>
    <w:lvl w:ilvl="0">
      <w:lvlJc w:val="left"/>
      <w:lvlText w:val="%1."/>
      <w:numFmt w:val="decimal"/>
      <w:start w:val="5"/>
    </w:lvl>
    <w:lvl w:ilvl="1">
      <w:lvlJc w:val="left"/>
      <w:lvlText w:val="%2"/>
      <w:numFmt w:val="lowerLetter"/>
      <w:start w:val="1"/>
    </w:lvl>
  </w:abstractNum>
  <w:abstractNum w:abstractNumId="160">
    <w:nsid w:val="2B4B8B53"/>
    <w:multiLevelType w:val="hybridMultilevel"/>
    <w:lvl w:ilvl="0">
      <w:lvlJc w:val="left"/>
      <w:lvlText w:val="%1."/>
      <w:numFmt w:val="decimal"/>
      <w:start w:val="6"/>
    </w:lvl>
    <w:lvl w:ilvl="1">
      <w:lvlJc w:val="left"/>
      <w:lvlText w:val="(%2)"/>
      <w:numFmt w:val="lowerLetter"/>
      <w:start w:val="1"/>
    </w:lvl>
  </w:abstractNum>
  <w:abstractNum w:abstractNumId="161">
    <w:nsid w:val="72E3413A"/>
    <w:multiLevelType w:val="hybridMultilevel"/>
    <w:lvl w:ilvl="0">
      <w:lvlJc w:val="left"/>
      <w:lvlText w:val="%1."/>
      <w:numFmt w:val="decimal"/>
      <w:start w:val="8"/>
    </w:lvl>
  </w:abstractNum>
  <w:abstractNum w:abstractNumId="162">
    <w:nsid w:val="116AE494"/>
    <w:multiLevelType w:val="hybridMultilevel"/>
    <w:lvl w:ilvl="0">
      <w:lvlJc w:val="left"/>
      <w:lvlText w:val="%1."/>
      <w:numFmt w:val="decimal"/>
      <w:start w:val="12"/>
    </w:lvl>
  </w:abstractNum>
  <w:abstractNum w:abstractNumId="163">
    <w:nsid w:val="3494B2FB"/>
    <w:multiLevelType w:val="hybridMultilevel"/>
    <w:lvl w:ilvl="0">
      <w:lvlJc w:val="left"/>
      <w:lvlText w:val="%1."/>
      <w:numFmt w:val="decimal"/>
      <w:start w:val="16"/>
    </w:lvl>
    <w:lvl w:ilvl="1">
      <w:lvlJc w:val="left"/>
      <w:lvlText w:val="(%2)"/>
      <w:numFmt w:val="lowerLetter"/>
      <w:start w:val="1"/>
    </w:lvl>
  </w:abstractNum>
  <w:abstractNum w:abstractNumId="164">
    <w:nsid w:val="B13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65">
    <w:nsid w:val="64429599"/>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66">
    <w:nsid w:val="631F169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67">
    <w:nsid w:val="25973E32"/>
    <w:multiLevelType w:val="hybridMultilevel"/>
    <w:lvl w:ilvl="0">
      <w:lvlJc w:val="left"/>
      <w:lvlText w:val="%1"/>
      <w:numFmt w:val="lowerRoman"/>
      <w:start w:val="1"/>
    </w:lvl>
    <w:lvl w:ilvl="1">
      <w:lvlJc w:val="left"/>
      <w:lvlText w:val="(%2)"/>
      <w:numFmt w:val="lowerLetter"/>
      <w:start w:val="4"/>
    </w:lvl>
  </w:abstractNum>
  <w:abstractNum w:abstractNumId="168">
    <w:nsid w:val="EAD6F57"/>
    <w:multiLevelType w:val="hybridMultilevel"/>
    <w:lvl w:ilvl="0">
      <w:lvlJc w:val="left"/>
      <w:lvlText w:val="(%1)"/>
      <w:numFmt w:val="lowerRoman"/>
      <w:start w:val="4"/>
    </w:lvl>
    <w:lvl w:ilvl="1">
      <w:lvlJc w:val="left"/>
      <w:lvlText w:val="(%2)"/>
      <w:numFmt w:val="lowerLetter"/>
      <w:start w:val="6"/>
    </w:lvl>
  </w:abstractNum>
  <w:abstractNum w:abstractNumId="169">
    <w:nsid w:val="6EC9D844"/>
    <w:multiLevelType w:val="hybridMultilevel"/>
    <w:lvl w:ilvl="0">
      <w:lvlJc w:val="left"/>
      <w:lvlText w:val="%1"/>
      <w:numFmt w:val="decimal"/>
      <w:start w:val="1"/>
    </w:lvl>
    <w:lvl w:ilvl="1">
      <w:lvlJc w:val="left"/>
      <w:lvlText w:val="(%2)"/>
      <w:numFmt w:val="lowerLetter"/>
      <w:start w:val="8"/>
    </w:lvl>
  </w:abstractNum>
  <w:abstractNum w:abstractNumId="170">
    <w:nsid w:val="5C49EAEE"/>
    <w:multiLevelType w:val="hybridMultilevel"/>
    <w:lvl w:ilvl="0">
      <w:lvlJc w:val="left"/>
      <w:lvlText w:val="%1."/>
      <w:numFmt w:val="decimal"/>
      <w:start w:val="19"/>
    </w:lvl>
    <w:lvl w:ilvl="1">
      <w:lvlJc w:val="left"/>
      <w:lvlText w:val="(%2)"/>
      <w:numFmt w:val="lowerLetter"/>
      <w:start w:val="1"/>
    </w:lvl>
  </w:abstractNum>
  <w:abstractNum w:abstractNumId="171">
    <w:nsid w:val="64AF49B"/>
    <w:multiLevelType w:val="hybridMultilevel"/>
    <w:lvl w:ilvl="0">
      <w:lvlJc w:val="left"/>
      <w:lvlText w:val="(%1)"/>
      <w:numFmt w:val="lowerLetter"/>
      <w:start w:val="4"/>
    </w:lvl>
  </w:abstractNum>
  <w:abstractNum w:abstractNumId="172">
    <w:nsid w:val="397C46BC"/>
    <w:multiLevelType w:val="hybridMultilevel"/>
    <w:lvl w:ilvl="0">
      <w:lvlJc w:val="left"/>
      <w:lvlText w:val="(%1)"/>
      <w:numFmt w:val="lowerLetter"/>
      <w:start w:val="7"/>
    </w:lvl>
  </w:abstractNum>
  <w:abstractNum w:abstractNumId="173">
    <w:nsid w:val="7E448DE9"/>
    <w:multiLevelType w:val="hybridMultilevel"/>
    <w:lvl w:ilvl="0">
      <w:lvlJc w:val="left"/>
      <w:lvlText w:val="(%1)"/>
      <w:numFmt w:val="lowerLetter"/>
      <w:start w:val="13"/>
    </w:lvl>
  </w:abstractNum>
  <w:abstractNum w:abstractNumId="174">
    <w:nsid w:val="5A9CC3E5"/>
    <w:multiLevelType w:val="hybridMultilevel"/>
    <w:lvl w:ilvl="0">
      <w:lvlJc w:val="left"/>
      <w:lvlText w:val="(%1)"/>
      <w:numFmt w:val="lowerLetter"/>
      <w:start w:val="18"/>
    </w:lvl>
  </w:abstractNum>
  <w:abstractNum w:abstractNumId="175">
    <w:nsid w:val="1AFE3625"/>
    <w:multiLevelType w:val="hybridMultilevel"/>
    <w:lvl w:ilvl="0">
      <w:lvlJc w:val="left"/>
      <w:lvlText w:val="(%1)"/>
      <w:numFmt w:val="lowerLetter"/>
      <w:start w:val="25"/>
    </w:lvl>
  </w:abstractNum>
  <w:abstractNum w:abstractNumId="176">
    <w:nsid w:val="3CA88ECF"/>
    <w:multiLevelType w:val="hybridMultilevel"/>
    <w:lvl w:ilvl="0">
      <w:lvlJc w:val="left"/>
      <w:lvlText w:val="%1."/>
      <w:numFmt w:val="decimal"/>
      <w:start w:val="2"/>
    </w:lvl>
  </w:abstractNum>
  <w:abstractNum w:abstractNumId="177">
    <w:nsid w:val="6EBE4208"/>
    <w:multiLevelType w:val="hybridMultilevel"/>
    <w:lvl w:ilvl="0">
      <w:lvlJc w:val="left"/>
      <w:lvlText w:val="%1."/>
      <w:numFmt w:val="decimal"/>
      <w:start w:val="1"/>
    </w:lvl>
    <w:lvl w:ilvl="1">
      <w:lvlJc w:val="left"/>
      <w:lvlText w:val="(%2)"/>
      <w:numFmt w:val="lowerLetter"/>
      <w:start w:val="1"/>
    </w:lvl>
  </w:abstractNum>
  <w:abstractNum w:abstractNumId="178">
    <w:nsid w:val="C058DF5"/>
    <w:multiLevelType w:val="hybridMultilevel"/>
    <w:lvl w:ilvl="0">
      <w:lvlJc w:val="left"/>
      <w:lvlText w:val="(%1)"/>
      <w:numFmt w:val="lowerLetter"/>
      <w:start w:val="2"/>
    </w:lvl>
  </w:abstractNum>
  <w:abstractNum w:abstractNumId="179">
    <w:nsid w:val="CBE5BE9"/>
    <w:multiLevelType w:val="hybridMultilevel"/>
    <w:lvl w:ilvl="0">
      <w:lvlJc w:val="left"/>
      <w:lvlText w:val="(%1)"/>
      <w:numFmt w:val="lowerLetter"/>
      <w:start w:val="4"/>
    </w:lvl>
  </w:abstractNum>
  <w:abstractNum w:abstractNumId="180">
    <w:nsid w:val="3102BBE2"/>
    <w:multiLevelType w:val="hybridMultilevel"/>
    <w:lvl w:ilvl="0">
      <w:lvlJc w:val="left"/>
      <w:lvlText w:val="(%1)"/>
      <w:numFmt w:val="lowerLetter"/>
      <w:start w:val="5"/>
    </w:lvl>
  </w:abstractNum>
  <w:abstractNum w:abstractNumId="181">
    <w:nsid w:val="26A02C5E"/>
    <w:multiLevelType w:val="hybridMultilevel"/>
    <w:lvl w:ilvl="0">
      <w:lvlJc w:val="left"/>
      <w:lvlText w:val="(%1)"/>
      <w:numFmt w:val="lowerLetter"/>
      <w:start w:val="6"/>
    </w:lvl>
  </w:abstractNum>
  <w:abstractNum w:abstractNumId="182">
    <w:nsid w:val="541C8153"/>
    <w:multiLevelType w:val="hybridMultilevel"/>
    <w:lvl w:ilvl="0">
      <w:lvlJc w:val="left"/>
      <w:lvlText w:val="(%1)"/>
      <w:numFmt w:val="lowerLetter"/>
      <w:start w:val="7"/>
    </w:lvl>
  </w:abstractNum>
  <w:abstractNum w:abstractNumId="183">
    <w:nsid w:val="67906F6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84">
    <w:nsid w:val="10DB9DAA"/>
    <w:multiLevelType w:val="hybridMultilevel"/>
    <w:lvl w:ilvl="0">
      <w:lvlJc w:val="left"/>
      <w:lvlText w:val="(%1)"/>
      <w:numFmt w:val="lowerRoman"/>
      <w:start w:val="2"/>
    </w:lvl>
  </w:abstractNum>
  <w:abstractNum w:abstractNumId="185">
    <w:nsid w:val="697D2D2"/>
    <w:multiLevelType w:val="hybridMultilevel"/>
    <w:lvl w:ilvl="0">
      <w:lvlJc w:val="left"/>
      <w:lvlText w:val="(%1)"/>
      <w:numFmt w:val="lowerRoman"/>
      <w:start w:val="4"/>
    </w:lvl>
  </w:abstractNum>
  <w:abstractNum w:abstractNumId="186">
    <w:nsid w:val="6D68AB2"/>
    <w:multiLevelType w:val="hybridMultilevel"/>
    <w:lvl w:ilvl="0">
      <w:lvlJc w:val="left"/>
      <w:lvlText w:val="(%1)"/>
      <w:numFmt w:val="lowerRoman"/>
      <w:start w:val="5"/>
    </w:lvl>
  </w:abstractNum>
  <w:abstractNum w:abstractNumId="187">
    <w:nsid w:val="3A966CD0"/>
    <w:multiLevelType w:val="hybridMultilevel"/>
    <w:lvl w:ilvl="0">
      <w:lvlJc w:val="left"/>
      <w:lvlText w:val="%1"/>
      <w:numFmt w:val="decimal"/>
      <w:start w:val="1"/>
    </w:lvl>
    <w:lvl w:ilvl="1">
      <w:lvlJc w:val="left"/>
      <w:lvlText w:val="(%2)"/>
      <w:numFmt w:val="lowerLetter"/>
      <w:start w:val="3"/>
    </w:lvl>
  </w:abstractNum>
  <w:abstractNum w:abstractNumId="188">
    <w:nsid w:val="63F37E85"/>
    <w:multiLevelType w:val="hybridMultilevel"/>
    <w:lvl w:ilvl="0">
      <w:lvlJc w:val="left"/>
      <w:lvlText w:val="%1."/>
      <w:numFmt w:val="decimal"/>
      <w:start w:val="3"/>
    </w:lvl>
    <w:lvl w:ilvl="1">
      <w:lvlJc w:val="left"/>
      <w:lvlText w:val="(%2)"/>
      <w:numFmt w:val="lowerLetter"/>
      <w:start w:val="1"/>
    </w:lvl>
  </w:abstractNum>
  <w:abstractNum w:abstractNumId="189">
    <w:nsid w:val="5895F5FA"/>
    <w:multiLevelType w:val="hybridMultilevel"/>
    <w:lvl w:ilvl="0">
      <w:lvlJc w:val="left"/>
      <w:lvlText w:val="(%1)"/>
      <w:numFmt w:val="lowerLetter"/>
      <w:start w:val="2"/>
    </w:lvl>
    <w:lvl w:ilvl="1">
      <w:lvlJc w:val="left"/>
      <w:lvlText w:val="(%2)"/>
      <w:numFmt w:val="lowerRoman"/>
      <w:start w:val="1"/>
    </w:lvl>
  </w:abstractNum>
  <w:abstractNum w:abstractNumId="190">
    <w:nsid w:val="38A5D054"/>
    <w:multiLevelType w:val="hybridMultilevel"/>
    <w:lvl w:ilvl="0">
      <w:lvlJc w:val="left"/>
      <w:lvlText w:val="%1"/>
      <w:numFmt w:val="decimal"/>
      <w:start w:val="1"/>
    </w:lvl>
    <w:lvl w:ilvl="1">
      <w:lvlJc w:val="left"/>
      <w:lvlText w:val="(%2)"/>
      <w:numFmt w:val="lowerLetter"/>
      <w:start w:val="3"/>
    </w:lvl>
  </w:abstractNum>
  <w:abstractNum w:abstractNumId="191">
    <w:nsid w:val="F3F09D8"/>
    <w:multiLevelType w:val="hybridMultilevel"/>
    <w:lvl w:ilvl="0">
      <w:lvlJc w:val="left"/>
      <w:lvlText w:val="%1."/>
      <w:numFmt w:val="decimal"/>
      <w:start w:val="5"/>
    </w:lvl>
    <w:lvl w:ilvl="1">
      <w:lvlJc w:val="left"/>
      <w:lvlText w:val="%2"/>
      <w:numFmt w:val="lowerLetter"/>
      <w:start w:val="1"/>
    </w:lvl>
  </w:abstractNum>
  <w:abstractNum w:abstractNumId="192">
    <w:nsid w:val="4B793735"/>
    <w:multiLevelType w:val="hybridMultilevel"/>
    <w:lvl w:ilvl="0">
      <w:lvlJc w:val="left"/>
      <w:lvlText w:val="%1."/>
      <w:numFmt w:val="decimal"/>
      <w:start w:val="6"/>
    </w:lvl>
    <w:lvl w:ilvl="1">
      <w:lvlJc w:val="left"/>
      <w:lvlText w:val="(%2)"/>
      <w:numFmt w:val="lowerLetter"/>
      <w:start w:val="1"/>
    </w:lvl>
  </w:abstractNum>
  <w:abstractNum w:abstractNumId="193">
    <w:nsid w:val="4A10B4E8"/>
    <w:multiLevelType w:val="hybridMultilevel"/>
    <w:lvl w:ilvl="0">
      <w:lvlJc w:val="left"/>
      <w:lvlText w:val="%1"/>
      <w:numFmt w:val="decimal"/>
      <w:start w:val="1"/>
    </w:lvl>
    <w:lvl w:ilvl="1">
      <w:lvlJc w:val="left"/>
      <w:lvlText w:val="(%2)"/>
      <w:numFmt w:val="lowerLetter"/>
      <w:start w:val="4"/>
    </w:lvl>
  </w:abstractNum>
  <w:abstractNum w:abstractNumId="194">
    <w:nsid w:val="43D3BCD4"/>
    <w:multiLevelType w:val="hybridMultilevel"/>
    <w:lvl w:ilvl="0">
      <w:lvlJc w:val="left"/>
      <w:lvlText w:val="%1."/>
      <w:numFmt w:val="decimal"/>
      <w:start w:val="8"/>
    </w:lvl>
    <w:lvl w:ilvl="1">
      <w:lvlJc w:val="left"/>
      <w:lvlText w:val="%2"/>
      <w:numFmt w:val="lowerLetter"/>
      <w:start w:val="1"/>
    </w:lvl>
  </w:abstractNum>
  <w:abstractNum w:abstractNumId="195">
    <w:nsid w:val="4C2A7166"/>
    <w:multiLevelType w:val="hybridMultilevel"/>
    <w:lvl w:ilvl="0">
      <w:lvlJc w:val="left"/>
      <w:lvlText w:val="%1."/>
      <w:numFmt w:val="decimal"/>
      <w:start w:val="11"/>
    </w:lvl>
  </w:abstractNum>
  <w:abstractNum w:abstractNumId="196">
    <w:nsid w:val="2E534A82"/>
    <w:multiLevelType w:val="hybridMultilevel"/>
    <w:lvl w:ilvl="0">
      <w:lvlJc w:val="left"/>
      <w:lvlText w:val="%1."/>
      <w:numFmt w:val="decimal"/>
      <w:start w:val="16"/>
    </w:lvl>
    <w:lvl w:ilvl="1">
      <w:lvlJc w:val="left"/>
      <w:lvlText w:val="(%2)"/>
      <w:numFmt w:val="lowerLetter"/>
      <w:start w:val="1"/>
    </w:lvl>
  </w:abstractNum>
  <w:abstractNum w:abstractNumId="197">
    <w:nsid w:val="26F2D364"/>
    <w:multiLevelType w:val="hybridMultilevel"/>
    <w:lvl w:ilvl="0">
      <w:lvlJc w:val="left"/>
      <w:lvlText w:val="%1"/>
      <w:numFmt w:val="decimal"/>
      <w:start w:val="1"/>
    </w:lvl>
    <w:lvl w:ilvl="1">
      <w:lvlJc w:val="left"/>
      <w:lvlText w:val="(%2)"/>
      <w:numFmt w:val="lowerLetter"/>
      <w:start w:val="8"/>
    </w:lvl>
  </w:abstractNum>
  <w:abstractNum w:abstractNumId="198">
    <w:nsid w:val="71C1AF98"/>
    <w:multiLevelType w:val="hybridMultilevel"/>
    <w:lvl w:ilvl="0">
      <w:lvlJc w:val="left"/>
      <w:lvlText w:val="%1."/>
      <w:numFmt w:val="decimal"/>
      <w:start w:val="18"/>
    </w:lvl>
    <w:lvl w:ilvl="1">
      <w:lvlJc w:val="left"/>
      <w:lvlText w:val="(%2)"/>
      <w:numFmt w:val="lowerLetter"/>
      <w:start w:val="1"/>
    </w:lvl>
  </w:abstractNum>
  <w:abstractNum w:abstractNumId="199">
    <w:nsid w:val="3D00B9D9"/>
    <w:multiLevelType w:val="hybridMultilevel"/>
    <w:lvl w:ilvl="0">
      <w:lvlJc w:val="left"/>
      <w:lvlText w:val="(%1)"/>
      <w:numFmt w:val="lowerLetter"/>
      <w:start w:val="3"/>
    </w:lvl>
  </w:abstractNum>
  <w:abstractNum w:abstractNumId="200">
    <w:nsid w:val="15BCABA8"/>
    <w:multiLevelType w:val="hybridMultilevel"/>
    <w:lvl w:ilvl="0">
      <w:lvlJc w:val="left"/>
      <w:lvlText w:val="%1"/>
      <w:numFmt w:val="decimal"/>
      <w:start w:val="1"/>
    </w:lvl>
    <w:lvl w:ilvl="1">
      <w:lvlJc w:val="left"/>
      <w:lvlText w:val="(%2)"/>
      <w:numFmt w:val="lowerLetter"/>
      <w:start w:val="7"/>
    </w:lvl>
  </w:abstractNum>
  <w:abstractNum w:abstractNumId="201">
    <w:nsid w:val="4E0B9A87"/>
    <w:multiLevelType w:val="hybridMultilevel"/>
    <w:lvl w:ilvl="0">
      <w:lvlJc w:val="left"/>
      <w:lvlText w:val="%1."/>
      <w:numFmt w:val="decimal"/>
      <w:start w:val="19"/>
    </w:lvl>
    <w:lvl w:ilvl="1">
      <w:lvlJc w:val="left"/>
      <w:lvlText w:val="(%2)"/>
      <w:numFmt w:val="lowerLetter"/>
      <w:start w:val="1"/>
    </w:lvl>
  </w:abstractNum>
  <w:abstractNum w:abstractNumId="202">
    <w:nsid w:val="434BAE75"/>
    <w:multiLevelType w:val="hybridMultilevel"/>
    <w:lvl w:ilvl="0">
      <w:lvlJc w:val="left"/>
      <w:lvlText w:val="%1"/>
      <w:numFmt w:val="lowerLetter"/>
      <w:start w:val="1"/>
    </w:lvl>
    <w:lvl w:ilvl="1">
      <w:lvlJc w:val="left"/>
      <w:lvlText w:val="(%2)"/>
      <w:numFmt w:val="lowerLetter"/>
      <w:start w:val="2"/>
    </w:lvl>
  </w:abstractNum>
  <w:abstractNum w:abstractNumId="203">
    <w:nsid w:val="4F38F265"/>
    <w:multiLevelType w:val="hybridMultilevel"/>
    <w:lvl w:ilvl="0">
      <w:lvlJc w:val="left"/>
      <w:lvlText w:val="(%1)"/>
      <w:numFmt w:val="lowerLetter"/>
      <w:start w:val="9"/>
    </w:lvl>
    <w:lvl w:ilvl="1">
      <w:lvlJc w:val="left"/>
      <w:lvlText w:val="%2"/>
      <w:numFmt w:val="lowerLetter"/>
      <w:start w:val="1"/>
    </w:lvl>
  </w:abstractNum>
  <w:abstractNum w:abstractNumId="204">
    <w:nsid w:val="4C502870"/>
    <w:multiLevelType w:val="hybridMultilevel"/>
    <w:lvl w:ilvl="0">
      <w:lvlJc w:val="left"/>
      <w:lvlText w:val="(%1)"/>
      <w:numFmt w:val="lowerLetter"/>
      <w:start w:val="7"/>
    </w:lvl>
  </w:abstractNum>
  <w:abstractNum w:abstractNumId="205">
    <w:nsid w:val="1DE8725A"/>
    <w:multiLevelType w:val="hybridMultilevel"/>
    <w:lvl w:ilvl="0">
      <w:lvlJc w:val="left"/>
      <w:lvlText w:val="%1"/>
      <w:numFmt w:val="upperLetter"/>
      <w:start w:val="1"/>
    </w:lvl>
    <w:lvl w:ilvl="1">
      <w:lvlJc w:val="left"/>
      <w:lvlText w:val="(%2)"/>
      <w:numFmt w:val="lowerLetter"/>
      <w:start w:val="13"/>
    </w:lvl>
  </w:abstractNum>
  <w:abstractNum w:abstractNumId="206">
    <w:nsid w:val="6A37288A"/>
    <w:multiLevelType w:val="hybridMultilevel"/>
    <w:lvl w:ilvl="0">
      <w:lvlJc w:val="left"/>
      <w:lvlText w:val="(%1)"/>
      <w:numFmt w:val="upperLetter"/>
      <w:start w:val="2"/>
    </w:lvl>
    <w:lvl w:ilvl="1">
      <w:lvlJc w:val="left"/>
      <w:lvlText w:val="%2"/>
      <w:numFmt w:val="lowerLetter"/>
      <w:start w:val="1"/>
    </w:lvl>
  </w:abstractNum>
  <w:abstractNum w:abstractNumId="207">
    <w:nsid w:val="8F8B73F"/>
    <w:multiLevelType w:val="hybridMultilevel"/>
    <w:lvl w:ilvl="0">
      <w:lvlJc w:val="left"/>
      <w:lvlText w:val="(%1)"/>
      <w:numFmt w:val="lowerLetter"/>
      <w:start w:val="16"/>
    </w:lvl>
  </w:abstractNum>
  <w:abstractNum w:abstractNumId="208">
    <w:nsid w:val="CA6B46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19" Type="http://schemas.openxmlformats.org/officeDocument/2006/relationships/hyperlink" Target="http://www.sec.gov/Archives/edgar/data/1822145/000155837023005593/prst-20230331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2023-11-21T16:38:57Z</dcterms:created>
  <dcterms:modified xsi:type="dcterms:W3CDTF">2023-11-21T16:38:57Z</dcterms:modified>
</cp:coreProperties>
</file>