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50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IOVANNI</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ARUSO</w:t>
            </w:r>
          </w:p>
        </w:tc>
        <w:tc>
          <w:tcPr>
            <w:tcW w:w="14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Partner</w:t>
            </w:r>
          </w:p>
        </w:tc>
        <w:tc>
          <w:tcPr>
            <w:tcW w:w="1460" w:type="dxa"/>
            <w:vAlign w:val="bottom"/>
          </w:tcPr>
          <w:p>
            <w:pPr>
              <w:ind w:left="900"/>
              <w:spacing w:after="0"/>
              <w:rPr>
                <w:sz w:val="20"/>
                <w:szCs w:val="20"/>
                <w:color w:val="auto"/>
              </w:rPr>
            </w:pPr>
            <w:r>
              <w:rPr>
                <w:rFonts w:ascii="Arial" w:cs="Arial" w:eastAsia="Arial" w:hAnsi="Arial"/>
                <w:sz w:val="18"/>
                <w:szCs w:val="18"/>
                <w:color w:val="auto"/>
              </w:rPr>
              <w:t>Direct</w:t>
            </w:r>
          </w:p>
        </w:tc>
        <w:tc>
          <w:tcPr>
            <w:tcW w:w="1120" w:type="dxa"/>
            <w:vAlign w:val="bottom"/>
          </w:tcPr>
          <w:p>
            <w:pPr>
              <w:jc w:val="right"/>
              <w:spacing w:after="0"/>
              <w:rPr>
                <w:sz w:val="20"/>
                <w:szCs w:val="20"/>
                <w:color w:val="auto"/>
              </w:rPr>
            </w:pPr>
            <w:r>
              <w:rPr>
                <w:rFonts w:ascii="Arial" w:cs="Arial" w:eastAsia="Arial" w:hAnsi="Arial"/>
                <w:sz w:val="18"/>
                <w:szCs w:val="18"/>
                <w:color w:val="auto"/>
                <w:w w:val="98"/>
              </w:rPr>
              <w:t>212.407.4866</w:t>
            </w:r>
          </w:p>
        </w:tc>
      </w:tr>
      <w:tr>
        <w:trPr>
          <w:trHeight w:val="216"/>
        </w:trPr>
        <w:tc>
          <w:tcPr>
            <w:tcW w:w="2480" w:type="dxa"/>
            <w:vAlign w:val="bottom"/>
          </w:tcPr>
          <w:p>
            <w:pPr>
              <w:spacing w:after="0"/>
              <w:rPr>
                <w:sz w:val="18"/>
                <w:szCs w:val="18"/>
                <w:color w:val="auto"/>
              </w:rPr>
            </w:pPr>
          </w:p>
        </w:tc>
        <w:tc>
          <w:tcPr>
            <w:tcW w:w="1460" w:type="dxa"/>
            <w:vAlign w:val="bottom"/>
          </w:tcPr>
          <w:p>
            <w:pPr>
              <w:ind w:left="900"/>
              <w:spacing w:after="0"/>
              <w:rPr>
                <w:sz w:val="20"/>
                <w:szCs w:val="20"/>
                <w:color w:val="auto"/>
              </w:rPr>
            </w:pPr>
            <w:r>
              <w:rPr>
                <w:rFonts w:ascii="Arial" w:cs="Arial" w:eastAsia="Arial" w:hAnsi="Arial"/>
                <w:sz w:val="18"/>
                <w:szCs w:val="18"/>
                <w:color w:val="auto"/>
              </w:rPr>
              <w:t>Main</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212.407.4000</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345 Park Avenue</w:t>
            </w:r>
          </w:p>
        </w:tc>
        <w:tc>
          <w:tcPr>
            <w:tcW w:w="1460" w:type="dxa"/>
            <w:vAlign w:val="bottom"/>
          </w:tcPr>
          <w:p>
            <w:pPr>
              <w:ind w:left="900"/>
              <w:spacing w:after="0"/>
              <w:rPr>
                <w:sz w:val="20"/>
                <w:szCs w:val="20"/>
                <w:color w:val="auto"/>
              </w:rPr>
            </w:pPr>
            <w:r>
              <w:rPr>
                <w:rFonts w:ascii="Arial" w:cs="Arial" w:eastAsia="Arial" w:hAnsi="Arial"/>
                <w:sz w:val="18"/>
                <w:szCs w:val="18"/>
                <w:color w:val="auto"/>
              </w:rPr>
              <w:t>Fax</w:t>
            </w:r>
          </w:p>
        </w:tc>
        <w:tc>
          <w:tcPr>
            <w:tcW w:w="1120" w:type="dxa"/>
            <w:vAlign w:val="bottom"/>
          </w:tcPr>
          <w:p>
            <w:pPr>
              <w:jc w:val="right"/>
              <w:spacing w:after="0"/>
              <w:rPr>
                <w:sz w:val="20"/>
                <w:szCs w:val="20"/>
                <w:color w:val="auto"/>
              </w:rPr>
            </w:pPr>
            <w:r>
              <w:rPr>
                <w:rFonts w:ascii="Arial" w:cs="Arial" w:eastAsia="Arial" w:hAnsi="Arial"/>
                <w:sz w:val="18"/>
                <w:szCs w:val="18"/>
                <w:color w:val="auto"/>
                <w:w w:val="98"/>
              </w:rPr>
              <w:t>212.937.3943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New York, NY 10154</w:t>
            </w:r>
          </w:p>
        </w:tc>
        <w:tc>
          <w:tcPr>
            <w:tcW w:w="2580" w:type="dxa"/>
            <w:vAlign w:val="bottom"/>
            <w:gridSpan w:val="2"/>
          </w:tcPr>
          <w:p>
            <w:pPr>
              <w:ind w:left="900"/>
              <w:spacing w:after="0"/>
              <w:rPr>
                <w:sz w:val="20"/>
                <w:szCs w:val="20"/>
                <w:color w:val="auto"/>
              </w:rPr>
            </w:pPr>
            <w:r>
              <w:rPr>
                <w:rFonts w:ascii="Arial" w:cs="Arial" w:eastAsia="Arial" w:hAnsi="Arial"/>
                <w:sz w:val="18"/>
                <w:szCs w:val="18"/>
                <w:color w:val="auto"/>
              </w:rPr>
              <w:t>gcaruso@loeb.com</w:t>
            </w: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December 22,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David Link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174"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Ventoux CCM Acquisition Corp.</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Amendment No. 3 to Form S-1</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December 21,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333-251048</w:t>
      </w:r>
    </w:p>
    <w:p>
      <w:pPr>
        <w:spacing w:after="0" w:line="200" w:lineRule="exact"/>
        <w:rPr>
          <w:sz w:val="24"/>
          <w:szCs w:val="24"/>
          <w:color w:val="auto"/>
        </w:rPr>
      </w:pPr>
    </w:p>
    <w:p>
      <w:pPr>
        <w:sectPr>
          <w:pgSz w:w="11900" w:h="16838" w:orient="portrait"/>
          <w:cols w:equalWidth="0" w:num="2">
            <w:col w:w="280" w:space="380"/>
            <w:col w:w="10580"/>
          </w:cols>
          <w:pgMar w:left="320" w:top="1174"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Link:</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On behalf of our client, Ventoux CCM Acquisition Corp. (the “Company”), we hereby provide a response to the comments issued in a letter dated</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December 22, 2020 (the “Staff’s Letter”) regarding the Company’s Amendment No. 3 to Registration Statement on Form S-1 (the “Registration</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Statement”). Contemporaneously, we are submitting the amended Registration Statement via Edgar (the “Amended S-1”).</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order to facilitate the review by the Commission’s staff (the “Staff”) of the Amended S-1, we have responded, on behalf of the Company, to the comments set forth in the Staff’s Letter below. The numbered paragraph set forth below responds to the Staff’s comment and corresponds to the numbered paragraph in the Staff’s Letter.</w:t>
      </w:r>
    </w:p>
    <w:p>
      <w:pPr>
        <w:spacing w:after="0" w:line="184" w:lineRule="exact"/>
        <w:rPr>
          <w:sz w:val="24"/>
          <w:szCs w:val="24"/>
          <w:color w:val="auto"/>
        </w:rPr>
      </w:pPr>
    </w:p>
    <w:p>
      <w:pPr>
        <w:spacing w:after="0"/>
        <w:tabs>
          <w:tab w:leader="none" w:pos="1160" w:val="left"/>
          <w:tab w:leader="none" w:pos="2120" w:val="left"/>
          <w:tab w:leader="none" w:pos="2940" w:val="left"/>
          <w:tab w:leader="none" w:pos="3860" w:val="left"/>
          <w:tab w:leader="none" w:pos="5280" w:val="left"/>
          <w:tab w:leader="none" w:pos="6040" w:val="left"/>
          <w:tab w:leader="none" w:pos="7100" w:val="left"/>
        </w:tabs>
        <w:rPr>
          <w:sz w:val="20"/>
          <w:szCs w:val="20"/>
          <w:color w:val="auto"/>
        </w:rPr>
      </w:pPr>
      <w:r>
        <w:rPr>
          <w:rFonts w:ascii="Arial" w:cs="Arial" w:eastAsia="Arial" w:hAnsi="Arial"/>
          <w:sz w:val="18"/>
          <w:szCs w:val="18"/>
          <w:color w:val="auto"/>
        </w:rPr>
        <w:t>Los Angeles</w:t>
        <w:tab/>
        <w:t>New York</w:t>
        <w:tab/>
        <w:t>Chicago</w:t>
        <w:tab/>
        <w:t>Nashville</w:t>
        <w:tab/>
        <w:t>Washington, DC</w:t>
        <w:tab/>
        <w:t>Beijing</w:t>
        <w:tab/>
        <w:t>Hong Kong</w:t>
      </w:r>
      <w:r>
        <w:rPr>
          <w:sz w:val="20"/>
          <w:szCs w:val="20"/>
          <w:color w:val="auto"/>
        </w:rPr>
        <w:tab/>
      </w:r>
      <w:r>
        <w:rPr>
          <w:rFonts w:ascii="Arial" w:cs="Arial" w:eastAsia="Arial" w:hAnsi="Arial"/>
          <w:sz w:val="16"/>
          <w:szCs w:val="16"/>
          <w:color w:val="auto"/>
        </w:rPr>
        <w:t>www.loeb.com</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limited liability partnership including professional corporations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37235" cy="728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37235" cy="728980"/>
                    </a:xfrm>
                    <a:prstGeom prst="rect">
                      <a:avLst/>
                    </a:prstGeom>
                    <a:noFill/>
                  </pic:spPr>
                </pic:pic>
              </a:graphicData>
            </a:graphic>
          </wp:anchor>
        </w:drawing>
        <w:t>David Link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22,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No. 3 to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jc w:val="both"/>
        <w:ind w:left="660" w:hanging="652"/>
        <w:spacing w:after="0" w:line="272"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We note your response to comment 1 and the revised disclosure. It appears to us that your disclosure regarding the exclusive forum provisions is still inconsistent with the disclosure in the Amended and Restated Certificate of Incorporation. We note you state on page 39 that “the provisions of this paragraph in our amended and restated certificate of incorporation will not apply to suits brought to enforce any liability or duty created by the Exchange Act or any other claim for which the federal district courts of the United States of America shall be the sole and exclusive forum.” If the exclusive forum provision does not apply to actions arising under the Securities Act or Exchange Act, please ensure that the exclusive forum provision in your Amended and Restated Articles of Incorporation clearly states this. In addition, please describe the forum provisions set forth in Section 7.3 of the Rights Agreement in your description of the rights and risk factors.</w:t>
      </w:r>
    </w:p>
    <w:p>
      <w:pPr>
        <w:spacing w:after="0" w:line="17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has revised the disclosure on pages 39 to 40 and page 97 with respect to the Company’s (revised)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Certificate of Incorporation, and the disclosure on pages 38 to 39 and page 96 with respect to the Rights Agreement. In addition, the Company has revised Article Tenth of the Amended and Restated Certificate of Incorporation, as reflected in Exhibit 3.4 filed concurrently with the Amended S-1.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2021-08-15T20:26:07Z</dcterms:created>
  <dcterms:modified xsi:type="dcterms:W3CDTF">2021-08-15T20:26:07Z</dcterms:modified>
</cp:coreProperties>
</file>