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Cleveland Avenue Food &amp; Beverage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N. CANAL 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Presto Automation Inc.</w:t>
              </w:r>
            </w:hyperlink>
            <w:r>
              <w:rPr/>
              <w:t xml:space="preserve"> [ </w:t>
            </w:r>
            <w:r>
              <w:rPr>
                <w:rFonts w:ascii="Times;serif" w:hAnsi="Times;serif"/>
                <w:color w:val="0000FF"/>
                <w:sz w:val="24"/>
                <w:shd w:fill="FFFFFF" w:val="clear"/>
              </w:rPr>
              <w:t>PRST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1"/>
        <w:gridCol w:w="773"/>
        <w:gridCol w:w="599"/>
        <w:gridCol w:w="338"/>
        <w:gridCol w:w="1135"/>
        <w:gridCol w:w="424"/>
        <w:gridCol w:w="645"/>
        <w:gridCol w:w="1333"/>
        <w:gridCol w:w="961"/>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1,500,000</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11,500,000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received pursuant to contractual anti-dilution provisions in connection with a PIPE investment in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of record by Presto CA LLC ("Presto CA"). The reporting person is the sole member of Presto CA. Cleveland Avenue GP II, LLC ("Cleveland Avenue GP II") is the general partner of the reporting person. Cleveland Avenue, LLC ("CA LLC") is the sole member of Cleveland Avenue GP II. Donald Thompson is the sole manager of CA LLC. Mr. Thompson disclaims beneficial ownership of these securities except to the extent of any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McCoy, Chief Operating Officer and General Counsel of Cleveland Avenue,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7795" TargetMode="External"/><Relationship Id="rId4" Type="http://schemas.openxmlformats.org/officeDocument/2006/relationships/hyperlink" Target="http://www.sec.gov/cgi-bin/browse-edgar?action=getcompany&amp;CIK=000182214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3607</Characters>
  <CharactersWithSpaces>4212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