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Rule 13d-1(a) and amendments thereto filed pursuant to Rule 13d-2(a)</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Presto Automation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74113T105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Joseph McCoy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Cleveland Avenue,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222 N. Canal St.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Chicago, IL 60606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4D5156"/>
        </w:rPr>
        <w:t>312) 383-6700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200"/>
        <w:spacing w:after="0" w:line="34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74113T105</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1</w:t>
            </w:r>
          </w:p>
        </w:tc>
        <w:tc>
          <w:tcPr>
            <w:tcW w:w="120" w:type="dxa"/>
            <w:vAlign w:val="bottom"/>
            <w:tcBorders>
              <w:top w:val="single" w:sz="8" w:color="auto"/>
            </w:tcBorders>
          </w:tcPr>
          <w:p>
            <w:pPr>
              <w:spacing w:after="0"/>
              <w:rPr>
                <w:sz w:val="22"/>
                <w:szCs w:val="22"/>
                <w:color w:val="auto"/>
              </w:rPr>
            </w:pPr>
          </w:p>
        </w:tc>
        <w:tc>
          <w:tcPr>
            <w:tcW w:w="52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NAME OF REPORTING PERSON</w:t>
            </w:r>
          </w:p>
        </w:tc>
        <w:tc>
          <w:tcPr>
            <w:tcW w:w="1620" w:type="dxa"/>
            <w:vAlign w:val="bottom"/>
            <w:tcBorders>
              <w:top w:val="single" w:sz="8" w:color="auto"/>
            </w:tcBorders>
          </w:tcPr>
          <w:p>
            <w:pPr>
              <w:spacing w:after="0"/>
              <w:rPr>
                <w:sz w:val="22"/>
                <w:szCs w:val="22"/>
                <w:color w:val="auto"/>
              </w:rPr>
            </w:pPr>
          </w:p>
        </w:tc>
        <w:tc>
          <w:tcPr>
            <w:tcW w:w="25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720" w:type="dxa"/>
            <w:vAlign w:val="bottom"/>
            <w:tcBorders>
              <w:left w:val="single" w:sz="8" w:color="auto"/>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5220" w:type="dxa"/>
            <w:vAlign w:val="bottom"/>
            <w:gridSpan w:val="5"/>
            <w:vMerge w:val="restart"/>
          </w:tcPr>
          <w:p>
            <w:pPr>
              <w:ind w:left="20"/>
              <w:spacing w:after="0"/>
              <w:rPr>
                <w:sz w:val="20"/>
                <w:szCs w:val="20"/>
                <w:color w:val="auto"/>
              </w:rPr>
            </w:pPr>
            <w:r>
              <w:rPr>
                <w:rFonts w:ascii="Arial" w:cs="Arial" w:eastAsia="Arial" w:hAnsi="Arial"/>
                <w:sz w:val="18"/>
                <w:szCs w:val="18"/>
                <w:color w:val="auto"/>
              </w:rPr>
              <w:t>Cleveland Avenue Food and Beverage Fund II, LP</w:t>
            </w:r>
          </w:p>
        </w:tc>
        <w:tc>
          <w:tcPr>
            <w:tcW w:w="1620" w:type="dxa"/>
            <w:vAlign w:val="bottom"/>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72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gridSpan w:val="5"/>
            <w:vMerge w:val="continue"/>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2</w:t>
            </w:r>
          </w:p>
        </w:tc>
        <w:tc>
          <w:tcPr>
            <w:tcW w:w="120" w:type="dxa"/>
            <w:vAlign w:val="bottom"/>
          </w:tcPr>
          <w:p>
            <w:pPr>
              <w:spacing w:after="0"/>
              <w:rPr>
                <w:sz w:val="19"/>
                <w:szCs w:val="19"/>
                <w:color w:val="auto"/>
              </w:rPr>
            </w:pPr>
          </w:p>
        </w:tc>
        <w:tc>
          <w:tcPr>
            <w:tcW w:w="5220" w:type="dxa"/>
            <w:vAlign w:val="bottom"/>
            <w:gridSpan w:val="5"/>
          </w:tcPr>
          <w:p>
            <w:pPr>
              <w:ind w:left="20"/>
              <w:spacing w:after="0"/>
              <w:rPr>
                <w:sz w:val="20"/>
                <w:szCs w:val="20"/>
                <w:color w:val="auto"/>
              </w:rPr>
            </w:pPr>
            <w:r>
              <w:rPr>
                <w:rFonts w:ascii="Arial" w:cs="Arial" w:eastAsia="Arial" w:hAnsi="Arial"/>
                <w:sz w:val="18"/>
                <w:szCs w:val="18"/>
                <w:color w:val="auto"/>
                <w:w w:val="99"/>
              </w:rPr>
              <w:t>CHECK THE APPROPRIATE BOX IF A MEMBER OF A GROUP</w:t>
            </w:r>
          </w:p>
        </w:tc>
        <w:tc>
          <w:tcPr>
            <w:tcW w:w="1620" w:type="dxa"/>
            <w:vAlign w:val="bottom"/>
            <w:tcBorders>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ind w:left="14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43"/>
        </w:trPr>
        <w:tc>
          <w:tcPr>
            <w:tcW w:w="17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(b) o</w:t>
            </w:r>
          </w:p>
        </w:tc>
        <w:tc>
          <w:tcPr>
            <w:tcW w:w="0" w:type="dxa"/>
            <w:vAlign w:val="bottom"/>
          </w:tcPr>
          <w:p>
            <w:pPr>
              <w:spacing w:after="0"/>
              <w:rPr>
                <w:sz w:val="1"/>
                <w:szCs w:val="1"/>
                <w:color w:val="auto"/>
              </w:rPr>
            </w:pPr>
          </w:p>
        </w:tc>
      </w:tr>
      <w:tr>
        <w:trPr>
          <w:trHeight w:val="80"/>
        </w:trPr>
        <w:tc>
          <w:tcPr>
            <w:tcW w:w="1720" w:type="dxa"/>
            <w:vAlign w:val="bottom"/>
            <w:tcBorders>
              <w:left w:val="single" w:sz="8" w:color="auto"/>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85"/>
              </w:rPr>
              <w:t>3</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6"/>
              </w:rPr>
              <w:t>SEC USE ONLY</w:t>
            </w:r>
          </w:p>
        </w:tc>
        <w:tc>
          <w:tcPr>
            <w:tcW w:w="3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85"/>
              </w:rPr>
              <w:t>4</w:t>
            </w: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SOURCE OF FUNDS</w:t>
            </w:r>
          </w:p>
        </w:tc>
        <w:tc>
          <w:tcPr>
            <w:tcW w:w="60" w:type="dxa"/>
            <w:vAlign w:val="bottom"/>
            <w:tcBorders>
              <w:bottom w:val="single" w:sz="8" w:color="auto"/>
            </w:tcBorders>
          </w:tcPr>
          <w:p>
            <w:pPr>
              <w:spacing w:after="0"/>
              <w:rPr>
                <w:sz w:val="24"/>
                <w:szCs w:val="24"/>
                <w:color w:val="auto"/>
              </w:rPr>
            </w:pPr>
          </w:p>
        </w:tc>
        <w:tc>
          <w:tcPr>
            <w:tcW w:w="4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0" w:type="dxa"/>
            <w:vAlign w:val="bottom"/>
          </w:tcPr>
          <w:p>
            <w:pPr>
              <w:spacing w:after="0"/>
              <w:rPr>
                <w:sz w:val="1"/>
                <w:szCs w:val="1"/>
                <w:color w:val="auto"/>
              </w:rPr>
            </w:pPr>
          </w:p>
        </w:tc>
      </w:tr>
      <w:tr>
        <w:trPr>
          <w:trHeight w:val="304"/>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85"/>
              </w:rPr>
              <w:t>5</w:t>
            </w:r>
          </w:p>
        </w:tc>
        <w:tc>
          <w:tcPr>
            <w:tcW w:w="1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CHECK BOX IF DISCLOSURE OF LEGAL PROCEEDINGS IS REQUIRED PURSUANT TO ITEMS 2(d) or 2(e) o</w:t>
            </w:r>
          </w:p>
        </w:tc>
        <w:tc>
          <w:tcPr>
            <w:tcW w:w="0" w:type="dxa"/>
            <w:vAlign w:val="bottom"/>
          </w:tcPr>
          <w:p>
            <w:pPr>
              <w:spacing w:after="0"/>
              <w:rPr>
                <w:sz w:val="1"/>
                <w:szCs w:val="1"/>
                <w:color w:val="auto"/>
              </w:rPr>
            </w:pPr>
          </w:p>
        </w:tc>
      </w:tr>
      <w:tr>
        <w:trPr>
          <w:trHeight w:val="304"/>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85"/>
              </w:rPr>
              <w:t>6</w:t>
            </w: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60" w:type="dxa"/>
            <w:vAlign w:val="bottom"/>
            <w:tcBorders>
              <w:bottom w:val="single" w:sz="8" w:color="auto"/>
            </w:tcBorders>
          </w:tcPr>
          <w:p>
            <w:pPr>
              <w:spacing w:after="0"/>
              <w:rPr>
                <w:sz w:val="24"/>
                <w:szCs w:val="24"/>
                <w:color w:val="auto"/>
              </w:rPr>
            </w:pPr>
          </w:p>
        </w:tc>
        <w:tc>
          <w:tcPr>
            <w:tcW w:w="4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State of Delaware</w:t>
            </w:r>
          </w:p>
        </w:tc>
        <w:tc>
          <w:tcPr>
            <w:tcW w:w="0" w:type="dxa"/>
            <w:vAlign w:val="bottom"/>
          </w:tcPr>
          <w:p>
            <w:pPr>
              <w:spacing w:after="0"/>
              <w:rPr>
                <w:sz w:val="1"/>
                <w:szCs w:val="1"/>
                <w:color w:val="auto"/>
              </w:rPr>
            </w:pPr>
          </w:p>
        </w:tc>
      </w:tr>
      <w:tr>
        <w:trPr>
          <w:trHeight w:val="198"/>
        </w:trPr>
        <w:tc>
          <w:tcPr>
            <w:tcW w:w="1840" w:type="dxa"/>
            <w:vAlign w:val="bottom"/>
            <w:tcBorders>
              <w:left w:val="single" w:sz="8" w:color="auto"/>
            </w:tcBorders>
            <w:gridSpan w:val="2"/>
          </w:tcPr>
          <w:p>
            <w:pPr>
              <w:jc w:val="center"/>
              <w:ind w:left="350"/>
              <w:spacing w:after="0" w:line="198" w:lineRule="exact"/>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7</w:t>
            </w:r>
          </w:p>
        </w:tc>
        <w:tc>
          <w:tcPr>
            <w:tcW w:w="80" w:type="dxa"/>
            <w:vAlign w:val="bottom"/>
          </w:tcPr>
          <w:p>
            <w:pPr>
              <w:spacing w:after="0"/>
              <w:rPr>
                <w:sz w:val="17"/>
                <w:szCs w:val="17"/>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VOTING POWER</w:t>
            </w:r>
          </w:p>
        </w:tc>
        <w:tc>
          <w:tcPr>
            <w:tcW w:w="60" w:type="dxa"/>
            <w:vAlign w:val="bottom"/>
          </w:tcPr>
          <w:p>
            <w:pPr>
              <w:spacing w:after="0"/>
              <w:rPr>
                <w:sz w:val="17"/>
                <w:szCs w:val="17"/>
                <w:color w:val="auto"/>
              </w:rPr>
            </w:pPr>
          </w:p>
        </w:tc>
        <w:tc>
          <w:tcPr>
            <w:tcW w:w="1620" w:type="dxa"/>
            <w:vAlign w:val="bottom"/>
            <w:vMerge w:val="restart"/>
          </w:tcPr>
          <w:p>
            <w:pPr>
              <w:ind w:left="80"/>
              <w:spacing w:after="0"/>
              <w:rPr>
                <w:sz w:val="20"/>
                <w:szCs w:val="20"/>
                <w:color w:val="auto"/>
              </w:rPr>
            </w:pPr>
            <w:r>
              <w:rPr>
                <w:rFonts w:ascii="Arial" w:cs="Arial" w:eastAsia="Arial" w:hAnsi="Arial"/>
                <w:sz w:val="18"/>
                <w:szCs w:val="18"/>
                <w:color w:val="auto"/>
              </w:rPr>
              <w:t>10,000,000</w:t>
            </w:r>
            <w:r>
              <w:rPr>
                <w:rFonts w:ascii="Arial" w:cs="Arial" w:eastAsia="Arial" w:hAnsi="Arial"/>
                <w:sz w:val="29"/>
                <w:szCs w:val="29"/>
                <w:color w:val="auto"/>
                <w:vertAlign w:val="superscript"/>
              </w:rPr>
              <w:t>(1)</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tcBorders>
            <w:gridSpan w:val="2"/>
          </w:tcPr>
          <w:p>
            <w:pPr>
              <w:jc w:val="center"/>
              <w:ind w:left="33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840" w:type="dxa"/>
            <w:vAlign w:val="bottom"/>
            <w:tcBorders>
              <w:left w:val="single" w:sz="8" w:color="auto"/>
            </w:tcBorders>
            <w:gridSpan w:val="2"/>
            <w:vMerge w:val="restart"/>
          </w:tcPr>
          <w:p>
            <w:pPr>
              <w:jc w:val="center"/>
              <w:ind w:left="35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840" w:type="dxa"/>
            <w:vAlign w:val="bottom"/>
            <w:tcBorders>
              <w:left w:val="single" w:sz="8" w:color="auto"/>
            </w:tcBorders>
            <w:gridSpan w:val="2"/>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80" w:type="dxa"/>
            <w:vAlign w:val="bottom"/>
          </w:tcPr>
          <w:p>
            <w:pPr>
              <w:spacing w:after="0"/>
              <w:rPr>
                <w:sz w:val="8"/>
                <w:szCs w:val="8"/>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60" w:type="dxa"/>
            <w:vAlign w:val="bottom"/>
          </w:tcPr>
          <w:p>
            <w:pPr>
              <w:spacing w:after="0"/>
              <w:rPr>
                <w:sz w:val="8"/>
                <w:szCs w:val="8"/>
                <w:color w:val="auto"/>
              </w:rPr>
            </w:pPr>
          </w:p>
        </w:tc>
        <w:tc>
          <w:tcPr>
            <w:tcW w:w="1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98"/>
              </w:rPr>
              <w:t>OWNED BY</w:t>
            </w:r>
          </w:p>
        </w:tc>
        <w:tc>
          <w:tcPr>
            <w:tcW w:w="4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40" w:type="dxa"/>
            <w:vAlign w:val="bottom"/>
            <w:tcBorders>
              <w:left w:val="single" w:sz="8" w:color="auto"/>
            </w:tcBorders>
            <w:gridSpan w:val="2"/>
            <w:vMerge w:val="restart"/>
          </w:tcPr>
          <w:p>
            <w:pPr>
              <w:jc w:val="center"/>
              <w:ind w:left="330"/>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left w:val="single" w:sz="8" w:color="auto"/>
            </w:tcBorders>
            <w:gridSpan w:val="2"/>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840" w:type="dxa"/>
            <w:vAlign w:val="bottom"/>
            <w:tcBorders>
              <w:left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80" w:type="dxa"/>
            <w:vAlign w:val="bottom"/>
          </w:tcPr>
          <w:p>
            <w:pPr>
              <w:spacing w:after="0"/>
              <w:rPr>
                <w:sz w:val="21"/>
                <w:szCs w:val="21"/>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DISPOSITIVE POWER</w:t>
            </w:r>
          </w:p>
        </w:tc>
        <w:tc>
          <w:tcPr>
            <w:tcW w:w="60" w:type="dxa"/>
            <w:vAlign w:val="bottom"/>
          </w:tcPr>
          <w:p>
            <w:pPr>
              <w:spacing w:after="0"/>
              <w:rPr>
                <w:sz w:val="21"/>
                <w:szCs w:val="21"/>
                <w:color w:val="auto"/>
              </w:rPr>
            </w:pPr>
          </w:p>
        </w:tc>
        <w:tc>
          <w:tcPr>
            <w:tcW w:w="1620" w:type="dxa"/>
            <w:vAlign w:val="bottom"/>
          </w:tcPr>
          <w:p>
            <w:pPr>
              <w:ind w:left="80"/>
              <w:spacing w:after="0" w:line="247" w:lineRule="exact"/>
              <w:rPr>
                <w:sz w:val="20"/>
                <w:szCs w:val="20"/>
                <w:color w:val="auto"/>
              </w:rPr>
            </w:pPr>
            <w:r>
              <w:rPr>
                <w:rFonts w:ascii="Arial" w:cs="Arial" w:eastAsia="Arial" w:hAnsi="Arial"/>
                <w:sz w:val="17"/>
                <w:szCs w:val="17"/>
                <w:color w:val="auto"/>
              </w:rPr>
              <w:t>10,000,000</w:t>
            </w:r>
            <w:r>
              <w:rPr>
                <w:rFonts w:ascii="Arial" w:cs="Arial" w:eastAsia="Arial" w:hAnsi="Arial"/>
                <w:sz w:val="28"/>
                <w:szCs w:val="28"/>
                <w:color w:val="auto"/>
                <w:vertAlign w:val="superscript"/>
              </w:rPr>
              <w:t>(1)</w:t>
            </w: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tcBorders>
            <w:gridSpan w:val="2"/>
          </w:tcPr>
          <w:p>
            <w:pPr>
              <w:jc w:val="center"/>
              <w:ind w:left="350"/>
              <w:spacing w:after="0" w:line="176" w:lineRule="exact"/>
              <w:rPr>
                <w:sz w:val="20"/>
                <w:szCs w:val="20"/>
                <w:color w:val="auto"/>
              </w:rPr>
            </w:pPr>
            <w:r>
              <w:rPr>
                <w:rFonts w:ascii="Arial" w:cs="Arial" w:eastAsia="Arial" w:hAnsi="Arial"/>
                <w:sz w:val="18"/>
                <w:szCs w:val="18"/>
                <w:b w:val="1"/>
                <w:bCs w:val="1"/>
                <w:color w:val="auto"/>
                <w:w w:val="97"/>
              </w:rPr>
              <w:t>PERSON</w:t>
            </w:r>
          </w:p>
        </w:tc>
        <w:tc>
          <w:tcPr>
            <w:tcW w:w="440" w:type="dxa"/>
            <w:vAlign w:val="bottom"/>
            <w:tcBorders>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Pr>
          <w:p>
            <w:pPr>
              <w:spacing w:after="0"/>
              <w:rPr>
                <w:sz w:val="18"/>
                <w:szCs w:val="18"/>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60" w:type="dxa"/>
            <w:vAlign w:val="bottom"/>
          </w:tcPr>
          <w:p>
            <w:pPr>
              <w:spacing w:after="0"/>
              <w:rPr>
                <w:sz w:val="18"/>
                <w:szCs w:val="18"/>
                <w:color w:val="auto"/>
              </w:rPr>
            </w:pPr>
          </w:p>
        </w:tc>
        <w:tc>
          <w:tcPr>
            <w:tcW w:w="1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gridSpan w:val="2"/>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6"/>
              </w:rPr>
              <w:t>11</w:t>
            </w:r>
          </w:p>
        </w:tc>
        <w:tc>
          <w:tcPr>
            <w:tcW w:w="120" w:type="dxa"/>
            <w:vAlign w:val="bottom"/>
          </w:tcPr>
          <w:p>
            <w:pPr>
              <w:spacing w:after="0"/>
              <w:rPr>
                <w:sz w:val="24"/>
                <w:szCs w:val="24"/>
                <w:color w:val="auto"/>
              </w:rPr>
            </w:pPr>
          </w:p>
        </w:tc>
        <w:tc>
          <w:tcPr>
            <w:tcW w:w="940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1"/>
        </w:trPr>
        <w:tc>
          <w:tcPr>
            <w:tcW w:w="172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0"/>
              <w:spacing w:after="0" w:line="302" w:lineRule="exact"/>
              <w:rPr>
                <w:sz w:val="20"/>
                <w:szCs w:val="20"/>
                <w:color w:val="auto"/>
              </w:rPr>
            </w:pPr>
            <w:r>
              <w:rPr>
                <w:rFonts w:ascii="Arial" w:cs="Arial" w:eastAsia="Arial" w:hAnsi="Arial"/>
                <w:sz w:val="18"/>
                <w:szCs w:val="18"/>
                <w:color w:val="auto"/>
              </w:rPr>
              <w:t>10,000,000</w:t>
            </w:r>
            <w:r>
              <w:rPr>
                <w:rFonts w:ascii="Arial" w:cs="Arial" w:eastAsia="Arial" w:hAnsi="Arial"/>
                <w:sz w:val="29"/>
                <w:szCs w:val="29"/>
                <w:color w:val="auto"/>
                <w:vertAlign w:val="superscript"/>
              </w:rPr>
              <w:t>(1)</w:t>
            </w:r>
          </w:p>
        </w:tc>
        <w:tc>
          <w:tcPr>
            <w:tcW w:w="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12</w:t>
            </w:r>
          </w:p>
        </w:tc>
        <w:tc>
          <w:tcPr>
            <w:tcW w:w="120" w:type="dxa"/>
            <w:vAlign w:val="bottom"/>
          </w:tcPr>
          <w:p>
            <w:pPr>
              <w:spacing w:after="0"/>
              <w:rPr>
                <w:sz w:val="24"/>
                <w:szCs w:val="24"/>
                <w:color w:val="auto"/>
              </w:rPr>
            </w:pPr>
          </w:p>
        </w:tc>
        <w:tc>
          <w:tcPr>
            <w:tcW w:w="940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65"/>
        </w:trPr>
        <w:tc>
          <w:tcPr>
            <w:tcW w:w="1720" w:type="dxa"/>
            <w:vAlign w:val="bottom"/>
            <w:tcBorders>
              <w:left w:val="single" w:sz="8" w:color="auto"/>
              <w:right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3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5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13</w:t>
            </w:r>
          </w:p>
        </w:tc>
        <w:tc>
          <w:tcPr>
            <w:tcW w:w="120" w:type="dxa"/>
            <w:vAlign w:val="bottom"/>
          </w:tcPr>
          <w:p>
            <w:pPr>
              <w:spacing w:after="0"/>
              <w:rPr>
                <w:sz w:val="24"/>
                <w:szCs w:val="24"/>
                <w:color w:val="auto"/>
              </w:rPr>
            </w:pPr>
          </w:p>
        </w:tc>
        <w:tc>
          <w:tcPr>
            <w:tcW w:w="5220" w:type="dxa"/>
            <w:vAlign w:val="bottom"/>
            <w:gridSpan w:val="5"/>
          </w:tcPr>
          <w:p>
            <w:pPr>
              <w:ind w:left="20"/>
              <w:spacing w:after="0"/>
              <w:rPr>
                <w:sz w:val="20"/>
                <w:szCs w:val="20"/>
                <w:color w:val="auto"/>
              </w:rPr>
            </w:pPr>
            <w:r>
              <w:rPr>
                <w:rFonts w:ascii="Arial" w:cs="Arial" w:eastAsia="Arial" w:hAnsi="Arial"/>
                <w:sz w:val="18"/>
                <w:szCs w:val="18"/>
                <w:color w:val="auto"/>
                <w:w w:val="95"/>
              </w:rPr>
              <w:t>PERCENT OF CLASS REPRESENTED BY AMOUNT IN ROW (11)</w:t>
            </w:r>
          </w:p>
        </w:tc>
        <w:tc>
          <w:tcPr>
            <w:tcW w:w="162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20" w:type="dxa"/>
            <w:vAlign w:val="bottom"/>
            <w:tcBorders>
              <w:left w:val="single" w:sz="8" w:color="auto"/>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17.3% </w:t>
            </w:r>
            <w:r>
              <w:rPr>
                <w:rFonts w:ascii="Arial" w:cs="Arial" w:eastAsia="Arial" w:hAnsi="Arial"/>
                <w:sz w:val="29"/>
                <w:szCs w:val="29"/>
                <w:color w:val="auto"/>
                <w:vertAlign w:val="superscript"/>
              </w:rPr>
              <w:t>(2)</w:t>
            </w: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72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72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93"/>
              </w:rPr>
              <w:t>14</w:t>
            </w:r>
          </w:p>
        </w:tc>
        <w:tc>
          <w:tcPr>
            <w:tcW w:w="1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4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20" w:right="180" w:hanging="488"/>
        <w:spacing w:after="0" w:line="268" w:lineRule="auto"/>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shares are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w:t>
      </w:r>
    </w:p>
    <w:p>
      <w:pPr>
        <w:spacing w:after="0" w:line="2" w:lineRule="exact"/>
        <w:rPr>
          <w:rFonts w:ascii="Arial" w:cs="Arial" w:eastAsia="Arial" w:hAnsi="Arial"/>
          <w:sz w:val="17"/>
          <w:szCs w:val="17"/>
          <w:color w:val="auto"/>
        </w:rPr>
      </w:pPr>
    </w:p>
    <w:p>
      <w:pPr>
        <w:ind w:left="820" w:right="220" w:hanging="488"/>
        <w:spacing w:after="0" w:line="323"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based on 57,855,594 shares of common stock outstanding as of September 30, 2023, as reported by the issuer in its Annual Report on Form 10-K for the fiscal year ended June 30, 2023, filed with the Securities and Exchange Commission on October 11, 2023.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class of equity securities to which this Schedule 13D (this “Schedule 13D”) relates is the Common Stock, par value $0.0001 per share (the “Presto Common Stock”), of Presto Automation Inc., a Delaware corporation (the “Issuer” or the “Company”), whose principal executive offices are located at 985 Industrial Road, San Carlos, CA 94070.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firstLine="8"/>
        <w:spacing w:after="0" w:line="254" w:lineRule="auto"/>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Cleveland Avenue Food and Beverage Fund II, LP (the “Reporting Person”), a Delaware limited partnership. The shares are held of record by Presto CA LLC (“Presto CA”). The Reporting Person is the sole member of Presto CA. Cleveland Avenue GP II, LLC (“Cleveland Avenue GP II”) is the general partner of the Reporting Person. Cleveland Avenue, LLC (“CA LLC”) is the sole member of Cleveland Avenue GP II. The Reporting Person, Presto CA, Cleveland Avenue GP II and CA LLC are referred to together as “Cleveland Avenue”). Keith Kravcik, a director of the Company, is the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w:t>
      </w:r>
    </w:p>
    <w:p>
      <w:pPr>
        <w:spacing w:after="0" w:line="194" w:lineRule="exact"/>
        <w:rPr>
          <w:rFonts w:ascii="Arial" w:cs="Arial" w:eastAsia="Arial" w:hAnsi="Arial"/>
          <w:sz w:val="18"/>
          <w:szCs w:val="18"/>
          <w:color w:val="auto"/>
        </w:rPr>
      </w:pPr>
    </w:p>
    <w:p>
      <w:pPr>
        <w:ind w:right="20" w:firstLine="8"/>
        <w:spacing w:after="0" w:line="277" w:lineRule="auto"/>
        <w:tabs>
          <w:tab w:leader="none" w:pos="27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 principal business office of the Reporting Person and the other Cleveland Avenue entities and the business address of both Mr. Kravcik and Mr. Thompson 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222 N. Canal Street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ind w:firstLine="8"/>
        <w:spacing w:after="0" w:line="277" w:lineRule="auto"/>
        <w:tabs>
          <w:tab w:leader="none" w:pos="254" w:val="left"/>
        </w:tabs>
        <w:numPr>
          <w:ilvl w:val="0"/>
          <w:numId w:val="3"/>
        </w:numPr>
        <w:rPr>
          <w:rFonts w:ascii="Arial" w:cs="Arial" w:eastAsia="Arial" w:hAnsi="Arial"/>
          <w:sz w:val="18"/>
          <w:szCs w:val="18"/>
          <w:color w:val="auto"/>
        </w:rPr>
      </w:pPr>
      <w:r>
        <w:rPr>
          <w:rFonts w:ascii="Arial" w:cs="Arial" w:eastAsia="Arial" w:hAnsi="Arial"/>
          <w:sz w:val="18"/>
          <w:szCs w:val="18"/>
          <w:color w:val="auto"/>
        </w:rPr>
        <w:t>Cleveland Avenue is a privately-held venture capital firm that accelerates and strategically invests in innovative food, beverage, and emerging brands. Mr. Thompson is the Chief Executive Officer of CA LLC.</w:t>
      </w:r>
    </w:p>
    <w:p>
      <w:pPr>
        <w:spacing w:after="0" w:line="170" w:lineRule="exact"/>
        <w:rPr>
          <w:rFonts w:ascii="Arial" w:cs="Arial" w:eastAsia="Arial" w:hAnsi="Arial"/>
          <w:sz w:val="18"/>
          <w:szCs w:val="18"/>
          <w:color w:val="auto"/>
        </w:rPr>
      </w:pPr>
    </w:p>
    <w:p>
      <w:pPr>
        <w:ind w:firstLine="8"/>
        <w:spacing w:after="0" w:line="277" w:lineRule="auto"/>
        <w:tabs>
          <w:tab w:leader="none" w:pos="267"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 the other Cleveland Avenue entities, Mr. Kravcik or Mr. Thompson has been convicted in a criminal proceeding.</w:t>
      </w:r>
    </w:p>
    <w:p>
      <w:pPr>
        <w:spacing w:after="0" w:line="170" w:lineRule="exact"/>
        <w:rPr>
          <w:rFonts w:ascii="Arial" w:cs="Arial" w:eastAsia="Arial" w:hAnsi="Arial"/>
          <w:sz w:val="18"/>
          <w:szCs w:val="18"/>
          <w:color w:val="auto"/>
        </w:rPr>
      </w:pPr>
    </w:p>
    <w:p>
      <w:pPr>
        <w:jc w:val="both"/>
        <w:ind w:firstLine="8"/>
        <w:spacing w:after="0" w:line="259" w:lineRule="auto"/>
        <w:tabs>
          <w:tab w:leader="none" w:pos="25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 the other Cleveland Avenue entities, Mr. Kravcik or Mr. Thompson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right="20" w:firstLine="8"/>
        <w:spacing w:after="0" w:line="277" w:lineRule="auto"/>
        <w:tabs>
          <w:tab w:leader="none" w:pos="22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and each of the other Cleveland Avenue entities was organized in the state of Delaware. Both Mr. Kravcik and Mr. Thompson are citizens of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response to Item 5 is incorporated by reference into this Item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source of the funds for all acquisitions by the Reporting Person was from working capital. No part of the purchase price was borrowed by the Reporting Person for the purpose of acquiring any securities discussed in this Item 3.</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10, 2021 and as subsequently amended on April 1, 2022 and July 25, 2022, Ventoux CCM Acquisition Corp. (“VTAQ”), Ventoux Merger Sub I, Ventoux Merger Sub II and Presto Automation Inc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Immediately prior to the effective time of the Business Combination (the “Effective Time”), VTAQ issued an aggregate of 7,143,687 shares of Presto Common Stock to certain investors (the “PIPE Investors”) for aggregate proceeds of $55.5 million to Presto (the “Original PIPE Investment”). In connection with the Original Equity PIPE Investment, VTAQ and Chardan International Investments, LLC (together, the “Sponsors”) transferred an aggregate of 456,296 shares of VTAQ Common Stock to certain of the PIPE Investors. The Original PIPE Investment included a $50 million investment by Presto CA at an effective price per share of $7.14. The effective price per share of CA LLC’s investment takes into account (i) the subscription of 6,593,687 shares of Presto Common Stock for an aggregate purchase price of $50 million and (ii) the transfer of 406,313 shares of VTAQ Common Stock by the Sponsors to CA LLC for nominal consideration.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22, 2023, Presto entered into a Securities Purchase Agreement with certain accredited investors named in the Purchase Agreement, including Presto CA, pursuant to which Presto agreed to sell an aggregate of 4,760,500 newly issued shares of the Presto Common Stock (including 1,500,000 shares to Presto CA), at a purchase price of $2.00 per share (the “May 2023 Private Placement”) for an aggregate purchase price of approximately $9.5 million. The May 2023 Private Placement closed on May 24, 2023.</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10, 2023, Presto entered into a Securities Purchase Agreement with Presto CA, pursuant to which the Presto agreed to sell 1,500,000 newly issued shares of Presto Common Stock, at a purchase price of $2.00 per share for an aggregate purchase price of $3.0 million (the “October 2023 Private Placement”). The October 2023 Private Placement closed on October 16,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The foregoing descriptions of the Subscription Agreements do not purport to be complete and are qualified in their entirety by the terms and conditions of each applicable Subscription Agreement, copies of which are filed as Exhibits 99.1, 99.2 and 99.3 to this Schedule 13D, and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or incorporated by reference in Item 6 of this statement is incorporated by reference into this Item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Presto Common Stock acquired by the Reporting Person was acquired solely for investment purposes.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otherwise described herein, neither the Reporting Person, nor any of the other Cleveland Avenue entities, Mr. Kravcik or Mr. Thompson, has any plans or proposals that relate to or would result in:</w:t>
      </w:r>
    </w:p>
    <w:p>
      <w:pPr>
        <w:spacing w:after="0" w:line="170"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20" w:lineRule="exact"/>
        <w:rPr>
          <w:rFonts w:ascii="Arial" w:cs="Arial" w:eastAsia="Arial" w:hAnsi="Arial"/>
          <w:sz w:val="17"/>
          <w:szCs w:val="17"/>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9" w:lineRule="exact"/>
        <w:rPr>
          <w:rFonts w:ascii="Arial" w:cs="Arial" w:eastAsia="Arial" w:hAnsi="Arial"/>
          <w:sz w:val="18"/>
          <w:szCs w:val="18"/>
          <w:color w:val="auto"/>
        </w:rPr>
      </w:pPr>
    </w:p>
    <w:p>
      <w:pPr>
        <w:ind w:left="660" w:right="260" w:hanging="4"/>
        <w:spacing w:after="0" w:line="250" w:lineRule="auto"/>
        <w:tabs>
          <w:tab w:leader="none" w:pos="9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9" w:lineRule="exact"/>
        <w:rPr>
          <w:rFonts w:ascii="Arial" w:cs="Arial" w:eastAsia="Arial" w:hAnsi="Arial"/>
          <w:sz w:val="18"/>
          <w:szCs w:val="18"/>
          <w:color w:val="auto"/>
        </w:rPr>
      </w:pPr>
    </w:p>
    <w:p>
      <w:pPr>
        <w:ind w:left="660" w:right="320" w:hanging="4"/>
        <w:spacing w:after="0" w:line="250" w:lineRule="auto"/>
        <w:tabs>
          <w:tab w:leader="none" w:pos="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1" w:lineRule="exact"/>
        <w:rPr>
          <w:rFonts w:ascii="Arial" w:cs="Arial" w:eastAsia="Arial" w:hAnsi="Arial"/>
          <w:sz w:val="18"/>
          <w:szCs w:val="18"/>
          <w:color w:val="auto"/>
        </w:rPr>
      </w:pPr>
    </w:p>
    <w:p>
      <w:pPr>
        <w:ind w:left="660" w:right="240" w:hanging="4"/>
        <w:spacing w:after="0" w:line="250" w:lineRule="auto"/>
        <w:tabs>
          <w:tab w:leader="none" w:pos="9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ind w:left="660" w:right="420" w:hanging="4"/>
        <w:spacing w:after="0" w:line="250" w:lineRule="auto"/>
        <w:tabs>
          <w:tab w:leader="none" w:pos="9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Act; or</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response to Item 3 is incorporated by reference into this Item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Agreements</w:t>
      </w:r>
    </w:p>
    <w:p>
      <w:pPr>
        <w:spacing w:after="0" w:line="225"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On September 21, 2022, Presto entered into an Amended and Restated Registration Rights Agreement with certain securityholders and the other parties to such agreement, including Presto CA (the “Holders”). Pursuant to the terms of the Amended and Restated Registration Rights Agreement, the Company was obligated to file a registration statement to register the resale of certain securities of Presto held by the Holders. The Amended and Restated Registration Rights Agreement also provides the Holders with certain “demand” and “piggy-back” registration rights, subject to certain requirements and customary conditions.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right="60" w:firstLine="441"/>
        <w:spacing w:after="0" w:line="268" w:lineRule="auto"/>
        <w:rPr>
          <w:sz w:val="20"/>
          <w:szCs w:val="20"/>
          <w:color w:val="auto"/>
        </w:rPr>
      </w:pPr>
      <w:r>
        <w:rPr>
          <w:rFonts w:ascii="Arial" w:cs="Arial" w:eastAsia="Arial" w:hAnsi="Arial"/>
          <w:sz w:val="17"/>
          <w:szCs w:val="17"/>
          <w:color w:val="auto"/>
        </w:rPr>
        <w:t>On May 22, 2023, Presto also entered into a Registration Rights Agreement with the investors in the May 2023 Private Placement. Under the Registration Rights Agreement, Presto agreed to file a registration statement with the Securities and Exchange Commission (the “SEC”) within 30 days following the date of the Registration Rights Agreement for purposes of registering the resale of the shares of Presto Common Stock issued in the May 2023 Private Placement. The Company has also agreed to use commercially reasonable efforts to cause the SEC to declare the Registration Statement effective as promptly as possible after the filing of the Registration Statement and no later than the earlier of (i) the 60th calendar day following the date on which an additional Registration Statement is required to be filed under the Registration Rights Agreement (or, in the event of a “full review” by the Securities and Exchange Commission (the Commission”), the 90th calendar day following the date such additional Registration Statement is required to be filed under the Registration Rights Agreement) and (ii) the 5th trading day after the date the Company is notified by the SEC that the Registration Statement will not be “reviewed” or will not be subject to further review. Presto also agreed to use its commercially reasonable efforts to keep each Registration Statement continuously effective under the Securities Act of 1933, as amended, (the “Securities Act”) until the earlier of (i) such time as all of the registrable securities covered by such Registration Statement have been sold by the holders publicly or sold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Presto pursuant to a written opinion letter to such effect, addressed and acceptable to Presto’s transfer agent and the affected holders.</w:t>
      </w:r>
    </w:p>
    <w:p>
      <w:pPr>
        <w:spacing w:after="0" w:line="18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In connection with the October 2023 Private Placement, Presto entered into a Registration Rights Agreement with Presto CA, with substantially the same terms of the Registration Rights Agreement for the May 2023 Private Placement.</w:t>
      </w:r>
    </w:p>
    <w:p>
      <w:pPr>
        <w:spacing w:after="0" w:line="170"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The foregoing descriptions of the Registration Rights Agreements do not purport to be complete and are qualified in their entirety by the terms and conditions of each applicable Registration Rights Agreement, copies of which are filed as Exhibits 99.4, 99.5 and Exhibit A to Exhibit 99.3 to this Schedule 13D,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1280" w:hanging="62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requested by this paragraph is incorporated herein by reference to the information provided on the cover pages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 13D.</w:t>
      </w:r>
    </w:p>
    <w:p>
      <w:pPr>
        <w:spacing w:after="0" w:line="210" w:lineRule="exact"/>
        <w:rPr>
          <w:rFonts w:ascii="Arial" w:cs="Arial" w:eastAsia="Arial" w:hAnsi="Arial"/>
          <w:sz w:val="16"/>
          <w:szCs w:val="16"/>
          <w:color w:val="auto"/>
        </w:rPr>
      </w:pPr>
    </w:p>
    <w:p>
      <w:pPr>
        <w:ind w:left="1280" w:hanging="62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requested by this paragraph is incorporated herein by reference to the information provided on the cover pages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 13D.</w:t>
      </w:r>
    </w:p>
    <w:p>
      <w:pPr>
        <w:spacing w:after="0" w:line="210" w:lineRule="exact"/>
        <w:rPr>
          <w:rFonts w:ascii="Arial" w:cs="Arial" w:eastAsia="Arial" w:hAnsi="Arial"/>
          <w:sz w:val="16"/>
          <w:szCs w:val="16"/>
          <w:color w:val="auto"/>
        </w:rPr>
      </w:pPr>
    </w:p>
    <w:p>
      <w:pPr>
        <w:ind w:left="1240" w:hanging="584"/>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disclosed herein, the Reporting Person has not effected any other transactions in the securities of the Issuer during the past 60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days.</w:t>
      </w:r>
    </w:p>
    <w:p>
      <w:pPr>
        <w:spacing w:after="0" w:line="210" w:lineRule="exact"/>
        <w:rPr>
          <w:rFonts w:ascii="Arial" w:cs="Arial" w:eastAsia="Arial" w:hAnsi="Arial"/>
          <w:sz w:val="16"/>
          <w:szCs w:val="16"/>
          <w:color w:val="auto"/>
        </w:rPr>
      </w:pPr>
    </w:p>
    <w:p>
      <w:pPr>
        <w:ind w:left="1180" w:hanging="52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information disclosed under Item 3 and Item 4 above is hereby incorporated by reference into this Item 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Item 3 and Item 4 above summarize certain provisions of the Securities Purchase Agreements of the Original PIPE Investment, the May 2023 Private Placement, the October 2023 Private Placement, and the related Registration Rights Agreement, and are incorporated herein by reference. A copy of each of the Subscription Agreements and the Registration Rights Agreements are filed as exhibits to this Schedule 13D, and each is incorporated herein by reference.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set forth herein, the Reporting Person does not have any contracts, arrangements, understandings or relationships (legal or otherwise) with any person with respect to any securities of Presto,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Amended &amp; Restated Cleveland Avenue Subscription Agreement, dated July 25, 2022, by and between VTAQ and Presto CA (incorporated by reference to Exhibit 10.2 to Presto’s Current Report on Form 8-K filed on July 26, 2022).</w:t>
      </w:r>
    </w:p>
    <w:p>
      <w:pPr>
        <w:spacing w:after="0" w:line="146" w:lineRule="exact"/>
        <w:rPr>
          <w:sz w:val="20"/>
          <w:szCs w:val="20"/>
          <w:color w:val="auto"/>
        </w:rPr>
      </w:pPr>
    </w:p>
    <w:p>
      <w:pPr>
        <w:sectPr>
          <w:pgSz w:w="11900" w:h="16838" w:orient="portrait"/>
          <w:cols w:equalWidth="0" w:num="2">
            <w:col w:w="1540" w:space="720"/>
            <w:col w:w="8980"/>
          </w:cols>
          <w:pgMar w:left="320" w:top="908" w:right="339" w:bottom="1440" w:gutter="0" w:footer="0" w:header="0"/>
          <w:type w:val="continuous"/>
        </w:sectPr>
      </w:pPr>
    </w:p>
    <w:p>
      <w:pPr>
        <w:spacing w:after="0"/>
        <w:rPr>
          <w:sz w:val="20"/>
          <w:szCs w:val="20"/>
          <w:color w:val="auto"/>
        </w:rPr>
      </w:pPr>
      <w:r>
        <w:rPr>
          <w:rFonts w:ascii="Arial" w:cs="Arial" w:eastAsia="Arial" w:hAnsi="Arial"/>
          <w:sz w:val="17"/>
          <w:szCs w:val="17"/>
          <w:color w:val="auto"/>
        </w:rPr>
        <w:t>Exhibit 99.2</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Form of Securities Purchase Agreement, dated May 22, 2023 by and among Presto Automation Inc. and each purchaser listed in the signature page thereto (incorporated by reference to Exhibit 10.1 of Presto’s Current Report on Form 8-K filed on May 22, 2023).</w:t>
      </w:r>
    </w:p>
    <w:p>
      <w:pPr>
        <w:spacing w:after="0" w:line="184" w:lineRule="exact"/>
        <w:rPr>
          <w:sz w:val="20"/>
          <w:szCs w:val="20"/>
          <w:color w:val="auto"/>
        </w:rPr>
      </w:pPr>
    </w:p>
    <w:p>
      <w:pPr>
        <w:sectPr>
          <w:pgSz w:w="11900" w:h="16838" w:orient="portrait"/>
          <w:cols w:equalWidth="0" w:num="2">
            <w:col w:w="1540" w:space="720"/>
            <w:col w:w="8980"/>
          </w:cols>
          <w:pgMar w:left="320" w:top="908" w:right="339" w:bottom="1440" w:gutter="0" w:footer="0" w:header="0"/>
          <w:type w:val="continuous"/>
        </w:sectPr>
      </w:pPr>
    </w:p>
    <w:p>
      <w:pPr>
        <w:spacing w:after="0"/>
        <w:rPr>
          <w:sz w:val="20"/>
          <w:szCs w:val="20"/>
          <w:color w:val="auto"/>
        </w:rPr>
      </w:pPr>
      <w:r>
        <w:rPr>
          <w:rFonts w:ascii="Arial" w:cs="Arial" w:eastAsia="Arial" w:hAnsi="Arial"/>
          <w:sz w:val="17"/>
          <w:szCs w:val="17"/>
          <w:color w:val="auto"/>
        </w:rPr>
        <w:t>Exhibit 99.3</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Securities Purchase Agreement, dated October 10, 2023, between Presto Automation Inc. and Presto CA (incorporated by reference to Exhibit 10.1 of Presto’s Current Report on Form 8-K filed on October 10, 2023).</w:t>
      </w:r>
    </w:p>
    <w:p>
      <w:pPr>
        <w:spacing w:after="0" w:line="170" w:lineRule="exact"/>
        <w:rPr>
          <w:sz w:val="20"/>
          <w:szCs w:val="20"/>
          <w:color w:val="auto"/>
        </w:rPr>
      </w:pPr>
    </w:p>
    <w:p>
      <w:pPr>
        <w:sectPr>
          <w:pgSz w:w="11900" w:h="16838" w:orient="portrait"/>
          <w:cols w:equalWidth="0" w:num="2">
            <w:col w:w="1540" w:space="720"/>
            <w:col w:w="8980"/>
          </w:cols>
          <w:pgMar w:left="320" w:top="908" w:right="339" w:bottom="1440" w:gutter="0" w:footer="0" w:header="0"/>
          <w:type w:val="continuous"/>
        </w:sectPr>
      </w:pPr>
    </w:p>
    <w:p>
      <w:pPr>
        <w:spacing w:after="0"/>
        <w:rPr>
          <w:sz w:val="20"/>
          <w:szCs w:val="20"/>
          <w:color w:val="auto"/>
        </w:rPr>
      </w:pPr>
      <w:r>
        <w:rPr>
          <w:rFonts w:ascii="Arial" w:cs="Arial" w:eastAsia="Arial" w:hAnsi="Arial"/>
          <w:sz w:val="17"/>
          <w:szCs w:val="17"/>
          <w:color w:val="auto"/>
        </w:rPr>
        <w:t>Exhibit 99.4</w:t>
      </w:r>
    </w:p>
    <w:p>
      <w:pPr>
        <w:spacing w:after="0" w:line="20" w:lineRule="exact"/>
        <w:rPr>
          <w:sz w:val="20"/>
          <w:szCs w:val="20"/>
          <w:color w:val="auto"/>
        </w:rPr>
      </w:pPr>
      <w:r>
        <w:rPr>
          <w:sz w:val="20"/>
          <w:szCs w:val="20"/>
          <w:color w:val="auto"/>
        </w:rPr>
        <w:br w:type="column"/>
      </w:r>
    </w:p>
    <w:p>
      <w:pPr>
        <w:ind w:right="280"/>
        <w:spacing w:after="0" w:line="342" w:lineRule="auto"/>
        <w:rPr>
          <w:sz w:val="20"/>
          <w:szCs w:val="20"/>
          <w:color w:val="auto"/>
        </w:rPr>
      </w:pPr>
      <w:r>
        <w:rPr>
          <w:rFonts w:ascii="Arial" w:cs="Arial" w:eastAsia="Arial" w:hAnsi="Arial"/>
          <w:sz w:val="16"/>
          <w:szCs w:val="16"/>
          <w:color w:val="auto"/>
        </w:rPr>
        <w:t>Form of Amended and Restated Registration Rights Agreement (incorporated by reference to Exhibit 10.2 to the Issuer’s Current Report on Form 8-K, as filed with the Securities and Exchange Commission on September 27, 2022).</w:t>
      </w:r>
    </w:p>
    <w:p>
      <w:pPr>
        <w:spacing w:after="0" w:line="124" w:lineRule="exact"/>
        <w:rPr>
          <w:sz w:val="20"/>
          <w:szCs w:val="20"/>
          <w:color w:val="auto"/>
        </w:rPr>
      </w:pPr>
    </w:p>
    <w:p>
      <w:pPr>
        <w:sectPr>
          <w:pgSz w:w="11900" w:h="16838" w:orient="portrait"/>
          <w:cols w:equalWidth="0" w:num="2">
            <w:col w:w="1540" w:space="720"/>
            <w:col w:w="8980"/>
          </w:cols>
          <w:pgMar w:left="320" w:top="908" w:right="339" w:bottom="1440" w:gutter="0" w:footer="0" w:header="0"/>
          <w:type w:val="continuous"/>
        </w:sectPr>
      </w:pPr>
    </w:p>
    <w:p>
      <w:pPr>
        <w:spacing w:after="0"/>
        <w:rPr>
          <w:sz w:val="20"/>
          <w:szCs w:val="20"/>
          <w:color w:val="auto"/>
        </w:rPr>
      </w:pPr>
      <w:r>
        <w:rPr>
          <w:rFonts w:ascii="Arial" w:cs="Arial" w:eastAsia="Arial" w:hAnsi="Arial"/>
          <w:sz w:val="17"/>
          <w:szCs w:val="17"/>
          <w:color w:val="auto"/>
        </w:rPr>
        <w:t>Exhibit 99.5</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Form of Registration Rights Agreement, dated as of May 22, 2023, by and among Presto Automation Inc. and certain persons listed therein (incorporated by reference to Exhibit 10.2 of Presto’s Current Report on Form 8-K filed on May 22, 2023).</w:t>
      </w:r>
    </w:p>
    <w:p>
      <w:pPr>
        <w:spacing w:after="0" w:line="184" w:lineRule="exact"/>
        <w:rPr>
          <w:sz w:val="20"/>
          <w:szCs w:val="20"/>
          <w:color w:val="auto"/>
        </w:rPr>
      </w:pPr>
    </w:p>
    <w:p>
      <w:pPr>
        <w:sectPr>
          <w:pgSz w:w="11900" w:h="16838" w:orient="portrait"/>
          <w:cols w:equalWidth="0" w:num="2">
            <w:col w:w="1540" w:space="720"/>
            <w:col w:w="8980"/>
          </w:cols>
          <w:pgMar w:left="320" w:top="908" w:right="339" w:bottom="1440" w:gutter="0" w:footer="0" w:header="0"/>
          <w:type w:val="continuous"/>
        </w:sectPr>
      </w:pPr>
    </w:p>
    <w:p>
      <w:pPr>
        <w:ind w:right="40"/>
        <w:spacing w:after="0" w:line="263" w:lineRule="auto"/>
        <w:rPr>
          <w:sz w:val="20"/>
          <w:szCs w:val="20"/>
          <w:color w:val="auto"/>
        </w:rPr>
      </w:pPr>
      <w:r>
        <w:rPr>
          <w:rFonts w:ascii="Arial" w:cs="Arial" w:eastAsia="Arial" w:hAnsi="Arial"/>
          <w:sz w:val="18"/>
          <w:szCs w:val="18"/>
          <w:color w:val="auto"/>
        </w:rPr>
        <w:t>Schedules omitted pursuant to Item 601(a)(5) of Regulation S-K. The Company has agreed to furnish supplementally a copy of any omitted schedule to the SEC upon request; provided, however, that the Company may request confidential treatment pursuant to Rule 24b-2 of the Securities Exchange Act of 1934, as amended, for any schedules or exhibits so furnished.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October 26,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CLEVELAND AVENUE FOOD AND BEVERAGE FUND II,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McCoy, Chief Operating Officer and General Counsel of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Cleveland Avenue, LLC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2023-10-27T05:19:12Z</dcterms:created>
  <dcterms:modified xsi:type="dcterms:W3CDTF">2023-10-27T05:19:12Z</dcterms:modified>
</cp:coreProperties>
</file>