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80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Zauder Gail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80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60,744</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280" w:type="dxa"/>
            <w:vAlign w:val="bottom"/>
            <w:gridSpan w:val="2"/>
          </w:tcPr>
          <w:p>
            <w:pPr>
              <w:jc w:val="right"/>
              <w:ind w:right="261"/>
              <w:spacing w:after="0"/>
              <w:rPr>
                <w:sz w:val="20"/>
                <w:szCs w:val="20"/>
                <w:color w:val="auto"/>
              </w:rPr>
            </w:pPr>
            <w:r>
              <w:rPr>
                <w:rFonts w:ascii="Times New Roman" w:cs="Times New Roman" w:eastAsia="Times New Roman" w:hAnsi="Times New Roman"/>
                <w:sz w:val="13"/>
                <w:szCs w:val="13"/>
                <w:color w:val="008000"/>
              </w:rPr>
              <w:t>(2)(3)</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09/21/2027</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17,375</w:t>
            </w:r>
          </w:p>
        </w:tc>
        <w:tc>
          <w:tcPr>
            <w:tcW w:w="4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8000"/>
              </w:rPr>
              <w:t>(2)(3)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that vest in equal monthly installments through October 15, 2024.</w:t>
      </w:r>
    </w:p>
    <w:p>
      <w:pPr>
        <w:spacing w:after="0" w:line="52"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right to receive shares of the Issuer's common stock pursuant to the Business Combination Agreement, as defined below. The Reporting Person is entitled to receive the Earn-Out Shares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(as defined below), and one-half will be issued to the Reporting Person if the VWAP of the Issuer common stock equals or exceeds $15.00 over 20 trading days within any 30 trading day period on or before the fifth anniversary of the Closing Date. Pursuant to the Agreement and Plan of Merger, dated as of November 10, 2021, as amended (the "Merger Agreement"), (Continued in footnote 3)</w:t>
      </w:r>
    </w:p>
    <w:p>
      <w:pPr>
        <w:spacing w:after="0" w:line="33" w:lineRule="exact"/>
        <w:rPr>
          <w:rFonts w:ascii="Times New Roman" w:cs="Times New Roman" w:eastAsia="Times New Roman" w:hAnsi="Times New Roman"/>
          <w:sz w:val="15"/>
          <w:szCs w:val="15"/>
          <w:color w:val="008000"/>
        </w:rPr>
      </w:pPr>
    </w:p>
    <w:p>
      <w:pPr>
        <w:ind w:left="40" w:right="12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2) entered into by and among Ventoux CCM Acquisition Corp. (which subsequently changed its name to "Presto Automation Inc.", the "Issuer"), Ventoux Merger Sub I Inc. and Ventoux Merger Sub II LLC, each a wholly owned subsidiary of Ventoux CCM Acquisition Corp., and E La Carte, Inc. ("Old Presto"), the Issuer acquired Old Presto (the "Business Combination"). Pursuant to the terms of the Merger Agreement, each share of Old Presto common stock, option or restricted stock unit, as applicable, outstanding immediately prior to the closing of the Business Combination was entitled to receive 0.8099 shares of Issuer common stock, option, or restricted stock unit, respectively, and certain earnout shares ("Earn-Out Shares"). The Business Combination closed on September 21, 2022 (the "Closing Date").</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Stephen Perry,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80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Rajat Suri, Ashish Gupta,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22, 2022</w:t>
      </w:r>
    </w:p>
    <w:p>
      <w:pPr>
        <w:spacing w:after="0" w:line="250" w:lineRule="exact"/>
        <w:rPr>
          <w:sz w:val="20"/>
          <w:szCs w:val="20"/>
          <w:color w:val="auto"/>
        </w:rPr>
      </w:pPr>
    </w:p>
    <w:p>
      <w:pPr>
        <w:ind w:left="6580"/>
        <w:spacing w:after="0"/>
        <w:tabs>
          <w:tab w:leader="none" w:pos="7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Gail Zauder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28575</wp:posOffset>
            </wp:positionV>
            <wp:extent cx="24968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4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0"/>
          <w:szCs w:val="20"/>
          <w:color w:val="auto"/>
        </w:rPr>
        <w:t>Name: Gail Zauder</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4950"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2022-10-03T17:36:46Z</dcterms:created>
  <dcterms:modified xsi:type="dcterms:W3CDTF">2022-10-03T17:36:46Z</dcterms:modified>
</cp:coreProperties>
</file>