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985 Industrial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Carlos, CA 94070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July 3, 2023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445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Matthew Derby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80" w:space="280"/>
            <w:col w:w="10580"/>
          </w:cols>
          <w:pgMar w:left="320" w:top="445" w:right="3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June 23,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333-272913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80"/>
            <w:col w:w="10580"/>
          </w:cols>
          <w:pgMar w:left="320" w:top="445" w:right="3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Derby: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of the rules and regulations promulgated under the Securities Act of 1933, as amended, Presto Automation Inc. respectfully requests that the effective date of the above-referenced Registration Statement be accelerated so as to permit it to become effective at 4:00 pm Washington D.C. time on July 6, 2023,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call Colin Diamond of White &amp; Case LLP at (212) 819-8754 or Laura Katherine Mann of White &amp; Case LLP at (713) 496-9695 to provide notice of the effectiveness of the Registration Statement.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6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Krishna K. Gupta</w:t>
            </w:r>
          </w:p>
        </w:tc>
      </w:tr>
      <w:tr>
        <w:trPr>
          <w:trHeight w:val="202"/>
        </w:trPr>
        <w:tc>
          <w:tcPr>
            <w:tcW w:w="5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Krishna K. Gupta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Interim Chief Executive Officer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Susan Shinoff, General Counsel, Presto Automation Inc.</w:t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2023-08-03T23:11:27Z</dcterms:created>
  <dcterms:modified xsi:type="dcterms:W3CDTF">2023-08-03T23:11:27Z</dcterms:modified>
</cp:coreProperties>
</file>