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Ventoux CCM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 East Putnam Avenue, Floor 4</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Greenwich, CT 06830</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(zip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465-9000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9"/>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VTAQ</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VTAQW</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VTAQR</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VTAQU</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Merger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2022, Ventoux CCM Acquisition Corp. (the “Company” or “Ventoux”), Ventoux Merger Sub I Inc., Ventoux Merger Sub II LLC, and E La Carte, Inc. (“Presto”) entered into an amendment (the “Amendment”) to that certain agreement and plan of merger dated November 10, 2021 (the “Merger Agreement”). The amendment amends the Merger Agreement to lower from $85 million to $65 million the amount of cash required to be available to the Company at the closing of the business combination (the “Closing”), consisting of cash held in its trust account and the aggregate amount of cash actually invested in (or contributed to) the Company pursuant to subscription agreements, after giving effect to redemptions of public shares, if any, but before giving effect to the consummation of the Closing and the payment of Presto’s and certain of the Company’s outstanding transaction expenses (including before giving effect to all audit and pre-audit consulting expenses incurred by Presto) as contemplated by the Merger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also amends the Merger Agreement to extend the Termination Date (as defined therein) of the Merger Agreement to August 31, 2022.</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only a summary and is qualified in its entirety by reference to the Amendment, which is filed with this Current Report on Form 8-K as Exhibit 2.1 and the terms of which are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2022, the Company issued two unsecured promissory notes (the “Extension Notes”) in amounts of $1,150,000 and $575,000 to Ventoux Acquisition Holdings LLC and Chardan International Investments, LLC, respectively (the “Sponsors”), in exchange for the Sponsors depositing such amounts into the Company’s trust account in order to extend the amount of time the Company has available to complete a business combination (the “Extension”) by three months from March 30, 2022 to June 30,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also issued two unsecured promissory notes (the “Working Capital Notes” and together with the Extension Notes, the “Notes”) in amounts of $250,000 and $125,000 to Ventoux Acquisition Holdings LLC and Chardan International Investments, LLC, respectively, in connection with providing the Company with additional working capital.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do not bear interest and mature and are payable (subject to the waiver against trust provisions) upon the earlier of (i) the date on which the Company’s initial business combination is consummated and (ii) the date of the liquidation of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Notes were issued pursuant to an exemption from registration contained in Section 4(a)(2) of the Securities Act of 1933, as amended (the “Securities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Notes is only a summary and is qualified in its entirety by the Notes, which are filed as Exhibit 10.1, 10.2, 10.3 and 10.4 to this Current Report on Form 8-K and are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4, 2022, the Company issued a press release (the “Press Release”) announcing the Amendment and the Extension. A copy of the Press Release is furnished as Exhibit 99.1 hereto. The information in this Item 7.01 and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2022, the Company and Presto entered into a Consent and Waiver with respect to the Merger Agreement, pursuant to which the Company and Presto mutually consented to, among other things, certain financing transactions of Presto and certain issuances of restricted stock units of Presto.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Current Report on Form 8-K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0" w:lineRule="exact"/>
        <w:rPr>
          <w:sz w:val="20"/>
          <w:szCs w:val="20"/>
          <w:color w:val="auto"/>
        </w:rPr>
      </w:pPr>
    </w:p>
    <w:p>
      <w:pPr>
        <w:jc w:val="both"/>
        <w:ind w:firstLine="8"/>
        <w:spacing w:after="0" w:line="253" w:lineRule="auto"/>
        <w:tabs>
          <w:tab w:leader="none" w:pos="3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exhibits are filed with this report, except Exhibit 99.1 hereto, which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5"/>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Amendment to Agreement and Plan of Merger</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0000" w:type="dxa"/>
            <w:vAlign w:val="bottom"/>
            <w:gridSpan w:val="5"/>
          </w:tcPr>
          <w:p>
            <w:pPr>
              <w:ind w:left="2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Promissory Note to Ventoux Acquisition Holdings LLC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4380" w:type="dxa"/>
            <w:vAlign w:val="bottom"/>
            <w:tcBorders>
              <w:bottom w:val="single" w:sz="8" w:color="0000EE"/>
            </w:tcBorders>
            <w:gridSpan w:val="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Promissory Note to Chardan International Investments, LLC</w:t>
              </w:r>
            </w:hyperlink>
          </w:p>
        </w:tc>
        <w:tc>
          <w:tcPr>
            <w:tcW w:w="5620" w:type="dxa"/>
            <w:vAlign w:val="bottom"/>
            <w:tcBorders>
              <w:bottom w:val="single" w:sz="8" w:color="CCEEFF"/>
            </w:tcBorders>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10000" w:type="dxa"/>
            <w:vAlign w:val="bottom"/>
            <w:gridSpan w:val="5"/>
          </w:tcPr>
          <w:p>
            <w:pPr>
              <w:ind w:left="20"/>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Promissory Note to Ventoux Acquisition Holdings LLC</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7"/>
                <w:szCs w:val="17"/>
                <w:color w:val="auto"/>
              </w:rPr>
            </w:pPr>
          </w:p>
        </w:tc>
        <w:tc>
          <w:tcPr>
            <w:tcW w:w="4380" w:type="dxa"/>
            <w:vAlign w:val="bottom"/>
            <w:tcBorders>
              <w:bottom w:val="single" w:sz="8" w:color="0000EE"/>
            </w:tcBorders>
            <w:gridSpan w:val="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Promissory Note to Chardan International Investments, LLC</w:t>
              </w:r>
            </w:hyperlink>
          </w:p>
        </w:tc>
        <w:tc>
          <w:tcPr>
            <w:tcW w:w="562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1000" w:type="dxa"/>
            <w:vAlign w:val="bottom"/>
            <w:tcBorders>
              <w:bottom w:val="single" w:sz="8" w:color="0000EE"/>
            </w:tcBorders>
          </w:tcPr>
          <w:p>
            <w:pPr>
              <w:ind w:left="20"/>
              <w:spacing w:after="0" w:line="17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Press Release</w:t>
              </w:r>
            </w:hyperlink>
          </w:p>
        </w:tc>
        <w:tc>
          <w:tcPr>
            <w:tcW w:w="9000" w:type="dxa"/>
            <w:vAlign w:val="bottom"/>
            <w:gridSpan w:val="4"/>
          </w:tcPr>
          <w:p>
            <w:pPr>
              <w:spacing w:after="0"/>
              <w:rPr>
                <w:sz w:val="15"/>
                <w:szCs w:val="15"/>
                <w:color w:val="auto"/>
              </w:rPr>
            </w:pPr>
          </w:p>
        </w:tc>
      </w:tr>
    </w:tbl>
    <w:p>
      <w:pPr>
        <w:spacing w:after="0" w:line="9" w:lineRule="exact"/>
        <w:rPr>
          <w:sz w:val="20"/>
          <w:szCs w:val="20"/>
          <w:color w:val="auto"/>
        </w:rPr>
      </w:pPr>
    </w:p>
    <w:p>
      <w:pPr>
        <w:ind w:left="5580" w:right="4220" w:hanging="5572"/>
        <w:spacing w:after="0" w:line="783" w:lineRule="auto"/>
        <w:tabs>
          <w:tab w:leader="none" w:pos="1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Ventoux CCM Acquisition Corp.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Edward Scheetz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AGREEMENT AND PLAN OF MERGER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to Agreement and Plan of Merger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1, 2022, is made by and among (a) Ventoux CCM Acquisition Corp.,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Ventoux Merger Sub I Inc., a Delaware corporation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Ventoux Merger Sub II LLC, a Delaware limited liability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and E La Carte,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amends that certain Agreement and Plan of Merger dated as of November 10, 2021, by and among Acquiror, First Merger Sub, Second Merger Sub and the Company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and not defined in this Amendment have the respective meanings given to such terms in the Merger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11.10 of the Merger Agreement, the Merger Agreement may be amended or modified in whole or in part, only by a duly authorized agreement in writing executed in the same manner as the Merger Agreement which makes reference to the Merger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wish to amend the Merger Agreement as described herein.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are hereby acknowledged, the parties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firstLine="1304"/>
        <w:spacing w:after="0" w:line="282" w:lineRule="auto"/>
        <w:tabs>
          <w:tab w:leader="none" w:pos="14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9.03(e)</w:t>
      </w:r>
      <w:r>
        <w:rPr>
          <w:rFonts w:ascii="Times New Roman" w:cs="Times New Roman" w:eastAsia="Times New Roman" w:hAnsi="Times New Roman"/>
          <w:sz w:val="18"/>
          <w:szCs w:val="18"/>
          <w:color w:val="auto"/>
        </w:rPr>
        <w:t>. Section 9.03(e) of the Merger Agreement is hereby amended by deleting “$85,000,000” and replacing it with “$65,000,000”.</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10.01(b).</w:t>
      </w:r>
      <w:r>
        <w:rPr>
          <w:rFonts w:ascii="Times New Roman" w:cs="Times New Roman" w:eastAsia="Times New Roman" w:hAnsi="Times New Roman"/>
          <w:sz w:val="18"/>
          <w:szCs w:val="18"/>
          <w:color w:val="auto"/>
        </w:rPr>
        <w:t xml:space="preserve"> Section 10.01(b) of the Merger Agreement is hereby deleted in its entirety and replaced with:</w:t>
      </w:r>
    </w:p>
    <w:p>
      <w:pPr>
        <w:spacing w:after="0" w:line="22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“(b) prior to the Closing, by written notice to the Company from Acquiror if (i) there is any breach of any representation, warranty, covenant or agreement on the part of the Company set forth in this Agreement (or any breach of Section 1 of the Support Agreement), such that the conditions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would not be satisfied at the Closing (a “</w:t>
      </w:r>
      <w:r>
        <w:rPr>
          <w:rFonts w:ascii="Times New Roman" w:cs="Times New Roman" w:eastAsia="Times New Roman" w:hAnsi="Times New Roman"/>
          <w:sz w:val="18"/>
          <w:szCs w:val="18"/>
          <w:u w:val="single" w:color="auto"/>
          <w:color w:val="auto"/>
        </w:rPr>
        <w:t>Terminating Company Breach</w:t>
      </w:r>
      <w:r>
        <w:rPr>
          <w:rFonts w:ascii="Times New Roman" w:cs="Times New Roman" w:eastAsia="Times New Roman" w:hAnsi="Times New Roman"/>
          <w:sz w:val="18"/>
          <w:szCs w:val="18"/>
          <w:color w:val="auto"/>
        </w:rPr>
        <w:t>”), except that, if such Terminating Company Breach is curable by the Company through the exercise of its commercially reasonable efforts, then, for a period of up to 30 days (or any shorter period of the time that remains between the date Acquiror provides written notice of such violation or breach and the Termination Date) after receipt by the Company of notice from Acquiror of such breach, but only as long as the Company continues to use its commercially reasonable efforts to cure such Terminating Company Breach (the “</w:t>
      </w:r>
      <w:r>
        <w:rPr>
          <w:rFonts w:ascii="Times New Roman" w:cs="Times New Roman" w:eastAsia="Times New Roman" w:hAnsi="Times New Roman"/>
          <w:sz w:val="18"/>
          <w:szCs w:val="18"/>
          <w:u w:val="single" w:color="auto"/>
          <w:color w:val="auto"/>
        </w:rPr>
        <w:t>Company Cure Period</w:t>
      </w:r>
      <w:r>
        <w:rPr>
          <w:rFonts w:ascii="Times New Roman" w:cs="Times New Roman" w:eastAsia="Times New Roman" w:hAnsi="Times New Roman"/>
          <w:sz w:val="18"/>
          <w:szCs w:val="18"/>
          <w:color w:val="auto"/>
        </w:rPr>
        <w:t>”), such termination shall not be effective, and such termination shall become effective only if the Terminating Company Breach is not cured within the Company Cure Period, (ii) the Closing has not occurred on or before August 31, 2022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or (iii) the consummation of the Mergers is permanently enjoined or prohibited by the terms of a final, non-appealable Governmental Order or a statute, rule or regulation; provided, that the right to terminate this Agreement under </w:t>
      </w:r>
      <w:r>
        <w:rPr>
          <w:rFonts w:ascii="Times New Roman" w:cs="Times New Roman" w:eastAsia="Times New Roman" w:hAnsi="Times New Roman"/>
          <w:sz w:val="18"/>
          <w:szCs w:val="18"/>
          <w:u w:val="single" w:color="auto"/>
          <w:color w:val="auto"/>
        </w:rPr>
        <w:t>Section 10.01(b)(ii)</w:t>
      </w:r>
      <w:r>
        <w:rPr>
          <w:rFonts w:ascii="Times New Roman" w:cs="Times New Roman" w:eastAsia="Times New Roman" w:hAnsi="Times New Roman"/>
          <w:sz w:val="18"/>
          <w:szCs w:val="18"/>
          <w:color w:val="auto"/>
        </w:rPr>
        <w:t xml:space="preserve"> shall not be available if Acquiror’s failure to fulfill any obligation under this Agreement has been the primary cause of, or primarily resulted in, the failure of the Closing to occur on or before such date; provided, further, that the right to terminate this Agreement under </w:t>
      </w:r>
      <w:r>
        <w:rPr>
          <w:rFonts w:ascii="Times New Roman" w:cs="Times New Roman" w:eastAsia="Times New Roman" w:hAnsi="Times New Roman"/>
          <w:sz w:val="18"/>
          <w:szCs w:val="18"/>
          <w:u w:val="single" w:color="auto"/>
          <w:color w:val="auto"/>
        </w:rPr>
        <w:t>Section 10.01(b)(ii)</w:t>
      </w:r>
      <w:r>
        <w:rPr>
          <w:rFonts w:ascii="Times New Roman" w:cs="Times New Roman" w:eastAsia="Times New Roman" w:hAnsi="Times New Roman"/>
          <w:sz w:val="18"/>
          <w:szCs w:val="18"/>
          <w:color w:val="auto"/>
        </w:rPr>
        <w:t xml:space="preserve"> shall not be available if Acquiror is in material breach of its obligations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on such date;”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Valid Amendment</w:t>
      </w:r>
      <w:r>
        <w:rPr>
          <w:rFonts w:ascii="Times New Roman" w:cs="Times New Roman" w:eastAsia="Times New Roman" w:hAnsi="Times New Roman"/>
          <w:sz w:val="18"/>
          <w:szCs w:val="18"/>
          <w:color w:val="auto"/>
        </w:rPr>
        <w:t>. This Amendment is made in accordance with Section 11.10 of the Merger Agreement and constitutes an integral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thereof.</w:t>
      </w:r>
    </w:p>
    <w:p>
      <w:pPr>
        <w:spacing w:after="0" w:line="207" w:lineRule="exact"/>
        <w:rPr>
          <w:sz w:val="20"/>
          <w:szCs w:val="20"/>
          <w:color w:val="auto"/>
        </w:rPr>
      </w:pPr>
    </w:p>
    <w:p>
      <w:pPr>
        <w:jc w:val="both"/>
        <w:ind w:firstLine="1304"/>
        <w:spacing w:after="0" w:line="255" w:lineRule="auto"/>
        <w:tabs>
          <w:tab w:leader="none" w:pos="14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Ratification and Entire Agreements</w:t>
      </w:r>
      <w:r>
        <w:rPr>
          <w:rFonts w:ascii="Times New Roman" w:cs="Times New Roman" w:eastAsia="Times New Roman" w:hAnsi="Times New Roman"/>
          <w:sz w:val="18"/>
          <w:szCs w:val="18"/>
          <w:color w:val="auto"/>
        </w:rPr>
        <w:t>. Except as expressly amended and modified herein, the Merger Agreement shall continue in full force and effect, and the parties hereby ratify and confirm the Merger Agreement as hereby amended. All references to the Merger Agreement in any document, instrument, agreement, or writing delivered pursuant to the Merger Agreement (as amended hereby) shall hereafter be deemed to refer to the Merger Agreement as amended hereby. The Merger Agreement (as amended hereby), the Confidentiality Agreement and any other documents, instruments, and agreements among the parties as contemplated by or referenced in the Merger Agreement comprise the complete and exclusive agreement between the parties regarding the subject matter of this Amendment, and supersede all oral and written communications, negotiations, representations or agreements in relation to that subject matter made or entered into before the date 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11.01 (Waiver), 11.02 (Notices), 11.03 (Assignment), 11.04 (Rights of Third Parties), 11.05 (Expenses), 11.06 (Governing Law), 11.07 (Captions; Counterparts), 11.10 (Amendments), 11.11 (Severability), 11.12 (Jurisdiction; WAIVER OF TRIAL BY JURY), 11.13 (Enforcement) and 11.14 (Non-Recourse) of the Merger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Upon the effectiveness of this Amendment, each reference in the Merger Agreement to “this Agreement,” “hereunder,” “herein,” “hereof” or words of like import referring to the Merger Agreement shall mean and refer to the Merger Agreement as amended by this Amendment.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Amendment to be executed and delivered on the date first set forth above.</w:t>
      </w:r>
    </w:p>
    <w:p>
      <w:pPr>
        <w:spacing w:after="0" w:line="23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36"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VENTOUX MERGER SUB I INC.</w:t>
      </w:r>
    </w:p>
    <w:p>
      <w:pPr>
        <w:spacing w:after="0" w:line="229"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36"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VENTOUX MERGER SUB II LLC</w:t>
      </w:r>
    </w:p>
    <w:p>
      <w:pPr>
        <w:spacing w:after="0" w:line="229"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36"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229"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Rajat Suri</w:t>
      </w:r>
    </w:p>
    <w:p>
      <w:pPr>
        <w:spacing w:after="0" w:line="36"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 w:name="page9"/>
    <w:bookmarkEnd w:id="8"/>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MAKER THAT SUCH REGISTRATION IS NOT REQUIRED.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March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$1,150,000</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Ventoux CCM Acquisition Corp., a corporation incorporated under the laws of the State of Delaware (the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 the order of Ventoux Acquisition Holdings LLC or its registered assigns or successors in interest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or order, the principal sum of One Million One Hundred Fifty Thousand Dollars ($1,150,000) in lawful money of the United States of America, on the terms and conditions described below. All payments on this Note shall be made by check or wire transfer of immediately available funds, without setoff or counterclaim, to such account as the Payee may from time to time designate by written notice in accordance with the provisions of this Note.</w:t>
      </w:r>
    </w:p>
    <w:p>
      <w:pPr>
        <w:spacing w:after="0" w:line="179" w:lineRule="exact"/>
        <w:rPr>
          <w:sz w:val="20"/>
          <w:szCs w:val="20"/>
          <w:color w:val="auto"/>
        </w:rPr>
      </w:pPr>
    </w:p>
    <w:p>
      <w:pPr>
        <w:jc w:val="both"/>
        <w:ind w:firstLine="8"/>
        <w:spacing w:after="0" w:line="268"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The principal balance of this Note shall be due and payable by the Maker upon the closing of a Repayment/Conversion Trigger Event,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below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principal and balance may be prepaid at any time prior to the Maturity Date without penalty upon written notice by the Maker to the Payee.</w:t>
      </w:r>
    </w:p>
    <w:p>
      <w:pPr>
        <w:spacing w:after="0" w:line="17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shall constitute a “</w:t>
      </w:r>
      <w:r>
        <w:rPr>
          <w:rFonts w:ascii="Times New Roman" w:cs="Times New Roman" w:eastAsia="Times New Roman" w:hAnsi="Times New Roman"/>
          <w:sz w:val="18"/>
          <w:szCs w:val="18"/>
          <w:b w:val="1"/>
          <w:bCs w:val="1"/>
          <w:color w:val="auto"/>
        </w:rPr>
        <w:t>Repayment/Conversion Trigger Event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pursuant to which the Maker acquires an entity for its initial business combination (a “</w:t>
      </w:r>
      <w:r>
        <w:rPr>
          <w:rFonts w:ascii="Times New Roman" w:cs="Times New Roman" w:eastAsia="Times New Roman" w:hAnsi="Times New Roman"/>
          <w:sz w:val="18"/>
          <w:szCs w:val="18"/>
          <w:b w:val="1"/>
          <w:bCs w:val="1"/>
          <w:i w:val="1"/>
          <w:iCs w:val="1"/>
          <w:color w:val="auto"/>
        </w:rPr>
        <w:t>DeSPAC Transaction</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1620" w:hanging="316"/>
        <w:spacing w:after="0" w:line="286" w:lineRule="auto"/>
        <w:tabs>
          <w:tab w:leader="none" w:pos="16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Maker (a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that occurs while the Note is outstanding or any time thereafter prior to the repayment of the Note.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Maker shall provide Payee at least 10 days’ prior notice of any Repayment/Conversion Trigger Event and to the extent applicable a copy of the material terms of the DeSPAC Transaction. Under no circumstances shall any individual, including but not limited to any officer, director, employee or shareholder of the Maker, be obligated personally for any obligations or liabilities of the Maker hereunder.</w:t>
      </w:r>
    </w:p>
    <w:p>
      <w:pPr>
        <w:spacing w:after="0" w:line="172" w:lineRule="exact"/>
        <w:rPr>
          <w:sz w:val="20"/>
          <w:szCs w:val="20"/>
          <w:color w:val="auto"/>
        </w:rPr>
      </w:pPr>
    </w:p>
    <w:p>
      <w:pPr>
        <w:ind w:firstLine="656"/>
        <w:spacing w:after="0" w:line="286" w:lineRule="auto"/>
        <w:tabs>
          <w:tab w:leader="none" w:pos="93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of Repayment. </w:t>
      </w:r>
      <w:r>
        <w:rPr>
          <w:rFonts w:ascii="Times New Roman" w:cs="Times New Roman" w:eastAsia="Times New Roman" w:hAnsi="Times New Roman"/>
          <w:sz w:val="18"/>
          <w:szCs w:val="18"/>
          <w:color w:val="auto"/>
        </w:rPr>
        <w:t>All amounts due under this Note shall be repaid in cash no later than two days following closing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This Note shall bear no interest.</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of Payments. </w:t>
      </w:r>
      <w:r>
        <w:rPr>
          <w:rFonts w:ascii="Times New Roman" w:cs="Times New Roman" w:eastAsia="Times New Roman" w:hAnsi="Times New Roman"/>
          <w:sz w:val="18"/>
          <w:szCs w:val="18"/>
          <w:color w:val="auto"/>
        </w:rPr>
        <w:t>All payments shall be applied first to payment in full of any costs incurred in the collection of any sum due under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attorneys’ fees, then to the payment in full of any late charges, and finally to the reduction of the unpaid principal balance of this Note.</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19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On the date of this Note, the Payee shall remit the full principal amount to the Maker in accordance with the wiring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here 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Maker hereby represents, warrants and covenants to the Payee, that the entire principal amount will be used by the Maker solely for purposes of making a payment pursuant to the Investment Management Trust Agreement dated December 23, 2020 by and between Maker and Continental Stock Transfer &amp; Trust Company, a New York limited liability trust company, for an Extension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following shall constitute 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Maker to pay any principal amount pursuant to this Note within five (5) business days of the Maturity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Use of Proceeds</w:t>
      </w:r>
      <w:r>
        <w:rPr>
          <w:rFonts w:ascii="Times New Roman" w:cs="Times New Roman" w:eastAsia="Times New Roman" w:hAnsi="Times New Roman"/>
          <w:sz w:val="18"/>
          <w:szCs w:val="18"/>
          <w:color w:val="auto"/>
        </w:rPr>
        <w:t>. Failure by Maker to comply with the provisions of Section 4 of this Note.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 5(a) or Section 5(b)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Sections 5(c) and 5(d), the unpaid principal balance of this Note, and all other sums payable with regard to this Note, shall automatically and immediately become due and payable, in all cases without any action on the part of Payee.</w:t>
      </w:r>
    </w:p>
    <w:p>
      <w:pPr>
        <w:spacing w:after="0" w:line="157" w:lineRule="exact"/>
        <w:rPr>
          <w:rFonts w:ascii="Times New Roman" w:cs="Times New Roman" w:eastAsia="Times New Roman" w:hAnsi="Times New Roman"/>
          <w:sz w:val="18"/>
          <w:szCs w:val="18"/>
          <w:color w:val="auto"/>
        </w:rPr>
      </w:pPr>
    </w:p>
    <w:p>
      <w:pPr>
        <w:ind w:firstLine="8"/>
        <w:spacing w:after="0" w:line="286"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Costs</w:t>
      </w:r>
      <w:r>
        <w:rPr>
          <w:rFonts w:ascii="Times New Roman" w:cs="Times New Roman" w:eastAsia="Times New Roman" w:hAnsi="Times New Roman"/>
          <w:sz w:val="18"/>
          <w:szCs w:val="18"/>
          <w:color w:val="auto"/>
        </w:rPr>
        <w:t>. In case any principal of this Note is not paid when due Maker shall be liable for all costs of enforcement and collection of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by the Payee and any other Holders, including but not limited to reasonable attorneys’ fees and expenses.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Maker and all endorsers and guarantors of, and sureties for, this Note waive presentment for payment, demand, notice of dishonor, protest,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Unconditional Liability. </w:t>
      </w:r>
      <w:r>
        <w:rPr>
          <w:rFonts w:ascii="Times New Roman" w:cs="Times New Roman" w:eastAsia="Times New Roman" w:hAnsi="Times New Roman"/>
          <w:sz w:val="18"/>
          <w:szCs w:val="18"/>
          <w:color w:val="auto"/>
        </w:rPr>
        <w:t>Maker hereby waives all notices in connection with the delivery, acceptance, performance, default, or enforcement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 Any failure of the Payee to exercise any right hereunder shall not be construed as a waiver of the right to exercise the same or any other right at any time and from time to time thereafter. The Payee may accept late payments, or partial payments, even though marked “payment in full” or containing words of similar import or other conditions, without waiving any of its rights.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8"/>
        <w:spacing w:after="0" w:line="254" w:lineRule="auto"/>
        <w:tabs>
          <w:tab w:leader="none" w:pos="29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statements or other documents which are required or contemplated by this Note shall be made in writing and delivered: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 As of the date of this Note, the following addresses are designated for notices: Maker: 1 East Putnam Avenue, Floor 4, Greenwich, CT 06830, Attn: Edward Scheetz, email: ed@ventouxccm.com; Payee: 1 East Putnam Avenue, Floor 4, Greenwich, CT 06830, Attn: Edward Scheetz, email: ed@ventouxccm.com.</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32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Governing Law; Venue; Waiver Of Jury Trial; Etc. </w:t>
      </w:r>
      <w:r>
        <w:rPr>
          <w:rFonts w:ascii="Times New Roman" w:cs="Times New Roman" w:eastAsia="Times New Roman" w:hAnsi="Times New Roman"/>
          <w:sz w:val="18"/>
          <w:szCs w:val="18"/>
          <w:color w:val="auto"/>
        </w:rPr>
        <w:t>THIS NOTE SHALL BE CONSTRUED AND ENFORCED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LAWS OF THE STATE OF NEW YORK, WITHOUT REGARD TO CONFLICT OF LAW PROVISIONS THEREOF. MAKER </w:t>
      </w:r>
      <w:r>
        <w:rPr>
          <w:rFonts w:ascii="Times New Roman" w:cs="Times New Roman" w:eastAsia="Times New Roman" w:hAnsi="Times New Roman"/>
          <w:sz w:val="18"/>
          <w:szCs w:val="18"/>
          <w:b w:val="1"/>
          <w:bCs w:val="1"/>
          <w:color w:val="auto"/>
        </w:rPr>
        <w:t>HEREBY IRREVOCABLY AND UNCONDITIONALLY SUBMITS, FOR ITSELF AND ITS PROPERTY, TO THE NONEXCLUSIVE</w:t>
      </w:r>
    </w:p>
    <w:p>
      <w:pPr>
        <w:jc w:val="both"/>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JURISDICTION OF THE SUPREME COURT OF THE STATE OF NEW YORK SITTING IN NEW YORK COUNTY AND OF THE UNITED STATES DISTRICT COURT OF THE SOUTHERN DISTRICT OF NEW YORK, AND ANY APPELLATE COURT FROM ANY THEREOF, IN ANY ACTION OR PROCEEDING ARISING OUT OF OR RELATING TO THIS NOTE,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NOTE SHALL AFFECT ANY RIGHT THAT THE PAYEE OR ANY OTHER HOLDER MAY OTHERWISE HAVE TO BRING ANY ACTION OR PROCEEDING RELATING TO THIS NOTE AGAINST THE MAKER OR ITS PROPERTIES IN THE COURTS OF ANY OTHER JURISDICTION. THE MAKER WAIVES PERSONAL SERVICE OF ANY AND ALL PROCESS UPON IT AND CONSENTS THAT ALL SUCH SERVICE OF PROCESS BE MADE BY REGISTERED MAIL DIRECTED TO THE MAKER AT ITS ADDRESS SET FORTH IN SECTION 10 OR TO ANY OTHER ADDRESS AS MAY APPEAR IN THE PAYEE’S OR SUCH OTHER HOLDER’S RECORDS AS THE ADDRESS OF THE MAKER. IN ANY ACTION, SUIT OR PROCEEDING IN RESPECT OF OR ARISING OUT OF THIS NOTE, THE PAYEE AND THE MAKER WAIVE TRIAL BY JURY, AND EACH OF MAKER AND PAYEE WAIVES (I) THE RIGHT TO INTERPOSE ANY SET-OFF OR COUNTERCLAIM OF ANY NATURE OR DESCRIPTION, (II) ANY OBJECTION BASED ON FORUM NON CONVENIENS OR VENUE, AND (III) ANY CLAIM FOR CONSEQUENTIAL, PUNITIVE OR SPECIAL DAMAGES.</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Any provision contained in this Note which is prohibited or unenforceable in any jurisdiction shall, as to such jurisdiction, be ineffective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8"/>
        <w:spacing w:after="0" w:line="254" w:lineRule="auto"/>
        <w:tabs>
          <w:tab w:leader="none" w:pos="27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Waiver</w:t>
      </w:r>
      <w:r>
        <w:rPr>
          <w:rFonts w:ascii="Times New Roman" w:cs="Times New Roman" w:eastAsia="Times New Roman" w:hAnsi="Times New Roman"/>
          <w:sz w:val="18"/>
          <w:szCs w:val="18"/>
          <w:color w:val="auto"/>
        </w:rPr>
        <w:t>. Notwithstanding anything herein to the contrary, but subject to the following sentence of this Section 13, the Payee hereby waives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or from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in which the proceeds of the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conducted by the Maker (including the deferred underwriters’ discounts and commissions) and the proceeds of the sale of the warrants issued in a private placement that occurred prior to the closing of the IPO were deposited, as described in greater detail in Maker’s Registration Statement on Form S-1 (333- 251048) filed with the Securities and Exchange Commission in connection with the IPO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hereby agrees not to seek recourse, reimbursement, payment or satisfaction for any Claim against the Trust Account for any reason whatsoever. Notwithstanding the foregoing, the Payee does not waive any Claims and does not waive its rights to seek recourse, reimbursement, payment or satisfaction for any Claim against the Trust Account for distributions of remaining funds released to the Maker from the Trust Account following redemptions or other distributions to the Maker’s public shareholders.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Amendment; Waiver</w:t>
      </w:r>
      <w:r>
        <w:rPr>
          <w:rFonts w:ascii="Times New Roman" w:cs="Times New Roman" w:eastAsia="Times New Roman" w:hAnsi="Times New Roman"/>
          <w:sz w:val="18"/>
          <w:szCs w:val="18"/>
          <w:color w:val="auto"/>
        </w:rPr>
        <w:t>. Any amendment hereto or waiver of any provision hereof may be made with, and only with, the written consent of the Maker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Payee.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Assignment</w:t>
      </w:r>
      <w:r>
        <w:rPr>
          <w:rFonts w:ascii="Times New Roman" w:cs="Times New Roman" w:eastAsia="Times New Roman" w:hAnsi="Times New Roman"/>
          <w:sz w:val="18"/>
          <w:szCs w:val="18"/>
          <w:color w:val="auto"/>
        </w:rPr>
        <w:t>. This Note binds and is for the benefit of the successors and permitted assigns of the Maker and the Payee. No assignment or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or any rights or obligations hereunder may be made by any party hereto (by operation of law or otherwise) without the prior written consent of the other party hereto and any attempted assignment without the required consent shall be void; provided, that upon the announcement of a DeSPAC Transaction or occurrence and during the continuation of an Event of Default, Payee shall have the right to assign this Note in its discretion without the consent of Maker.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Maker, intending to be legally bound hereby, has caused this Note to be duly executed by the undersigned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Continental Stock Transfer &amp; Trust Company as Trustee for </w:t>
      </w:r>
      <w:r>
        <w:rPr>
          <w:rFonts w:ascii="Times New Roman" w:cs="Times New Roman" w:eastAsia="Times New Roman" w:hAnsi="Times New Roman"/>
          <w:sz w:val="18"/>
          <w:szCs w:val="18"/>
          <w:b w:val="1"/>
          <w:bCs w:val="1"/>
          <w:color w:val="auto"/>
        </w:rPr>
        <w:t>Ventoux CCM Acquisition Corp.</w:t>
      </w:r>
    </w:p>
    <w:p>
      <w:pPr>
        <w:spacing w:after="0" w:line="20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Short Name:</w:t>
      </w:r>
      <w:r>
        <w:rPr>
          <w:sz w:val="20"/>
          <w:szCs w:val="20"/>
          <w:color w:val="auto"/>
        </w:rPr>
        <w:tab/>
      </w:r>
      <w:r>
        <w:rPr>
          <w:rFonts w:ascii="Times New Roman" w:cs="Times New Roman" w:eastAsia="Times New Roman" w:hAnsi="Times New Roman"/>
          <w:sz w:val="17"/>
          <w:szCs w:val="17"/>
          <w:b w:val="1"/>
          <w:bCs w:val="1"/>
          <w:color w:val="auto"/>
        </w:rPr>
        <w:t>CST&amp;T ATF Ventoux CCM Acquisition Corp.</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678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 York, NY 10004</w:t>
            </w:r>
          </w:p>
        </w:tc>
        <w:tc>
          <w:tcPr>
            <w:tcW w:w="6780" w:type="dxa"/>
            <w:vAlign w:val="bottom"/>
          </w:tcPr>
          <w:p>
            <w:pPr>
              <w:spacing w:after="0"/>
              <w:rPr>
                <w:sz w:val="20"/>
                <w:szCs w:val="20"/>
                <w:color w:val="auto"/>
              </w:rPr>
            </w:pPr>
          </w:p>
        </w:tc>
      </w:tr>
      <w:tr>
        <w:trPr>
          <w:trHeight w:val="41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358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6780" w:type="dxa"/>
            <w:vAlign w:val="bottom"/>
          </w:tcPr>
          <w:p>
            <w:pPr>
              <w:spacing w:after="0"/>
              <w:rPr>
                <w:sz w:val="18"/>
                <w:szCs w:val="18"/>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NYP, Floor 15</w:t>
            </w:r>
          </w:p>
        </w:tc>
        <w:tc>
          <w:tcPr>
            <w:tcW w:w="6780" w:type="dxa"/>
            <w:vAlign w:val="bottom"/>
          </w:tcPr>
          <w:p>
            <w:pPr>
              <w:spacing w:after="0"/>
              <w:rPr>
                <w:sz w:val="18"/>
                <w:szCs w:val="18"/>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 NY 10004</w:t>
            </w:r>
          </w:p>
        </w:tc>
        <w:tc>
          <w:tcPr>
            <w:tcW w:w="678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ACCOUNT #</w:t>
            </w:r>
          </w:p>
        </w:tc>
        <w:tc>
          <w:tcPr>
            <w:tcW w:w="6780" w:type="dxa"/>
            <w:vAlign w:val="bottom"/>
          </w:tcPr>
          <w:p>
            <w:pPr>
              <w:spacing w:after="0"/>
              <w:rPr>
                <w:sz w:val="24"/>
                <w:szCs w:val="24"/>
                <w:color w:val="auto"/>
              </w:rPr>
            </w:pPr>
          </w:p>
        </w:tc>
      </w:tr>
      <w:tr>
        <w:trPr>
          <w:trHeight w:val="203"/>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000000"/>
          </w:tcPr>
          <w:p>
            <w:pPr>
              <w:spacing w:after="0"/>
              <w:rPr>
                <w:sz w:val="17"/>
                <w:szCs w:val="17"/>
                <w:color w:val="auto"/>
              </w:rPr>
            </w:pPr>
          </w:p>
        </w:tc>
        <w:tc>
          <w:tcPr>
            <w:tcW w:w="3580" w:type="dxa"/>
            <w:vAlign w:val="bottom"/>
          </w:tcPr>
          <w:p>
            <w:pPr>
              <w:jc w:val="right"/>
              <w:ind w:right="3434"/>
              <w:spacing w:after="0"/>
              <w:rPr>
                <w:sz w:val="20"/>
                <w:szCs w:val="20"/>
                <w:color w:val="auto"/>
              </w:rPr>
            </w:pPr>
            <w:r>
              <w:rPr>
                <w:rFonts w:ascii="Times New Roman" w:cs="Times New Roman" w:eastAsia="Times New Roman" w:hAnsi="Times New Roman"/>
                <w:sz w:val="16"/>
                <w:szCs w:val="16"/>
                <w:color w:val="auto"/>
                <w:w w:val="74"/>
              </w:rPr>
              <w:t>]</w:t>
            </w:r>
          </w:p>
        </w:tc>
        <w:tc>
          <w:tcPr>
            <w:tcW w:w="6780" w:type="dxa"/>
            <w:vAlign w:val="bottom"/>
          </w:tcPr>
          <w:p>
            <w:pPr>
              <w:spacing w:after="0"/>
              <w:rPr>
                <w:sz w:val="17"/>
                <w:szCs w:val="17"/>
                <w:color w:val="auto"/>
              </w:rPr>
            </w:pPr>
          </w:p>
        </w:tc>
      </w:tr>
      <w:tr>
        <w:trPr>
          <w:trHeight w:val="42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ABA #</w:t>
            </w:r>
          </w:p>
        </w:tc>
        <w:tc>
          <w:tcPr>
            <w:tcW w:w="358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021000021</w:t>
            </w:r>
          </w:p>
        </w:tc>
        <w:tc>
          <w:tcPr>
            <w:tcW w:w="358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1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SWIFT CODE</w:t>
            </w:r>
          </w:p>
        </w:tc>
        <w:tc>
          <w:tcPr>
            <w:tcW w:w="6780" w:type="dxa"/>
            <w:vAlign w:val="bottom"/>
          </w:tcPr>
          <w:p>
            <w:pPr>
              <w:spacing w:after="0"/>
              <w:rPr>
                <w:sz w:val="24"/>
                <w:szCs w:val="24"/>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CHASUS33</w:t>
            </w:r>
          </w:p>
        </w:tc>
        <w:tc>
          <w:tcPr>
            <w:tcW w:w="6780" w:type="dxa"/>
            <w:vAlign w:val="bottom"/>
          </w:tcPr>
          <w:p>
            <w:pPr>
              <w:spacing w:after="0"/>
              <w:rPr>
                <w:sz w:val="20"/>
                <w:szCs w:val="20"/>
                <w:color w:val="auto"/>
              </w:rPr>
            </w:pPr>
          </w:p>
        </w:tc>
      </w:tr>
      <w:tr>
        <w:trPr>
          <w:trHeight w:val="41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358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Celeste Gonzalez</w:t>
            </w:r>
          </w:p>
        </w:tc>
        <w:tc>
          <w:tcPr>
            <w:tcW w:w="678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PRIMARY CONTACT:</w:t>
            </w: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SECONDARY CONTACT:</w:t>
            </w:r>
          </w:p>
        </w:tc>
      </w:tr>
      <w:tr>
        <w:trPr>
          <w:trHeight w:val="41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Celeste Gonzalez</w:t>
            </w: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Patrick Small</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 &amp; Escrow Administrator</w:t>
            </w: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SPAC &amp; Escrow Administrator</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Agency &amp; Escrow Services</w:t>
            </w: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Agency &amp; Escrow Services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State Street, 30th Floor</w:t>
            </w: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 State Street, 30th Floor</w:t>
            </w:r>
          </w:p>
        </w:tc>
      </w:tr>
      <w:tr>
        <w:trPr>
          <w:trHeight w:val="216"/>
        </w:trPr>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216"/>
        </w:trPr>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0: (212) 845-5284</w:t>
            </w:r>
          </w:p>
        </w:tc>
      </w:tr>
      <w:tr>
        <w:trPr>
          <w:trHeight w:val="216"/>
        </w:trPr>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 (212) 558-6718</w:t>
            </w:r>
          </w:p>
        </w:tc>
      </w:t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 psmall@continentalstock.com</w:t>
            </w:r>
          </w:p>
        </w:tc>
      </w:tr>
      <w:tr>
        <w:trPr>
          <w:trHeight w:val="655"/>
        </w:trPr>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MAKER THAT SUCH REGISTRATION IS NOT REQUIRED.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March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$575,000</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Ventoux CCM Acquisition Corp., a corporation incorporated under the laws of the State of Delaware (the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 the order of Chardan International Investments, LLC or its registered assigns or successors in interest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or order, the principal sum of Five Hundred Seventy-Five Thousand Dollars ($575,000) in lawful money of the United States of America, on the terms and conditions described below. All payments on this Note shall be made by check or wire transfer of immediately available funds, without setoff or counterclaim, to such account as the Payee may from time to time designate by written notice in accordance with the provisions of this Note.</w:t>
      </w:r>
    </w:p>
    <w:p>
      <w:pPr>
        <w:spacing w:after="0" w:line="179" w:lineRule="exact"/>
        <w:rPr>
          <w:sz w:val="20"/>
          <w:szCs w:val="20"/>
          <w:color w:val="auto"/>
        </w:rPr>
      </w:pPr>
    </w:p>
    <w:p>
      <w:pPr>
        <w:jc w:val="both"/>
        <w:ind w:firstLine="8"/>
        <w:spacing w:after="0" w:line="268" w:lineRule="auto"/>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The principal balance of this Note shall be due and payable by the Maker upon the closing of a Repayment/Conversion Trigger Event,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below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principal and balance may be prepaid at any time prior to the Maturity Date without penalty upon written notice by the Maker to the Payee.</w:t>
      </w:r>
    </w:p>
    <w:p>
      <w:pPr>
        <w:spacing w:after="0" w:line="170"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shall constitute a “</w:t>
      </w:r>
      <w:r>
        <w:rPr>
          <w:rFonts w:ascii="Times New Roman" w:cs="Times New Roman" w:eastAsia="Times New Roman" w:hAnsi="Times New Roman"/>
          <w:sz w:val="18"/>
          <w:szCs w:val="18"/>
          <w:b w:val="1"/>
          <w:bCs w:val="1"/>
          <w:color w:val="auto"/>
        </w:rPr>
        <w:t>Repayment/Conversion Trigger Event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pursuant to which the Maker acquires an entity for its initial business combination (a “</w:t>
      </w:r>
      <w:r>
        <w:rPr>
          <w:rFonts w:ascii="Times New Roman" w:cs="Times New Roman" w:eastAsia="Times New Roman" w:hAnsi="Times New Roman"/>
          <w:sz w:val="18"/>
          <w:szCs w:val="18"/>
          <w:b w:val="1"/>
          <w:bCs w:val="1"/>
          <w:i w:val="1"/>
          <w:iCs w:val="1"/>
          <w:color w:val="auto"/>
        </w:rPr>
        <w:t>DeSPAC Transaction</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1620" w:hanging="316"/>
        <w:spacing w:after="0" w:line="286" w:lineRule="auto"/>
        <w:tabs>
          <w:tab w:leader="none" w:pos="16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Maker (a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that occurs while the Note is outstanding or any time thereafter prior to the repayment of the Note.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Maker shall provide Payee at least 10 days’ prior notice of any Repayment/Conversion Trigger Event and to the extent applicable a copy of the material terms of the DeSPAC Transaction. Under no circumstances shall any individual, including but not limited to any officer, director, employee or shareholder of the Maker, be obligated personally for any obligations or liabilities of the Maker hereunder.</w:t>
      </w:r>
    </w:p>
    <w:p>
      <w:pPr>
        <w:spacing w:after="0" w:line="172" w:lineRule="exact"/>
        <w:rPr>
          <w:sz w:val="20"/>
          <w:szCs w:val="20"/>
          <w:color w:val="auto"/>
        </w:rPr>
      </w:pPr>
    </w:p>
    <w:p>
      <w:pPr>
        <w:ind w:firstLine="656"/>
        <w:spacing w:after="0" w:line="286" w:lineRule="auto"/>
        <w:tabs>
          <w:tab w:leader="none" w:pos="9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of Repayment. </w:t>
      </w:r>
      <w:r>
        <w:rPr>
          <w:rFonts w:ascii="Times New Roman" w:cs="Times New Roman" w:eastAsia="Times New Roman" w:hAnsi="Times New Roman"/>
          <w:sz w:val="18"/>
          <w:szCs w:val="18"/>
          <w:color w:val="auto"/>
        </w:rPr>
        <w:t>All amounts due under this Note shall be repaid in cash no later than two days following closing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This Note shall bear no interest.</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of Payments. </w:t>
      </w:r>
      <w:r>
        <w:rPr>
          <w:rFonts w:ascii="Times New Roman" w:cs="Times New Roman" w:eastAsia="Times New Roman" w:hAnsi="Times New Roman"/>
          <w:sz w:val="18"/>
          <w:szCs w:val="18"/>
          <w:color w:val="auto"/>
        </w:rPr>
        <w:t>All payments shall be applied first to payment in full of any costs incurred in the collection of any sum due under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attorneys’ fees, then to the payment in full of any late charges, and finally to the reduction of the unpaid principal balance of this Note.</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19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On the date of this Note, the Payee shall remit the full principal amount to the Maker in accordance with the wiring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here 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Maker hereby represents, warrants and covenants to the Payee, that the entire principal amount will be used by the Maker solely for purposes of making a payment pursuant to the Investment Management Trust Agreement dated December 23, 2020 by and between Maker and Continental Stock Transfer &amp; Trust Company, a New York limited liability trust company, for an Extension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following shall constitute 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Maker to pay any principal amount due pursuant to this Note within five (5) business days of the Maturity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Use of Proceeds</w:t>
      </w:r>
      <w:r>
        <w:rPr>
          <w:rFonts w:ascii="Times New Roman" w:cs="Times New Roman" w:eastAsia="Times New Roman" w:hAnsi="Times New Roman"/>
          <w:sz w:val="18"/>
          <w:szCs w:val="18"/>
          <w:color w:val="auto"/>
        </w:rPr>
        <w:t>. Failure by Maker to comply with the provisions of Section 4 of this Note.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 5(a) or Section 5(b)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Sections 5(c) and 5(d), the unpaid principal balance of this Note, and all other sums payable with regard to this Note, shall automatically and immediately become due and payable, in all cases without any action on the part of Payee.</w:t>
      </w:r>
    </w:p>
    <w:p>
      <w:pPr>
        <w:spacing w:after="0" w:line="157" w:lineRule="exact"/>
        <w:rPr>
          <w:rFonts w:ascii="Times New Roman" w:cs="Times New Roman" w:eastAsia="Times New Roman" w:hAnsi="Times New Roman"/>
          <w:sz w:val="18"/>
          <w:szCs w:val="18"/>
          <w:color w:val="auto"/>
        </w:rPr>
      </w:pPr>
    </w:p>
    <w:p>
      <w:pPr>
        <w:ind w:firstLine="8"/>
        <w:spacing w:after="0" w:line="286" w:lineRule="auto"/>
        <w:tabs>
          <w:tab w:leader="none" w:pos="19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Costs</w:t>
      </w:r>
      <w:r>
        <w:rPr>
          <w:rFonts w:ascii="Times New Roman" w:cs="Times New Roman" w:eastAsia="Times New Roman" w:hAnsi="Times New Roman"/>
          <w:sz w:val="18"/>
          <w:szCs w:val="18"/>
          <w:color w:val="auto"/>
        </w:rPr>
        <w:t>. In case any principal of this Note is not paid when due, Maker shall be liable for all costs of enforcement and collection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incurred by the Payee and any other Holders, including but not limited to reasonable attorneys’ fees and expenses.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Maker and all endorsers and guarantors of, and sureties for, this Note waive presentment for payment, demand, notice of dishonor, protest,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Unconditional Liability. </w:t>
      </w:r>
      <w:r>
        <w:rPr>
          <w:rFonts w:ascii="Times New Roman" w:cs="Times New Roman" w:eastAsia="Times New Roman" w:hAnsi="Times New Roman"/>
          <w:sz w:val="18"/>
          <w:szCs w:val="18"/>
          <w:color w:val="auto"/>
        </w:rPr>
        <w:t>Maker hereby waives all notices in connection with the delivery, acceptance, performance, default, or enforcement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 Any failure of the Payee to exercise any right hereunder shall not be construed as a waiver of the right to exercise the same or any other right at any time and from time to time thereafter. The Payee may accept late payments, or partial payments, even though marked “payment in full” or containing words of similar import or other conditions, without waiving any of its rights.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8"/>
        <w:spacing w:after="0" w:line="254" w:lineRule="auto"/>
        <w:tabs>
          <w:tab w:leader="none" w:pos="29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statements or other documents which are required or contemplated by this Note shall be made in writing and delivered: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 As of the date of this Note, the following addresses are designated for notices: Maker: 1 East Putnam Avenue, Floor 4, Greenwich, CT 06830, Attn: Edward Scheetz, email: ed@ventouxccm.com; Payee: 1 East Putnam Avenue, Floor 4, Greenwich, CT 06830, Attn: Jonas Grossman, email: jgrossman@chardan.com.</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32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Governing Law; Venue; Waiver Of Jury Trial; Etc. </w:t>
      </w:r>
      <w:r>
        <w:rPr>
          <w:rFonts w:ascii="Times New Roman" w:cs="Times New Roman" w:eastAsia="Times New Roman" w:hAnsi="Times New Roman"/>
          <w:sz w:val="18"/>
          <w:szCs w:val="18"/>
          <w:color w:val="auto"/>
        </w:rPr>
        <w:t>THIS NOTE SHALL BE CONSTRUED AND ENFORCED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LAWS OF THE STATE OF NEW YORK, WITHOUT REGARD TO CONFLICT OF LAW PROVISIONS THEREOF. MAKER </w:t>
      </w:r>
      <w:r>
        <w:rPr>
          <w:rFonts w:ascii="Times New Roman" w:cs="Times New Roman" w:eastAsia="Times New Roman" w:hAnsi="Times New Roman"/>
          <w:sz w:val="18"/>
          <w:szCs w:val="18"/>
          <w:b w:val="1"/>
          <w:bCs w:val="1"/>
          <w:color w:val="auto"/>
        </w:rPr>
        <w:t>HEREBY IRREVOCABLY AND UNCONDITIONALLY SUBMITS, FOR ITSELF AND ITS PROPERTY, TO THE NONEXCLUSIVE</w:t>
      </w:r>
    </w:p>
    <w:p>
      <w:pPr>
        <w:jc w:val="both"/>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JURISDICTION OF THE SUPREME COURT OF THE STATE OF NEW YORK SITTING IN NEW YORK COUNTY AND OF THE UNITED STATES DISTRICT COURT OF THE SOUTHERN DISTRICT OF NEW YORK, AND ANY APPELLATE COURT FROM ANY THEREOF, IN ANY ACTION OR PROCEEDING ARISING OUT OF OR RELATING TO THIS NOTE,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NOTE SHALL AFFECT ANY RIGHT THAT THE PAYEE OR ANY OTHER HOLDER MAY OTHERWISE HAVE TO BRING ANY ACTION OR PROCEEDING RELATING TO THIS NOTE AGAINST THE MAKER OR ITS PROPERTIES IN THE COURTS OF ANY OTHER JURISDICTION. THE MAKER WAIVES PERSONAL SERVICE OF ANY AND ALL PROCESS UPON IT AND CONSENTS THAT ALL SUCH SERVICE OF PROCESS BE MADE BY REGISTERED MAIL DIRECTED TO THE MAKER AT ITS ADDRESS SET FORTH IN SECTION 10 OR TO ANY OTHER ADDRESS AS MAY APPEAR IN THE PAYEE’S OR SUCH OTHER HOLDER’S RECORDS AS THE ADDRESS OF THE MAKER. IN ANY ACTION, SUIT OR PROCEEDING IN RESPECT OF OR ARISING OUT OF THIS NOTE, THE PAYEE AND THE MAKER WAIVE TRIAL BY JURY, AND EACH OF MAKER AND PAYEE WAIVES (I) THE RIGHT TO INTERPOSE ANY SET-OFF OR COUNTERCLAIM OF ANY NATURE OR DESCRIPTION, (II) ANY OBJECTION BASED ON FORUM NON CONVENIENS OR VENUE, AND (III) ANY CLAIM FOR CONSEQUENTIAL, PUNITIVE OR SPECIAL DAMAGES.</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Any provision contained in this Note which is prohibited or unenforceable in any jurisdiction shall, as to such jurisdiction, be ineffective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8"/>
        <w:spacing w:after="0" w:line="254" w:lineRule="auto"/>
        <w:tabs>
          <w:tab w:leader="none" w:pos="27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Waiver</w:t>
      </w:r>
      <w:r>
        <w:rPr>
          <w:rFonts w:ascii="Times New Roman" w:cs="Times New Roman" w:eastAsia="Times New Roman" w:hAnsi="Times New Roman"/>
          <w:sz w:val="18"/>
          <w:szCs w:val="18"/>
          <w:color w:val="auto"/>
        </w:rPr>
        <w:t>. Notwithstanding anything herein to the contrary, but subject to the following sentence of this Section 13, the Payee hereby waives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or from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in which the proceeds of the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conducted by the Maker (including the deferred underwriters’ discounts and commissions) and the proceeds of the sale of the warrants issued in a private placement that occurred prior to the closing of the IPO were deposited, as described in greater detail in Maker’s Registration Statement on Form S-1 (333- 251048) filed with the Securities and Exchange Commission in connection with the IPO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hereby agrees not to seek recourse, reimbursement, payment or satisfaction for any Claim against the Trust Account for any reason whatsoever. Notwithstanding the foregoing, the Payee does not waive any Claims and does not waive its rights to seek recourse, reimbursement, payment or satisfaction for any Claim against the Trust Account for distributions of remaining funds released to the Maker from the Trust Account following redemptions or other distributions to the Maker’s public shareholders.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Amendment; Waiver</w:t>
      </w:r>
      <w:r>
        <w:rPr>
          <w:rFonts w:ascii="Times New Roman" w:cs="Times New Roman" w:eastAsia="Times New Roman" w:hAnsi="Times New Roman"/>
          <w:sz w:val="18"/>
          <w:szCs w:val="18"/>
          <w:color w:val="auto"/>
        </w:rPr>
        <w:t>. Any amendment hereto or waiver of any provision hereof may be made with, and only with, the written consent of the Maker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Payee.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Assignment</w:t>
      </w:r>
      <w:r>
        <w:rPr>
          <w:rFonts w:ascii="Times New Roman" w:cs="Times New Roman" w:eastAsia="Times New Roman" w:hAnsi="Times New Roman"/>
          <w:sz w:val="18"/>
          <w:szCs w:val="18"/>
          <w:color w:val="auto"/>
        </w:rPr>
        <w:t>. This Note binds and is for the benefit of the successors and permitted assigns of the Maker and the Payee. No assignment or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or any rights or obligations hereunder may be made by any party hereto (by operation of law or otherwise) without the prior written consent of the other party hereto and any attempted assignment without the required consent shall be void; provided, that upon the announcement of a DeSPAC Transaction or occurrence and during the continuation of an Event of Default, Payee shall have the right to assign this Note in its discretion without the consent of Maker.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Maker, intending to be legally bound hereby, has caused this Note to be duly executed by the undersigned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5203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 w:name="page20"/>
    <w:bookmarkEnd w:id="19"/>
    <w:p>
      <w:pPr>
        <w:jc w:val="center"/>
        <w:ind w:right="-1100"/>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ACCOUNT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Continental Stock Transfer &amp; Trust Company as Trustee for </w:t>
      </w:r>
      <w:r>
        <w:rPr>
          <w:rFonts w:ascii="Times New Roman" w:cs="Times New Roman" w:eastAsia="Times New Roman" w:hAnsi="Times New Roman"/>
          <w:sz w:val="18"/>
          <w:szCs w:val="18"/>
          <w:b w:val="1"/>
          <w:bCs w:val="1"/>
          <w:color w:val="auto"/>
        </w:rPr>
        <w:t>Ventoux CCM Acquisition Corp.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Name:</w:t>
            </w: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CST&amp;T ATF Ventoux CCM Acquisition Corp.</w:t>
            </w:r>
          </w:p>
        </w:tc>
        <w:tc>
          <w:tcPr>
            <w:tcW w:w="3640" w:type="dxa"/>
            <w:vAlign w:val="bottom"/>
          </w:tcPr>
          <w:p>
            <w:pPr>
              <w:spacing w:after="0"/>
              <w:rPr>
                <w:sz w:val="20"/>
                <w:szCs w:val="20"/>
                <w:color w:val="auto"/>
              </w:rPr>
            </w:pPr>
          </w:p>
        </w:tc>
      </w:tr>
      <w:tr>
        <w:trPr>
          <w:trHeight w:val="45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364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 NY 10004</w:t>
            </w:r>
          </w:p>
        </w:tc>
        <w:tc>
          <w:tcPr>
            <w:tcW w:w="3640" w:type="dxa"/>
            <w:vAlign w:val="bottom"/>
          </w:tcPr>
          <w:p>
            <w:pPr>
              <w:spacing w:after="0"/>
              <w:rPr>
                <w:sz w:val="20"/>
                <w:szCs w:val="20"/>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43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3640" w:type="dxa"/>
            <w:vAlign w:val="bottom"/>
          </w:tcPr>
          <w:p>
            <w:pPr>
              <w:spacing w:after="0"/>
              <w:rPr>
                <w:sz w:val="18"/>
                <w:szCs w:val="18"/>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NYP, Floor 15</w:t>
            </w:r>
          </w:p>
        </w:tc>
        <w:tc>
          <w:tcPr>
            <w:tcW w:w="3640" w:type="dxa"/>
            <w:vAlign w:val="bottom"/>
          </w:tcPr>
          <w:p>
            <w:pPr>
              <w:spacing w:after="0"/>
              <w:rPr>
                <w:sz w:val="18"/>
                <w:szCs w:val="18"/>
                <w:color w:val="auto"/>
              </w:rPr>
            </w:pPr>
          </w:p>
        </w:tc>
      </w:t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 NY 10004</w:t>
            </w:r>
          </w:p>
        </w:tc>
        <w:tc>
          <w:tcPr>
            <w:tcW w:w="3640" w:type="dxa"/>
            <w:vAlign w:val="bottom"/>
          </w:tcPr>
          <w:p>
            <w:pPr>
              <w:spacing w:after="0"/>
              <w:rPr>
                <w:sz w:val="20"/>
                <w:szCs w:val="20"/>
                <w:color w:val="auto"/>
              </w:rPr>
            </w:pPr>
          </w:p>
        </w:tc>
      </w:tr>
      <w:tr>
        <w:trPr>
          <w:trHeight w:val="432"/>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ACCOUNT #</w:t>
            </w:r>
          </w:p>
        </w:tc>
        <w:tc>
          <w:tcPr>
            <w:tcW w:w="3640" w:type="dxa"/>
            <w:vAlign w:val="bottom"/>
          </w:tcPr>
          <w:p>
            <w:pPr>
              <w:spacing w:after="0"/>
              <w:rPr>
                <w:sz w:val="24"/>
                <w:szCs w:val="24"/>
                <w:color w:val="auto"/>
              </w:rPr>
            </w:pPr>
          </w:p>
        </w:tc>
      </w:tr>
      <w:tr>
        <w:trPr>
          <w:trHeight w:val="203"/>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000000"/>
          </w:tcPr>
          <w:p>
            <w:pPr>
              <w:spacing w:after="0"/>
              <w:rPr>
                <w:sz w:val="17"/>
                <w:szCs w:val="17"/>
                <w:color w:val="auto"/>
              </w:rPr>
            </w:pPr>
          </w:p>
        </w:tc>
        <w:tc>
          <w:tcPr>
            <w:tcW w:w="4320" w:type="dxa"/>
            <w:vAlign w:val="bottom"/>
          </w:tcPr>
          <w:p>
            <w:pPr>
              <w:jc w:val="right"/>
              <w:ind w:right="4173"/>
              <w:spacing w:after="0"/>
              <w:rPr>
                <w:sz w:val="20"/>
                <w:szCs w:val="20"/>
                <w:color w:val="auto"/>
              </w:rPr>
            </w:pPr>
            <w:r>
              <w:rPr>
                <w:rFonts w:ascii="Times New Roman" w:cs="Times New Roman" w:eastAsia="Times New Roman" w:hAnsi="Times New Roman"/>
                <w:sz w:val="16"/>
                <w:szCs w:val="16"/>
                <w:color w:val="auto"/>
                <w:w w:val="74"/>
              </w:rPr>
              <w:t>]</w:t>
            </w:r>
          </w:p>
        </w:tc>
        <w:tc>
          <w:tcPr>
            <w:tcW w:w="3640" w:type="dxa"/>
            <w:vAlign w:val="bottom"/>
          </w:tcPr>
          <w:p>
            <w:pPr>
              <w:spacing w:after="0"/>
              <w:rPr>
                <w:sz w:val="17"/>
                <w:szCs w:val="17"/>
                <w:color w:val="auto"/>
              </w:rPr>
            </w:pPr>
          </w:p>
        </w:tc>
      </w:tr>
      <w:tr>
        <w:trPr>
          <w:trHeight w:val="427"/>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ABA #</w:t>
            </w:r>
          </w:p>
        </w:tc>
        <w:tc>
          <w:tcPr>
            <w:tcW w:w="43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021000021</w:t>
            </w:r>
          </w:p>
        </w:tc>
        <w:tc>
          <w:tcPr>
            <w:tcW w:w="43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SWIFT CODE</w:t>
            </w:r>
          </w:p>
        </w:tc>
        <w:tc>
          <w:tcPr>
            <w:tcW w:w="3640" w:type="dxa"/>
            <w:vAlign w:val="bottom"/>
          </w:tcPr>
          <w:p>
            <w:pPr>
              <w:spacing w:after="0"/>
              <w:rPr>
                <w:sz w:val="24"/>
                <w:szCs w:val="24"/>
                <w:color w:val="auto"/>
              </w:rPr>
            </w:pPr>
          </w:p>
        </w:tc>
      </w:tr>
      <w:tr>
        <w:trPr>
          <w:trHeight w:val="23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CHASUS33</w:t>
            </w:r>
          </w:p>
        </w:tc>
        <w:tc>
          <w:tcPr>
            <w:tcW w:w="43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43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Celeste Gonzalez</w:t>
            </w:r>
          </w:p>
        </w:tc>
        <w:tc>
          <w:tcPr>
            <w:tcW w:w="3640" w:type="dxa"/>
            <w:vAlign w:val="bottom"/>
          </w:tcPr>
          <w:p>
            <w:pPr>
              <w:spacing w:after="0"/>
              <w:rPr>
                <w:sz w:val="20"/>
                <w:szCs w:val="20"/>
                <w:color w:val="auto"/>
              </w:rPr>
            </w:pPr>
          </w:p>
        </w:tc>
      </w:tr>
      <w:tr>
        <w:trPr>
          <w:trHeight w:val="432"/>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PRIMARY CONTACT:</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SECONDARY CONTACT:</w:t>
            </w:r>
          </w:p>
        </w:tc>
      </w:tr>
      <w:tr>
        <w:trPr>
          <w:trHeight w:val="41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Celeste Gonzalez</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Patrick Small</w:t>
            </w: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 &amp; Escrow Administrator</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SPAC &amp; Escrow Administrator</w:t>
            </w: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Continental Stock Transfer &amp; Trust Company</w:t>
            </w: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Agency &amp; Escrow Services</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Agency &amp; Escrow Services</w:t>
            </w: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State Street, 30th Floor</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State Street, 30th Floor</w:t>
            </w:r>
          </w:p>
        </w:tc>
      </w:tr>
      <w:tr>
        <w:trPr>
          <w:trHeight w:val="216"/>
        </w:trPr>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 (212) 845-5284</w:t>
            </w:r>
          </w:p>
        </w:tc>
      </w:tr>
    </w:tbl>
    <w:p>
      <w:pPr>
        <w:ind w:left="5620"/>
        <w:spacing w:after="0"/>
        <w:rPr>
          <w:sz w:val="20"/>
          <w:szCs w:val="20"/>
          <w:color w:val="auto"/>
        </w:rPr>
      </w:pPr>
      <w:r>
        <w:rPr>
          <w:rFonts w:ascii="Times New Roman" w:cs="Times New Roman" w:eastAsia="Times New Roman" w:hAnsi="Times New Roman"/>
          <w:sz w:val="18"/>
          <w:szCs w:val="18"/>
          <w:color w:val="auto"/>
        </w:rPr>
        <w:t>F: (212) 558-6718</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 psmall@continentalstock.com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 w:name="page21"/>
    <w:bookmarkEnd w:id="20"/>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MAKER THAT SUCH REGISTRATION IS NOT REQUIRED.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March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$250,000</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Ventoux CCM Acquisition Corp., a corporation incorporated under the laws of the State of Delaware (the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 the order of Ventoux Acquisition Holdings LLC or its registered assigns or successors in interest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or order, the principal sum of Two Hundred Fifty Thousand Dollars ($250,000) in lawful money of the United States of America, on the terms and conditions described below. All payments on this Note shall be made by check or wire transfer of immediately available funds, without setoff or counterclaim, to such account as the Payee may from time to time designate by written notice in accordance with the provisions of this Note.</w:t>
      </w:r>
    </w:p>
    <w:p>
      <w:pPr>
        <w:spacing w:after="0" w:line="179" w:lineRule="exact"/>
        <w:rPr>
          <w:sz w:val="20"/>
          <w:szCs w:val="20"/>
          <w:color w:val="auto"/>
        </w:rPr>
      </w:pPr>
    </w:p>
    <w:p>
      <w:pPr>
        <w:jc w:val="both"/>
        <w:ind w:firstLine="8"/>
        <w:spacing w:after="0" w:line="268" w:lineRule="auto"/>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The principal balance of this Note shall be due and payable by the Maker upon the closing of a Repayment/Conversion Trigger Event,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below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principal and balance may be prepaid at any time prior to the Maturity Date without penalty upon written notice by the Maker to the Payee.</w:t>
      </w:r>
    </w:p>
    <w:p>
      <w:pPr>
        <w:spacing w:after="0" w:line="170"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shall constitute a “</w:t>
      </w:r>
      <w:r>
        <w:rPr>
          <w:rFonts w:ascii="Times New Roman" w:cs="Times New Roman" w:eastAsia="Times New Roman" w:hAnsi="Times New Roman"/>
          <w:sz w:val="18"/>
          <w:szCs w:val="18"/>
          <w:b w:val="1"/>
          <w:bCs w:val="1"/>
          <w:color w:val="auto"/>
        </w:rPr>
        <w:t>Repayment/Conversion Trigger Event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pursuant to which the Maker acquires an entity for its initial business combination (a “</w:t>
      </w:r>
      <w:r>
        <w:rPr>
          <w:rFonts w:ascii="Times New Roman" w:cs="Times New Roman" w:eastAsia="Times New Roman" w:hAnsi="Times New Roman"/>
          <w:sz w:val="18"/>
          <w:szCs w:val="18"/>
          <w:b w:val="1"/>
          <w:bCs w:val="1"/>
          <w:i w:val="1"/>
          <w:iCs w:val="1"/>
          <w:color w:val="auto"/>
        </w:rPr>
        <w:t>DeSPAC Transaction</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1620" w:hanging="316"/>
        <w:spacing w:after="0" w:line="286" w:lineRule="auto"/>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Maker (a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that occurs while the Note is outstanding or any time thereafter prior to the repayment of the Note.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Maker shall provide Payee at least 10 days’ prior notice of any Repayment/Conversion Trigger Event and to the extent applicable a copy of the material terms of the DeSPAC Transaction. Under no circumstances shall any individual, including but not limited to any officer, director, employee or shareholder of the Maker, be obligated personally for any obligations or liabilities of the Maker hereunder.</w:t>
      </w:r>
    </w:p>
    <w:p>
      <w:pPr>
        <w:spacing w:after="0" w:line="172" w:lineRule="exact"/>
        <w:rPr>
          <w:sz w:val="20"/>
          <w:szCs w:val="20"/>
          <w:color w:val="auto"/>
        </w:rPr>
      </w:pPr>
    </w:p>
    <w:p>
      <w:pPr>
        <w:ind w:firstLine="656"/>
        <w:spacing w:after="0" w:line="286" w:lineRule="auto"/>
        <w:tabs>
          <w:tab w:leader="none" w:pos="9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of Repayment. </w:t>
      </w:r>
      <w:r>
        <w:rPr>
          <w:rFonts w:ascii="Times New Roman" w:cs="Times New Roman" w:eastAsia="Times New Roman" w:hAnsi="Times New Roman"/>
          <w:sz w:val="18"/>
          <w:szCs w:val="18"/>
          <w:color w:val="auto"/>
        </w:rPr>
        <w:t>All amounts due under this Note shall be repaid in cash no later than two days following closing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This Note shall bear no interest.</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of Payments. </w:t>
      </w:r>
      <w:r>
        <w:rPr>
          <w:rFonts w:ascii="Times New Roman" w:cs="Times New Roman" w:eastAsia="Times New Roman" w:hAnsi="Times New Roman"/>
          <w:sz w:val="18"/>
          <w:szCs w:val="18"/>
          <w:color w:val="auto"/>
        </w:rPr>
        <w:t>All payments shall be applied first to payment in full of any costs incurred in the collection of any sum due under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attorneys’ fees, then to the payment in full of any late charges, and finally to the reduction of the unpaid principal balance of this Note.</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The proceeds of this Note shall be used for the Maker’s general working capital purposes.</w:t>
      </w:r>
    </w:p>
    <w:p>
      <w:pPr>
        <w:spacing w:after="0" w:line="225"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following shall constitute 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Maker to pay any principal amount due pursuant to this Note within five (5) business days of the Maturity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Use of Proceeds</w:t>
      </w:r>
      <w:r>
        <w:rPr>
          <w:rFonts w:ascii="Times New Roman" w:cs="Times New Roman" w:eastAsia="Times New Roman" w:hAnsi="Times New Roman"/>
          <w:sz w:val="18"/>
          <w:szCs w:val="18"/>
          <w:color w:val="auto"/>
        </w:rPr>
        <w:t>. Failure by Maker to comply with the provisions of Section 4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jc w:val="both"/>
        <w:ind w:firstLine="656"/>
        <w:spacing w:after="0" w:line="258" w:lineRule="auto"/>
        <w:tabs>
          <w:tab w:leader="none" w:pos="9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 5(a) or Section 5(b)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Sections 5(c) and 5(d), the unpaid principal balance of this Note, and all other sums payable with regard to this Note, shall automatically and immediately become due and payable, in all cases without any action on the part of Payee.</w:t>
      </w:r>
    </w:p>
    <w:p>
      <w:pPr>
        <w:spacing w:after="0" w:line="157" w:lineRule="exact"/>
        <w:rPr>
          <w:rFonts w:ascii="Times New Roman" w:cs="Times New Roman" w:eastAsia="Times New Roman" w:hAnsi="Times New Roman"/>
          <w:sz w:val="18"/>
          <w:szCs w:val="18"/>
          <w:color w:val="auto"/>
        </w:rPr>
      </w:pPr>
    </w:p>
    <w:p>
      <w:pPr>
        <w:ind w:firstLine="8"/>
        <w:spacing w:after="0" w:line="286" w:lineRule="auto"/>
        <w:tabs>
          <w:tab w:leader="none" w:pos="193"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Costs</w:t>
      </w:r>
      <w:r>
        <w:rPr>
          <w:rFonts w:ascii="Times New Roman" w:cs="Times New Roman" w:eastAsia="Times New Roman" w:hAnsi="Times New Roman"/>
          <w:sz w:val="18"/>
          <w:szCs w:val="18"/>
          <w:color w:val="auto"/>
        </w:rPr>
        <w:t>. In case any principal of this Note is not paid when due, Maker shall be liable for all costs of enforcement and collection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incurred by the Payee and any other Holders, including but not limited to reasonable attorneys’ fees and expenses.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Maker and all endorsers and guarantors of, and sureties for, this Note waive presentment for payment, demand, notice of dishonor, protest,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193"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Unconditional Liability. </w:t>
      </w:r>
      <w:r>
        <w:rPr>
          <w:rFonts w:ascii="Times New Roman" w:cs="Times New Roman" w:eastAsia="Times New Roman" w:hAnsi="Times New Roman"/>
          <w:sz w:val="18"/>
          <w:szCs w:val="18"/>
          <w:color w:val="auto"/>
        </w:rPr>
        <w:t>Maker hereby waives all notices in connection with the delivery, acceptance, performance, default, or enforcement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 Any failure of the Payee to exercise any right hereunder shall not be construed as a waiver of the right to exercise the same or any other right at any time and from time to time thereafter. The Payee may accept late payments, or partial payments, even though marked “payment in full” or containing words of similar import or other conditions, without waiving any of its rights.</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9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statements or other documents which are required or contemplated by this Note shall be made in writing and delivered: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 As of the date of this Note, the following addresses are designated for notices: Maker: 1 East Putnam Avenue, Floor 4, Greenwich, CT 06830, Attn: Edward Scheetz, email: ed@ventouxccm.com; Payee: 1 East Putnam Avenue, Floor 4, Greenwich, CT 06830, Attn: Edward Scheetz, email: ed@ventouxccm.com.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8"/>
        <w:spacing w:after="0" w:line="252" w:lineRule="auto"/>
        <w:tabs>
          <w:tab w:leader="none" w:pos="31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Governing Law; Venue; Waiver Of Jury Trial; Etc. THIS NOTE SHALL BE CONSTRUED AND ENFORCED IN ACCORDANCE WITH THE LAWS OF THE STATE OF NEW YORK, WITHOUT REGARD TO CONFLICT OF LAW PROVISIONS THEREOF. MAKER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NOTE,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NOTE SHALL AFFECT ANY RIGHT THAT THE PAYEE OR ANY OTHER HOLDER MAY OTHERWISE HAVE TO BRING ANY ACTION OR PROCEEDING RELATING TO THIS NOTE AGAINST THE MAKER OR ITS PROPERTIES IN THE COURTS OF ANY OTHER JURISDICTION. THE MAKER WAIVES PERSONAL SERVICE OF ANY AND ALL PROCESS UPON IT AND CONSENTS THAT ALL SUCH SERVICE OF PROCESS BE MADE BY REGISTERED MAIL DIRECTED TO THE MAKER AT ITS ADDRESS SET FORTH IN SECTION 10 OR TO ANY OTHER ADDRESS AS MAY APPEAR IN THE PAYEE’S OR SUCH OTHER HOLDER’S RECORDS AS THE ADDRESS OF THE MAKER. IN ANY ACTION, SUIT OR PROCEEDING IN RESPECT OF OR ARISING OUT OF THIS NOTE, THE PAYEE AND THE MAKER WAIVE TRIAL BY JURY, AND EACH OF MAKER AND PAYEE WAIVES (I) THE RIGHT TO INTERPOSE ANY SET-OFF OR COUNTERCLAIM OF ANY NATURE OR DESCRIPTION, (II) ANY OBJECTION BASED ON FORUM NON CONVENIENS OR VENUE, AND (III) ANY CLAIM FOR CONSEQUENTIAL, PUNITIVE OR SPECIAL DAMAGES.</w:t>
      </w:r>
    </w:p>
    <w:p>
      <w:pPr>
        <w:spacing w:after="0" w:line="189"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Any provision contained in this Note which is prohibited or unenforceable in any jurisdiction shall, as to such jurisdiction, be ineffective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Waiver</w:t>
      </w:r>
      <w:r>
        <w:rPr>
          <w:rFonts w:ascii="Times New Roman" w:cs="Times New Roman" w:eastAsia="Times New Roman" w:hAnsi="Times New Roman"/>
          <w:sz w:val="18"/>
          <w:szCs w:val="18"/>
          <w:color w:val="auto"/>
        </w:rPr>
        <w:t>. Notwithstanding anything herein to the contrary, but subject to the following sentence of this Section 13, the Payee hereby waives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or from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in which the proceeds of the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conducted by the Maker (including the deferred underwriters’ discounts and commissions) and the proceeds of the sale of the warrants issued in a private placement that occurred prior to the closing of the IPO were deposited, as described in greater detail in Maker’s Registration Statement on Form S-1 (333- 251048) filed with the Securities and Exchange Commission in connection with the IPO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hereby agrees not to seek recourse, reimbursement, payment or satisfaction for any Claim against the Trust Account for any reason whatsoever. Notwithstanding the foregoing, the Payee does not waive any Claims and does not waive its rights to seek recourse, reimbursement, payment or satisfaction for any Claim against the Trust Account for distributions of remaining funds released to the Maker from the Trust Account following redemptions or other distributions to the Maker’s public shareholders.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Amendment; Waiver</w:t>
      </w:r>
      <w:r>
        <w:rPr>
          <w:rFonts w:ascii="Times New Roman" w:cs="Times New Roman" w:eastAsia="Times New Roman" w:hAnsi="Times New Roman"/>
          <w:sz w:val="18"/>
          <w:szCs w:val="18"/>
          <w:color w:val="auto"/>
        </w:rPr>
        <w:t>. Any amendment hereto or waiver of any provision hereof may be made with, and only with, the written consent of the Maker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Payee.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Assignment</w:t>
      </w:r>
      <w:r>
        <w:rPr>
          <w:rFonts w:ascii="Times New Roman" w:cs="Times New Roman" w:eastAsia="Times New Roman" w:hAnsi="Times New Roman"/>
          <w:sz w:val="18"/>
          <w:szCs w:val="18"/>
          <w:color w:val="auto"/>
        </w:rPr>
        <w:t>. This Note binds and is for the benefit of the successors and permitted assigns of the Maker and the Payee. No assignment or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or any rights or obligations hereunder may be made by any party hereto (by operation of law or otherwise) without the prior written consent of the other party hereto and any attempted assignment without the required consent shall be void; provided, that upon the announcement of a DeSPAC Transaction or occurrence and during the continuation of an Event of Default, Payee shall have the right to assign this Note in its discretion without the consent of Maker.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Maker, intending to be legally bound hereby, has caused this Note to be duly executed by the undersigned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MAKER THAT SUCH REGISTRATION IS NOT REQUIRED.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March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$125,000</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Ventoux CCM Acquisition Corp., a corporation incorporated under the laws of the State of Delaware (the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 the order of Chardan International Investments, LLC or its registered assigns or successors in interest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or order, the principal sum of One Hundred Twenty-Five Thousand Dollars ($125,000) in lawful money of the United States of America, on the terms and conditions described below. All payments on this Note shall be made by check or wire transfer of immediately available funds, without setoff or counterclaim, to such account as the Payee may from time to time designate by written notice in accordance with the provisions of this Note.</w:t>
      </w:r>
    </w:p>
    <w:p>
      <w:pPr>
        <w:spacing w:after="0" w:line="179" w:lineRule="exact"/>
        <w:rPr>
          <w:sz w:val="20"/>
          <w:szCs w:val="20"/>
          <w:color w:val="auto"/>
        </w:rPr>
      </w:pPr>
    </w:p>
    <w:p>
      <w:pPr>
        <w:jc w:val="both"/>
        <w:ind w:firstLine="8"/>
        <w:spacing w:after="0" w:line="268" w:lineRule="auto"/>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The principal balance of this Note shall be due and payable by the Maker upon the closing of a Repayment/Conversion Trigger Event,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below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principal and balance may be prepaid at any time prior to the Maturity Date without penalty upon written notice by the Maker to the Payee.</w:t>
      </w:r>
    </w:p>
    <w:p>
      <w:pPr>
        <w:spacing w:after="0" w:line="170"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shall constitute a “</w:t>
      </w:r>
      <w:r>
        <w:rPr>
          <w:rFonts w:ascii="Times New Roman" w:cs="Times New Roman" w:eastAsia="Times New Roman" w:hAnsi="Times New Roman"/>
          <w:sz w:val="18"/>
          <w:szCs w:val="18"/>
          <w:b w:val="1"/>
          <w:bCs w:val="1"/>
          <w:color w:val="auto"/>
        </w:rPr>
        <w:t>Repayment/Conversion Trigger Event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pursuant to which the Maker acquires an entity for its initial business combination (a “</w:t>
      </w:r>
      <w:r>
        <w:rPr>
          <w:rFonts w:ascii="Times New Roman" w:cs="Times New Roman" w:eastAsia="Times New Roman" w:hAnsi="Times New Roman"/>
          <w:sz w:val="18"/>
          <w:szCs w:val="18"/>
          <w:b w:val="1"/>
          <w:bCs w:val="1"/>
          <w:i w:val="1"/>
          <w:iCs w:val="1"/>
          <w:color w:val="auto"/>
        </w:rPr>
        <w:t>DeSPAC Transaction</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1620" w:hanging="316"/>
        <w:spacing w:after="0" w:line="286" w:lineRule="auto"/>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Maker (a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that occurs while the Note is outstanding or any time thereafter prior to the repayment of the Note.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Maker shall provide Payee at least 10 days’ prior notice of any Repayment/Conversion Trigger Event and to the extent applicable a copy of the material terms of the DeSPAC Transaction. Under no circumstances shall any individual, including but not limited to any officer, director, employee or shareholder of the Maker, be obligated personally for any obligations or liabilities of the Maker hereunder.</w:t>
      </w:r>
    </w:p>
    <w:p>
      <w:pPr>
        <w:spacing w:after="0" w:line="172" w:lineRule="exact"/>
        <w:rPr>
          <w:sz w:val="20"/>
          <w:szCs w:val="20"/>
          <w:color w:val="auto"/>
        </w:rPr>
      </w:pPr>
    </w:p>
    <w:p>
      <w:pPr>
        <w:ind w:firstLine="656"/>
        <w:spacing w:after="0" w:line="286" w:lineRule="auto"/>
        <w:tabs>
          <w:tab w:leader="none" w:pos="9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of Repayment. </w:t>
      </w:r>
      <w:r>
        <w:rPr>
          <w:rFonts w:ascii="Times New Roman" w:cs="Times New Roman" w:eastAsia="Times New Roman" w:hAnsi="Times New Roman"/>
          <w:sz w:val="18"/>
          <w:szCs w:val="18"/>
          <w:color w:val="auto"/>
        </w:rPr>
        <w:t>All amounts due under this Note shall be repaid in cash no later than two days following closing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This Note shall bear no interest.</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of Payments. </w:t>
      </w:r>
      <w:r>
        <w:rPr>
          <w:rFonts w:ascii="Times New Roman" w:cs="Times New Roman" w:eastAsia="Times New Roman" w:hAnsi="Times New Roman"/>
          <w:sz w:val="18"/>
          <w:szCs w:val="18"/>
          <w:color w:val="auto"/>
        </w:rPr>
        <w:t>All payments shall be applied first to payment in full of any costs incurred in the collection of any sum due under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attorneys’ fees, then to the payment in full of any late charges, and finally to the reduction of the unpaid principal balance of this Note.</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The proceeds of this Note shall be used for the Maker’s general working capital purposes.</w:t>
      </w:r>
    </w:p>
    <w:p>
      <w:pPr>
        <w:spacing w:after="0" w:line="225"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following shall constitute 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Maker to pay any principal amount due pursuant to this Note within five (5) business days of the Maturity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Use of Proceeds</w:t>
      </w:r>
      <w:r>
        <w:rPr>
          <w:rFonts w:ascii="Times New Roman" w:cs="Times New Roman" w:eastAsia="Times New Roman" w:hAnsi="Times New Roman"/>
          <w:sz w:val="18"/>
          <w:szCs w:val="18"/>
          <w:color w:val="auto"/>
        </w:rPr>
        <w:t>. Failure by Maker to comply with the provisions of Section 4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both"/>
        <w:ind w:firstLine="656"/>
        <w:spacing w:after="0" w:line="258" w:lineRule="auto"/>
        <w:tabs>
          <w:tab w:leader="none" w:pos="9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 5(a) or Section 5(b)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Sections 5(c) and 5(d), the unpaid principal balance of this Note, and all other sums payable with regard to this Note, shall automatically and immediately become due and payable, in all cases without any action on the part of Payee.</w:t>
      </w:r>
    </w:p>
    <w:p>
      <w:pPr>
        <w:spacing w:after="0" w:line="157" w:lineRule="exact"/>
        <w:rPr>
          <w:rFonts w:ascii="Times New Roman" w:cs="Times New Roman" w:eastAsia="Times New Roman" w:hAnsi="Times New Roman"/>
          <w:sz w:val="18"/>
          <w:szCs w:val="18"/>
          <w:color w:val="auto"/>
        </w:rPr>
      </w:pPr>
    </w:p>
    <w:p>
      <w:pPr>
        <w:ind w:firstLine="8"/>
        <w:spacing w:after="0" w:line="286" w:lineRule="auto"/>
        <w:tabs>
          <w:tab w:leader="none" w:pos="19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Costs</w:t>
      </w:r>
      <w:r>
        <w:rPr>
          <w:rFonts w:ascii="Times New Roman" w:cs="Times New Roman" w:eastAsia="Times New Roman" w:hAnsi="Times New Roman"/>
          <w:sz w:val="18"/>
          <w:szCs w:val="18"/>
          <w:color w:val="auto"/>
        </w:rPr>
        <w:t>. In case any principal of this Note is not paid when due, Maker shall be liable for all costs of enforcement and collection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incurred by the Payee and any other Holders, including but not limited to reasonable attorneys’ fees and expenses.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Maker and all endorsers and guarantors of, and sureties for, this Note waive presentment for payment, demand, notice of dishonor, protest,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Unconditional Liability. </w:t>
      </w:r>
      <w:r>
        <w:rPr>
          <w:rFonts w:ascii="Times New Roman" w:cs="Times New Roman" w:eastAsia="Times New Roman" w:hAnsi="Times New Roman"/>
          <w:sz w:val="18"/>
          <w:szCs w:val="18"/>
          <w:color w:val="auto"/>
        </w:rPr>
        <w:t>Maker hereby waives all notices in connection with the delivery, acceptance, performance, default, or enforcement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 Any failure of the Payee to exercise any right hereunder shall not be construed as a waiver of the right to exercise the same or any other right at any time and from time to time thereafter. The Payee may accept late payments, or partial payments, even though marked “payment in full” or containing words of similar import or other conditions, without waiving any of its rights.</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9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statements or other documents which are required or contemplated by this Note shall be made in writing and delivered: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 As of the date of this Note, the following addresses are designated for notices: Maker: 1 East Putnam Avenue, Floor 4, Greenwich, CT 06830, Attn: Edward Scheetz, email: ed@ventouxccm.com; Payee: 1 East Putnam Avenue, Floor 4, Greenwich, CT 06830, Attn: Jonas Grossman, email: jgrossman@chardan.com.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8"/>
        <w:spacing w:after="0" w:line="252" w:lineRule="auto"/>
        <w:tabs>
          <w:tab w:leader="none" w:pos="31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Governing Law; Venue; Waiver Of Jury Trial; Etc. THIS NOTE SHALL BE CONSTRUED AND ENFORCED IN ACCORDANCE WITH THE LAWS OF THE STATE OF NEW YORK, WITHOUT REGARD TO CONFLICT OF LAW PROVISIONS THEREOF. MAKER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NOTE,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NOTE SHALL AFFECT ANY RIGHT THAT THE PAYEE OR ANY OTHER HOLDER MAY OTHERWISE HAVE TO BRING ANY ACTION OR PROCEEDING RELATING TO THIS NOTE AGAINST THE MAKER OR ITS PROPERTIES IN THE COURTS OF ANY OTHER JURISDICTION. THE MAKER WAIVES PERSONAL SERVICE OF ANY AND ALL PROCESS UPON IT AND CONSENTS THAT ALL SUCH SERVICE OF PROCESS BE MADE BY REGISTERED MAIL DIRECTED TO THE MAKER AT ITS ADDRESS SET FORTH IN SECTION 10 OR TO ANY OTHER ADDRESS AS MAY APPEAR IN THE PAYEE’S OR SUCH OTHER HOLDER’S RECORDS AS THE ADDRESS OF THE MAKER. IN ANY ACTION, SUIT OR PROCEEDING IN RESPECT OF OR ARISING OUT OF THIS NOTE, THE PAYEE AND THE MAKER WAIVE TRIAL BY JURY, AND EACH OF MAKER AND PAYEE WAIVES (I) THE RIGHT TO INTERPOSE ANY SET-OFF OR COUNTERCLAIM OF ANY NATURE OR DESCRIPTION, (II) ANY OBJECTION BASED ON FORUM NON CONVENIENS OR VENUE, AND (III) ANY CLAIM FOR CONSEQUENTIAL, PUNITIVE OR SPECIAL DAMAGES.</w:t>
      </w:r>
    </w:p>
    <w:p>
      <w:pPr>
        <w:spacing w:after="0" w:line="189"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Any provision contained in this Note which is prohibited or unenforceable in any jurisdiction shall, as to such jurisdiction, be ineffective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7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Waiver</w:t>
      </w:r>
      <w:r>
        <w:rPr>
          <w:rFonts w:ascii="Times New Roman" w:cs="Times New Roman" w:eastAsia="Times New Roman" w:hAnsi="Times New Roman"/>
          <w:sz w:val="18"/>
          <w:szCs w:val="18"/>
          <w:color w:val="auto"/>
        </w:rPr>
        <w:t>. Notwithstanding anything herein to the contrary, but subject to the following sentence of this Section 13, the Payee hereby waives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or from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in which the proceeds of the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conducted by the Maker (including the deferred underwriters’ discounts and commissions) and the proceeds of the sale of the warrants issued in a private placement that occurred prior to the closing of the IPO were deposited, as described in greater detail in Maker’s Registration Statement on Form S-1 (333- 251048) filed with the Securities and Exchange Commission in connection with the IPO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hereby agrees not to seek recourse, reimbursement, payment or satisfaction for any Claim against the Trust Account for any reason whatsoever. Notwithstanding the foregoing, the Payee does not waive any Claims and does not waive its rights to seek recourse, reimbursement, payment or satisfaction for any Claim against the Trust Account for distributions of remaining funds released to the Maker from the Trust Account following redemptions or other distributions to the Maker’s public shareholders.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Amendment; Waiver</w:t>
      </w:r>
      <w:r>
        <w:rPr>
          <w:rFonts w:ascii="Times New Roman" w:cs="Times New Roman" w:eastAsia="Times New Roman" w:hAnsi="Times New Roman"/>
          <w:sz w:val="18"/>
          <w:szCs w:val="18"/>
          <w:color w:val="auto"/>
        </w:rPr>
        <w:t>. Any amendment hereto or waiver of any provision hereof may be made with, and only with, the written consent of the Maker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Payee.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Assignment</w:t>
      </w:r>
      <w:r>
        <w:rPr>
          <w:rFonts w:ascii="Times New Roman" w:cs="Times New Roman" w:eastAsia="Times New Roman" w:hAnsi="Times New Roman"/>
          <w:sz w:val="18"/>
          <w:szCs w:val="18"/>
          <w:color w:val="auto"/>
        </w:rPr>
        <w:t>. This Note binds and is for the benefit of the successors and permitted assigns of the Maker and the Payee. No assignment or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or any rights or obligations hereunder may be made by any party hereto (by operation of law or otherwise) without the prior written consent of the other party hereto and any attempted assignment without the required consent shall be void; provided, that upon the announcement of a DeSPAC Transaction or occurrence and during the continuation of an Event of Default, Payee shall have the right to assign this Note in its discretion without the consent of Maker.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Maker, intending to be legally bound hereby, has caused this Note to be duly executed by the undersigned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VENTOUX CCM ACQUISITION CORP. ANNOUNCES ADDITIONAL CONTRIBUTION TO TRUST ACCOUNT TO EXTEND DEADLINE TO CONSUMMATE BUSINESS COMBINATION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Also amends Merger Agreement to reduce minimum cash condition to $65 million and extends termination date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April 4, 2022 – Ventoux CCM Acquisition Corp. (NASDAQ: VTAQ) (the “Company”) announced today that its sponsors, Ventoux Acquisition Holdings LLC and Chardan International Investments, LLC (the “Sponsors”), timely deposited an aggregate of $1,725,000 (the “Extension Payment”), representing $0.10 per public share, into the Company’s trust account in order to extend the date by which the Company has to consummate a business combination from March 30, 2022, to June 30,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Sponsors loaned the Extension Payment to the Company in exchange for promissory notes in the amount of $1,150,000 and $575,000 to Ventoux Acquisition Holdings LLC and Chardan International Investments, LLC, respectively. The loans under the promissory notes are non-interest bearing and will be repaid upon the consummation of a business combination. The Company’s stockholders are not entitled to vote on or redeem their shares in connection with such extension.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and Presto have amended the merger agreement to lower the minimum cash condition from $85 million to $65 million and extend the termination date of the merger agreement to August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previously announced, on November 10, 2021, the Company entered into a business combination agreement with Presto, a leading provider of restaurant labor productivity technologies, that will result in Presto becoming a publicly listed company upon closing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Ventoux CCM Acquisition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Ventoux is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Its shares of common stock, units, warrants and rights trade under the ticker symbols VTAQ, VTAQU, VTAQW, and VTAQR respectively. VTAQ is co-sponsored by Ventoux Acquisition Holdings and an affiliate of Chardan Capital International.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Presto</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Presto overlays next-gen digital solutions onto the physical world. Presto’s enterprise-grade touch, vision, and voice technologies help hospitality businesses thrive while delighting guests. With over 250,000 systems shipped, Presto is one of the largest labor automation technology providers in the industry. Founded at M.I.T. in 2008, Presto is headquartered in Silicon Valley, Calif. with customers including many of the top 20 restaurant chains in the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0" w:lineRule="exact"/>
        <w:rPr>
          <w:sz w:val="20"/>
          <w:szCs w:val="20"/>
          <w:color w:val="auto"/>
        </w:rPr>
      </w:pPr>
    </w:p>
    <w:p>
      <w:pPr>
        <w:jc w:val="both"/>
        <w:ind w:firstLine="8"/>
        <w:spacing w:after="0" w:line="251" w:lineRule="auto"/>
        <w:tabs>
          <w:tab w:leader="none" w:pos="3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Brock Strasbourger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brock@ventouxccm.com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(970) 948-9787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5"/>
    </w:lvl>
  </w:abstractNum>
  <w:abstractNum w:abstractNumId="2">
    <w:nsid w:val="25E45D32"/>
    <w:multiLevelType w:val="hybridMultilevel"/>
    <w:lvl w:ilvl="0">
      <w:lvlJc w:val="left"/>
      <w:lvlText w:val="(%1)"/>
      <w:numFmt w:val="lowerLetter"/>
      <w:start w:val="4"/>
    </w:lvl>
  </w:abstractNum>
  <w:abstractNum w:abstractNumId="3">
    <w:nsid w:val="519B500D"/>
    <w:multiLevelType w:val="hybridMultilevel"/>
    <w:lvl w:ilvl="0">
      <w:lvlJc w:val="left"/>
      <w:lvlText w:val="%1"/>
      <w:numFmt w:val="decimal"/>
      <w:start w:val="104"/>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257130A3"/>
    <w:multiLevelType w:val="hybridMultilevel"/>
    <w:lvl w:ilvl="0">
      <w:lvlJc w:val="left"/>
      <w:lvlText w:val="%1"/>
      <w:numFmt w:val="decimal"/>
      <w:start w:val="1"/>
    </w:lvl>
    <w:lvl w:ilvl="1">
      <w:lvlJc w:val="left"/>
      <w:lvlText w:val="(%2)"/>
      <w:numFmt w:val="lowerLetter"/>
      <w:start w:val="2"/>
    </w:lvl>
  </w:abstractNum>
  <w:abstractNum w:abstractNumId="8">
    <w:nsid w:val="62BBD95A"/>
    <w:multiLevelType w:val="hybridMultilevel"/>
    <w:lvl w:ilvl="0">
      <w:lvlJc w:val="left"/>
      <w:lvlText w:val="%1."/>
      <w:numFmt w:val="decimal"/>
      <w:start w:val="2"/>
    </w:lvl>
    <w:lvl w:ilvl="1">
      <w:lvlJc w:val="left"/>
      <w:lvlText w:val="%2"/>
      <w:numFmt w:val="lowerLetter"/>
      <w:start w:val="1"/>
    </w:lvl>
  </w:abstractNum>
  <w:abstractNum w:abstractNumId="9">
    <w:nsid w:val="436C6125"/>
    <w:multiLevelType w:val="hybridMultilevel"/>
    <w:lvl w:ilvl="0">
      <w:lvlJc w:val="left"/>
      <w:lvlText w:val="%1."/>
      <w:numFmt w:val="decimal"/>
      <w:start w:val="5"/>
    </w:lvl>
    <w:lvl w:ilvl="1">
      <w:lvlJc w:val="left"/>
      <w:lvlText w:val="(%2)"/>
      <w:numFmt w:val="lowerLetter"/>
      <w:start w:val="1"/>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3"/>
    </w:lvl>
  </w:abstractNum>
  <w:abstractNum w:abstractNumId="12">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2443A858"/>
    <w:multiLevelType w:val="hybridMultilevel"/>
    <w:lvl w:ilvl="0">
      <w:lvlJc w:val="left"/>
      <w:lvlText w:val="%1"/>
      <w:numFmt w:val="decimal"/>
      <w:start w:val="1"/>
    </w:lvl>
    <w:lvl w:ilvl="1">
      <w:lvlJc w:val="left"/>
      <w:lvlText w:val="(%2)"/>
      <w:numFmt w:val="lowerLetter"/>
      <w:start w:val="2"/>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1."/>
      <w:numFmt w:val="decimal"/>
      <w:start w:val="5"/>
    </w:lvl>
    <w:lvl w:ilvl="1">
      <w:lvlJc w:val="left"/>
      <w:lvlText w:val="(%2)"/>
      <w:numFmt w:val="lowerLetter"/>
      <w:start w:val="1"/>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decimal"/>
      <w:start w:val="13"/>
    </w:lvl>
  </w:abstractNum>
  <w:abstractNum w:abstractNumId="18">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4353D0CD"/>
    <w:multiLevelType w:val="hybridMultilevel"/>
    <w:lvl w:ilvl="0">
      <w:lvlJc w:val="left"/>
      <w:lvlText w:val="%1"/>
      <w:numFmt w:val="decimal"/>
      <w:start w:val="1"/>
    </w:lvl>
    <w:lvl w:ilvl="1">
      <w:lvlJc w:val="left"/>
      <w:lvlText w:val="(%2)"/>
      <w:numFmt w:val="lowerLetter"/>
      <w:start w:val="2"/>
    </w:lvl>
  </w:abstractNum>
  <w:abstractNum w:abstractNumId="20">
    <w:nsid w:val="B03E0C6"/>
    <w:multiLevelType w:val="hybridMultilevel"/>
    <w:lvl w:ilvl="0">
      <w:lvlJc w:val="left"/>
      <w:lvlText w:val="%1."/>
      <w:numFmt w:val="decimal"/>
      <w:start w:val="2"/>
    </w:lvl>
    <w:lvl w:ilvl="1">
      <w:lvlJc w:val="left"/>
      <w:lvlText w:val="(%2)"/>
      <w:numFmt w:val="lowerLetter"/>
      <w:start w:val="1"/>
    </w:lvl>
  </w:abstractNum>
  <w:abstractNum w:abstractNumId="21">
    <w:nsid w:val="189A769B"/>
    <w:multiLevelType w:val="hybridMultilevel"/>
    <w:lvl w:ilvl="0">
      <w:lvlJc w:val="left"/>
      <w:lvlText w:val="%1"/>
      <w:numFmt w:val="decimal"/>
      <w:start w:val="1"/>
    </w:lvl>
    <w:lvl w:ilvl="1">
      <w:lvlJc w:val="left"/>
      <w:lvlText w:val="(%2)"/>
      <w:numFmt w:val="lowerLetter"/>
      <w:start w:val="3"/>
    </w:lvl>
  </w:abstractNum>
  <w:abstractNum w:abstractNumId="22">
    <w:nsid w:val="54E49EB4"/>
    <w:multiLevelType w:val="hybridMultilevel"/>
    <w:lvl w:ilvl="0">
      <w:lvlJc w:val="left"/>
      <w:lvlText w:val="%1."/>
      <w:numFmt w:val="decimal"/>
      <w:start w:val="6"/>
    </w:lvl>
    <w:lvl w:ilvl="1">
      <w:lvlJc w:val="left"/>
      <w:lvlText w:val="(%2)"/>
      <w:numFmt w:val="lowerLetter"/>
      <w:start w:val="1"/>
    </w:lvl>
  </w:abstractNum>
  <w:abstractNum w:abstractNumId="23">
    <w:nsid w:val="71F32454"/>
    <w:multiLevelType w:val="hybridMultilevel"/>
    <w:lvl w:ilvl="0">
      <w:lvlJc w:val="left"/>
      <w:lvlText w:val="%1."/>
      <w:numFmt w:val="decimal"/>
      <w:start w:val="11"/>
    </w:lvl>
  </w:abstractNum>
  <w:abstractNum w:abstractNumId="24">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836C40E"/>
    <w:multiLevelType w:val="hybridMultilevel"/>
    <w:lvl w:ilvl="0">
      <w:lvlJc w:val="left"/>
      <w:lvlText w:val="%1"/>
      <w:numFmt w:val="decimal"/>
      <w:start w:val="1"/>
    </w:lvl>
    <w:lvl w:ilvl="1">
      <w:lvlJc w:val="left"/>
      <w:lvlText w:val="(%2)"/>
      <w:numFmt w:val="lowerLetter"/>
      <w:start w:val="2"/>
    </w:lvl>
  </w:abstractNum>
  <w:abstractNum w:abstractNumId="26">
    <w:nsid w:val="2901D82"/>
    <w:multiLevelType w:val="hybridMultilevel"/>
    <w:lvl w:ilvl="0">
      <w:lvlJc w:val="left"/>
      <w:lvlText w:val="%1."/>
      <w:numFmt w:val="decimal"/>
      <w:start w:val="2"/>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3"/>
    </w:lvl>
  </w:abstractNum>
  <w:abstractNum w:abstractNumId="28">
    <w:nsid w:val="8138641"/>
    <w:multiLevelType w:val="hybridMultilevel"/>
    <w:lvl w:ilvl="0">
      <w:lvlJc w:val="left"/>
      <w:lvlText w:val="%1."/>
      <w:numFmt w:val="decimal"/>
      <w:start w:val="6"/>
    </w:lvl>
    <w:lvl w:ilvl="1">
      <w:lvlJc w:val="left"/>
      <w:lvlText w:val="(%2)"/>
      <w:numFmt w:val="lowerLetter"/>
      <w:start w:val="1"/>
    </w:lvl>
  </w:abstractNum>
  <w:abstractNum w:abstractNumId="29">
    <w:nsid w:val="1E7FF521"/>
    <w:multiLevelType w:val="hybridMultilevel"/>
    <w:lvl w:ilvl="0">
      <w:lvlJc w:val="left"/>
      <w:lvlText w:val="%1."/>
      <w:numFmt w:val="decimal"/>
      <w:start w:val="11"/>
    </w:lvl>
  </w:abstractNum>
  <w:abstractNum w:abstractNumId="30">
    <w:nsid w:val="7C3DBD3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2022-04-04T15:24:30Z</dcterms:created>
  <dcterms:modified xsi:type="dcterms:W3CDTF">2022-04-04T15:24:30Z</dcterms:modified>
</cp:coreProperties>
</file>