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VENTOUX CCM ACQUISITION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$0.0001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92280L101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 (b)</w:t>
      </w:r>
    </w:p>
    <w:p>
      <w:pPr>
        <w:spacing w:after="0" w:line="29" w:lineRule="exact"/>
        <w:rPr>
          <w:rFonts w:ascii="MS PGothic" w:cs="MS PGothic" w:eastAsia="MS PGothic" w:hAnsi="MS PGothic"/>
          <w:sz w:val="18"/>
          <w:szCs w:val="18"/>
          <w:color w:val="auto"/>
        </w:rPr>
      </w:pPr>
    </w:p>
    <w:p>
      <w:pPr>
        <w:jc w:val="both"/>
        <w:ind w:left="340" w:right="9500" w:hanging="8"/>
        <w:spacing w:after="0" w:line="226" w:lineRule="exact"/>
        <w:tabs>
          <w:tab w:leader="none" w:pos="664"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 (c)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 (d)</w:t>
      </w:r>
    </w:p>
    <w:p>
      <w:pPr>
        <w:spacing w:after="0" w:line="177"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7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 w:name="page2"/>
    <w:bookmarkEnd w:id="1"/>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2 of 7 Pages</w:t>
      </w:r>
    </w:p>
    <w:p>
      <w:pPr>
        <w:ind w:left="940" w:hanging="833"/>
        <w:spacing w:after="0" w:line="182" w:lineRule="auto"/>
        <w:tabs>
          <w:tab w:leader="none" w:pos="940" w:val="left"/>
        </w:tabs>
        <w:numPr>
          <w:ilvl w:val="0"/>
          <w:numId w:val="2"/>
        </w:numPr>
        <w:rPr>
          <w:rFonts w:ascii="Times New Roman" w:cs="Times New Roman" w:eastAsia="Times New Roman" w:hAnsi="Times New Roman"/>
          <w:sz w:val="56"/>
          <w:szCs w:val="56"/>
          <w:b w:val="1"/>
          <w:bCs w:val="1"/>
          <w:color w:val="auto"/>
          <w:vertAlign w:val="subscript"/>
        </w:rPr>
      </w:pPr>
      <w:r>
        <w:rPr>
          <w:rFonts w:ascii="Times New Roman" w:cs="Times New Roman" w:eastAsia="Times New Roman" w:hAnsi="Times New Roman"/>
          <w:sz w:val="17"/>
          <w:szCs w:val="17"/>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5160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Jonas Grossman</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0" w:type="dxa"/>
            <w:vAlign w:val="bottom"/>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2</w:t>
            </w:r>
          </w:p>
        </w:tc>
        <w:tc>
          <w:tcPr>
            <w:tcW w:w="98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600" w:type="dxa"/>
            <w:vAlign w:val="bottom"/>
            <w:vMerge w:val="continue"/>
          </w:tcPr>
          <w:p>
            <w:pPr>
              <w:spacing w:after="0"/>
              <w:rPr>
                <w:sz w:val="16"/>
                <w:szCs w:val="16"/>
                <w:color w:val="auto"/>
              </w:rPr>
            </w:pPr>
          </w:p>
        </w:tc>
        <w:tc>
          <w:tcPr>
            <w:tcW w:w="984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00" w:type="dxa"/>
            <w:vAlign w:val="bottom"/>
          </w:tcPr>
          <w:p>
            <w:pPr>
              <w:spacing w:after="0"/>
              <w:rPr>
                <w:sz w:val="24"/>
                <w:szCs w:val="24"/>
                <w:color w:val="auto"/>
              </w:rPr>
            </w:pPr>
          </w:p>
        </w:tc>
        <w:tc>
          <w:tcPr>
            <w:tcW w:w="9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(b)</w:t>
            </w:r>
          </w:p>
        </w:tc>
        <w:tc>
          <w:tcPr>
            <w:tcW w:w="8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940" w:hanging="833"/>
        <w:spacing w:after="0" w:line="186" w:lineRule="auto"/>
        <w:tabs>
          <w:tab w:leader="none" w:pos="940" w:val="left"/>
        </w:tabs>
        <w:numPr>
          <w:ilvl w:val="0"/>
          <w:numId w:val="3"/>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ind w:left="940" w:hanging="833"/>
        <w:spacing w:after="0" w:line="216" w:lineRule="auto"/>
        <w:tabs>
          <w:tab w:leader="none" w:pos="940" w:val="left"/>
        </w:tabs>
        <w:numPr>
          <w:ilvl w:val="0"/>
          <w:numId w:val="4"/>
        </w:numPr>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6" w:lineRule="exact"/>
        <w:rPr>
          <w:rFonts w:ascii="Times New Roman" w:cs="Times New Roman" w:eastAsia="Times New Roman" w:hAnsi="Times New Roman"/>
          <w:sz w:val="65"/>
          <w:szCs w:val="65"/>
          <w:b w:val="1"/>
          <w:bCs w:val="1"/>
          <w:color w:val="auto"/>
          <w:vertAlign w:val="subscript"/>
        </w:rPr>
      </w:pPr>
    </w:p>
    <w:p>
      <w:pPr>
        <w:ind w:left="940"/>
        <w:spacing w:after="0"/>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b w:val="1"/>
          <w:bCs w:val="1"/>
          <w:color w:val="auto"/>
        </w:rPr>
        <w:t>United States</w:t>
      </w:r>
    </w:p>
    <w:p>
      <w:pPr>
        <w:ind w:left="3180" w:hanging="819"/>
        <w:spacing w:after="0" w:line="184" w:lineRule="auto"/>
        <w:tabs>
          <w:tab w:leader="none" w:pos="3180" w:val="left"/>
        </w:tabs>
        <w:numPr>
          <w:ilvl w:val="0"/>
          <w:numId w:val="5"/>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 w:type="dxa"/>
            <w:vAlign w:val="bottom"/>
          </w:tcPr>
          <w:p>
            <w:pPr>
              <w:spacing w:after="0"/>
              <w:rPr>
                <w:sz w:val="21"/>
                <w:szCs w:val="21"/>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NUMBER OF</w:t>
            </w:r>
          </w:p>
        </w:tc>
        <w:tc>
          <w:tcPr>
            <w:tcW w:w="600" w:type="dxa"/>
            <w:vAlign w:val="bottom"/>
            <w:tcBorders>
              <w:bottom w:val="single" w:sz="8" w:color="auto"/>
            </w:tcBorders>
          </w:tcPr>
          <w:p>
            <w:pPr>
              <w:spacing w:after="0"/>
              <w:rPr>
                <w:sz w:val="21"/>
                <w:szCs w:val="21"/>
                <w:color w:val="auto"/>
              </w:rPr>
            </w:pPr>
          </w:p>
        </w:tc>
        <w:tc>
          <w:tcPr>
            <w:tcW w:w="8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1,493,625(1)</w:t>
            </w:r>
          </w:p>
        </w:tc>
        <w:tc>
          <w:tcPr>
            <w:tcW w:w="0" w:type="dxa"/>
            <w:vAlign w:val="bottom"/>
          </w:tcPr>
          <w:p>
            <w:pPr>
              <w:spacing w:after="0"/>
              <w:rPr>
                <w:sz w:val="1"/>
                <w:szCs w:val="1"/>
                <w:color w:val="auto"/>
              </w:rPr>
            </w:pPr>
          </w:p>
        </w:tc>
      </w:tr>
      <w:tr>
        <w:trPr>
          <w:trHeight w:val="103"/>
        </w:trPr>
        <w:tc>
          <w:tcPr>
            <w:tcW w:w="48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600" w:type="dxa"/>
            <w:vAlign w:val="bottom"/>
            <w:vMerge w:val="restart"/>
          </w:tcPr>
          <w:p>
            <w:pPr>
              <w:jc w:val="right"/>
              <w:ind w:right="202"/>
              <w:spacing w:after="0" w:line="319" w:lineRule="exact"/>
              <w:rPr>
                <w:sz w:val="20"/>
                <w:szCs w:val="20"/>
                <w:color w:val="auto"/>
              </w:rPr>
            </w:pPr>
            <w:r>
              <w:rPr>
                <w:rFonts w:ascii="Times New Roman" w:cs="Times New Roman" w:eastAsia="Times New Roman" w:hAnsi="Times New Roman"/>
                <w:sz w:val="32"/>
                <w:szCs w:val="32"/>
                <w:b w:val="1"/>
                <w:bCs w:val="1"/>
                <w:color w:val="auto"/>
              </w:rPr>
              <w:t>6</w:t>
            </w: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600" w:type="dxa"/>
            <w:vAlign w:val="bottom"/>
            <w:vMerge w:val="continue"/>
          </w:tcPr>
          <w:p>
            <w:pPr>
              <w:spacing w:after="0"/>
              <w:rPr>
                <w:sz w:val="11"/>
                <w:szCs w:val="11"/>
                <w:color w:val="auto"/>
              </w:rPr>
            </w:pPr>
          </w:p>
        </w:tc>
        <w:tc>
          <w:tcPr>
            <w:tcW w:w="8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8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8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0" w:type="dxa"/>
            <w:vAlign w:val="bottom"/>
          </w:tcPr>
          <w:p>
            <w:pPr>
              <w:spacing w:after="0"/>
              <w:rPr>
                <w:sz w:val="18"/>
                <w:szCs w:val="18"/>
                <w:color w:val="auto"/>
              </w:rPr>
            </w:pP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0"/>
        </w:trPr>
        <w:tc>
          <w:tcPr>
            <w:tcW w:w="480" w:type="dxa"/>
            <w:vAlign w:val="bottom"/>
          </w:tcPr>
          <w:p>
            <w:pPr>
              <w:spacing w:after="0"/>
              <w:rPr>
                <w:sz w:val="10"/>
                <w:szCs w:val="10"/>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OWNED BY</w:t>
            </w:r>
          </w:p>
        </w:tc>
        <w:tc>
          <w:tcPr>
            <w:tcW w:w="60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80" w:type="dxa"/>
            <w:vAlign w:val="bottom"/>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600" w:type="dxa"/>
            <w:vAlign w:val="bottom"/>
            <w:vMerge w:val="restart"/>
          </w:tcPr>
          <w:p>
            <w:pPr>
              <w:jc w:val="right"/>
              <w:ind w:right="202"/>
              <w:spacing w:after="0" w:line="292" w:lineRule="exact"/>
              <w:rPr>
                <w:sz w:val="20"/>
                <w:szCs w:val="20"/>
                <w:color w:val="auto"/>
              </w:rPr>
            </w:pPr>
            <w:r>
              <w:rPr>
                <w:rFonts w:ascii="Times New Roman" w:cs="Times New Roman" w:eastAsia="Times New Roman" w:hAnsi="Times New Roman"/>
                <w:sz w:val="32"/>
                <w:szCs w:val="32"/>
                <w:b w:val="1"/>
                <w:bCs w:val="1"/>
                <w:color w:val="auto"/>
              </w:rPr>
              <w:t>7</w:t>
            </w: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rPr>
              <w:t>EACH</w:t>
            </w:r>
          </w:p>
        </w:tc>
        <w:tc>
          <w:tcPr>
            <w:tcW w:w="6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78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REPORTING</w:t>
            </w:r>
          </w:p>
        </w:tc>
        <w:tc>
          <w:tcPr>
            <w:tcW w:w="600" w:type="dxa"/>
            <w:vAlign w:val="bottom"/>
          </w:tcPr>
          <w:p>
            <w:pPr>
              <w:spacing w:after="0"/>
              <w:rPr>
                <w:sz w:val="18"/>
                <w:szCs w:val="18"/>
                <w:color w:val="auto"/>
              </w:rPr>
            </w:pP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1,493,625(1)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78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8"/>
                <w:szCs w:val="18"/>
                <w:color w:val="auto"/>
              </w:rPr>
              <w:t>PERSON WITH</w:t>
            </w:r>
          </w:p>
        </w:tc>
        <w:tc>
          <w:tcPr>
            <w:tcW w:w="60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600" w:type="dxa"/>
            <w:vAlign w:val="bottom"/>
            <w:vMerge w:val="restart"/>
          </w:tcPr>
          <w:p>
            <w:pPr>
              <w:jc w:val="right"/>
              <w:ind w:right="202"/>
              <w:spacing w:after="0" w:line="162" w:lineRule="exact"/>
              <w:rPr>
                <w:sz w:val="20"/>
                <w:szCs w:val="20"/>
                <w:color w:val="auto"/>
              </w:rPr>
            </w:pPr>
            <w:r>
              <w:rPr>
                <w:rFonts w:ascii="Times New Roman" w:cs="Times New Roman" w:eastAsia="Times New Roman" w:hAnsi="Times New Roman"/>
                <w:sz w:val="18"/>
                <w:szCs w:val="18"/>
                <w:b w:val="1"/>
                <w:bCs w:val="1"/>
                <w:color w:val="auto"/>
              </w:rPr>
              <w:t>8</w:t>
            </w: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5"/>
        </w:trPr>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34"/>
        </w:trPr>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32"/>
                <w:szCs w:val="32"/>
                <w:b w:val="1"/>
                <w:bCs w:val="1"/>
                <w:color w:val="auto"/>
              </w:rPr>
              <w:t>9</w:t>
            </w:r>
          </w:p>
        </w:tc>
        <w:tc>
          <w:tcPr>
            <w:tcW w:w="360" w:type="dxa"/>
            <w:vAlign w:val="bottom"/>
            <w:tcBorders>
              <w:right w:val="single" w:sz="8" w:color="auto"/>
            </w:tcBorders>
          </w:tcPr>
          <w:p>
            <w:pPr>
              <w:spacing w:after="0"/>
              <w:rPr>
                <w:sz w:val="20"/>
                <w:szCs w:val="20"/>
                <w:color w:val="auto"/>
              </w:rPr>
            </w:pPr>
          </w:p>
        </w:tc>
        <w:tc>
          <w:tcPr>
            <w:tcW w:w="10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175"/>
        </w:trPr>
        <w:tc>
          <w:tcPr>
            <w:tcW w:w="480" w:type="dxa"/>
            <w:vAlign w:val="bottom"/>
            <w:vMerge w:val="continue"/>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1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1,493,625(1)</w:t>
            </w:r>
          </w:p>
        </w:tc>
        <w:tc>
          <w:tcPr>
            <w:tcW w:w="600" w:type="dxa"/>
            <w:vAlign w:val="bottom"/>
            <w:tcBorders>
              <w:bottom w:val="single" w:sz="8" w:color="auto"/>
            </w:tcBorders>
          </w:tcPr>
          <w:p>
            <w:pPr>
              <w:spacing w:after="0"/>
              <w:rPr>
                <w:sz w:val="21"/>
                <w:szCs w:val="21"/>
                <w:color w:val="auto"/>
              </w:rPr>
            </w:pPr>
          </w:p>
        </w:tc>
        <w:tc>
          <w:tcPr>
            <w:tcW w:w="8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8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b w:val="1"/>
                <w:bCs w:val="1"/>
                <w:color w:val="auto"/>
              </w:rPr>
              <w:t>10</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ind w:left="77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48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6.9%</w:t>
            </w: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8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b w:val="1"/>
                <w:bCs w:val="1"/>
                <w:color w:val="auto"/>
              </w:rPr>
              <w:t>12</w:t>
            </w:r>
          </w:p>
        </w:tc>
        <w:tc>
          <w:tcPr>
            <w:tcW w:w="360" w:type="dxa"/>
            <w:vAlign w:val="bottom"/>
            <w:tcBorders>
              <w:right w:val="single" w:sz="8" w:color="auto"/>
            </w:tcBorders>
          </w:tcPr>
          <w:p>
            <w:pPr>
              <w:spacing w:after="0"/>
              <w:rPr>
                <w:sz w:val="14"/>
                <w:szCs w:val="14"/>
                <w:color w:val="auto"/>
              </w:rPr>
            </w:pPr>
          </w:p>
        </w:tc>
        <w:tc>
          <w:tcPr>
            <w:tcW w:w="10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48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10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w:t>
            </w:r>
          </w:p>
        </w:tc>
        <w:tc>
          <w:tcPr>
            <w:tcW w:w="60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shares beneficially owned by Chardan International Investments,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7 Pages</w:t>
      </w:r>
    </w:p>
    <w:p>
      <w:pPr>
        <w:ind w:left="940" w:hanging="833"/>
        <w:spacing w:after="0" w:line="182" w:lineRule="auto"/>
        <w:tabs>
          <w:tab w:leader="none" w:pos="940" w:val="left"/>
        </w:tabs>
        <w:numPr>
          <w:ilvl w:val="0"/>
          <w:numId w:val="6"/>
        </w:numPr>
        <w:rPr>
          <w:rFonts w:ascii="Times New Roman" w:cs="Times New Roman" w:eastAsia="Times New Roman" w:hAnsi="Times New Roman"/>
          <w:sz w:val="56"/>
          <w:szCs w:val="56"/>
          <w:b w:val="1"/>
          <w:bCs w:val="1"/>
          <w:color w:val="auto"/>
          <w:vertAlign w:val="subscript"/>
        </w:rPr>
      </w:pPr>
      <w:r>
        <w:rPr>
          <w:rFonts w:ascii="Times New Roman" w:cs="Times New Roman" w:eastAsia="Times New Roman" w:hAnsi="Times New Roman"/>
          <w:sz w:val="17"/>
          <w:szCs w:val="17"/>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5160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0" w:type="dxa"/>
            <w:vAlign w:val="bottom"/>
            <w:tcBorders>
              <w:bottom w:val="single" w:sz="8" w:color="auto"/>
            </w:tcBorders>
          </w:tcPr>
          <w:p>
            <w:pPr>
              <w:spacing w:after="0"/>
              <w:rPr>
                <w:sz w:val="21"/>
                <w:szCs w:val="21"/>
                <w:color w:val="auto"/>
              </w:rPr>
            </w:pPr>
          </w:p>
        </w:tc>
        <w:tc>
          <w:tcPr>
            <w:tcW w:w="98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Chardan International Investments, LLC</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0" w:type="dxa"/>
            <w:vAlign w:val="bottom"/>
            <w:vMerge w:val="restart"/>
          </w:tcPr>
          <w:p>
            <w:pPr>
              <w:jc w:val="right"/>
              <w:ind w:right="178"/>
              <w:spacing w:after="0"/>
              <w:rPr>
                <w:sz w:val="20"/>
                <w:szCs w:val="20"/>
                <w:color w:val="auto"/>
              </w:rPr>
            </w:pPr>
            <w:r>
              <w:rPr>
                <w:rFonts w:ascii="Times New Roman" w:cs="Times New Roman" w:eastAsia="Times New Roman" w:hAnsi="Times New Roman"/>
                <w:sz w:val="32"/>
                <w:szCs w:val="32"/>
                <w:b w:val="1"/>
                <w:bCs w:val="1"/>
                <w:color w:val="auto"/>
              </w:rPr>
              <w:t>2</w:t>
            </w:r>
          </w:p>
        </w:tc>
        <w:tc>
          <w:tcPr>
            <w:tcW w:w="98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0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600" w:type="dxa"/>
            <w:vAlign w:val="bottom"/>
            <w:vMerge w:val="continue"/>
          </w:tcPr>
          <w:p>
            <w:pPr>
              <w:spacing w:after="0"/>
              <w:rPr>
                <w:sz w:val="16"/>
                <w:szCs w:val="16"/>
                <w:color w:val="auto"/>
              </w:rPr>
            </w:pPr>
          </w:p>
        </w:tc>
        <w:tc>
          <w:tcPr>
            <w:tcW w:w="984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600" w:type="dxa"/>
            <w:vAlign w:val="bottom"/>
          </w:tcPr>
          <w:p>
            <w:pPr>
              <w:spacing w:after="0"/>
              <w:rPr>
                <w:sz w:val="24"/>
                <w:szCs w:val="24"/>
                <w:color w:val="auto"/>
              </w:rPr>
            </w:pPr>
          </w:p>
        </w:tc>
        <w:tc>
          <w:tcPr>
            <w:tcW w:w="9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(b)</w:t>
            </w:r>
          </w:p>
        </w:tc>
        <w:tc>
          <w:tcPr>
            <w:tcW w:w="8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940" w:hanging="833"/>
        <w:spacing w:after="0" w:line="186" w:lineRule="auto"/>
        <w:tabs>
          <w:tab w:leader="none" w:pos="940" w:val="left"/>
        </w:tabs>
        <w:numPr>
          <w:ilvl w:val="0"/>
          <w:numId w:val="7"/>
        </w:numPr>
        <w:rPr>
          <w:rFonts w:ascii="Times New Roman" w:cs="Times New Roman" w:eastAsia="Times New Roman" w:hAnsi="Times New Roman"/>
          <w:sz w:val="25"/>
          <w:szCs w:val="25"/>
          <w:b w:val="1"/>
          <w:bCs w:val="1"/>
          <w:color w:val="auto"/>
          <w:vertAlign w:val="subscript"/>
        </w:rPr>
      </w:pPr>
      <w:r>
        <w:rPr>
          <w:rFonts w:ascii="Times New Roman" w:cs="Times New Roman" w:eastAsia="Times New Roman" w:hAnsi="Times New Roman"/>
          <w:sz w:val="13"/>
          <w:szCs w:val="13"/>
          <w:color w:val="auto"/>
        </w:rPr>
        <w:t>SEC USE ONLY</w:t>
      </w:r>
    </w:p>
    <w:p>
      <w:pPr>
        <w:ind w:left="940" w:hanging="833"/>
        <w:spacing w:after="0" w:line="216" w:lineRule="auto"/>
        <w:tabs>
          <w:tab w:leader="none" w:pos="940" w:val="left"/>
        </w:tabs>
        <w:numPr>
          <w:ilvl w:val="0"/>
          <w:numId w:val="8"/>
        </w:numPr>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color w:val="auto"/>
        </w:rPr>
        <w:t>CITIZENSHIP OR PLACE OF ORGANIZATION</w:t>
      </w:r>
    </w:p>
    <w:p>
      <w:pPr>
        <w:spacing w:after="0" w:line="196" w:lineRule="exact"/>
        <w:rPr>
          <w:rFonts w:ascii="Times New Roman" w:cs="Times New Roman" w:eastAsia="Times New Roman" w:hAnsi="Times New Roman"/>
          <w:sz w:val="65"/>
          <w:szCs w:val="65"/>
          <w:b w:val="1"/>
          <w:bCs w:val="1"/>
          <w:color w:val="auto"/>
          <w:vertAlign w:val="subscript"/>
        </w:rPr>
      </w:pPr>
    </w:p>
    <w:p>
      <w:pPr>
        <w:ind w:left="940"/>
        <w:spacing w:after="0"/>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b w:val="1"/>
          <w:bCs w:val="1"/>
          <w:color w:val="auto"/>
        </w:rPr>
        <w:t>Delaware</w:t>
      </w:r>
    </w:p>
    <w:p>
      <w:pPr>
        <w:ind w:left="3180" w:hanging="819"/>
        <w:spacing w:after="0" w:line="184" w:lineRule="auto"/>
        <w:tabs>
          <w:tab w:leader="none" w:pos="3180" w:val="left"/>
        </w:tabs>
        <w:numPr>
          <w:ilvl w:val="0"/>
          <w:numId w:val="9"/>
        </w:numPr>
        <w:rPr>
          <w:rFonts w:ascii="Times New Roman" w:cs="Times New Roman" w:eastAsia="Times New Roman" w:hAnsi="Times New Roman"/>
          <w:sz w:val="31"/>
          <w:szCs w:val="31"/>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5" w:lineRule="exact"/>
        <w:rPr>
          <w:sz w:val="20"/>
          <w:szCs w:val="20"/>
          <w:color w:val="auto"/>
        </w:rPr>
      </w:pPr>
    </w:p>
    <w:tbl>
      <w:tblPr>
        <w:tblLayout w:type="fixed"/>
        <w:tblInd w:w="520" w:type="dxa"/>
        <w:tblCellMar>
          <w:top w:w="0" w:type="dxa"/>
          <w:left w:w="0" w:type="dxa"/>
          <w:bottom w:w="0" w:type="dxa"/>
          <w:right w:w="0" w:type="dxa"/>
        </w:tblCellMar>
      </w:tblPr>
      <w:tr>
        <w:trPr>
          <w:trHeight w:val="245"/>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NUMBER OF</w:t>
            </w:r>
          </w:p>
        </w:tc>
        <w:tc>
          <w:tcPr>
            <w:tcW w:w="600" w:type="dxa"/>
            <w:vAlign w:val="bottom"/>
            <w:tcBorders>
              <w:bottom w:val="single" w:sz="8" w:color="auto"/>
            </w:tcBorders>
          </w:tcPr>
          <w:p>
            <w:pPr>
              <w:spacing w:after="0"/>
              <w:rPr>
                <w:sz w:val="21"/>
                <w:szCs w:val="21"/>
                <w:color w:val="auto"/>
              </w:rPr>
            </w:pPr>
          </w:p>
        </w:tc>
        <w:tc>
          <w:tcPr>
            <w:tcW w:w="83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1,493,625</w:t>
            </w:r>
          </w:p>
        </w:tc>
        <w:tc>
          <w:tcPr>
            <w:tcW w:w="0" w:type="dxa"/>
            <w:vAlign w:val="bottom"/>
          </w:tcPr>
          <w:p>
            <w:pPr>
              <w:spacing w:after="0"/>
              <w:rPr>
                <w:sz w:val="1"/>
                <w:szCs w:val="1"/>
                <w:color w:val="auto"/>
              </w:rPr>
            </w:pPr>
          </w:p>
        </w:tc>
      </w:tr>
      <w:tr>
        <w:trPr>
          <w:trHeight w:val="103"/>
        </w:trPr>
        <w:tc>
          <w:tcPr>
            <w:tcW w:w="1740" w:type="dxa"/>
            <w:vAlign w:val="bottom"/>
            <w:vMerge w:val="continue"/>
          </w:tcPr>
          <w:p>
            <w:pPr>
              <w:spacing w:after="0"/>
              <w:rPr>
                <w:sz w:val="8"/>
                <w:szCs w:val="8"/>
                <w:color w:val="auto"/>
              </w:rPr>
            </w:pPr>
          </w:p>
        </w:tc>
        <w:tc>
          <w:tcPr>
            <w:tcW w:w="600" w:type="dxa"/>
            <w:vAlign w:val="bottom"/>
            <w:vMerge w:val="restart"/>
          </w:tcPr>
          <w:p>
            <w:pPr>
              <w:jc w:val="right"/>
              <w:ind w:right="202"/>
              <w:spacing w:after="0" w:line="319" w:lineRule="exact"/>
              <w:rPr>
                <w:sz w:val="20"/>
                <w:szCs w:val="20"/>
                <w:color w:val="auto"/>
              </w:rPr>
            </w:pPr>
            <w:r>
              <w:rPr>
                <w:rFonts w:ascii="Times New Roman" w:cs="Times New Roman" w:eastAsia="Times New Roman" w:hAnsi="Times New Roman"/>
                <w:sz w:val="32"/>
                <w:szCs w:val="32"/>
                <w:b w:val="1"/>
                <w:bCs w:val="1"/>
                <w:color w:val="auto"/>
              </w:rPr>
              <w:t>6</w:t>
            </w: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1"/>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SHARES</w:t>
            </w:r>
          </w:p>
        </w:tc>
        <w:tc>
          <w:tcPr>
            <w:tcW w:w="600" w:type="dxa"/>
            <w:vAlign w:val="bottom"/>
            <w:vMerge w:val="continue"/>
          </w:tcPr>
          <w:p>
            <w:pPr>
              <w:spacing w:after="0"/>
              <w:rPr>
                <w:sz w:val="11"/>
                <w:szCs w:val="11"/>
                <w:color w:val="auto"/>
              </w:rPr>
            </w:pPr>
          </w:p>
        </w:tc>
        <w:tc>
          <w:tcPr>
            <w:tcW w:w="8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7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BENEFICIALLY</w:t>
            </w:r>
          </w:p>
        </w:tc>
        <w:tc>
          <w:tcPr>
            <w:tcW w:w="60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OWNED BY</w:t>
            </w:r>
          </w:p>
        </w:tc>
        <w:tc>
          <w:tcPr>
            <w:tcW w:w="600" w:type="dxa"/>
            <w:vAlign w:val="bottom"/>
            <w:tcBorders>
              <w:bottom w:val="single" w:sz="8" w:color="auto"/>
            </w:tcBorders>
          </w:tcPr>
          <w:p>
            <w:pPr>
              <w:spacing w:after="0"/>
              <w:rPr>
                <w:sz w:val="10"/>
                <w:szCs w:val="10"/>
                <w:color w:val="auto"/>
              </w:rPr>
            </w:pPr>
          </w:p>
        </w:tc>
        <w:tc>
          <w:tcPr>
            <w:tcW w:w="8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40" w:type="dxa"/>
            <w:vAlign w:val="bottom"/>
            <w:vMerge w:val="continue"/>
          </w:tcPr>
          <w:p>
            <w:pPr>
              <w:spacing w:after="0"/>
              <w:rPr>
                <w:sz w:val="6"/>
                <w:szCs w:val="6"/>
                <w:color w:val="auto"/>
              </w:rPr>
            </w:pPr>
          </w:p>
        </w:tc>
        <w:tc>
          <w:tcPr>
            <w:tcW w:w="600" w:type="dxa"/>
            <w:vAlign w:val="bottom"/>
            <w:vMerge w:val="restart"/>
          </w:tcPr>
          <w:p>
            <w:pPr>
              <w:jc w:val="right"/>
              <w:ind w:right="202"/>
              <w:spacing w:after="0" w:line="292" w:lineRule="exact"/>
              <w:rPr>
                <w:sz w:val="20"/>
                <w:szCs w:val="20"/>
                <w:color w:val="auto"/>
              </w:rPr>
            </w:pPr>
            <w:r>
              <w:rPr>
                <w:rFonts w:ascii="Times New Roman" w:cs="Times New Roman" w:eastAsia="Times New Roman" w:hAnsi="Times New Roman"/>
                <w:sz w:val="32"/>
                <w:szCs w:val="32"/>
                <w:b w:val="1"/>
                <w:bCs w:val="1"/>
                <w:color w:val="auto"/>
              </w:rPr>
              <w:t>7</w:t>
            </w: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EACH</w:t>
            </w:r>
          </w:p>
        </w:tc>
        <w:tc>
          <w:tcPr>
            <w:tcW w:w="600" w:type="dxa"/>
            <w:vAlign w:val="bottom"/>
            <w:vMerge w:val="continue"/>
          </w:tcPr>
          <w:p>
            <w:pPr>
              <w:spacing w:after="0"/>
              <w:rPr>
                <w:sz w:val="13"/>
                <w:szCs w:val="13"/>
                <w:color w:val="auto"/>
              </w:rPr>
            </w:pPr>
          </w:p>
        </w:tc>
        <w:tc>
          <w:tcPr>
            <w:tcW w:w="8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7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600" w:type="dxa"/>
            <w:vAlign w:val="bottom"/>
          </w:tcPr>
          <w:p>
            <w:pPr>
              <w:spacing w:after="0"/>
              <w:rPr>
                <w:sz w:val="18"/>
                <w:szCs w:val="18"/>
                <w:color w:val="auto"/>
              </w:rPr>
            </w:pP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1,493,625</w:t>
            </w:r>
          </w:p>
        </w:tc>
        <w:tc>
          <w:tcPr>
            <w:tcW w:w="0" w:type="dxa"/>
            <w:vAlign w:val="bottom"/>
          </w:tcPr>
          <w:p>
            <w:pPr>
              <w:spacing w:after="0"/>
              <w:rPr>
                <w:sz w:val="1"/>
                <w:szCs w:val="1"/>
                <w:color w:val="auto"/>
              </w:rPr>
            </w:pPr>
          </w:p>
        </w:tc>
      </w:tr>
      <w:tr>
        <w:trPr>
          <w:trHeight w:val="147"/>
        </w:trPr>
        <w:tc>
          <w:tcPr>
            <w:tcW w:w="174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rPr>
              <w:t>PERSON WITH</w:t>
            </w:r>
          </w:p>
        </w:tc>
        <w:tc>
          <w:tcPr>
            <w:tcW w:w="600" w:type="dxa"/>
            <w:vAlign w:val="bottom"/>
            <w:tcBorders>
              <w:bottom w:val="single" w:sz="8" w:color="auto"/>
            </w:tcBorders>
          </w:tcPr>
          <w:p>
            <w:pPr>
              <w:spacing w:after="0"/>
              <w:rPr>
                <w:sz w:val="12"/>
                <w:szCs w:val="12"/>
                <w:color w:val="auto"/>
              </w:rPr>
            </w:pPr>
          </w:p>
        </w:tc>
        <w:tc>
          <w:tcPr>
            <w:tcW w:w="8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40" w:type="dxa"/>
            <w:vAlign w:val="bottom"/>
            <w:vMerge w:val="continue"/>
          </w:tcPr>
          <w:p>
            <w:pPr>
              <w:spacing w:after="0"/>
              <w:rPr>
                <w:sz w:val="5"/>
                <w:szCs w:val="5"/>
                <w:color w:val="auto"/>
              </w:rPr>
            </w:pPr>
          </w:p>
        </w:tc>
        <w:tc>
          <w:tcPr>
            <w:tcW w:w="600" w:type="dxa"/>
            <w:vAlign w:val="bottom"/>
            <w:vMerge w:val="restart"/>
          </w:tcPr>
          <w:p>
            <w:pPr>
              <w:jc w:val="right"/>
              <w:ind w:right="202"/>
              <w:spacing w:after="0" w:line="162" w:lineRule="exact"/>
              <w:rPr>
                <w:sz w:val="20"/>
                <w:szCs w:val="20"/>
                <w:color w:val="auto"/>
              </w:rPr>
            </w:pPr>
            <w:r>
              <w:rPr>
                <w:rFonts w:ascii="Times New Roman" w:cs="Times New Roman" w:eastAsia="Times New Roman" w:hAnsi="Times New Roman"/>
                <w:sz w:val="18"/>
                <w:szCs w:val="18"/>
                <w:b w:val="1"/>
                <w:bCs w:val="1"/>
                <w:color w:val="auto"/>
              </w:rPr>
              <w:t>8</w:t>
            </w:r>
          </w:p>
        </w:tc>
        <w:tc>
          <w:tcPr>
            <w:tcW w:w="83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5"/>
        </w:trPr>
        <w:tc>
          <w:tcPr>
            <w:tcW w:w="17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940" w:hanging="833"/>
        <w:spacing w:after="0" w:line="210" w:lineRule="auto"/>
        <w:tabs>
          <w:tab w:leader="none" w:pos="940" w:val="left"/>
        </w:tabs>
        <w:numPr>
          <w:ilvl w:val="0"/>
          <w:numId w:val="10"/>
        </w:numPr>
        <w:rPr>
          <w:rFonts w:ascii="Times New Roman" w:cs="Times New Roman" w:eastAsia="Times New Roman" w:hAnsi="Times New Roman"/>
          <w:sz w:val="65"/>
          <w:szCs w:val="65"/>
          <w:b w:val="1"/>
          <w:bCs w:val="1"/>
          <w:color w:val="auto"/>
          <w:vertAlign w:val="subscript"/>
        </w:rPr>
      </w:pPr>
      <w:r>
        <w:rPr>
          <w:rFonts w:ascii="Times New Roman" w:cs="Times New Roman" w:eastAsia="Times New Roman" w:hAnsi="Times New Roman"/>
          <w:sz w:val="18"/>
          <w:szCs w:val="18"/>
          <w:color w:val="auto"/>
        </w:rPr>
        <w:t>AGGREGATE AMOUNT BENEFICIALLY OWNED BY EACH REPORTING PERSON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Borders>
              <w:bottom w:val="single" w:sz="8" w:color="auto"/>
            </w:tcBorders>
          </w:tcPr>
          <w:p>
            <w:pPr>
              <w:spacing w:after="0"/>
              <w:rPr>
                <w:sz w:val="21"/>
                <w:szCs w:val="21"/>
                <w:color w:val="auto"/>
              </w:rPr>
            </w:pPr>
          </w:p>
        </w:tc>
        <w:tc>
          <w:tcPr>
            <w:tcW w:w="10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1,493,625</w:t>
            </w:r>
          </w:p>
        </w:tc>
        <w:tc>
          <w:tcPr>
            <w:tcW w:w="0" w:type="dxa"/>
            <w:vAlign w:val="bottom"/>
          </w:tcPr>
          <w:p>
            <w:pPr>
              <w:spacing w:after="0"/>
              <w:rPr>
                <w:sz w:val="1"/>
                <w:szCs w:val="1"/>
                <w:color w:val="auto"/>
              </w:rPr>
            </w:pPr>
          </w:p>
        </w:tc>
      </w:tr>
      <w:tr>
        <w:trPr>
          <w:trHeight w:val="162"/>
        </w:trPr>
        <w:tc>
          <w:tcPr>
            <w:tcW w:w="68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b w:val="1"/>
                <w:bCs w:val="1"/>
                <w:color w:val="auto"/>
              </w:rPr>
              <w:t>10</w:t>
            </w:r>
          </w:p>
        </w:tc>
        <w:tc>
          <w:tcPr>
            <w:tcW w:w="10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10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68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ind w:left="99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68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b w:val="1"/>
                <w:bCs w:val="1"/>
                <w:color w:val="auto"/>
              </w:rPr>
              <w:t>11</w:t>
            </w:r>
          </w:p>
        </w:tc>
        <w:tc>
          <w:tcPr>
            <w:tcW w:w="10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10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68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rPr>
                <w:sz w:val="1"/>
                <w:szCs w:val="1"/>
                <w:color w:val="auto"/>
              </w:rPr>
            </w:pPr>
          </w:p>
        </w:tc>
      </w:tr>
      <w:tr>
        <w:trPr>
          <w:trHeight w:val="162"/>
        </w:trPr>
        <w:tc>
          <w:tcPr>
            <w:tcW w:w="68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b w:val="1"/>
                <w:bCs w:val="1"/>
                <w:color w:val="auto"/>
              </w:rPr>
              <w:t>12</w:t>
            </w:r>
          </w:p>
        </w:tc>
        <w:tc>
          <w:tcPr>
            <w:tcW w:w="10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10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680" w:type="dxa"/>
            <w:vAlign w:val="bottom"/>
          </w:tcPr>
          <w:p>
            <w:pPr>
              <w:spacing w:after="0"/>
              <w:rPr>
                <w:sz w:val="24"/>
                <w:szCs w:val="24"/>
                <w:color w:val="auto"/>
              </w:rPr>
            </w:pPr>
          </w:p>
        </w:tc>
        <w:tc>
          <w:tcPr>
            <w:tcW w:w="105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OO</w:t>
            </w:r>
          </w:p>
        </w:tc>
        <w:tc>
          <w:tcPr>
            <w:tcW w:w="0" w:type="dxa"/>
            <w:vAlign w:val="bottom"/>
          </w:tcPr>
          <w:p>
            <w:pPr>
              <w:spacing w:after="0"/>
              <w:rPr>
                <w:sz w:val="1"/>
                <w:szCs w:val="1"/>
                <w:color w:val="auto"/>
              </w:rPr>
            </w:pPr>
          </w:p>
        </w:tc>
      </w:tr>
      <w:tr>
        <w:trPr>
          <w:trHeight w:val="709"/>
        </w:trPr>
        <w:tc>
          <w:tcPr>
            <w:tcW w:w="68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92280L101</w:t>
            </w:r>
          </w:p>
        </w:tc>
        <w:tc>
          <w:tcPr>
            <w:tcW w:w="424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38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w w:val="98"/>
              </w:rPr>
              <w:t>Page 4 of 7 Pages</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4240" w:type="dxa"/>
            <w:vAlign w:val="bottom"/>
          </w:tcPr>
          <w:p>
            <w:pPr>
              <w:spacing w:after="0"/>
              <w:rPr>
                <w:sz w:val="24"/>
                <w:szCs w:val="24"/>
                <w:color w:val="auto"/>
              </w:rPr>
            </w:pPr>
          </w:p>
        </w:tc>
        <w:tc>
          <w:tcPr>
            <w:tcW w:w="3380" w:type="dxa"/>
            <w:vAlign w:val="bottom"/>
          </w:tcPr>
          <w:p>
            <w:pPr>
              <w:spacing w:after="0"/>
              <w:rPr>
                <w:sz w:val="24"/>
                <w:szCs w:val="24"/>
                <w:color w:val="auto"/>
              </w:rPr>
            </w:pPr>
          </w:p>
        </w:tc>
      </w:tr>
    </w:tbl>
    <w:p>
      <w:pPr>
        <w:spacing w:after="0" w:line="19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Name of Issuer: </w:t>
      </w:r>
      <w:r>
        <w:rPr>
          <w:rFonts w:ascii="Times New Roman" w:cs="Times New Roman" w:eastAsia="Times New Roman" w:hAnsi="Times New Roman"/>
          <w:sz w:val="18"/>
          <w:szCs w:val="18"/>
          <w:b w:val="1"/>
          <w:bCs w:val="1"/>
          <w:color w:val="auto"/>
        </w:rPr>
        <w:t>Ventoux CCM Acquisition Corp.</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East Putnam Avenue, Floor 4, Greenwich, CT 06830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7"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Jonas Grossman</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Chardan International Investments, LLC</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 Ventoux CCM Acquisition Corp.</w:t>
      </w:r>
    </w:p>
    <w:p>
      <w:pPr>
        <w:spacing w:after="0" w:line="31" w:lineRule="exact"/>
        <w:rPr>
          <w:rFonts w:ascii="Times New Roman" w:cs="Times New Roman" w:eastAsia="Times New Roman" w:hAnsi="Times New Roman"/>
          <w:sz w:val="18"/>
          <w:szCs w:val="18"/>
          <w:color w:val="auto"/>
        </w:rPr>
      </w:pPr>
    </w:p>
    <w:p>
      <w:pPr>
        <w:ind w:left="1300" w:right="7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East Putnam Avenue, Floor 4 Greenwich, CT 06830</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Jonas Grossman United States</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Chardan International Investments, LLC Delaware</w:t>
      </w:r>
    </w:p>
    <w:p>
      <w:pPr>
        <w:spacing w:after="0" w:line="20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Title of Class of Securities: </w:t>
      </w:r>
      <w:r>
        <w:rPr>
          <w:rFonts w:ascii="Times New Roman" w:cs="Times New Roman" w:eastAsia="Times New Roman" w:hAnsi="Times New Roman"/>
          <w:sz w:val="18"/>
          <w:szCs w:val="18"/>
          <w:b w:val="1"/>
          <w:bCs w:val="1"/>
          <w:color w:val="auto"/>
        </w:rPr>
        <w:t>Common Stock, $0.0001 par value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92280L101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 Ownership.</w:t>
      </w:r>
    </w:p>
    <w:p>
      <w:pPr>
        <w:spacing w:after="0" w:line="229"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Jonas Grossman 1,493,625 shares. Consists of shares owned by Chardan International Investments, LLC.</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Chardan International Investments, LLC 1,493,625 shares.</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Jonas Grossman 6.9%</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Chardan International Investments, LLC 6.9%</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foregoing percentages are based on 21,562,500 shares of common stock outstanding as of December 31, 2020.</w:t>
      </w:r>
    </w:p>
    <w:p>
      <w:pPr>
        <w:spacing w:after="0" w:line="229"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1" w:lineRule="exact"/>
        <w:rPr>
          <w:sz w:val="20"/>
          <w:szCs w:val="20"/>
          <w:color w:val="auto"/>
        </w:rPr>
      </w:pPr>
    </w:p>
    <w:p>
      <w:pPr>
        <w:ind w:left="1560" w:hanging="256"/>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Jonas Grossman 1,493,625</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Chardan International Investments, LLC 1,493,625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7 Pages</w:t>
      </w:r>
    </w:p>
    <w:p>
      <w:pPr>
        <w:spacing w:after="0" w:line="229" w:lineRule="exact"/>
        <w:rPr>
          <w:sz w:val="20"/>
          <w:szCs w:val="20"/>
          <w:color w:val="auto"/>
        </w:rPr>
      </w:pPr>
    </w:p>
    <w:p>
      <w:pPr>
        <w:ind w:left="1960" w:hanging="656"/>
        <w:spacing w:after="0"/>
        <w:tabs>
          <w:tab w:leader="none" w:pos="1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1" w:lineRule="exact"/>
        <w:rPr>
          <w:sz w:val="20"/>
          <w:szCs w:val="20"/>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Jonas Grossman 0</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Chardan International Investments, LLC 0</w:t>
      </w:r>
    </w:p>
    <w:p>
      <w:pPr>
        <w:spacing w:after="0" w:line="207" w:lineRule="exact"/>
        <w:rPr>
          <w:sz w:val="20"/>
          <w:szCs w:val="20"/>
          <w:color w:val="auto"/>
        </w:rPr>
      </w:pPr>
    </w:p>
    <w:p>
      <w:pPr>
        <w:ind w:left="1960" w:hanging="656"/>
        <w:spacing w:after="0"/>
        <w:tabs>
          <w:tab w:leader="none" w:pos="1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1" w:lineRule="exact"/>
        <w:rPr>
          <w:sz w:val="20"/>
          <w:szCs w:val="20"/>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Jonas Grossman 1,493,625</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Chardan International Investments, LLC 1,493,625</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w:t>
      </w:r>
    </w:p>
    <w:p>
      <w:pPr>
        <w:spacing w:after="0" w:line="221" w:lineRule="exact"/>
        <w:rPr>
          <w:sz w:val="20"/>
          <w:szCs w:val="20"/>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Jonas Grossman 0</w:t>
      </w:r>
    </w:p>
    <w:p>
      <w:pPr>
        <w:spacing w:after="0" w:line="3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Chardan International Investments, LLC 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color w:val="auto"/>
        </w:rPr>
        <w:t>Ownership of Five Percent or Less of a Class:</w:t>
      </w:r>
      <w:r>
        <w:rPr>
          <w:rFonts w:ascii="Times New Roman" w:cs="Times New Roman" w:eastAsia="Times New Roman" w:hAnsi="Times New Roman"/>
          <w:sz w:val="18"/>
          <w:szCs w:val="18"/>
          <w:b w:val="1"/>
          <w:bCs w:val="1"/>
          <w:color w:val="auto"/>
        </w:rPr>
        <w:t xml:space="preserve">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Ownership of More than Five Percent on Behalf of Another Person:</w:t>
      </w:r>
      <w:r>
        <w:rPr>
          <w:rFonts w:ascii="Times New Roman" w:cs="Times New Roman" w:eastAsia="Times New Roman" w:hAnsi="Times New Roman"/>
          <w:sz w:val="18"/>
          <w:szCs w:val="18"/>
          <w:b w:val="1"/>
          <w:bCs w:val="1"/>
          <w:color w:val="auto"/>
        </w:rPr>
        <w:t xml:space="preserve">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color w:val="auto"/>
        </w:rPr>
        <w:t>Identification and Classification of Subsidiary Which Acquired the Securities:</w:t>
      </w:r>
      <w:r>
        <w:rPr>
          <w:rFonts w:ascii="Times New Roman" w:cs="Times New Roman" w:eastAsia="Times New Roman" w:hAnsi="Times New Roman"/>
          <w:sz w:val="18"/>
          <w:szCs w:val="18"/>
          <w:b w:val="1"/>
          <w:bCs w:val="1"/>
          <w:color w:val="auto"/>
        </w:rPr>
        <w:t xml:space="preserve">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color w:val="auto"/>
        </w:rPr>
        <w:t>Identification and Classification of Members of the Group:</w:t>
      </w:r>
      <w:r>
        <w:rPr>
          <w:rFonts w:ascii="Times New Roman" w:cs="Times New Roman" w:eastAsia="Times New Roman" w:hAnsi="Times New Roman"/>
          <w:sz w:val="18"/>
          <w:szCs w:val="18"/>
          <w:b w:val="1"/>
          <w:bCs w:val="1"/>
          <w:color w:val="auto"/>
        </w:rPr>
        <w:t xml:space="preserve">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color w:val="auto"/>
        </w:rPr>
        <w:t>Notice of Dissolution of Group:</w:t>
      </w:r>
      <w:r>
        <w:rPr>
          <w:rFonts w:ascii="Times New Roman" w:cs="Times New Roman" w:eastAsia="Times New Roman" w:hAnsi="Times New Roman"/>
          <w:sz w:val="18"/>
          <w:szCs w:val="18"/>
          <w:b w:val="1"/>
          <w:bCs w:val="1"/>
          <w:color w:val="auto"/>
        </w:rPr>
        <w:t xml:space="preserve">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color w:val="auto"/>
        </w:rPr>
        <w:t>Certifications:</w:t>
      </w:r>
      <w:r>
        <w:rPr>
          <w:rFonts w:ascii="Times New Roman" w:cs="Times New Roman" w:eastAsia="Times New Roman" w:hAnsi="Times New Roman"/>
          <w:sz w:val="18"/>
          <w:szCs w:val="18"/>
          <w:b w:val="1"/>
          <w:bCs w:val="1"/>
          <w:color w:val="auto"/>
        </w:rPr>
        <w:t xml:space="preserv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7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2021</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Jonas Grossman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CHARDAN INTERNATIONAL INVESTMENTS, LLC</w:t>
      </w:r>
    </w:p>
    <w:p>
      <w:pPr>
        <w:spacing w:after="0" w:line="225"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36"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Name:</w:t>
        <w:tab/>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92280L101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In accordance with Rule 13d-1(k) under the Securities Exchange Act of 1934, as amended, the undersigned agree to the joint filing on behalf of each of them of a Statement on Schedule 13G (including any and all amendments thereto) with respect to the common stock, $0.0001 par value, of Ventoux CCM Acquisition Corp., a Delaware corporation, and further agree that this Joint Filing Agreement shall be included as an Exhibit to such joint filings.</w:t>
      </w:r>
    </w:p>
    <w:p>
      <w:pPr>
        <w:spacing w:after="0" w:line="158"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0"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signed in counterparts with the same effect as if the signature on each counterpart were upon the same instrument.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February 11, 2021.</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Jonas Grossman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CHARDAN INTERNATIONAL INVESTMENTS, LLC</w:t>
      </w:r>
    </w:p>
    <w:p>
      <w:pPr>
        <w:spacing w:after="0" w:line="225"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36"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Name:</w:t>
        <w:tab/>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3"/>
      <w:numFmt w:val="bullet"/>
      <w:start w:val="1"/>
    </w:lvl>
  </w:abstractNum>
  <w:abstractNum w:abstractNumId="3">
    <w:nsid w:val="66EF438D"/>
    <w:multiLevelType w:val="hybridMultilevel"/>
    <w:lvl w:ilvl="0">
      <w:lvlJc w:val="left"/>
      <w:lvlText w:val="4"/>
      <w:numFmt w:val="bullet"/>
      <w:start w:val="1"/>
    </w:lvl>
  </w:abstractNum>
  <w:abstractNum w:abstractNumId="4">
    <w:nsid w:val="140E0F76"/>
    <w:multiLevelType w:val="hybridMultilevel"/>
    <w:lvl w:ilvl="0">
      <w:lvlJc w:val="left"/>
      <w:lvlText w:val="5"/>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4"/>
      <w:numFmt w:val="bullet"/>
      <w:start w:val="1"/>
    </w:lvl>
  </w:abstractNum>
  <w:abstractNum w:abstractNumId="8">
    <w:nsid w:val="7FDCC233"/>
    <w:multiLevelType w:val="hybridMultilevel"/>
    <w:lvl w:ilvl="0">
      <w:lvlJc w:val="left"/>
      <w:lvlText w:val="5"/>
      <w:numFmt w:val="bullet"/>
      <w:start w:val="1"/>
    </w:lvl>
  </w:abstractNum>
  <w:abstractNum w:abstractNumId="9">
    <w:nsid w:val="1BEFD79F"/>
    <w:multiLevelType w:val="hybridMultilevel"/>
    <w:lvl w:ilvl="0">
      <w:lvlJc w:val="left"/>
      <w:lvlText w:val="9"/>
      <w:numFmt w:val="bullet"/>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lvl w:ilvl="1">
      <w:lvlJc w:val="left"/>
      <w:lvlText w:val="(%2)"/>
      <w:numFmt w:val="lowerRoman"/>
      <w:start w:val="1"/>
    </w:lvl>
  </w:abstractNum>
  <w:abstractNum w:abstractNumId="12">
    <w:nsid w:val="4E6AFB66"/>
    <w:multiLevelType w:val="hybridMultilevel"/>
    <w:lvl w:ilvl="0">
      <w:lvlJc w:val="left"/>
      <w:lvlText w:val="(%1)"/>
      <w:numFmt w:val="lowerLetter"/>
      <w:start w:val="1"/>
    </w:lvl>
    <w:lvl w:ilvl="1">
      <w:lvlJc w:val="left"/>
      <w:lvlText w:val="(%2)"/>
      <w:numFmt w:val="lowerRoman"/>
      <w:start w:val="1"/>
    </w:lvl>
  </w:abstractNum>
  <w:abstractNum w:abstractNumId="13">
    <w:nsid w:val="25E45D32"/>
    <w:multiLevelType w:val="hybridMultilevel"/>
    <w:lvl w:ilvl="0">
      <w:lvlJc w:val="left"/>
      <w:lvlText w:val="(%1)"/>
      <w:numFmt w:val="lowerLetter"/>
      <w:start w:val="3"/>
    </w:lvl>
    <w:lvl w:ilvl="1">
      <w:lvlJc w:val="left"/>
      <w:lvlText w:val="(%2)"/>
      <w:numFmt w:val="lowerLetter"/>
      <w:start w:val="9"/>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Roman"/>
      <w:start w:val="2"/>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Roman"/>
      <w:start w:val="3"/>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2021-02-12T05:27:00Z</dcterms:created>
  <dcterms:modified xsi:type="dcterms:W3CDTF">2021-02-12T05:27:00Z</dcterms:modified>
</cp:coreProperties>
</file>