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30,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Ventoux CCM Acquisition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50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1"/>
              </w:rPr>
              <w:t>Delaware</w:t>
            </w:r>
          </w:p>
        </w:tc>
        <w:tc>
          <w:tcPr>
            <w:tcW w:w="3040" w:type="dxa"/>
            <w:vAlign w:val="bottom"/>
            <w:gridSpan w:val="3"/>
          </w:tcPr>
          <w:p>
            <w:pPr>
              <w:jc w:val="right"/>
              <w:ind w:right="1460"/>
              <w:spacing w:after="0"/>
              <w:rPr>
                <w:sz w:val="20"/>
                <w:szCs w:val="20"/>
                <w:color w:val="auto"/>
              </w:rPr>
            </w:pPr>
            <w:r>
              <w:rPr>
                <w:rFonts w:ascii="Arial" w:cs="Arial" w:eastAsia="Arial" w:hAnsi="Arial"/>
                <w:sz w:val="18"/>
                <w:szCs w:val="18"/>
                <w:b w:val="1"/>
                <w:bCs w:val="1"/>
                <w:color w:val="auto"/>
              </w:rPr>
              <w:t>001-39830</w:t>
            </w:r>
          </w:p>
        </w:tc>
        <w:tc>
          <w:tcPr>
            <w:tcW w:w="1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84-2968594</w:t>
            </w:r>
          </w:p>
        </w:tc>
      </w:tr>
      <w:tr>
        <w:trPr>
          <w:trHeight w:val="202"/>
        </w:trPr>
        <w:tc>
          <w:tcPr>
            <w:tcW w:w="37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1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40" w:type="dxa"/>
            <w:vAlign w:val="bottom"/>
            <w:tcBorders>
              <w:top w:val="single" w:sz="8" w:color="auto"/>
            </w:tcBorders>
            <w:gridSpan w:val="3"/>
          </w:tcPr>
          <w:p>
            <w:pPr>
              <w:jc w:val="center"/>
              <w:ind w:right="660"/>
              <w:spacing w:after="0" w:line="201" w:lineRule="exact"/>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500" w:type="dxa"/>
            <w:vAlign w:val="bottom"/>
            <w:gridSpan w:val="3"/>
          </w:tcPr>
          <w:p>
            <w:pPr>
              <w:jc w:val="center"/>
              <w:ind w:right="760"/>
              <w:spacing w:after="0"/>
              <w:rPr>
                <w:sz w:val="20"/>
                <w:szCs w:val="20"/>
                <w:color w:val="auto"/>
              </w:rPr>
            </w:pPr>
            <w:r>
              <w:rPr>
                <w:rFonts w:ascii="Arial" w:cs="Arial" w:eastAsia="Arial" w:hAnsi="Arial"/>
                <w:sz w:val="18"/>
                <w:szCs w:val="18"/>
                <w:color w:val="auto"/>
                <w:w w:val="93"/>
              </w:rPr>
              <w:t>of incorporation)</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50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90"/>
              </w:rPr>
              <w:t>1 East Putnam Avenue, Floor 4</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500" w:type="dxa"/>
            <w:vAlign w:val="bottom"/>
            <w:tcBorders>
              <w:bottom w:val="single" w:sz="8" w:color="auto"/>
            </w:tcBorders>
            <w:gridSpan w:val="3"/>
          </w:tcPr>
          <w:p>
            <w:pPr>
              <w:jc w:val="center"/>
              <w:ind w:left="1070"/>
              <w:spacing w:after="0"/>
              <w:rPr>
                <w:sz w:val="20"/>
                <w:szCs w:val="20"/>
                <w:color w:val="auto"/>
              </w:rPr>
            </w:pPr>
            <w:r>
              <w:rPr>
                <w:rFonts w:ascii="Arial" w:cs="Arial" w:eastAsia="Arial" w:hAnsi="Arial"/>
                <w:sz w:val="18"/>
                <w:szCs w:val="18"/>
                <w:b w:val="1"/>
                <w:bCs w:val="1"/>
                <w:color w:val="auto"/>
                <w:w w:val="93"/>
              </w:rPr>
              <w:t>Greenwich, CT</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06830</w:t>
            </w:r>
          </w:p>
        </w:tc>
      </w:tr>
      <w:tr>
        <w:trPr>
          <w:trHeight w:val="230"/>
        </w:trPr>
        <w:tc>
          <w:tcPr>
            <w:tcW w:w="4500" w:type="dxa"/>
            <w:vAlign w:val="bottom"/>
            <w:gridSpan w:val="3"/>
          </w:tcPr>
          <w:p>
            <w:pPr>
              <w:jc w:val="center"/>
              <w:ind w:left="1070"/>
              <w:spacing w:after="0"/>
              <w:rPr>
                <w:sz w:val="20"/>
                <w:szCs w:val="20"/>
                <w:color w:val="auto"/>
              </w:rPr>
            </w:pPr>
            <w:r>
              <w:rPr>
                <w:rFonts w:ascii="Arial" w:cs="Arial" w:eastAsia="Arial" w:hAnsi="Arial"/>
                <w:sz w:val="18"/>
                <w:szCs w:val="18"/>
                <w:color w:val="auto"/>
                <w:w w:val="92"/>
              </w:rPr>
              <w:t>(Address of Principal Executive Offices)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465-9000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right="45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41"/>
        </w:trPr>
        <w:tc>
          <w:tcPr>
            <w:tcW w:w="3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16"/>
        </w:trPr>
        <w:tc>
          <w:tcPr>
            <w:tcW w:w="3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VTAQ</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8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Warrants</w:t>
            </w:r>
          </w:p>
        </w:tc>
        <w:tc>
          <w:tcPr>
            <w:tcW w:w="38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VTAQW</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Rights</w:t>
            </w:r>
          </w:p>
        </w:tc>
        <w:tc>
          <w:tcPr>
            <w:tcW w:w="3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VTAQR</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Units</w:t>
            </w:r>
          </w:p>
        </w:tc>
        <w:tc>
          <w:tcPr>
            <w:tcW w:w="38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VTAQU</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included in Item 8.01 is incorporated into this Item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previously disclosed on a Current Report on Form 8-K filed December 31, 2020, on December 23, 2020, Ventoux CCM Acquisition Corp. (the “Company”) consummated its initial public offering (“IPO”) of 15,000,000 units (the “Units”). Each Unit consists of one share of common stock, $0.0001 par value (“Common Stock”), one right entitling the holder thereof to receive one-twentieth (1/20) of one share of Common Stock upon the consummation of an initial business combination, and one warrant entitling the holder thereof to purchase one-half (1/2) of one share of Common Stock at a price of $11.50 per whole share. The Units were sold at an offering price of $10.00 per Unit, generating gross proceeds of $150,000,000.</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30, 2020, a total of $151,500,000 of the net proceeds from the IPO and the private placement consummated simultaneously with the closing of the IPO were deposited in a trust account established for the benefit of the Company’s public stockholders (the “Trust Account”). An audited balance sheet as of December 30, 2020 reflecting receipt of the proceeds upon consummation of the IPO and the private placement on December 30, 2020 is included with this report as Exhibit 99.1.</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also previously disclosed, on December 29, 2020, the underwriters exercised their over-allotment option in full. The closing of the issuance and sale of the additional Units (the “Over-Allotment Option Units”) occurred on January 5, 2021. The total aggregate issuance by the Company of 2,250,000 Units at a price of $10.00 per Unit resulted in total gross proceeds of $22,500,000. On January 5, 2021, simultaneously with the sale of the Over-Allotment Option Units, the Company consummated the private sale of an additional 675,000 private warrants, generating gross proceeds of $675,000. The private warrants were issued pursuant to Section 4(a)(2) of the Securities Act of 1933, as amended, as the transactions did not involve a public offering.</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total of $174,225,000 of the net proceeds from the sale of the Units in the initial public offering (including the Over-Allotment Option Units) and the private placements on December 30, 2020 and January 5, 2021, were placed in the Trust Account. Included with this report as Exhibit 99.2 is a pro-forma balance sheet reflecting the exercise of the over-allotment option.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Borders>
              <w:top w:val="single" w:sz="8" w:color="auto"/>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u w:val="single" w:color="auto"/>
                  <w:color w:val="0000EE"/>
                </w:rPr>
                <w:t>Balance Sheet dated December 30, 2020</w:t>
              </w:r>
              <w:r>
                <w:rPr>
                  <w:rFonts w:ascii="Arial" w:cs="Arial" w:eastAsia="Arial" w:hAnsi="Arial"/>
                  <w:sz w:val="18"/>
                  <w:szCs w:val="18"/>
                  <w:color w:val="0000EE"/>
                </w:rPr>
                <w:t>.</w:t>
              </w:r>
            </w:hyperlink>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0"/>
                <w:szCs w:val="20"/>
                <w:color w:val="auto"/>
              </w:rPr>
            </w:pPr>
          </w:p>
        </w:tc>
        <w:tc>
          <w:tcPr>
            <w:tcW w:w="10100" w:type="dxa"/>
            <w:vAlign w:val="bottom"/>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Pro-Forma Balance Sheet dated January 5, 2020.</w:t>
              </w:r>
            </w:hyperlink>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VENTOUX CCM ACQUISITION CORP.</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Scheetz</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120" w:type="dxa"/>
            <w:vAlign w:val="bottom"/>
          </w:tcPr>
          <w:p>
            <w:pPr>
              <w:spacing w:after="0"/>
              <w:rPr>
                <w:sz w:val="20"/>
                <w:szCs w:val="20"/>
                <w:color w:val="auto"/>
              </w:rPr>
            </w:pPr>
          </w:p>
        </w:tc>
        <w:tc>
          <w:tcPr>
            <w:tcW w:w="1120" w:type="dxa"/>
            <w:vAlign w:val="bottom"/>
          </w:tcPr>
          <w:p>
            <w:pPr>
              <w:ind w:left="200"/>
              <w:spacing w:after="0"/>
              <w:rPr>
                <w:sz w:val="20"/>
                <w:szCs w:val="20"/>
                <w:color w:val="auto"/>
              </w:rPr>
            </w:pPr>
            <w:r>
              <w:rPr>
                <w:rFonts w:ascii="Arial" w:cs="Arial" w:eastAsia="Arial" w:hAnsi="Arial"/>
                <w:sz w:val="18"/>
                <w:szCs w:val="18"/>
                <w:b w:val="1"/>
                <w:bCs w:val="1"/>
                <w:color w:val="auto"/>
                <w:w w:val="89"/>
              </w:rPr>
              <w:t>Exhibit 99.1</w:t>
            </w:r>
          </w:p>
        </w:tc>
      </w:tr>
      <w:tr>
        <w:trPr>
          <w:trHeight w:val="432"/>
        </w:trPr>
        <w:tc>
          <w:tcPr>
            <w:tcW w:w="10120" w:type="dxa"/>
            <w:vAlign w:val="bottom"/>
          </w:tcPr>
          <w:p>
            <w:pPr>
              <w:ind w:left="4000"/>
              <w:spacing w:after="0"/>
              <w:rPr>
                <w:sz w:val="20"/>
                <w:szCs w:val="20"/>
                <w:color w:val="auto"/>
              </w:rPr>
            </w:pPr>
            <w:r>
              <w:rPr>
                <w:rFonts w:ascii="Arial" w:cs="Arial" w:eastAsia="Arial" w:hAnsi="Arial"/>
                <w:sz w:val="18"/>
                <w:szCs w:val="18"/>
                <w:b w:val="1"/>
                <w:bCs w:val="1"/>
                <w:color w:val="auto"/>
              </w:rPr>
              <w:t>VENTOUX CCM ACQUISITION CORP.</w:t>
            </w:r>
          </w:p>
        </w:tc>
        <w:tc>
          <w:tcPr>
            <w:tcW w:w="1120" w:type="dxa"/>
            <w:vAlign w:val="bottom"/>
          </w:tcPr>
          <w:p>
            <w:pPr>
              <w:spacing w:after="0"/>
              <w:rPr>
                <w:sz w:val="24"/>
                <w:szCs w:val="24"/>
                <w:color w:val="auto"/>
              </w:rPr>
            </w:pPr>
          </w:p>
        </w:tc>
      </w:tr>
      <w:tr>
        <w:trPr>
          <w:trHeight w:val="432"/>
        </w:trPr>
        <w:tc>
          <w:tcPr>
            <w:tcW w:w="10120" w:type="dxa"/>
            <w:vAlign w:val="bottom"/>
          </w:tcPr>
          <w:p>
            <w:pPr>
              <w:ind w:left="4080"/>
              <w:spacing w:after="0"/>
              <w:rPr>
                <w:sz w:val="20"/>
                <w:szCs w:val="20"/>
                <w:color w:val="auto"/>
              </w:rPr>
            </w:pPr>
            <w:r>
              <w:rPr>
                <w:rFonts w:ascii="Arial" w:cs="Arial" w:eastAsia="Arial" w:hAnsi="Arial"/>
                <w:sz w:val="18"/>
                <w:szCs w:val="18"/>
                <w:b w:val="1"/>
                <w:bCs w:val="1"/>
                <w:color w:val="auto"/>
              </w:rPr>
              <w:t>INDEX TO FINANCIAL STATEMENT</w:t>
            </w:r>
          </w:p>
        </w:tc>
        <w:tc>
          <w:tcPr>
            <w:tcW w:w="1120" w:type="dxa"/>
            <w:vAlign w:val="bottom"/>
          </w:tcPr>
          <w:p>
            <w:pPr>
              <w:spacing w:after="0"/>
              <w:rPr>
                <w:sz w:val="24"/>
                <w:szCs w:val="24"/>
                <w:color w:val="auto"/>
              </w:rPr>
            </w:pPr>
          </w:p>
        </w:tc>
      </w:tr>
      <w:tr>
        <w:trPr>
          <w:trHeight w:val="453"/>
        </w:trPr>
        <w:tc>
          <w:tcPr>
            <w:tcW w:w="10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F-2</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Financial Statement:</w:t>
            </w:r>
          </w:p>
        </w:tc>
        <w:tc>
          <w:tcPr>
            <w:tcW w:w="1120" w:type="dxa"/>
            <w:vAlign w:val="bottom"/>
          </w:tcPr>
          <w:p>
            <w:pPr>
              <w:spacing w:after="0"/>
              <w:rPr>
                <w:sz w:val="18"/>
                <w:szCs w:val="18"/>
                <w:color w:val="auto"/>
              </w:rPr>
            </w:pP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Balance Sheet as of December 30, 2020</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F-3</w:t>
            </w:r>
          </w:p>
        </w:tc>
      </w:tr>
      <w:tr>
        <w:trPr>
          <w:trHeight w:val="230"/>
        </w:trPr>
        <w:tc>
          <w:tcPr>
            <w:tcW w:w="10120" w:type="dxa"/>
            <w:vAlign w:val="bottom"/>
          </w:tcPr>
          <w:p>
            <w:pPr>
              <w:spacing w:after="0"/>
              <w:rPr>
                <w:sz w:val="20"/>
                <w:szCs w:val="20"/>
                <w:color w:val="auto"/>
              </w:rPr>
            </w:pPr>
            <w:r>
              <w:rPr>
                <w:rFonts w:ascii="Arial" w:cs="Arial" w:eastAsia="Arial" w:hAnsi="Arial"/>
                <w:sz w:val="18"/>
                <w:szCs w:val="18"/>
                <w:color w:val="auto"/>
              </w:rPr>
              <w:t>Notes to Financial Statement</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F-4</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Ventoux CCM Acquisition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audited the accompanying balance sheet of Ventoux CCM Acquisition Corp. (the “Company”) as of December 30, 2020, and the related notes (collectively referred to as the “financial statement”). In our opinion, the financial statement presents fairly, in all material respects, the financial position of the Company as of December 30, 2020, in conformity with accounting principles generally accepted in the United States of America.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8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6, 2021</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ind w:left="1900"/>
        <w:spacing w:after="0"/>
        <w:rPr>
          <w:sz w:val="20"/>
          <w:szCs w:val="20"/>
          <w:color w:val="auto"/>
        </w:rPr>
      </w:pPr>
      <w:r>
        <w:rPr>
          <w:rFonts w:ascii="Arial" w:cs="Arial" w:eastAsia="Arial" w:hAnsi="Arial"/>
          <w:sz w:val="18"/>
          <w:szCs w:val="18"/>
          <w:b w:val="1"/>
          <w:bCs w:val="1"/>
          <w:color w:val="auto"/>
        </w:rPr>
        <w:t>VENTOUX CCM ACQUISITION CORP.</w:t>
      </w:r>
    </w:p>
    <w:p>
      <w:pPr>
        <w:spacing w:after="0" w:line="225" w:lineRule="exact"/>
        <w:rPr>
          <w:sz w:val="20"/>
          <w:szCs w:val="20"/>
          <w:color w:val="auto"/>
        </w:rPr>
      </w:pPr>
    </w:p>
    <w:p>
      <w:pPr>
        <w:jc w:val="center"/>
        <w:ind w:left="1900"/>
        <w:spacing w:after="0"/>
        <w:rPr>
          <w:sz w:val="20"/>
          <w:szCs w:val="20"/>
          <w:color w:val="auto"/>
        </w:rPr>
      </w:pPr>
      <w:r>
        <w:rPr>
          <w:rFonts w:ascii="Arial" w:cs="Arial" w:eastAsia="Arial" w:hAnsi="Arial"/>
          <w:sz w:val="18"/>
          <w:szCs w:val="18"/>
          <w:b w:val="1"/>
          <w:bCs w:val="1"/>
          <w:color w:val="auto"/>
        </w:rPr>
        <w:t>BALANCE SHEET</w:t>
      </w:r>
    </w:p>
    <w:p>
      <w:pPr>
        <w:spacing w:after="0" w:line="27" w:lineRule="exact"/>
        <w:rPr>
          <w:sz w:val="20"/>
          <w:szCs w:val="20"/>
          <w:color w:val="auto"/>
        </w:rPr>
      </w:pPr>
    </w:p>
    <w:p>
      <w:pPr>
        <w:jc w:val="center"/>
        <w:ind w:left="1900"/>
        <w:spacing w:after="0"/>
        <w:rPr>
          <w:sz w:val="20"/>
          <w:szCs w:val="20"/>
          <w:color w:val="auto"/>
        </w:rPr>
      </w:pPr>
      <w:r>
        <w:rPr>
          <w:rFonts w:ascii="Arial" w:cs="Arial" w:eastAsia="Arial" w:hAnsi="Arial"/>
          <w:sz w:val="18"/>
          <w:szCs w:val="18"/>
          <w:b w:val="1"/>
          <w:bCs w:val="1"/>
          <w:color w:val="auto"/>
        </w:rPr>
        <w:t>DECEMBER 30,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Cash</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Current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Advance from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Promissory note – related party</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Common stock subject to possible redemption, 14,602,024 shares at redemption value at $10.10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Common stock, $0.0001 par value; 50,000,000 shares authorized; 4,710,476 issued and outstanding (excluding 14,602,024 shares</w:t>
      </w:r>
    </w:p>
    <w:p>
      <w:pPr>
        <w:ind w:left="180"/>
        <w:spacing w:after="0" w:line="208" w:lineRule="auto"/>
        <w:rPr>
          <w:sz w:val="20"/>
          <w:szCs w:val="20"/>
          <w:color w:val="auto"/>
        </w:rPr>
      </w:pPr>
      <w:r>
        <w:rPr>
          <w:rFonts w:ascii="Arial" w:cs="Arial" w:eastAsia="Arial" w:hAnsi="Arial"/>
          <w:sz w:val="18"/>
          <w:szCs w:val="18"/>
          <w:color w:val="auto"/>
        </w:rPr>
        <w:t xml:space="preserve">subject to possible redemption) </w:t>
      </w:r>
      <w:r>
        <w:rPr>
          <w:rFonts w:ascii="Arial" w:cs="Arial" w:eastAsia="Arial" w:hAnsi="Arial"/>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Additional paid-in capital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Accumulated deficit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0" w:hanging="395"/>
        <w:spacing w:after="0"/>
        <w:tabs>
          <w:tab w:leader="none" w:pos="400" w:val="left"/>
        </w:tabs>
        <w:numPr>
          <w:ilvl w:val="0"/>
          <w:numId w:val="2"/>
        </w:numPr>
        <w:rPr>
          <w:rFonts w:ascii="Arial" w:cs="Arial" w:eastAsia="Arial" w:hAnsi="Arial"/>
          <w:sz w:val="17"/>
          <w:szCs w:val="17"/>
          <w:color w:val="auto"/>
        </w:rPr>
      </w:pPr>
      <w:r>
        <w:rPr>
          <w:rFonts w:ascii="Arial" w:cs="Arial" w:eastAsia="Arial" w:hAnsi="Arial"/>
          <w:sz w:val="17"/>
          <w:szCs w:val="17"/>
          <w:color w:val="auto"/>
        </w:rPr>
        <w:t>1,223,065</w:t>
      </w:r>
    </w:p>
    <w:p>
      <w:pPr>
        <w:spacing w:after="0" w:line="34"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8"/>
          <w:szCs w:val="18"/>
          <w:color w:val="auto"/>
        </w:rPr>
        <w:t>29,200</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1,252,265</w:t>
      </w:r>
    </w:p>
    <w:p>
      <w:pPr>
        <w:spacing w:after="0" w:line="25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151,500,000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$ 152,752,265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0" w:hanging="51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120,005</w:t>
      </w:r>
    </w:p>
    <w:p>
      <w:pPr>
        <w:spacing w:after="0" w:line="23"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151,812</w:t>
      </w:r>
    </w:p>
    <w:p>
      <w:pPr>
        <w:spacing w:after="0" w:line="35"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271,817</w:t>
      </w:r>
    </w:p>
    <w:p>
      <w:pPr>
        <w:spacing w:after="0" w:line="234"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b w:val="1"/>
          <w:bCs w:val="1"/>
          <w:color w:val="auto"/>
        </w:rPr>
        <w:t>271,817</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147,480,442</w:t>
      </w:r>
    </w:p>
    <w:p>
      <w:pPr>
        <w:spacing w:after="0" w:line="200" w:lineRule="exact"/>
        <w:rPr>
          <w:sz w:val="20"/>
          <w:szCs w:val="20"/>
          <w:color w:val="auto"/>
        </w:rPr>
      </w:pPr>
    </w:p>
    <w:p>
      <w:pPr>
        <w:spacing w:after="0" w:line="249"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w:t>
      </w:r>
    </w:p>
    <w:p>
      <w:pPr>
        <w:spacing w:after="0" w:line="27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471</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5,001,070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(1,535)</w:t>
      </w:r>
    </w:p>
    <w:p>
      <w:pPr>
        <w:spacing w:after="0" w:line="31"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5,000,006</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$ 152,752,265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60" w:space="660"/>
            <w:col w:w="1220"/>
          </w:cols>
          <w:pgMar w:left="320" w:top="904" w:right="339" w:bottom="1440" w:gutter="0" w:footer="0" w:header="0"/>
        </w:sectPr>
      </w:pPr>
    </w:p>
    <w:p>
      <w:pPr>
        <w:spacing w:after="0" w:line="97" w:lineRule="exact"/>
        <w:rPr>
          <w:sz w:val="20"/>
          <w:szCs w:val="20"/>
          <w:color w:val="auto"/>
        </w:rPr>
      </w:pPr>
    </w:p>
    <w:p>
      <w:pPr>
        <w:jc w:val="both"/>
        <w:ind w:left="340" w:hanging="332"/>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December 30, 2020, included an aggregate of 562,500 shares of common stock which were subject to forfeiture to the extent that the underwriters’ over-allotment option were not exercised in full or in part. Upon the exercise of the underwriters’ over-allotment option on December 29, 2020, no shares remain subject to forfeiture (see Note 8).</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financial statement.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6" w:name="page7"/>
    <w:bookmarkEnd w:id="6"/>
    <w:p>
      <w:pPr>
        <w:ind w:left="400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FINANCIAL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PLAN OF BUSINESS OPERATIONS</w:t>
      </w:r>
    </w:p>
    <w:p>
      <w:pPr>
        <w:spacing w:after="0" w:line="22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Ventoux CCM Acquisition Corp. (formerly known as Chardan Global Acquisition Corp.) (the “Company”) was incorporated in Delaware on July 10, 2019. The Company was formed for the purpose of entering into a merger, share exchange, asset acquisition, stock purchase, recapitalization, reorganization or other similar business transaction with one or more businesses or entities that the Company has not yet identified (a “Business Combination”).</w:t>
      </w:r>
    </w:p>
    <w:p>
      <w:pPr>
        <w:spacing w:after="0" w:line="18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84"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As of December 30, 2020, the Company had not commenced any operations. All activity through December 30, 2020 relates to the Company’s formation and the proposed initial public offering (“Initial Public Offering”), which is described below. The Company will not generate any operating revenues until after the completion of a Business Combination, at the earliest. The Company will generate non-operating income in the form of interest income from the proceeds derived from the Initial Public Offering.</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registration statement for the Company’s Initial Public Offering was declared effective on December 23, 2020. On December 30, 2020, the Company consummated the Initial Public Offering of 15,000,000 Units (the “Units” and, with respect to the shares of common stock included in the Units sold, the “Public Shares”), at $10.00 per Unit, generating gross proceeds of $150,000,000, which is described in Note 3.</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Simultaneously with the closing of the Initial Public Offering, the Company consummated the sale of 6,000,000 warrants (the “Private Warrants”) at a price of $1.00 per Private Warrant in a private placement to Ventoux Acquisition Holdings LLC (“Ventoux Acquisition”), the co-sponsor and an affiliate of certain of the Company’s directors, and Chardan International Investments, LLC (“Chardan Investments”), the co-sponsor and an affiliate of certain of the Company’s directors of Chardan Capital Markets, LLC, generating gross proceeds of $6,000,000, which is described in Note 4.</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Transaction costs amounted to $3,543,017, consisting of $3,000,000 in cash underwriting fees and $543,017 of other offering costs. In addition, as of December 30, 2020, cash of $1,223,065 was held outside of the Trust Account (as defined below) and is available for the payment of offering costs and for working capital purposes.</w:t>
      </w:r>
    </w:p>
    <w:p>
      <w:pPr>
        <w:spacing w:after="0" w:line="184" w:lineRule="exact"/>
        <w:rPr>
          <w:sz w:val="20"/>
          <w:szCs w:val="20"/>
          <w:color w:val="auto"/>
        </w:rPr>
      </w:pPr>
    </w:p>
    <w:p>
      <w:pPr>
        <w:jc w:val="both"/>
        <w:ind w:right="20" w:firstLine="324"/>
        <w:spacing w:after="0" w:line="255" w:lineRule="auto"/>
        <w:rPr>
          <w:sz w:val="20"/>
          <w:szCs w:val="20"/>
          <w:color w:val="auto"/>
        </w:rPr>
      </w:pPr>
      <w:r>
        <w:rPr>
          <w:rFonts w:ascii="Arial" w:cs="Arial" w:eastAsia="Arial" w:hAnsi="Arial"/>
          <w:sz w:val="18"/>
          <w:szCs w:val="18"/>
          <w:color w:val="auto"/>
        </w:rPr>
        <w:t>Following the closing of the Initial Public Offering on December 30, 2020, an amount of $151,500,000 ($10.10 per Unit) from the net proceeds of the sale of the Units in the Initial Public Offering and the sale of the Private Warrants was placed in a trust account (the “Trust Account”), to be invested in U.S. government securities, within the meaning set forth in Section 2(a)(16) of the Investment Company Act of 1940, as amended (the “Investment Company Act”), with a maturity of 183 days or less or in any open-ended investment company that holds itself out as a money market fund meeting the conditions of Rule 2a-7 of the Investment Company Act, as determined by the Company, until the earlier of: (i) the consummation of a Business Combination or (ii) the distribution of the funds in the Trust Account as described below.</w:t>
      </w:r>
    </w:p>
    <w:p>
      <w:pPr>
        <w:spacing w:after="0" w:line="192" w:lineRule="exact"/>
        <w:rPr>
          <w:sz w:val="20"/>
          <w:szCs w:val="20"/>
          <w:color w:val="auto"/>
        </w:rPr>
      </w:pPr>
    </w:p>
    <w:p>
      <w:pPr>
        <w:jc w:val="both"/>
        <w:ind w:right="20" w:firstLine="389"/>
        <w:spacing w:after="0" w:line="301" w:lineRule="auto"/>
        <w:rPr>
          <w:sz w:val="20"/>
          <w:szCs w:val="20"/>
          <w:color w:val="auto"/>
        </w:rPr>
      </w:pPr>
      <w:r>
        <w:rPr>
          <w:rFonts w:ascii="Arial" w:cs="Arial" w:eastAsia="Arial" w:hAnsi="Arial"/>
          <w:sz w:val="16"/>
          <w:szCs w:val="16"/>
          <w:color w:val="auto"/>
        </w:rPr>
        <w:t>On December 29, 2020, the underwriters notified the Company of their intent to fully exercise their over-allotment option. Closing of the over-allotment option occurred on January 5, 2021, when the Company consummated the sale of an additional 2,250,000 Units, at $10.00 per Unit, and the sale of an additional 675,000 Private Warrants, at $1.00 per Private Warrant, generating total gross proceeds of $23,175,000. A total of $22,725,000 of the net proceeds was deposited into the Trust Account, bringing the aggregate proceeds held in the Trust Account to $174,225,000 (see Note 8).</w:t>
      </w:r>
    </w:p>
    <w:p>
      <w:pPr>
        <w:spacing w:after="0" w:line="157"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Warrants, although substantially all of the net proceeds are intended to be applied generally toward consummating a Business Combination. The Company’s initial Business Combination must be with one or more target businesses that together have a fair market value equal to at least 80% of the balance in the Trust Account (net of amounts previously released to the Company to pay its tax obligations) at the time of the signing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178"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7"/>
          <w:szCs w:val="17"/>
          <w:color w:val="auto"/>
        </w:rPr>
        <w:t>The Company will provide its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Company may require stockholders to vote for or against the Business Combination to be able to redeem their shares, and stockholders who do not vote, or who abstain from voting, on the Business Combination will not be able to redeem their shares. The stockholders will be entitled to redeem their shares for a pro rata portion of the amount then on deposit in the Trust Account (initially $10.10 per share, plus any pro rata interest earned on the funds held in the Trust Account and not previously released to the Company to pay its tax obligations). There will be no redemption rights upon the completion of a Business Combination with respect to the Company’s rights or warrants.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400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FINANCIAL STATEMENT</w:t>
      </w:r>
    </w:p>
    <w:p>
      <w:pPr>
        <w:spacing w:after="0" w:line="21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will proceed with a Business Combination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(“SEC”), and file tender offer documents with the SEC prior to completing a Business Combination. If, however, a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Ventoux Acquisition, Chardan Investments and any other initial stockholders of the Company’s common stock prior to the Initial Public Offering (collectively, the “Initial Stockholders”) have agreed to (a) vote their Founder Shares (as defined in Note 5) and any Public Shares held by them in favor of a Business Combination and (b) not to convert any shares (including Founder Shares) in connection with a stockholder vote to approve a Business Combination or sell any such shares to the Company in a tender offer in connection with a Business Combination. Additionally, each public stockholder may elect to redeem their Public Shares irrespective of whether they vote for or against the proposed transaction.</w:t>
      </w:r>
    </w:p>
    <w:p>
      <w:pPr>
        <w:spacing w:after="0" w:line="18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Notwithstanding the foregoing, if the Company seeks stockholder approval of a Business Combination and the Company does not conduct redemptions pursuant to the tender offer rules, a stockholder, together with any affiliate of such stockholder or any other person with whom such stockholder is acting in concert or as a “group” (as defined in Section 13(d)(3) of the Securities Exchange Act of 1934, as amended (the “Exchange Act”)), will be restricted from redeeming their shares with respect to more than an aggregate of 20% of the Public Shares.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will have until March 30, 2022 to consummate a Business Combination. However, if the Company anticipates that it may not be able to consummate a Business Combination by March 30, 2022, the Company may extend the period of time to consummate a Business Combination one time by an additional three months (until June 30, 2022) to complete a Business Combination (the “Combination Period”). In order to extend the time available for the Company to consummate a Business Combination, the Initial Stockholders or their affiliates or designees must deposit into the Trust Account $1,725,000 (due to the exercise in full of the underwriters’ over-allotment option) ($0.10 per Public Share), on or prior to the date of the applicable deadline.</w:t>
      </w:r>
    </w:p>
    <w:p>
      <w:pPr>
        <w:spacing w:after="0" w:line="19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If the Company is unable to complete a Business Combination within the Combination Period, the Company will (i) cease all operations except for the purpose of winding up, (ii) as promptly as reasonably possible but no more than five business days thereafter, redeem 100% of the outstanding Public Shares, at a per share price, payable in cash, equal to the aggregate amount then on deposit in the Trust Account, including interest earned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Company’s board of directors, proceed to commence a voluntary liquidation and thereby a formal dissolution of the Company, subject in each case to its obligations to provide for claims of creditors and the requirements of applicable law. The proceeds deposited in the Trust Account could, however, become subject to claims of creditors.</w:t>
      </w:r>
    </w:p>
    <w:p>
      <w:pPr>
        <w:spacing w:after="0" w:line="1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Initial Stockholders have agreed to (i) waive their redemption rights with respect to Founder Shares and any Public Shares they may acquire during or after the Initial Public Offering in connection with the consummation of a Business Combination, (ii) to waive their rights to liquidating distributions from the Trust Account with respect to their Founder Shares if the Company fails to consummate a Business Combination within the Combination Period and (iii)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an opportunity to redeem their Public Shares in conjunction with any such amendment. However, the Initial Stockholders will be entitled to liquidating distributions with respect to any Public Shares acquired if the Company fails to consummate a Business Combination or liquidates within the Combination Period.</w:t>
      </w:r>
    </w:p>
    <w:p>
      <w:pPr>
        <w:spacing w:after="0" w:line="19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order to protect the amounts held in the Trust Account, certain of the Initial Stockholders (the “Insiders”) have agreed to be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$10.10 per share, except as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Insiders will not be responsible to the extent of any liability for such third-party claims. The Company will seek to reduce the possibility that the Insiders will have to indemnify the Trust Account due to claims of creditors by endeavoring to have all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ind w:left="400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FINANCIAL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accompanying financial statement is presented in accordance with accounting principles generally accepted in the United States of America (“GAAP”) and pursuant to the rules and regulations of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6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preparation of the financial statement in conformity with GAAP requires management to make estimates and assumptions that affect the reported amounts of assets and liabilities and disclosure of contingent assets and liabilities at the date of the financial statement.</w:t>
      </w:r>
    </w:p>
    <w:p>
      <w:pPr>
        <w:spacing w:after="0" w:line="1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 which management considered in formulating its estimate, could change in the near term due to one or more future confirming events. Accordingly, the actual results could differ significantly from those estimates.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Held in Trust Account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30, 2020, the assets held in the Trust Account were held in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Shares of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December 30, 2020, common stock subject to possible redemption is presented as temporary equity, outside of the stockholders’ equity section of the Company’s balance sheet.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400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FINANCIAL STATEMENT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Offering costs consist of underwriting, legal, accounting and other expenses incurred through the Initial Public Offering that are directly related to the Initial Public Offering. Offering costs amounting to $3,543,017 were charged to stockholders’ equity upon the completion of the Initial Public Offering.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30, 2020. The Company is currently not aware of any issues under review that could result in significant payments, accruals or material deviation from its position.</w:t>
      </w:r>
    </w:p>
    <w:p>
      <w:pPr>
        <w:spacing w:after="0" w:line="17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 The Company is subject to income tax examinations by major taxing authorities since inception.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820, “Fair Value Measurement,” approximates the carrying amounts represented in the balance sheet, primarily due to their short-term nature.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INITIAL PUBLIC OFFERING</w:t>
      </w:r>
    </w:p>
    <w:p>
      <w:pPr>
        <w:spacing w:after="0" w:line="22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In connection with the Initial Public Offering, the Company sold 15,000,000 Units at a purchase price of $10.00 per Unit. Each Unit consists of one share of common stock, one right to receive one-twentieth (1/20) of one share of common stock upon the consummation of a Business Combination and one warrant (“Public Warrant”). Each Public Warrant entitles the holder to purchase one-half of one share of common stock at an exercise price of $11.50 per share (see Note 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PRIVATE PLACEMENT</w:t>
      </w:r>
    </w:p>
    <w:p>
      <w:pPr>
        <w:spacing w:after="0" w:line="229" w:lineRule="exact"/>
        <w:rPr>
          <w:sz w:val="20"/>
          <w:szCs w:val="20"/>
          <w:color w:val="auto"/>
        </w:rPr>
      </w:pPr>
    </w:p>
    <w:p>
      <w:pPr>
        <w:jc w:val="both"/>
        <w:ind w:right="20" w:firstLine="324"/>
        <w:spacing w:after="0" w:line="290" w:lineRule="auto"/>
        <w:rPr>
          <w:sz w:val="20"/>
          <w:szCs w:val="20"/>
          <w:color w:val="auto"/>
        </w:rPr>
      </w:pPr>
      <w:r>
        <w:rPr>
          <w:rFonts w:ascii="Arial" w:cs="Arial" w:eastAsia="Arial" w:hAnsi="Arial"/>
          <w:sz w:val="16"/>
          <w:szCs w:val="16"/>
          <w:color w:val="auto"/>
        </w:rPr>
        <w:t>Simultaneously with the closing of the Initial Public Offering, Ventoux Acquisition purchased an aggregate of 4,000,000 Private Warrants and Chardan Investments purchased an aggregate of 2,000,000 Private Warrants, at $1.00 per Private Warrant resulting in combined aggregate purchase price of $6,000,000 in a private placement. Ventoux Acquisition had agreed to purchase up to an additional 450,000 Private Warrants and Chardan Investments had agreed to purchase up to an additional 225,000 Private Warrants, at a price of $1.00 per Private Warrant, or $675,000 in the aggregate, upon the full exercise of the over-allotment option (see Note 8). Each Private Warrant is exercisable to purchase one share of common stock at an exercise price of $11.50. If the Company does not complete a Business Combination within the Combination Period, the proceeds from the sale of the Private Warrants will be used to fund the redemption of the Public Shares (subject to the requirements of applicable law), and the Private Warrants will expire worthless. There will be no redemption rights or liquidating distributions from the Trust Account with respect to the Private Warrants.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400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FINANCIAL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September 19, 2019, Chardan Investments purchased 5,000,000 shares (the “Founder Shares”) for an aggregate price of $25,000. On July 23, 2020, Chardan Investments sold 3,250,000 Founder Shares back to the Company for an aggregate price of $16,250. On August 25, 2020, Chardan Investments transferred 256,375 Founder Shares back to the Company for nominal consideration, which shares were cancelled, resulting in Chardan Investments holding a balance of 1,493,625 Founder Shares. On July 23, 2020, Ventoux Acquisition purchased 3,250,000 Founder Shares from the Company for an aggregate price of $16,250. On August 25, 2020, Ventoux Acquisition transferred 431,125 Founder Shares back to the Company for nominal consideration, which shares were cancelled. On December 15, 2020, Ventoux Acquisition transferred 22,500 Founder Shares to Cindat USA LLC, an affiliate of one of the Company’s directors, and, on December 17, 2020, Ventoux Acquisition transferred an aggregate of 67,500 Founder Shares to three of the Company’s directors. As of the date hereof, Ventoux Acquisition holds 2,728,875 Founder Shares.</w:t>
      </w:r>
    </w:p>
    <w:p>
      <w:pPr>
        <w:spacing w:after="0" w:line="178"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The 4,312,500 Founder Shares included an aggregate of up to 562,500 shares subject to forfeiture by the Initial Stockholders to the extent that the underwriters’ over-allotment were not exercised in full or in part, so that the Initial Stockholders would collectively own approximately 20% of the Company’s issued and outstanding shares after the Initial Public Offering (assuming the Initial Stockholders do not purchase any Public Shares in the Initial Public Offering). As a result of the underwriters’ election to fully exercise their over-allotment option, the Founder Shares are no longer subject to forfeiture (see Note 8). All share and per-share amounts have been retroactively restated.</w:t>
      </w:r>
    </w:p>
    <w:p>
      <w:pPr>
        <w:spacing w:after="0" w:line="188" w:lineRule="exact"/>
        <w:rPr>
          <w:sz w:val="20"/>
          <w:szCs w:val="20"/>
          <w:color w:val="auto"/>
        </w:rPr>
      </w:pPr>
    </w:p>
    <w:p>
      <w:pPr>
        <w:jc w:val="both"/>
        <w:ind w:firstLine="389"/>
        <w:spacing w:after="0" w:line="254" w:lineRule="auto"/>
        <w:rPr>
          <w:sz w:val="20"/>
          <w:szCs w:val="20"/>
          <w:color w:val="auto"/>
        </w:rPr>
      </w:pPr>
      <w:r>
        <w:rPr>
          <w:rFonts w:ascii="Arial" w:cs="Arial" w:eastAsia="Arial" w:hAnsi="Arial"/>
          <w:sz w:val="18"/>
          <w:szCs w:val="18"/>
          <w:color w:val="auto"/>
        </w:rPr>
        <w:t>The Initial Stockholders have agreed that, subject to certain limited exceptions, 50% of the Founder Shares will not be transferred, assigned, sold or released from escrow until the earlier of (i) six months after the date of the consummation of a Business Combination or (ii) the date on which the closing price of the Company’s shares of common stock equals or exceeds $12.50 per share (as adjusted for stock splits, stock dividends, reorganizations and recapitalizations) for any 20 trading days within any 30-trading day period commencing after a Business Combination and the remaining 50% of the Founder Shares will not be transferred, assigned, sold or released from escrow until six months after the date of the consummation of a Business Combination, or earlier,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Company entered into an agreement, commencing on December 23, 2020 through the earlier of the Company’s consummation of a Business Combination or its liquidation, to pay Chardan Capital Markets, LLC a total of $10,000 per month for office space, utilities and secretarial support.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August 20, 2020, the Company issued an unsecured promissory note to the Ventoux Acquisition (the “Promissory Note”), pursuant to which the Company may borrow up to an aggregate principal amount of $250,000. The Promissory Note is non-interest bearing and payable promptly after (i) the date on which the consummation of the Initial Public Offering or (ii) the date on which it is determined not to consummate the Initial Public Offering. As of December 30, 2020, there was $151,812 outstanding under the Promissory Note. The outstanding balance under the Promissory Note of $151,812 was subsequently repaid on December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order to finance transaction costs in connection with a Business Combination, the Initial Stockholders, an affiliate of the Initial Stockholders, or the Company’s officers and directors may, but are not obligated to, loan the Company funds from time to time or at any time, as may be required (“Working Capital Loans”). Each Working Capital Loan would be evidenced by a promissory note. The notes may be repaid upon completion of a Business Combination, without interest, or, at the lender’s discretion, up to $500,000 of the notes may be converted upon completion of a Business Combination into warrants at a price of $1.00 per warrant. Such warrants would be identical to the Private Warrants. In the event that a Business Combination does not close, the Company may use a portion of the proceeds held outside the Trust Account to repay the Working Capital Loans, but no proceeds held in the Trust Account would be used to repay the Working Capital Loans. Working Capital Loans made by Chardan Capital Markets, LLC or any of its related persons will not be convertible into Private Warrants and Chardan Capital Markets, LLC and its related persons will have no recourse with respect to their ability to convert their Working Capital Loans into Private Warrants. As of December 30, 2020, no Working Capital Loans were outstanding.</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 w:name="page12"/>
    <w:bookmarkEnd w:id="11"/>
    <w:p>
      <w:pPr>
        <w:ind w:left="400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FINANCIAL STATEMENT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Extension Loans</w:t>
      </w:r>
    </w:p>
    <w:p>
      <w:pPr>
        <w:spacing w:after="0" w:line="225" w:lineRule="exact"/>
        <w:rPr>
          <w:sz w:val="20"/>
          <w:szCs w:val="20"/>
          <w:color w:val="auto"/>
        </w:rPr>
      </w:pPr>
    </w:p>
    <w:p>
      <w:pPr>
        <w:jc w:val="both"/>
        <w:ind w:firstLine="389"/>
        <w:spacing w:after="0" w:line="271" w:lineRule="auto"/>
        <w:rPr>
          <w:sz w:val="20"/>
          <w:szCs w:val="20"/>
          <w:color w:val="auto"/>
        </w:rPr>
      </w:pPr>
      <w:r>
        <w:rPr>
          <w:rFonts w:ascii="Arial" w:cs="Arial" w:eastAsia="Arial" w:hAnsi="Arial"/>
          <w:sz w:val="17"/>
          <w:szCs w:val="17"/>
          <w:color w:val="auto"/>
        </w:rPr>
        <w:t>As discussed in Note 1, the Company may extend the period of time to consummate a Business Combination one time, for an additional three months (until June 30, 2022) to complete a Business Combination. In order to extend the time available for the Company to consummate a Business Combination, the Initial Stockholders or their affiliates or designees must deposit into the Trust Account $1,725,000 (due to the exercise in full of the underwriters’ over-allotment option), or $0.10 per Public Share, on or prior to the date of the applicable deadline. Any such payments would be made in the form of a loan. The terms of the promissory note to be issued in connection with any such loans have not yet been negotiated. If the Company completes a Business Combination, the Company would repay such loaned amounts out of the proceeds of the Trust Account released to the Company. If the Company does not complete a Business Combination, the Company will not repay such loans. The Initial Stockholders and their affiliates or designees are not obligated to fund the Trust Account to extend the time for the Company to complete a Business Combination.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close of the Initial Public Offering and/or search for a target company, the specific impact is not readily determinable as of the date of the financial statement. The financial statement does not include any adjustments that might result from the outcome of this uncertainty.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and Stockholder Rights</w:t>
      </w:r>
    </w:p>
    <w:p>
      <w:pPr>
        <w:spacing w:after="0" w:line="225"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Pursuant to a registration rights agreement entered into on December 23, 2020, the holders of the Founder Shares and the Private Warrants and securities that may be issued upon conversion of Working Capital Loans will be entitled to registration and stockholder rights pursuant to an agreement.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granted the underwriters a 45-day option from the date of the Initial Public Offering to purchase up to 2,250,000 additional Units to cover over-allotments, if any, at the Initial Public Offering price less the underwriting discounts and commissions. On January 5, 2021, the closing of the underwriters’ over-allotment option occurred (see Note 8).</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underwriters were paid cash underwriting discount of $0.20 per Unit, or $3,450,000 in the aggregate, upon the closing of the Initial Public Offering and the over-allotment option (see Note 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Marketing Agreement</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has engaged Chardan Capital Markets, LLC as an advisor in connection with a Business Combination to assist the Company in holding meetings with its stockholders to discuss the potential Business Combination and the target business’s attributes, introduce the Company to potential investors that are interested in purchasing the Company’s securities in connection with the potential Business Combination, assist the Company in obtaining stockholder approval for the Business Combination and assist the Company with its press releases and public filings in connection with the Business Combination. The Company will pay Chardan Capital Markets, LLC a marketing fee for such services upon the consummation of a Business Combination in an amount equal to, in the aggregate, 3.5% of the gross proceeds of the Initial Public Offering, including any proceeds from the exercise of the underwriters’ over-allotment option. As a result, Chardan Capital Markets, LLC will not be entitled to such fee unless the consummates its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Per the Company’s Amended and Restated Certificate of Incorporation, the Company is authorized to issue up to 1,000,000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preferred stock. As of December 30, 2020, the Company has not issued shares of preferred stock.</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 The Company is authorized to issue 50,000,000 shares of common stock with a par value of $0.0001 per share. Holders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common stock are entitled to one vote for each share. At December 30, 2020, there were 4,710,476 shares of common stock issued and outstanding, excluding 14,602,024 Units of common stock subject to possible redemption, of which 562,500 shares were subject to forfeiture to the extent that the underwriters’ over-allotment option was not exercised in full so that the Initial Stockholders would collectively own approximately 20% of the issued and outstanding shares after the Initial Public Offering (assuming the Initial Stockholders do not purchase any Public Shares in the Initial Public Offering). As a result of the underwriters’ election to fully exercise their over-allotment option, the Founder Shares are no longer subject to forfeiture (see Note 8).</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863" w:gutter="0" w:footer="0" w:header="0"/>
        </w:sectPr>
      </w:pPr>
    </w:p>
    <w:bookmarkStart w:id="12" w:name="page13"/>
    <w:bookmarkEnd w:id="12"/>
    <w:p>
      <w:pPr>
        <w:ind w:left="400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FINANCIAL STATEMENT</w:t>
      </w:r>
    </w:p>
    <w:p>
      <w:pPr>
        <w:spacing w:after="0" w:line="211"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—The Public Warrants will become exercisable at any time commencing on the later of one year after the closing of the Initial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or the consummation of a Business Combination; provided that the Company has an effective and current registration statement covering the shares of common stock issuable upon the exercise of the Public Warrants and a current prospectus relating to such shares of common stock. Notwithstanding the foregoing, if a registration statement covering the shares of common stock issuable upon exercise of the public warrants is not effective within 120 days from the closing of a Business Combination,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The Public Warrants will expire five years after the completion of a Business Combination or earlier upon redemption or liquidation.</w:t>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may redeem the Public Warrants:</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any time while the warrants are exercisable;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 of common stock equals or exceeds $16.50 per share, for any 20 trading days within a 30-trading day period ending on the third business day prior to the notice of redemption to the warrant holders; and</w:t>
      </w:r>
    </w:p>
    <w:p>
      <w:pPr>
        <w:ind w:left="660" w:hanging="328"/>
        <w:spacing w:after="0" w:line="290"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161" w:lineRule="exact"/>
        <w:rPr>
          <w:sz w:val="20"/>
          <w:szCs w:val="20"/>
          <w:color w:val="auto"/>
        </w:rPr>
      </w:pPr>
    </w:p>
    <w:p>
      <w:pPr>
        <w:jc w:val="both"/>
        <w:ind w:right="20" w:firstLine="389"/>
        <w:spacing w:after="0" w:line="271"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rights or warrants will not receive any of such funds with respect to their rights or warrants, nor will they receive any distribution from the Company’s assets held outside of the Trust Account with the respect to such rights or warrants. Accordingly, the rights and warrants may expire worthless.</w:t>
      </w:r>
    </w:p>
    <w:p>
      <w:pPr>
        <w:spacing w:after="0" w:line="178" w:lineRule="exact"/>
        <w:rPr>
          <w:sz w:val="20"/>
          <w:szCs w:val="20"/>
          <w:color w:val="auto"/>
        </w:rPr>
      </w:pPr>
    </w:p>
    <w:p>
      <w:pPr>
        <w:jc w:val="both"/>
        <w:ind w:right="20" w:firstLine="389"/>
        <w:spacing w:after="0" w:line="291" w:lineRule="auto"/>
        <w:rPr>
          <w:sz w:val="20"/>
          <w:szCs w:val="20"/>
          <w:color w:val="auto"/>
        </w:rPr>
      </w:pPr>
      <w:r>
        <w:rPr>
          <w:rFonts w:ascii="Arial" w:cs="Arial" w:eastAsia="Arial" w:hAnsi="Arial"/>
          <w:sz w:val="16"/>
          <w:szCs w:val="16"/>
          <w:color w:val="auto"/>
        </w:rPr>
        <w:t>In addition, if the Company issues additional common stock or equity-linked securities for capital raising purposes in connection with the closing of a Business Combination at an issue price or effective issue price of less than $9.20 per common stock (with such issue price or effective issue price to be determined in good faith by the Company’s board of directors and, in the case of any such issuance to the co-sponsors or their affiliates, without taking into account any Founder Shares held by the co-sponsors or such affiliates, as applicable, prior to such issuance) (the “Newly Issued Price”), the exercise price of the warrants will be adjusted (to the nearest cent) to be equal to 115% of the Newly Issued Price, and the $16.50 per share redemption trigger price will be adjusted (to the nearest cent) to be equal to 165% of the market value (the volume weighted average trading price of its common stock during the 20 trading day period starting on the trading day prior to the day on which the Company consummates its Business Combination).</w:t>
      </w:r>
    </w:p>
    <w:p>
      <w:pPr>
        <w:spacing w:after="0" w:line="166" w:lineRule="exact"/>
        <w:rPr>
          <w:sz w:val="20"/>
          <w:szCs w:val="20"/>
          <w:color w:val="auto"/>
        </w:rPr>
      </w:pPr>
    </w:p>
    <w:p>
      <w:pPr>
        <w:jc w:val="both"/>
        <w:ind w:right="20" w:firstLine="389"/>
        <w:spacing w:after="0" w:line="279" w:lineRule="auto"/>
        <w:rPr>
          <w:sz w:val="20"/>
          <w:szCs w:val="20"/>
          <w:color w:val="auto"/>
        </w:rPr>
      </w:pPr>
      <w:r>
        <w:rPr>
          <w:rFonts w:ascii="Arial" w:cs="Arial" w:eastAsia="Arial" w:hAnsi="Arial"/>
          <w:sz w:val="17"/>
          <w:szCs w:val="17"/>
          <w:color w:val="auto"/>
        </w:rPr>
        <w:t>The Private Warrants are identical to the Public Warrants underlying the Units sold in the Initial Public Offering except that each Private Warrant is exercisable for one share of common stock at an exercise price of $11.50 per share, the Private Warrants will be exercisable for cash (even if a registration statement covering the shares of common stock issuable upon exercise of such warrants is not effective) or on a cashless basis, at the holder’s option, and will not be non-redeemable by the Company, in each case, so long as they are held by the initial purchasers or their affiliates.</w:t>
      </w:r>
    </w:p>
    <w:p>
      <w:pPr>
        <w:spacing w:after="0" w:line="171" w:lineRule="exact"/>
        <w:rPr>
          <w:sz w:val="20"/>
          <w:szCs w:val="20"/>
          <w:color w:val="auto"/>
        </w:rPr>
      </w:pPr>
    </w:p>
    <w:p>
      <w:pPr>
        <w:jc w:val="both"/>
        <w:ind w:right="20" w:firstLine="389"/>
        <w:spacing w:after="0" w:line="288" w:lineRule="auto"/>
        <w:rPr>
          <w:sz w:val="20"/>
          <w:szCs w:val="20"/>
          <w:color w:val="auto"/>
        </w:rPr>
      </w:pPr>
      <w:r>
        <w:rPr>
          <w:rFonts w:ascii="Arial" w:cs="Arial" w:eastAsia="Arial" w:hAnsi="Arial"/>
          <w:sz w:val="16"/>
          <w:szCs w:val="16"/>
          <w:b w:val="1"/>
          <w:bCs w:val="1"/>
          <w:i w:val="1"/>
          <w:iCs w:val="1"/>
          <w:color w:val="auto"/>
        </w:rPr>
        <w:t xml:space="preserve">Rights </w:t>
      </w:r>
      <w:r>
        <w:rPr>
          <w:rFonts w:ascii="Arial" w:cs="Arial" w:eastAsia="Arial" w:hAnsi="Arial"/>
          <w:sz w:val="16"/>
          <w:szCs w:val="16"/>
          <w:color w:val="auto"/>
        </w:rPr>
        <w:t>— Except in cases where the Company is not the surviving company in a Business Combination, each holder of a right will automatically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one-twentieth (1/20) of a share of common stock upon consummation of the Business Combination, even if the holder of a right converted all shares held by him, her or it in connection with the Business Combination or an amendment to the Company’s Certificate of Incorporation with respect to its pre-business combination activities. In the event that the Company will not be the surviving company upon completion of the Business Combination, each holder of a right will be required to affirmatively convert his, her or its rights in order to receive the one-twentieth (1/20) of a share of common stock underlying each right upon consummation of the Business Combination. No additional consideration will be required to be paid by a holder of rights in order to receive his, her or its additional share of common stock upon consummation of the Business Combination. The shares issuable upon exchange of the rights will be freely tradable (except to the extent held by affiliates of the Company). If the Company enters into a definitive agreement for a Business Combination in which the Company will not be the surviving entity, the definitive agreement will provide for the holders of rights to receive the same per share consideration the holders of shares of common stock will receive in the transaction on an as-converted into common stock basis.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400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FINANCIAL STATEMENT</w:t>
      </w:r>
    </w:p>
    <w:p>
      <w:pPr>
        <w:spacing w:after="0" w:line="211"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The Company will not issue fractional shares in connection with an exchange of rights, so holders must hold rights in denominations of 20 in order to receive a share of our common stock at the closing of our initial business combination. If the Company is unable to complete an initial Business Combination within the required time period and the Company liquidates the funds held in the Trust Account, holders of rights will not receive any of such funds with respect to their rights, nor will they receive any distribution from the Company’s assets held outside of the Trust Account with respect to such rights, and the rights will expire worthless. Additionally, in no event will the Company be required to net cash settle the rights. Accordingly, the rights may expire worthless.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SUBSEQUENT EVENTS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evaluated subsequent events and transactions that occurred after the balance sheet date through January 6, 2021, the date that the financial statement was issued. Based upon this review, other than as disclosed in this financial statement , including as described below, the Company did not identify any subsequent events that would have required adjustment or disclosure in the financial statement.</w:t>
      </w:r>
    </w:p>
    <w:p>
      <w:pPr>
        <w:spacing w:after="0" w:line="165"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On December 29, 2020, the underwriters notified the Company of their intention to fully exercise their over-allotment option. On January 5, 2021, the Company consummated the sale of an additional 2,250,000 Units, at $10.00 per Unit, and the sale of an additional 675,000 Private Warrants, at $1.00 per Private Warrant, generating total gross proceeds of $23,175,000. A total of $22,725,000 of the net proceeds was deposited into the Trust Account, bringing the aggregate proceeds held in the Trust Account to $174,225,000.</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Transaction costs related to the underwriters’ exercise of their over-allotment option were $450,000, consisting of underwriting fees.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a result of the underwriters’ election to exercise their over-allotment option in full, 562,500 Founder Shares are no longer subject to forfeiture.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rPr>
              <w:t>Exhibit 99.2</w:t>
            </w:r>
          </w:p>
        </w:tc>
        <w:tc>
          <w:tcPr>
            <w:tcW w:w="0" w:type="dxa"/>
            <w:vAlign w:val="bottom"/>
          </w:tcPr>
          <w:p>
            <w:pPr>
              <w:spacing w:after="0"/>
              <w:rPr>
                <w:sz w:val="1"/>
                <w:szCs w:val="1"/>
                <w:color w:val="auto"/>
              </w:rPr>
            </w:pPr>
          </w:p>
        </w:tc>
      </w:tr>
      <w:tr>
        <w:trPr>
          <w:trHeight w:val="432"/>
        </w:trPr>
        <w:tc>
          <w:tcPr>
            <w:tcW w:w="7320" w:type="dxa"/>
            <w:vAlign w:val="bottom"/>
          </w:tcPr>
          <w:p>
            <w:pPr>
              <w:ind w:left="4000"/>
              <w:spacing w:after="0"/>
              <w:rPr>
                <w:sz w:val="20"/>
                <w:szCs w:val="20"/>
                <w:color w:val="auto"/>
              </w:rPr>
            </w:pPr>
            <w:r>
              <w:rPr>
                <w:rFonts w:ascii="Arial" w:cs="Arial" w:eastAsia="Arial" w:hAnsi="Arial"/>
                <w:sz w:val="18"/>
                <w:szCs w:val="18"/>
                <w:b w:val="1"/>
                <w:bCs w:val="1"/>
                <w:color w:val="auto"/>
              </w:rPr>
              <w:t>VENTOUX CCM ACQUISITION CORP.</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tcPr>
          <w:p>
            <w:pPr>
              <w:ind w:left="4280"/>
              <w:spacing w:after="0"/>
              <w:rPr>
                <w:sz w:val="20"/>
                <w:szCs w:val="20"/>
                <w:color w:val="auto"/>
              </w:rPr>
            </w:pPr>
            <w:r>
              <w:rPr>
                <w:rFonts w:ascii="Arial" w:cs="Arial" w:eastAsia="Arial" w:hAnsi="Arial"/>
                <w:sz w:val="18"/>
                <w:szCs w:val="18"/>
                <w:b w:val="1"/>
                <w:bCs w:val="1"/>
                <w:color w:val="auto"/>
              </w:rPr>
              <w:t>PRO FORMA BALANCE SHEET</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6"/>
              </w:rPr>
              <w:t>Actual as of</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30,</w:t>
            </w: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Pro Forma</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Adjustments</w:t>
            </w:r>
          </w:p>
        </w:tc>
        <w:tc>
          <w:tcPr>
            <w:tcW w:w="12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7"/>
              </w:rPr>
              <w:t>As Adjusted</w:t>
            </w: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1,223,065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1,223,065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29,200</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29,200</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1,252,265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1,252,265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held in Trust Account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151,500,000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22,725,000</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174,225,000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20" w:type="dxa"/>
            <w:vAlign w:val="bottom"/>
            <w:vMerge w:val="continue"/>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152,752,265</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22,725,000</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175,477,265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Advance from related party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120,005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120,005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Promissory note – related party</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151,812</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151,812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271,817</w:t>
            </w:r>
          </w:p>
        </w:tc>
        <w:tc>
          <w:tcPr>
            <w:tcW w:w="2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820"/>
              <w:spacing w:after="0" w:line="203" w:lineRule="exact"/>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271,817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Commitments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20" w:type="dxa"/>
            <w:vAlign w:val="bottom"/>
          </w:tcPr>
          <w:p>
            <w:pPr>
              <w:spacing w:after="0" w:line="201" w:lineRule="exact"/>
              <w:rPr>
                <w:sz w:val="20"/>
                <w:szCs w:val="20"/>
                <w:color w:val="auto"/>
              </w:rPr>
            </w:pPr>
            <w:r>
              <w:rPr>
                <w:rFonts w:ascii="Arial" w:cs="Arial" w:eastAsia="Arial" w:hAnsi="Arial"/>
                <w:sz w:val="18"/>
                <w:szCs w:val="18"/>
                <w:color w:val="auto"/>
                <w:w w:val="94"/>
              </w:rPr>
              <w:t>Common stock subject to possible redemption, 14,602,024 and 16,852,024 shares at redemption</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7320" w:type="dxa"/>
            <w:vAlign w:val="bottom"/>
          </w:tcPr>
          <w:p>
            <w:pPr>
              <w:ind w:left="180"/>
              <w:spacing w:after="0"/>
              <w:rPr>
                <w:sz w:val="20"/>
                <w:szCs w:val="20"/>
                <w:color w:val="auto"/>
              </w:rPr>
            </w:pPr>
            <w:r>
              <w:rPr>
                <w:rFonts w:ascii="Arial" w:cs="Arial" w:eastAsia="Arial" w:hAnsi="Arial"/>
                <w:sz w:val="18"/>
                <w:szCs w:val="18"/>
                <w:color w:val="auto"/>
              </w:rPr>
              <w:t>value, respectively</w:t>
            </w:r>
          </w:p>
        </w:tc>
        <w:tc>
          <w:tcPr>
            <w:tcW w:w="10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147,480,442</w:t>
            </w:r>
          </w:p>
        </w:tc>
        <w:tc>
          <w:tcPr>
            <w:tcW w:w="1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22,725,000</w:t>
            </w:r>
          </w:p>
        </w:tc>
        <w:tc>
          <w:tcPr>
            <w:tcW w:w="1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170,205,442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w w:val="96"/>
              </w:rPr>
              <w:t>Preferred stock, $0.0001 par value; 1,000,000 shares authorized; none issued and outstanding</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320" w:type="dxa"/>
            <w:vAlign w:val="bottom"/>
          </w:tcPr>
          <w:p>
            <w:pPr>
              <w:spacing w:after="0" w:line="201" w:lineRule="exact"/>
              <w:rPr>
                <w:sz w:val="20"/>
                <w:szCs w:val="20"/>
                <w:color w:val="auto"/>
              </w:rPr>
            </w:pPr>
            <w:r>
              <w:rPr>
                <w:rFonts w:ascii="Arial" w:cs="Arial" w:eastAsia="Arial" w:hAnsi="Arial"/>
                <w:sz w:val="18"/>
                <w:szCs w:val="18"/>
                <w:color w:val="auto"/>
                <w:w w:val="92"/>
              </w:rPr>
              <w:t>Common stock, $0.0001 par value; 50,000,000 shares authorized; 4,710,476 and 4,710,476 issued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w w:val="93"/>
              </w:rPr>
              <w:t>and outstanding (excluding 14,602,024 and 16,852,024 shares subject to possible redemption),</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5,001,070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5,001,070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5,000,0063</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152,752,265</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22,725,000</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175,477,265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2021-01-06T15:56:57Z</dcterms:created>
  <dcterms:modified xsi:type="dcterms:W3CDTF">2021-01-06T15:56:57Z</dcterms:modified>
</cp:coreProperties>
</file>