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13G/A</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1)*</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Ventoux CCM Acquisition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92280L101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896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6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2620" w:type="dxa"/>
            <w:vAlign w:val="bottom"/>
            <w:tcBorders>
              <w:top w:val="single" w:sz="8" w:color="auto"/>
              <w:left w:val="single" w:sz="8" w:color="auto"/>
              <w:bottom w:val="single" w:sz="8" w:color="auto"/>
            </w:tcBorders>
            <w:gridSpan w:val="5"/>
          </w:tcPr>
          <w:p>
            <w:pPr>
              <w:jc w:val="center"/>
              <w:ind w:right="510"/>
              <w:spacing w:after="0"/>
              <w:rPr>
                <w:sz w:val="20"/>
                <w:szCs w:val="20"/>
                <w:color w:val="auto"/>
              </w:rPr>
            </w:pPr>
            <w:r>
              <w:rPr>
                <w:rFonts w:ascii="Arial" w:cs="Arial" w:eastAsia="Arial" w:hAnsi="Arial"/>
                <w:sz w:val="18"/>
                <w:szCs w:val="18"/>
                <w:b w:val="1"/>
                <w:bCs w:val="1"/>
                <w:color w:val="auto"/>
                <w:w w:val="96"/>
              </w:rPr>
              <w:t>CUSIP No. 92280L101</w:t>
            </w:r>
          </w:p>
        </w:tc>
        <w:tc>
          <w:tcPr>
            <w:tcW w:w="1140" w:type="dxa"/>
            <w:vAlign w:val="bottom"/>
            <w:tcBorders>
              <w:top w:val="single" w:sz="8" w:color="auto"/>
              <w:bottom w:val="single" w:sz="8" w:color="auto"/>
              <w:right w:val="single" w:sz="8" w:color="auto"/>
            </w:tcBorders>
          </w:tcPr>
          <w:p>
            <w:pPr>
              <w:spacing w:after="0"/>
              <w:rPr>
                <w:sz w:val="19"/>
                <w:szCs w:val="19"/>
                <w:color w:val="auto"/>
              </w:rPr>
            </w:pPr>
          </w:p>
        </w:tc>
        <w:tc>
          <w:tcPr>
            <w:tcW w:w="374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5"/>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780" w:type="dxa"/>
            <w:vAlign w:val="bottom"/>
            <w:tcBorders>
              <w:right w:val="single" w:sz="8" w:color="auto"/>
            </w:tcBorders>
          </w:tcPr>
          <w:p>
            <w:pPr>
              <w:spacing w:after="0"/>
              <w:rPr>
                <w:sz w:val="19"/>
                <w:szCs w:val="19"/>
                <w:color w:val="auto"/>
              </w:rPr>
            </w:pPr>
          </w:p>
        </w:tc>
        <w:tc>
          <w:tcPr>
            <w:tcW w:w="6400" w:type="dxa"/>
            <w:vAlign w:val="bottom"/>
            <w:gridSpan w:val="5"/>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4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Polar Asset Management Partners Inc.</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780" w:type="dxa"/>
            <w:vAlign w:val="bottom"/>
            <w:tcBorders>
              <w:right w:val="single" w:sz="8" w:color="auto"/>
            </w:tcBorders>
          </w:tcPr>
          <w:p>
            <w:pPr>
              <w:spacing w:after="0"/>
              <w:rPr>
                <w:sz w:val="19"/>
                <w:szCs w:val="19"/>
                <w:color w:val="auto"/>
              </w:rPr>
            </w:pPr>
          </w:p>
        </w:tc>
        <w:tc>
          <w:tcPr>
            <w:tcW w:w="6400" w:type="dxa"/>
            <w:vAlign w:val="bottom"/>
            <w:gridSpan w:val="5"/>
          </w:tcPr>
          <w:p>
            <w:pPr>
              <w:ind w:left="8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2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(a)</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(b)</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780" w:type="dxa"/>
            <w:vAlign w:val="bottom"/>
            <w:tcBorders>
              <w:right w:val="single" w:sz="8" w:color="auto"/>
            </w:tcBorders>
          </w:tcPr>
          <w:p>
            <w:pPr>
              <w:spacing w:after="0"/>
              <w:rPr>
                <w:sz w:val="19"/>
                <w:szCs w:val="19"/>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Sec Use Only</w:t>
            </w:r>
          </w:p>
        </w:tc>
        <w:tc>
          <w:tcPr>
            <w:tcW w:w="11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400" w:type="dxa"/>
            <w:vAlign w:val="bottom"/>
            <w:tcBorders>
              <w:bottom w:val="single" w:sz="8" w:color="auto"/>
            </w:tcBorders>
            <w:gridSpan w:val="5"/>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4</w:t>
            </w:r>
          </w:p>
        </w:tc>
        <w:tc>
          <w:tcPr>
            <w:tcW w:w="780" w:type="dxa"/>
            <w:vAlign w:val="bottom"/>
            <w:tcBorders>
              <w:right w:val="single" w:sz="8" w:color="auto"/>
            </w:tcBorders>
          </w:tcPr>
          <w:p>
            <w:pPr>
              <w:spacing w:after="0"/>
              <w:rPr>
                <w:sz w:val="19"/>
                <w:szCs w:val="19"/>
                <w:color w:val="auto"/>
              </w:rPr>
            </w:pPr>
          </w:p>
        </w:tc>
        <w:tc>
          <w:tcPr>
            <w:tcW w:w="6400" w:type="dxa"/>
            <w:vAlign w:val="bottom"/>
            <w:gridSpan w:val="5"/>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5"/>
              </w:rPr>
              <w:t>Canada</w:t>
            </w: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4880" w:type="dxa"/>
            <w:vAlign w:val="bottom"/>
            <w:gridSpan w:val="2"/>
          </w:tcPr>
          <w:p>
            <w:pPr>
              <w:ind w:left="80"/>
              <w:spacing w:after="0"/>
              <w:rPr>
                <w:sz w:val="20"/>
                <w:szCs w:val="20"/>
                <w:color w:val="auto"/>
              </w:rPr>
            </w:pPr>
            <w:r>
              <w:rPr>
                <w:rFonts w:ascii="Arial" w:cs="Arial" w:eastAsia="Arial" w:hAnsi="Arial"/>
                <w:sz w:val="18"/>
                <w:szCs w:val="18"/>
                <w:b w:val="1"/>
                <w:bCs w:val="1"/>
                <w:color w:val="auto"/>
              </w:rPr>
              <w:t>Sole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tcBorders>
          </w:tcPr>
          <w:p>
            <w:pPr>
              <w:spacing w:after="0"/>
              <w:rPr>
                <w:sz w:val="24"/>
                <w:szCs w:val="24"/>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2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1,300,000</w:t>
            </w:r>
          </w:p>
        </w:tc>
        <w:tc>
          <w:tcPr>
            <w:tcW w:w="374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0" w:type="dxa"/>
            <w:vAlign w:val="bottom"/>
            <w:tcBorders>
              <w:left w:val="single" w:sz="8" w:color="auto"/>
            </w:tcBorders>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6</w:t>
            </w:r>
          </w:p>
        </w:tc>
        <w:tc>
          <w:tcPr>
            <w:tcW w:w="488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Shared Voting Power</w:t>
            </w:r>
          </w:p>
        </w:tc>
        <w:tc>
          <w:tcPr>
            <w:tcW w:w="3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3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0" w:type="dxa"/>
            <w:vAlign w:val="bottom"/>
            <w:tcBorders>
              <w:left w:val="single" w:sz="8" w:color="auto"/>
            </w:tcBorders>
          </w:tcPr>
          <w:p>
            <w:pPr>
              <w:spacing w:after="0"/>
              <w:rPr>
                <w:sz w:val="15"/>
                <w:szCs w:val="15"/>
                <w:color w:val="auto"/>
              </w:rPr>
            </w:pPr>
          </w:p>
        </w:tc>
        <w:tc>
          <w:tcPr>
            <w:tcW w:w="142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3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jc w:val="right"/>
              <w:ind w:right="290"/>
              <w:spacing w:after="0" w:line="177" w:lineRule="exact"/>
              <w:rPr>
                <w:sz w:val="20"/>
                <w:szCs w:val="20"/>
                <w:color w:val="auto"/>
              </w:rPr>
            </w:pPr>
            <w:r>
              <w:rPr>
                <w:rFonts w:ascii="Arial" w:cs="Arial" w:eastAsia="Arial" w:hAnsi="Arial"/>
                <w:sz w:val="18"/>
                <w:szCs w:val="18"/>
                <w:b w:val="1"/>
                <w:bCs w:val="1"/>
                <w:color w:val="auto"/>
              </w:rPr>
              <w:t>7</w:t>
            </w:r>
          </w:p>
        </w:tc>
        <w:tc>
          <w:tcPr>
            <w:tcW w:w="4880" w:type="dxa"/>
            <w:vAlign w:val="bottom"/>
            <w:gridSpan w:val="2"/>
          </w:tcPr>
          <w:p>
            <w:pPr>
              <w:ind w:left="8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Reporting Person</w:t>
            </w:r>
          </w:p>
        </w:tc>
        <w:tc>
          <w:tcPr>
            <w:tcW w:w="3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0" w:type="dxa"/>
            <w:vAlign w:val="bottom"/>
            <w:tcBorders>
              <w:left w:val="single" w:sz="8" w:color="auto"/>
            </w:tcBorders>
          </w:tcPr>
          <w:p>
            <w:pPr>
              <w:spacing w:after="0"/>
              <w:rPr>
                <w:sz w:val="21"/>
                <w:szCs w:val="21"/>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With:</w:t>
            </w:r>
          </w:p>
        </w:tc>
        <w:tc>
          <w:tcPr>
            <w:tcW w:w="320" w:type="dxa"/>
            <w:vAlign w:val="bottom"/>
            <w:tcBorders>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1,300,000</w:t>
            </w:r>
          </w:p>
        </w:tc>
        <w:tc>
          <w:tcPr>
            <w:tcW w:w="3740" w:type="dxa"/>
            <w:vAlign w:val="bottom"/>
            <w:tcBorders>
              <w:bottom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48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gridSpan w:val="2"/>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880" w:type="dxa"/>
            <w:vAlign w:val="bottom"/>
            <w:tcBorders>
              <w:bottom w:val="single" w:sz="8" w:color="auto"/>
            </w:tcBorders>
            <w:gridSpan w:val="2"/>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9</w:t>
            </w:r>
          </w:p>
        </w:tc>
        <w:tc>
          <w:tcPr>
            <w:tcW w:w="780" w:type="dxa"/>
            <w:vAlign w:val="bottom"/>
            <w:tcBorders>
              <w:right w:val="single" w:sz="8" w:color="auto"/>
            </w:tcBorders>
          </w:tcPr>
          <w:p>
            <w:pPr>
              <w:spacing w:after="0"/>
              <w:rPr>
                <w:sz w:val="19"/>
                <w:szCs w:val="19"/>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w w:val="86"/>
              </w:rPr>
              <w:t>Aggregate Amount</w:t>
            </w:r>
          </w:p>
        </w:tc>
        <w:tc>
          <w:tcPr>
            <w:tcW w:w="4880" w:type="dxa"/>
            <w:vAlign w:val="bottom"/>
            <w:gridSpan w:val="2"/>
          </w:tcPr>
          <w:p>
            <w:pPr>
              <w:ind w:left="60"/>
              <w:spacing w:after="0"/>
              <w:rPr>
                <w:sz w:val="20"/>
                <w:szCs w:val="20"/>
                <w:color w:val="auto"/>
              </w:rPr>
            </w:pPr>
            <w:r>
              <w:rPr>
                <w:rFonts w:ascii="Arial" w:cs="Arial" w:eastAsia="Arial" w:hAnsi="Arial"/>
                <w:sz w:val="18"/>
                <w:szCs w:val="18"/>
                <w:b w:val="1"/>
                <w:bCs w:val="1"/>
                <w:color w:val="auto"/>
              </w:rPr>
              <w:t>Beneficially Owned by Each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1,300,000</w:t>
            </w: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9"/>
              </w:rPr>
              <w:t>10</w:t>
            </w:r>
          </w:p>
        </w:tc>
        <w:tc>
          <w:tcPr>
            <w:tcW w:w="780" w:type="dxa"/>
            <w:vAlign w:val="bottom"/>
            <w:tcBorders>
              <w:right w:val="single" w:sz="8" w:color="auto"/>
            </w:tcBorders>
          </w:tcPr>
          <w:p>
            <w:pPr>
              <w:spacing w:after="0"/>
              <w:rPr>
                <w:sz w:val="19"/>
                <w:szCs w:val="19"/>
                <w:color w:val="auto"/>
              </w:rPr>
            </w:pPr>
          </w:p>
        </w:tc>
        <w:tc>
          <w:tcPr>
            <w:tcW w:w="101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14"/>
        </w:trPr>
        <w:tc>
          <w:tcPr>
            <w:tcW w:w="32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9"/>
              </w:rPr>
              <w:t>11</w:t>
            </w:r>
          </w:p>
        </w:tc>
        <w:tc>
          <w:tcPr>
            <w:tcW w:w="780" w:type="dxa"/>
            <w:vAlign w:val="bottom"/>
            <w:tcBorders>
              <w:right w:val="single" w:sz="8" w:color="auto"/>
            </w:tcBorders>
          </w:tcPr>
          <w:p>
            <w:pPr>
              <w:spacing w:after="0"/>
              <w:rPr>
                <w:sz w:val="19"/>
                <w:szCs w:val="19"/>
                <w:color w:val="auto"/>
              </w:rPr>
            </w:pPr>
          </w:p>
        </w:tc>
        <w:tc>
          <w:tcPr>
            <w:tcW w:w="6400" w:type="dxa"/>
            <w:vAlign w:val="bottom"/>
            <w:gridSpan w:val="5"/>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6.03%</w:t>
            </w: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9"/>
              </w:rPr>
              <w:t>12</w:t>
            </w:r>
          </w:p>
        </w:tc>
        <w:tc>
          <w:tcPr>
            <w:tcW w:w="780" w:type="dxa"/>
            <w:vAlign w:val="bottom"/>
            <w:tcBorders>
              <w:right w:val="single" w:sz="8" w:color="auto"/>
            </w:tcBorders>
          </w:tcPr>
          <w:p>
            <w:pPr>
              <w:spacing w:after="0"/>
              <w:rPr>
                <w:sz w:val="19"/>
                <w:szCs w:val="19"/>
                <w:color w:val="auto"/>
              </w:rPr>
            </w:pPr>
          </w:p>
        </w:tc>
        <w:tc>
          <w:tcPr>
            <w:tcW w:w="6400" w:type="dxa"/>
            <w:vAlign w:val="bottom"/>
            <w:gridSpan w:val="5"/>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 w:name="page3"/>
    <w:bookmarkEnd w:id="2"/>
    <w:p>
      <w:pPr>
        <w:ind w:left="120"/>
        <w:spacing w:after="0"/>
        <w:tabs>
          <w:tab w:leader="none" w:pos="5360" w:val="left"/>
          <w:tab w:leader="none" w:pos="7580" w:val="left"/>
        </w:tabs>
        <w:rPr>
          <w:sz w:val="20"/>
          <w:szCs w:val="20"/>
          <w:color w:val="auto"/>
        </w:rPr>
      </w:pPr>
      <w:r>
        <w:rPr>
          <w:rFonts w:ascii="Arial" w:cs="Arial" w:eastAsia="Arial" w:hAnsi="Arial"/>
          <w:sz w:val="18"/>
          <w:szCs w:val="18"/>
          <w:b w:val="1"/>
          <w:bCs w:val="1"/>
          <w:color w:val="auto"/>
        </w:rPr>
        <w:t>CUSIP No. 92280L101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-119380</wp:posOffset>
            </wp:positionV>
            <wp:extent cx="2383155"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8315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720" w:hanging="712"/>
        <w:spacing w:after="0"/>
        <w:tabs>
          <w:tab w:leader="none" w:pos="7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issuer is Ventoux CCM Acquisition Corp.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0" w:lineRule="exact"/>
        <w:rPr>
          <w:sz w:val="20"/>
          <w:szCs w:val="20"/>
          <w:color w:val="auto"/>
        </w:rPr>
      </w:pPr>
    </w:p>
    <w:p>
      <w:pPr>
        <w:ind w:left="720" w:hanging="712"/>
        <w:spacing w:after="0"/>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Company's principal executive offices are located at 1 East Putnam Avenue, Floor 4, Greenwich, CT, 06830.</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6" w:lineRule="exact"/>
        <w:rPr>
          <w:sz w:val="20"/>
          <w:szCs w:val="20"/>
          <w:color w:val="auto"/>
        </w:rPr>
      </w:pPr>
    </w:p>
    <w:p>
      <w:pPr>
        <w:ind w:left="700" w:hanging="692"/>
        <w:spacing w:after="0"/>
        <w:tabs>
          <w:tab w:leader="none" w:pos="7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212"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This statement is filed by Polar Asset Management Partners Inc., a company incorporated under the laws of Ontario, Canada, which serves as the investment advisor to Polar Multi-Strategy Master Fund, a Cayman Islands exempted company ("</w:t>
      </w:r>
      <w:r>
        <w:rPr>
          <w:rFonts w:ascii="Arial" w:cs="Arial" w:eastAsia="Arial" w:hAnsi="Arial"/>
          <w:sz w:val="21"/>
          <w:szCs w:val="21"/>
          <w:u w:val="single" w:color="auto"/>
          <w:color w:val="auto"/>
        </w:rPr>
        <w:t>PMSMF</w:t>
      </w:r>
      <w:r>
        <w:rPr>
          <w:rFonts w:ascii="Arial" w:cs="Arial" w:eastAsia="Arial" w:hAnsi="Arial"/>
          <w:sz w:val="21"/>
          <w:szCs w:val="21"/>
          <w:color w:val="auto"/>
        </w:rPr>
        <w:t>") with respect to the Shares (as defined below) directly held by PMSMF.</w:t>
      </w:r>
    </w:p>
    <w:p>
      <w:pPr>
        <w:spacing w:after="0" w:line="163" w:lineRule="exact"/>
        <w:rPr>
          <w:sz w:val="20"/>
          <w:szCs w:val="20"/>
          <w:color w:val="auto"/>
        </w:rPr>
      </w:pPr>
    </w:p>
    <w:p>
      <w:pPr>
        <w:ind w:left="700" w:hanging="692"/>
        <w:spacing w:after="0"/>
        <w:tabs>
          <w:tab w:leader="none" w:pos="7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address of the business office of the Reporting Person is 16 York Street, Suite 2900, Toronto, ON, Canada M5J 0E6.</w:t>
      </w:r>
    </w:p>
    <w:p>
      <w:pPr>
        <w:spacing w:after="0" w:line="235" w:lineRule="exact"/>
        <w:rPr>
          <w:sz w:val="20"/>
          <w:szCs w:val="20"/>
          <w:color w:val="auto"/>
        </w:rPr>
      </w:pPr>
    </w:p>
    <w:p>
      <w:pPr>
        <w:ind w:left="700" w:hanging="692"/>
        <w:spacing w:after="0"/>
        <w:tabs>
          <w:tab w:leader="none" w:pos="7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citizenship of the Reporting Person is Canada.</w:t>
      </w:r>
    </w:p>
    <w:p>
      <w:pPr>
        <w:spacing w:after="0" w:line="200" w:lineRule="exact"/>
        <w:rPr>
          <w:sz w:val="20"/>
          <w:szCs w:val="20"/>
          <w:color w:val="auto"/>
        </w:rPr>
      </w:pPr>
    </w:p>
    <w:p>
      <w:pPr>
        <w:ind w:left="700" w:hanging="692"/>
        <w:spacing w:after="0"/>
        <w:tabs>
          <w:tab w:leader="none" w:pos="70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Title and Class of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Stock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200"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CUSIP No.: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92280L101</w:t>
      </w:r>
    </w:p>
    <w:p>
      <w:pPr>
        <w:spacing w:after="0" w:line="200"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3.</w:t>
        <w:tab/>
        <w:t>If this statement is filed pursuant to §§ 240.13d-1(b) or 240.13d-2(b) or (c), check whether the person filing is a:</w:t>
      </w:r>
    </w:p>
    <w:p>
      <w:pPr>
        <w:spacing w:after="0" w:line="168" w:lineRule="exact"/>
        <w:rPr>
          <w:sz w:val="20"/>
          <w:szCs w:val="20"/>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investment adviser in accordance with Rule 13d-1(b)(1)(ii)(E);</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5140"/>
        <w:spacing w:after="0"/>
        <w:rPr>
          <w:rFonts w:ascii="Arial" w:cs="Arial" w:eastAsia="Arial" w:hAnsi="Arial"/>
          <w:sz w:val="22"/>
          <w:szCs w:val="22"/>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 w:name="page4"/>
    <w:bookmarkEnd w:id="3"/>
    <w:p>
      <w:pPr>
        <w:ind w:left="20"/>
        <w:spacing w:after="0"/>
        <w:tabs>
          <w:tab w:leader="none" w:pos="5300" w:val="left"/>
          <w:tab w:leader="none" w:pos="7480" w:val="left"/>
        </w:tabs>
        <w:rPr>
          <w:sz w:val="20"/>
          <w:szCs w:val="20"/>
          <w:color w:val="auto"/>
        </w:rPr>
      </w:pPr>
      <w:r>
        <w:rPr>
          <w:rFonts w:ascii="Arial" w:cs="Arial" w:eastAsia="Arial" w:hAnsi="Arial"/>
          <w:sz w:val="18"/>
          <w:szCs w:val="18"/>
          <w:b w:val="1"/>
          <w:bCs w:val="1"/>
          <w:color w:val="auto"/>
        </w:rPr>
        <w:t>CUSIP No. 92280L101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-119380</wp:posOffset>
            </wp:positionV>
            <wp:extent cx="238315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8315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49"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60" w:hanging="1304"/>
        <w:spacing w:after="0" w:line="250" w:lineRule="auto"/>
        <w:tabs>
          <w:tab w:leader="none" w:pos="1329" w:val="left"/>
        </w:tabs>
        <w:numPr>
          <w:ilvl w:val="0"/>
          <w:numId w:val="10"/>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4"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[X]</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Group, in accordance with Rule 240.13d-1(b)(1)(ii)(K).</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filing as a non-U.S. institution in accordance with Rule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6953250</wp:posOffset>
            </wp:positionH>
            <wp:positionV relativeFrom="paragraph">
              <wp:posOffset>3175</wp:posOffset>
            </wp:positionV>
            <wp:extent cx="18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157480</wp:posOffset>
            </wp:positionV>
            <wp:extent cx="2640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Reporting Person is an investment fund manager, portfolio manager, exempt market dealer and commodity trading manager registered with the Ontario Securities Commission.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The percentages used herein are calculated based upon 21,562,500 Shares outstanding as of December 3, 2021 as disclosed in the Company's Form 10-Q/A Amendment No. 1 to Quarterly report on Form 10-Q for the quarterly period ended September 30, 2021, filed with the Securities and Exchange Commission on December 6, 2021.</w:t>
      </w:r>
    </w:p>
    <w:p>
      <w:pPr>
        <w:spacing w:after="0" w:line="169"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information required by Items 4(a) - (c) is set forth in Rows 5 - 11 of the cover page for the Reporting Person and is incorporated herein by reference.</w:t>
      </w:r>
    </w:p>
    <w:p>
      <w:pPr>
        <w:spacing w:after="0" w:line="16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980"/>
        <w:spacing w:after="0" w:line="250" w:lineRule="auto"/>
        <w:rPr>
          <w:sz w:val="20"/>
          <w:szCs w:val="20"/>
          <w:color w:val="auto"/>
        </w:rPr>
      </w:pPr>
      <w:r>
        <w:rPr>
          <w:rFonts w:ascii="Arial" w:cs="Arial" w:eastAsia="Arial" w:hAnsi="Arial"/>
          <w:sz w:val="22"/>
          <w:szCs w:val="22"/>
          <w:color w:val="auto"/>
        </w:rPr>
        <w:t>See Item 2. PMSMF has the right to receive or the power to direct the receipt of dividends from or the proceeds from the sale of more than 5% of the Shares.</w:t>
      </w:r>
    </w:p>
    <w:p>
      <w:pPr>
        <w:spacing w:after="0" w:line="169"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92280L101</w:t>
            </w:r>
          </w:p>
        </w:tc>
        <w:tc>
          <w:tcPr>
            <w:tcW w:w="374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5 Pages</w:t>
            </w:r>
          </w:p>
        </w:tc>
      </w:tr>
    </w:tbl>
    <w:p>
      <w:pPr>
        <w:spacing w:after="0" w:line="189"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212" w:lineRule="exact"/>
        <w:rPr>
          <w:sz w:val="20"/>
          <w:szCs w:val="20"/>
          <w:color w:val="auto"/>
        </w:rPr>
      </w:pPr>
    </w:p>
    <w:p>
      <w:pPr>
        <w:jc w:val="both"/>
        <w:ind w:left="980"/>
        <w:spacing w:after="0" w:line="246" w:lineRule="auto"/>
        <w:rPr>
          <w:sz w:val="20"/>
          <w:szCs w:val="20"/>
          <w:color w:val="auto"/>
        </w:rPr>
      </w:pPr>
      <w:r>
        <w:rPr>
          <w:rFonts w:ascii="Arial" w:cs="Arial" w:eastAsia="Arial" w:hAnsi="Arial"/>
          <w:sz w:val="21"/>
          <w:szCs w:val="21"/>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and (ii) the foreign regulatory schemes applicable to investment fund managers and broker-dealers are substantially comparable to the regulatory schemes applicable to the functionally equivalent U.S. institutions. The Reporting Person also undertakes to furnish to the Commission staff, upon request, information that would otherwise be disclosed in a Schedule 13D.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11,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POLAR ASSET MANAGEMENT PARTNERS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Andrew Ma</w:t>
      </w:r>
    </w:p>
    <w:p>
      <w:pPr>
        <w:spacing w:after="0" w:line="238" w:lineRule="auto"/>
        <w:rPr>
          <w:sz w:val="20"/>
          <w:szCs w:val="20"/>
          <w:color w:val="auto"/>
        </w:rPr>
      </w:pPr>
      <w:r>
        <w:rPr>
          <w:rFonts w:ascii="Arial" w:cs="Arial" w:eastAsia="Arial" w:hAnsi="Arial"/>
          <w:sz w:val="22"/>
          <w:szCs w:val="22"/>
          <w:color w:val="auto"/>
        </w:rPr>
        <w:t>Name: Andrew Ma</w:t>
      </w:r>
    </w:p>
    <w:p>
      <w:pPr>
        <w:spacing w:after="0"/>
        <w:tabs>
          <w:tab w:leader="none" w:pos="680" w:val="left"/>
        </w:tabs>
        <w:rPr>
          <w:sz w:val="20"/>
          <w:szCs w:val="20"/>
          <w:color w:val="auto"/>
        </w:rPr>
      </w:pPr>
      <w:r>
        <w:rPr>
          <w:rFonts w:ascii="Arial" w:cs="Arial" w:eastAsia="Arial" w:hAnsi="Arial"/>
          <w:sz w:val="22"/>
          <w:szCs w:val="22"/>
          <w:color w:val="auto"/>
        </w:rPr>
        <w:t>Title:</w:t>
        <w:tab/>
        <w:t>Chief Compliance Officer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2022-02-12T01:43:44Z</dcterms:created>
  <dcterms:modified xsi:type="dcterms:W3CDTF">2022-02-12T01:43:44Z</dcterms:modified>
</cp:coreProperties>
</file>