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99060</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1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gridSpan w:val="4"/>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FORM 8-K</w:t>
            </w:r>
          </w:p>
        </w:tc>
        <w:tc>
          <w:tcPr>
            <w:tcW w:w="27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CURRENT REPORT</w:t>
            </w:r>
          </w:p>
        </w:tc>
        <w:tc>
          <w:tcPr>
            <w:tcW w:w="27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5"/>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PURSUANT TO SECTION 13 OR 15(d) OF THE</w:t>
            </w:r>
          </w:p>
        </w:tc>
        <w:tc>
          <w:tcPr>
            <w:tcW w:w="2720" w:type="dxa"/>
            <w:vAlign w:val="bottom"/>
          </w:tcPr>
          <w:p>
            <w:pPr>
              <w:spacing w:after="0"/>
              <w:rPr>
                <w:sz w:val="17"/>
                <w:szCs w:val="17"/>
                <w:color w:val="auto"/>
              </w:rPr>
            </w:pPr>
          </w:p>
        </w:tc>
      </w:tr>
      <w:tr>
        <w:trPr>
          <w:trHeight w:val="15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gridSpan w:val="4"/>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SECURITIES EXCHANGE ACT OF 1934</w:t>
            </w:r>
          </w:p>
        </w:tc>
        <w:tc>
          <w:tcPr>
            <w:tcW w:w="27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380" w:type="dxa"/>
            <w:vAlign w:val="bottom"/>
            <w:gridSpan w:val="8"/>
          </w:tcPr>
          <w:p>
            <w:pPr>
              <w:jc w:val="center"/>
              <w:ind w:right="120"/>
              <w:spacing w:after="0"/>
              <w:rPr>
                <w:sz w:val="20"/>
                <w:szCs w:val="20"/>
                <w:color w:val="auto"/>
              </w:rPr>
            </w:pPr>
            <w:r>
              <w:rPr>
                <w:rFonts w:ascii="Times New Roman" w:cs="Times New Roman" w:eastAsia="Times New Roman" w:hAnsi="Times New Roman"/>
                <w:sz w:val="12"/>
                <w:szCs w:val="12"/>
                <w:color w:val="auto"/>
                <w:w w:val="99"/>
              </w:rPr>
              <w:t>Date of Report (Date of earliest event reported): March 15, 2023</w:t>
            </w:r>
          </w:p>
        </w:tc>
        <w:tc>
          <w:tcPr>
            <w:tcW w:w="27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4"/>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Presto Automation Inc.</w:t>
            </w:r>
          </w:p>
        </w:tc>
        <w:tc>
          <w:tcPr>
            <w:tcW w:w="2720" w:type="dxa"/>
            <w:vAlign w:val="bottom"/>
          </w:tcPr>
          <w:p>
            <w:pPr>
              <w:spacing w:after="0"/>
              <w:rPr>
                <w:sz w:val="17"/>
                <w:szCs w:val="17"/>
                <w:color w:val="auto"/>
              </w:rPr>
            </w:pPr>
          </w:p>
        </w:tc>
      </w:tr>
      <w:tr>
        <w:trPr>
          <w:trHeight w:val="155"/>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5"/>
          </w:tcPr>
          <w:p>
            <w:pPr>
              <w:jc w:val="center"/>
              <w:ind w:right="44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7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001-39830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84-2968594</w:t>
            </w:r>
          </w:p>
        </w:tc>
      </w:tr>
      <w:tr>
        <w:trPr>
          <w:trHeight w:val="122"/>
        </w:trPr>
        <w:tc>
          <w:tcPr>
            <w:tcW w:w="20" w:type="dxa"/>
            <w:vAlign w:val="bottom"/>
          </w:tcPr>
          <w:p>
            <w:pPr>
              <w:spacing w:after="0"/>
              <w:rPr>
                <w:sz w:val="10"/>
                <w:szCs w:val="10"/>
                <w:color w:val="auto"/>
              </w:rPr>
            </w:pPr>
          </w:p>
        </w:tc>
        <w:tc>
          <w:tcPr>
            <w:tcW w:w="28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560" w:type="dxa"/>
            <w:vAlign w:val="bottom"/>
            <w:tcBorders>
              <w:top w:val="single" w:sz="8" w:color="auto"/>
            </w:tcBorders>
          </w:tcPr>
          <w:p>
            <w:pPr>
              <w:jc w:val="center"/>
              <w:ind w:right="220"/>
              <w:spacing w:after="0" w:line="122" w:lineRule="exact"/>
              <w:rPr>
                <w:sz w:val="20"/>
                <w:szCs w:val="20"/>
                <w:color w:val="auto"/>
              </w:rPr>
            </w:pPr>
            <w:r>
              <w:rPr>
                <w:rFonts w:ascii="Times New Roman" w:cs="Times New Roman" w:eastAsia="Times New Roman" w:hAnsi="Times New Roman"/>
                <w:sz w:val="12"/>
                <w:szCs w:val="12"/>
                <w:color w:val="auto"/>
                <w:w w:val="99"/>
              </w:rPr>
              <w:t>(Commission File Number)</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720" w:type="dxa"/>
            <w:vAlign w:val="bottom"/>
            <w:tcBorders>
              <w:top w:val="single" w:sz="8" w:color="auto"/>
            </w:tcBorders>
          </w:tcPr>
          <w:p>
            <w:pPr>
              <w:jc w:val="center"/>
              <w:ind w:right="80"/>
              <w:spacing w:after="0" w:line="122" w:lineRule="exact"/>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20" w:type="dxa"/>
            <w:vAlign w:val="bottom"/>
          </w:tcPr>
          <w:p>
            <w:pPr>
              <w:spacing w:after="0"/>
              <w:rPr>
                <w:sz w:val="13"/>
                <w:szCs w:val="13"/>
                <w:color w:val="auto"/>
              </w:rPr>
            </w:pP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of incorporation)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9"/>
              </w:rPr>
              <w:t>985 Industrial Road</w:t>
            </w:r>
          </w:p>
        </w:tc>
        <w:tc>
          <w:tcPr>
            <w:tcW w:w="2720" w:type="dxa"/>
            <w:vAlign w:val="bottom"/>
          </w:tcPr>
          <w:p>
            <w:pPr>
              <w:spacing w:after="0"/>
              <w:rPr>
                <w:sz w:val="18"/>
                <w:szCs w:val="18"/>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gridSpan w:val="4"/>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San Carlos, CA 94070</w:t>
            </w:r>
          </w:p>
        </w:tc>
        <w:tc>
          <w:tcPr>
            <w:tcW w:w="272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0" w:type="dxa"/>
            <w:vAlign w:val="bottom"/>
            <w:gridSpan w:val="6"/>
          </w:tcPr>
          <w:p>
            <w:pPr>
              <w:jc w:val="center"/>
              <w:ind w:right="320"/>
              <w:spacing w:after="0"/>
              <w:rPr>
                <w:sz w:val="20"/>
                <w:szCs w:val="20"/>
                <w:color w:val="auto"/>
              </w:rPr>
            </w:pPr>
            <w:r>
              <w:rPr>
                <w:rFonts w:ascii="Times New Roman" w:cs="Times New Roman" w:eastAsia="Times New Roman" w:hAnsi="Times New Roman"/>
                <w:sz w:val="12"/>
                <w:szCs w:val="12"/>
                <w:color w:val="auto"/>
                <w:w w:val="99"/>
              </w:rPr>
              <w:t>(Address of principal executive offices, including zip code)</w:t>
            </w:r>
          </w:p>
        </w:tc>
        <w:tc>
          <w:tcPr>
            <w:tcW w:w="27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220" w:type="dxa"/>
            <w:vAlign w:val="bottom"/>
            <w:gridSpan w:val="9"/>
          </w:tcPr>
          <w:p>
            <w:pPr>
              <w:jc w:val="center"/>
              <w:ind w:left="264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r>
              <w:rPr>
                <w:rFonts w:ascii="Times New Roman" w:cs="Times New Roman" w:eastAsia="Times New Roman" w:hAnsi="Times New Roman"/>
                <w:sz w:val="12"/>
                <w:szCs w:val="12"/>
                <w:b w:val="1"/>
                <w:bCs w:val="1"/>
                <w:color w:val="auto"/>
                <w:w w:val="99"/>
              </w:rPr>
              <w:t>: (650) 817-9012</w:t>
            </w:r>
          </w:p>
        </w:tc>
        <w:tc>
          <w:tcPr>
            <w:tcW w:w="27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4"/>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2720" w:type="dxa"/>
            <w:vAlign w:val="bottom"/>
          </w:tcPr>
          <w:p>
            <w:pPr>
              <w:spacing w:after="0"/>
              <w:rPr>
                <w:sz w:val="17"/>
                <w:szCs w:val="17"/>
                <w:color w:val="auto"/>
              </w:rPr>
            </w:pPr>
          </w:p>
        </w:tc>
      </w:tr>
      <w:tr>
        <w:trPr>
          <w:trHeight w:val="155"/>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40" w:type="dxa"/>
            <w:vAlign w:val="bottom"/>
            <w:gridSpan w:val="7"/>
          </w:tcPr>
          <w:p>
            <w:pPr>
              <w:jc w:val="center"/>
              <w:ind w:right="28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2720" w:type="dxa"/>
            <w:vAlign w:val="bottom"/>
          </w:tcPr>
          <w:p>
            <w:pPr>
              <w:spacing w:after="0"/>
              <w:rPr>
                <w:sz w:val="13"/>
                <w:szCs w:val="13"/>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w:t>
            </w:r>
          </w:p>
        </w:tc>
      </w:tr>
      <w:tr>
        <w:trPr>
          <w:trHeight w:val="159"/>
        </w:trPr>
        <w:tc>
          <w:tcPr>
            <w:tcW w:w="20" w:type="dxa"/>
            <w:vAlign w:val="bottom"/>
          </w:tcPr>
          <w:p>
            <w:pPr>
              <w:spacing w:after="0"/>
              <w:rPr>
                <w:sz w:val="13"/>
                <w:szCs w:val="13"/>
                <w:color w:val="auto"/>
              </w:rPr>
            </w:pPr>
          </w:p>
        </w:tc>
        <w:tc>
          <w:tcPr>
            <w:tcW w:w="2980" w:type="dxa"/>
            <w:vAlign w:val="bottom"/>
            <w:gridSpan w:val="2"/>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2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registered</w:t>
            </w:r>
          </w:p>
        </w:tc>
      </w:tr>
      <w:tr>
        <w:trPr>
          <w:trHeight w:val="122"/>
        </w:trPr>
        <w:tc>
          <w:tcPr>
            <w:tcW w:w="20" w:type="dxa"/>
            <w:vAlign w:val="bottom"/>
          </w:tcPr>
          <w:p>
            <w:pPr>
              <w:spacing w:after="0"/>
              <w:rPr>
                <w:sz w:val="10"/>
                <w:szCs w:val="10"/>
                <w:color w:val="auto"/>
              </w:rPr>
            </w:pPr>
          </w:p>
        </w:tc>
        <w:tc>
          <w:tcPr>
            <w:tcW w:w="2980" w:type="dxa"/>
            <w:vAlign w:val="bottom"/>
            <w:tcBorders>
              <w:top w:val="single" w:sz="8" w:color="auto"/>
            </w:tcBorders>
            <w:gridSpan w:val="2"/>
          </w:tcPr>
          <w:p>
            <w:pPr>
              <w:jc w:val="center"/>
              <w:ind w:left="80"/>
              <w:spacing w:after="0" w:line="122" w:lineRule="exact"/>
              <w:rPr>
                <w:sz w:val="20"/>
                <w:szCs w:val="20"/>
                <w:color w:val="auto"/>
              </w:rPr>
            </w:pPr>
            <w:r>
              <w:rPr>
                <w:rFonts w:ascii="Times New Roman" w:cs="Times New Roman" w:eastAsia="Times New Roman" w:hAnsi="Times New Roman"/>
                <w:sz w:val="12"/>
                <w:szCs w:val="12"/>
                <w:color w:val="auto"/>
                <w:w w:val="99"/>
              </w:rPr>
              <w:t>Class A common stock, par value $0.0001 per share</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720" w:type="dxa"/>
            <w:vAlign w:val="bottom"/>
            <w:tcBorders>
              <w:top w:val="single" w:sz="8" w:color="auto"/>
            </w:tcBorders>
            <w:gridSpan w:val="2"/>
          </w:tcPr>
          <w:p>
            <w:pPr>
              <w:jc w:val="center"/>
              <w:spacing w:after="0" w:line="122" w:lineRule="exact"/>
              <w:rPr>
                <w:sz w:val="20"/>
                <w:szCs w:val="20"/>
                <w:color w:val="auto"/>
              </w:rPr>
            </w:pPr>
            <w:r>
              <w:rPr>
                <w:rFonts w:ascii="Times New Roman" w:cs="Times New Roman" w:eastAsia="Times New Roman" w:hAnsi="Times New Roman"/>
                <w:sz w:val="12"/>
                <w:szCs w:val="12"/>
                <w:color w:val="auto"/>
                <w:w w:val="97"/>
              </w:rPr>
              <w:t>PRST</w:t>
            </w:r>
          </w:p>
        </w:tc>
        <w:tc>
          <w:tcPr>
            <w:tcW w:w="180" w:type="dxa"/>
            <w:vAlign w:val="bottom"/>
            <w:gridSpan w:val="2"/>
          </w:tcPr>
          <w:p>
            <w:pPr>
              <w:spacing w:after="0"/>
              <w:rPr>
                <w:sz w:val="10"/>
                <w:szCs w:val="10"/>
                <w:color w:val="auto"/>
              </w:rPr>
            </w:pPr>
          </w:p>
        </w:tc>
        <w:tc>
          <w:tcPr>
            <w:tcW w:w="27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rPr>
              <w:t>The Nasdaq Stock Market LLC</w:t>
            </w:r>
          </w:p>
        </w:tc>
      </w:tr>
      <w:tr>
        <w:trPr>
          <w:trHeight w:val="144"/>
        </w:trPr>
        <w:tc>
          <w:tcPr>
            <w:tcW w:w="20" w:type="dxa"/>
            <w:vAlign w:val="bottom"/>
          </w:tcPr>
          <w:p>
            <w:pPr>
              <w:spacing w:after="0"/>
              <w:rPr>
                <w:sz w:val="12"/>
                <w:szCs w:val="12"/>
                <w:color w:val="auto"/>
              </w:rPr>
            </w:pPr>
          </w:p>
        </w:tc>
        <w:tc>
          <w:tcPr>
            <w:tcW w:w="2980" w:type="dxa"/>
            <w:vAlign w:val="bottom"/>
            <w:gridSpan w:val="2"/>
          </w:tcPr>
          <w:p>
            <w:pPr>
              <w:jc w:val="center"/>
              <w:ind w:left="80"/>
              <w:spacing w:after="0"/>
              <w:rPr>
                <w:sz w:val="20"/>
                <w:szCs w:val="20"/>
                <w:color w:val="auto"/>
              </w:rPr>
            </w:pPr>
            <w:r>
              <w:rPr>
                <w:rFonts w:ascii="Times New Roman" w:cs="Times New Roman" w:eastAsia="Times New Roman" w:hAnsi="Times New Roman"/>
                <w:sz w:val="12"/>
                <w:szCs w:val="12"/>
                <w:color w:val="auto"/>
              </w:rPr>
              <w:t>Warrants, each whole warrant exercisable for one share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9"/>
              </w:rPr>
              <w:t>PRSTW</w:t>
            </w:r>
          </w:p>
        </w:tc>
        <w:tc>
          <w:tcPr>
            <w:tcW w:w="2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55"/>
        </w:trPr>
        <w:tc>
          <w:tcPr>
            <w:tcW w:w="20" w:type="dxa"/>
            <w:vAlign w:val="bottom"/>
          </w:tcPr>
          <w:p>
            <w:pPr>
              <w:spacing w:after="0"/>
              <w:rPr>
                <w:sz w:val="13"/>
                <w:szCs w:val="13"/>
                <w:color w:val="auto"/>
              </w:rPr>
            </w:pPr>
          </w:p>
        </w:tc>
        <w:tc>
          <w:tcPr>
            <w:tcW w:w="2980" w:type="dxa"/>
            <w:vAlign w:val="bottom"/>
            <w:gridSpan w:val="2"/>
          </w:tcPr>
          <w:p>
            <w:pPr>
              <w:jc w:val="center"/>
              <w:ind w:left="100"/>
              <w:spacing w:after="0"/>
              <w:rPr>
                <w:sz w:val="20"/>
                <w:szCs w:val="20"/>
                <w:color w:val="auto"/>
              </w:rPr>
            </w:pPr>
            <w:r>
              <w:rPr>
                <w:rFonts w:ascii="Times New Roman" w:cs="Times New Roman" w:eastAsia="Times New Roman" w:hAnsi="Times New Roman"/>
                <w:sz w:val="12"/>
                <w:szCs w:val="12"/>
                <w:color w:val="auto"/>
                <w:w w:val="99"/>
              </w:rPr>
              <w:t>common 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r>
    </w:tbl>
    <w:p>
      <w:pPr>
        <w:spacing w:after="0" w:line="7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6"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340" w:hanging="315"/>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340" w:hanging="315"/>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340" w:hanging="315"/>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87" w:lineRule="exact"/>
        <w:rPr>
          <w:sz w:val="24"/>
          <w:szCs w:val="24"/>
          <w:color w:val="auto"/>
        </w:rPr>
      </w:pPr>
    </w:p>
    <w:p>
      <w:pPr>
        <w:ind w:left="20" w:right="6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8" w:lineRule="exact"/>
        <w:rPr>
          <w:sz w:val="24"/>
          <w:szCs w:val="24"/>
          <w:color w:val="auto"/>
        </w:rPr>
      </w:pPr>
    </w:p>
    <w:p>
      <w:pPr>
        <w:ind w:left="20" w:right="68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323850</wp:posOffset>
            </wp:positionV>
            <wp:extent cx="5692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2140"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43815</wp:posOffset>
            </wp:positionV>
            <wp:extent cx="56921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2140"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72390</wp:posOffset>
            </wp:positionV>
            <wp:extent cx="56921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ectPr>
          <w:pgSz w:w="11900" w:h="16838" w:orient="portrait"/>
          <w:cols w:equalWidth="0" w:num="1">
            <w:col w:w="9660"/>
          </w:cols>
          <w:pgMar w:left="1440" w:top="278" w:right="7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53"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On March 15, 2023, Presto Automation, Inc (“Presto” or the “Company”) posted an investor presentation to its website at https://investor.presto.com (the “Investor Presentation”). A copy of the Investor Presentation is attached as Exhibit 99.1 to this current report on Form 8-K and is incorporated herein by reference. The Company expects to use the Investor Presentation, in whole or in part, and possibly with modifications, in connection with presentations to investors, analysts and others.</w:t>
      </w:r>
    </w:p>
    <w:p>
      <w:pPr>
        <w:spacing w:after="0" w:line="164" w:lineRule="exact"/>
        <w:rPr>
          <w:sz w:val="20"/>
          <w:szCs w:val="20"/>
          <w:color w:val="auto"/>
        </w:rPr>
      </w:pPr>
    </w:p>
    <w:p>
      <w:pPr>
        <w:ind w:left="20" w:right="59"/>
        <w:spacing w:after="0" w:line="255" w:lineRule="auto"/>
        <w:rPr>
          <w:sz w:val="20"/>
          <w:szCs w:val="20"/>
          <w:color w:val="auto"/>
        </w:rPr>
      </w:pPr>
      <w:r>
        <w:rPr>
          <w:rFonts w:ascii="Times New Roman" w:cs="Times New Roman" w:eastAsia="Times New Roman" w:hAnsi="Times New Roman"/>
          <w:sz w:val="12"/>
          <w:szCs w:val="12"/>
          <w:color w:val="auto"/>
        </w:rPr>
        <w:t>The information contained in the Investor Presentation is summary information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71"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7.01, including Exhibit 99.1, is being furnished and shall not be deemed “filed” for purposes of Section 18 of the Securities and Exchange Act of 1934, as amended (the “Exchange Act”), or otherwise subject to the liabilities of that section, nor shall it be deemed incorporated by reference in any filing made by Presto Automation, Inc. under the Securities Act of 1933, as amended, or the Exchange Act, except as expressly set forth by specific reference in such a filing.</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Item 9.01. Financial Statements and Exhibits.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620" w:type="dxa"/>
            <w:vAlign w:val="bottom"/>
          </w:tcPr>
          <w:p>
            <w:pPr>
              <w:spacing w:after="0"/>
              <w:rPr>
                <w:sz w:val="13"/>
                <w:szCs w:val="13"/>
                <w:color w:val="auto"/>
              </w:rPr>
            </w:pPr>
          </w:p>
        </w:tc>
      </w:tr>
      <w:tr>
        <w:trPr>
          <w:trHeight w:val="255"/>
        </w:trPr>
        <w:tc>
          <w:tcPr>
            <w:tcW w:w="2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620" w:type="dxa"/>
            <w:vAlign w:val="bottom"/>
          </w:tcPr>
          <w:p>
            <w:pPr>
              <w:spacing w:after="0"/>
              <w:rPr>
                <w:sz w:val="22"/>
                <w:szCs w:val="22"/>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6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20" w:type="dxa"/>
            <w:vAlign w:val="bottom"/>
          </w:tcPr>
          <w:p>
            <w:pPr>
              <w:spacing w:after="0"/>
              <w:rPr>
                <w:sz w:val="9"/>
                <w:szCs w:val="9"/>
                <w:color w:val="auto"/>
              </w:rPr>
            </w:pPr>
          </w:p>
        </w:tc>
        <w:tc>
          <w:tcPr>
            <w:tcW w:w="840" w:type="dxa"/>
            <w:vAlign w:val="bottom"/>
            <w:tcBorders>
              <w:top w:val="single" w:sz="8" w:color="auto"/>
            </w:tcBorders>
          </w:tcPr>
          <w:p>
            <w:pPr>
              <w:ind w:left="40"/>
              <w:spacing w:after="0" w:line="106" w:lineRule="exact"/>
              <w:rPr>
                <w:sz w:val="20"/>
                <w:szCs w:val="20"/>
                <w:color w:val="auto"/>
              </w:rPr>
            </w:pPr>
            <w:r>
              <w:rPr>
                <w:rFonts w:ascii="Times New Roman" w:cs="Times New Roman" w:eastAsia="Times New Roman" w:hAnsi="Times New Roman"/>
                <w:sz w:val="12"/>
                <w:szCs w:val="12"/>
                <w:color w:val="auto"/>
              </w:rPr>
              <w:t>99.1</w:t>
            </w:r>
          </w:p>
        </w:tc>
        <w:tc>
          <w:tcPr>
            <w:tcW w:w="3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66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Investor Presentation date March 15, 2023</w:t>
            </w:r>
          </w:p>
        </w:tc>
      </w:tr>
      <w:tr>
        <w:trPr>
          <w:trHeight w:val="20"/>
        </w:trPr>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95"/>
        </w:trPr>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104</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 the Inline XBRL document)</w:t>
            </w:r>
          </w:p>
        </w:tc>
      </w:tr>
      <w:tr>
        <w:trPr>
          <w:trHeight w:val="520"/>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3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27" w:lineRule="exact"/>
        <w:rPr>
          <w:sz w:val="20"/>
          <w:szCs w:val="20"/>
          <w:color w:val="auto"/>
        </w:rPr>
      </w:pPr>
    </w:p>
    <w:p>
      <w:pPr>
        <w:ind w:left="20" w:right="399" w:firstLine="432"/>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PRESTO AUTOMATION INC.</w:t>
      </w:r>
    </w:p>
    <w:p>
      <w:pPr>
        <w:spacing w:after="0" w:line="154" w:lineRule="exact"/>
        <w:rPr>
          <w:sz w:val="20"/>
          <w:szCs w:val="20"/>
          <w:color w:val="auto"/>
        </w:rPr>
      </w:pPr>
    </w:p>
    <w:p>
      <w:pPr>
        <w:ind w:left="4500"/>
        <w:spacing w:after="0"/>
        <w:tabs>
          <w:tab w:leader="none" w:pos="4780" w:val="left"/>
        </w:tabs>
        <w:rPr>
          <w:sz w:val="20"/>
          <w:szCs w:val="20"/>
          <w:color w:val="auto"/>
        </w:rPr>
      </w:pPr>
      <w:r>
        <w:rPr>
          <w:rFonts w:ascii="Times New Roman" w:cs="Times New Roman" w:eastAsia="Times New Roman" w:hAnsi="Times New Roman"/>
          <w:sz w:val="12"/>
          <w:szCs w:val="12"/>
          <w:color w:val="auto"/>
        </w:rPr>
        <w:t>By:</w:t>
        <w:tab/>
        <w:t>/s/ Susan Shinoff</w:t>
      </w:r>
    </w:p>
    <w:p>
      <w:pPr>
        <w:spacing w:after="0" w:line="17" w:lineRule="exact"/>
        <w:rPr>
          <w:sz w:val="20"/>
          <w:szCs w:val="20"/>
          <w:color w:val="auto"/>
        </w:rPr>
      </w:pPr>
    </w:p>
    <w:tbl>
      <w:tblPr>
        <w:tblLayout w:type="fixed"/>
        <w:tblInd w:w="4800" w:type="dxa"/>
        <w:tblCellMar>
          <w:top w:w="0" w:type="dxa"/>
          <w:left w:w="0" w:type="dxa"/>
          <w:bottom w:w="0" w:type="dxa"/>
          <w:right w:w="0" w:type="dxa"/>
        </w:tblCellMar>
      </w:tblPr>
      <w:tr>
        <w:trPr>
          <w:trHeight w:val="122"/>
        </w:trPr>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74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Susan Shinoff</w:t>
            </w:r>
          </w:p>
        </w:tc>
      </w:tr>
      <w:tr>
        <w:trPr>
          <w:trHeight w:val="155"/>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 Counsel and Corporate Secretary</w:t>
            </w:r>
          </w:p>
        </w:tc>
      </w:tr>
    </w:tbl>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Dated: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336550</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414655</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2023-03-15T10:28:06Z</dcterms:created>
  <dcterms:modified xsi:type="dcterms:W3CDTF">2023-03-15T10:28:06Z</dcterms:modified>
</cp:coreProperties>
</file>