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Ventoux CCM Acquisition Corp.</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92280L200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003415" cy="5743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743575"/>
                    </a:xfrm>
                    <a:prstGeom prst="rect">
                      <a:avLst/>
                    </a:prstGeom>
                    <a:noFill/>
                  </pic:spPr>
                </pic:pic>
              </a:graphicData>
            </a:graphic>
          </wp:anchor>
        </w:drawing>
      </w:r>
    </w:p>
    <w:p>
      <w:pPr>
        <w:spacing w:after="0" w:line="209" w:lineRule="exact"/>
        <w:rPr>
          <w:sz w:val="20"/>
          <w:szCs w:val="20"/>
          <w:color w:val="auto"/>
        </w:rPr>
      </w:pPr>
    </w:p>
    <w:p>
      <w:pPr>
        <w:jc w:val="center"/>
        <w:ind w:right="56"/>
        <w:spacing w:after="0"/>
        <w:tabs>
          <w:tab w:leader="none" w:pos="200" w:val="left"/>
        </w:tabs>
        <w:rPr>
          <w:sz w:val="20"/>
          <w:szCs w:val="20"/>
          <w:color w:val="auto"/>
        </w:rPr>
      </w:pPr>
      <w:r>
        <w:rPr>
          <w:rFonts w:ascii="Times New Roman" w:cs="Times New Roman" w:eastAsia="Times New Roman" w:hAnsi="Times New Roman"/>
          <w:sz w:val="18"/>
          <w:szCs w:val="18"/>
          <w:color w:val="auto"/>
        </w:rPr>
        <w:t>CUSIP No.</w:t>
        <w:tab/>
        <w:t>92280L200</w:t>
      </w:r>
    </w:p>
    <w:p>
      <w:pPr>
        <w:spacing w:after="0" w:line="50" w:lineRule="exact"/>
        <w:rPr>
          <w:sz w:val="20"/>
          <w:szCs w:val="20"/>
          <w:color w:val="auto"/>
        </w:rPr>
      </w:pPr>
    </w:p>
    <w:p>
      <w:pPr>
        <w:ind w:left="564" w:hanging="407"/>
        <w:spacing w:after="0"/>
        <w:tabs>
          <w:tab w:leader="none" w:pos="5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2"/>
          <w:szCs w:val="22"/>
          <w:color w:val="auto"/>
        </w:rPr>
        <w:t>Mizuho Financial Group, Inc.</w:t>
      </w:r>
    </w:p>
    <w:p>
      <w:pPr>
        <w:spacing w:after="0" w:line="29" w:lineRule="exact"/>
        <w:rPr>
          <w:sz w:val="20"/>
          <w:szCs w:val="20"/>
          <w:color w:val="auto"/>
        </w:rPr>
      </w:pPr>
    </w:p>
    <w:p>
      <w:pPr>
        <w:ind w:left="564" w:hanging="407"/>
        <w:spacing w:after="0"/>
        <w:tabs>
          <w:tab w:leader="none" w:pos="5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0" w:lineRule="exact"/>
        <w:rPr>
          <w:rFonts w:ascii="Times New Roman" w:cs="Times New Roman" w:eastAsia="Times New Roman" w:hAnsi="Times New Roman"/>
          <w:sz w:val="18"/>
          <w:szCs w:val="18"/>
          <w:color w:val="auto"/>
        </w:rPr>
      </w:pPr>
    </w:p>
    <w:p>
      <w:pPr>
        <w:ind w:left="564"/>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(see instructions)</w:t>
      </w:r>
    </w:p>
    <w:p>
      <w:pPr>
        <w:spacing w:after="0" w:line="7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2"/>
          <w:szCs w:val="22"/>
          <w:color w:val="auto"/>
        </w:rPr>
        <w:t>Japan</w:t>
      </w:r>
    </w:p>
    <w:p>
      <w:pPr>
        <w:spacing w:after="0" w:line="29"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7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4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22"/>
          <w:szCs w:val="22"/>
          <w:color w:val="auto"/>
        </w:rPr>
        <w:t>1,150,000**</w:t>
      </w:r>
    </w:p>
    <w:p>
      <w:pPr>
        <w:spacing w:after="0" w:line="2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4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22"/>
          <w:szCs w:val="22"/>
          <w:color w:val="auto"/>
        </w:rPr>
        <w:t>None</w:t>
      </w:r>
    </w:p>
    <w:p>
      <w:pPr>
        <w:spacing w:after="0" w:line="2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4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22"/>
          <w:szCs w:val="22"/>
          <w:color w:val="auto"/>
        </w:rPr>
        <w:t>1,150,000**</w:t>
      </w:r>
    </w:p>
    <w:p>
      <w:pPr>
        <w:spacing w:after="0" w:line="2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(8)  Shared dispositive power</w:t>
      </w:r>
    </w:p>
    <w:p>
      <w:pPr>
        <w:spacing w:after="0" w:line="24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22"/>
          <w:szCs w:val="22"/>
          <w:color w:val="auto"/>
        </w:rPr>
        <w:t>None</w:t>
      </w:r>
    </w:p>
    <w:p>
      <w:pPr>
        <w:spacing w:after="0" w:line="29" w:lineRule="exact"/>
        <w:rPr>
          <w:sz w:val="20"/>
          <w:szCs w:val="20"/>
          <w:color w:val="auto"/>
        </w:rPr>
      </w:pPr>
    </w:p>
    <w:p>
      <w:pPr>
        <w:ind w:left="564" w:hanging="407"/>
        <w:spacing w:after="0"/>
        <w:tabs>
          <w:tab w:leader="none" w:pos="5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2"/>
          <w:szCs w:val="22"/>
          <w:color w:val="auto"/>
        </w:rPr>
        <w:t>1,150,000**</w:t>
      </w:r>
    </w:p>
    <w:p>
      <w:pPr>
        <w:spacing w:after="0" w:line="29" w:lineRule="exact"/>
        <w:rPr>
          <w:sz w:val="20"/>
          <w:szCs w:val="20"/>
          <w:color w:val="auto"/>
        </w:rPr>
      </w:pPr>
    </w:p>
    <w:p>
      <w:pPr>
        <w:ind w:left="564" w:hanging="407"/>
        <w:spacing w:after="0"/>
        <w:tabs>
          <w:tab w:leader="none" w:pos="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75"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2"/>
          <w:szCs w:val="22"/>
          <w:color w:val="auto"/>
        </w:rPr>
        <w:t>6.7%</w:t>
      </w:r>
    </w:p>
    <w:p>
      <w:pPr>
        <w:spacing w:after="0" w:line="29"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(12) Type of reporting person (see instructions)</w:t>
      </w:r>
    </w:p>
    <w:p>
      <w:pPr>
        <w:spacing w:after="0" w:line="24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22"/>
          <w:szCs w:val="22"/>
          <w:color w:val="auto"/>
        </w:rPr>
        <w:t>FI</w:t>
      </w:r>
    </w:p>
    <w:p>
      <w:pPr>
        <w:spacing w:after="0" w:line="29" w:lineRule="exact"/>
        <w:rPr>
          <w:sz w:val="20"/>
          <w:szCs w:val="20"/>
          <w:color w:val="auto"/>
        </w:rPr>
      </w:pPr>
    </w:p>
    <w:p>
      <w:pPr>
        <w:ind w:left="424" w:right="440" w:hanging="424"/>
        <w:spacing w:after="0" w:line="278" w:lineRule="auto"/>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Mizuho Financial Group, Inc., Mizuho Bank, Ltd. and Mizuho Americas LLC may be deemed to be indirect beneficial owners of said equity securities directly held by Mizuho Securities USA LLC which is their wholly-owned subsidiary.</w:t>
      </w:r>
    </w:p>
    <w:p>
      <w:pPr>
        <w:sectPr>
          <w:pgSz w:w="11900" w:h="16838" w:orient="portrait"/>
          <w:cols w:equalWidth="0" w:num="1">
            <w:col w:w="11024"/>
          </w:cols>
          <w:pgMar w:left="436" w:top="266"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5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24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w w:val="98"/>
              </w:rPr>
              <w:t>Page 3 of 5</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Item 1(a)</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 of issuer:</w:t>
            </w:r>
          </w:p>
        </w:tc>
        <w:tc>
          <w:tcPr>
            <w:tcW w:w="544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i w:val="1"/>
                <w:iCs w:val="1"/>
                <w:color w:val="auto"/>
              </w:rPr>
              <w:t>Ventoux CCM Acquisition Corp.</w:t>
            </w: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Item 1(b)</w:t>
            </w: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Address of issuer’s principal executive offices:   </w:t>
            </w:r>
            <w:r>
              <w:rPr>
                <w:rFonts w:ascii="Times New Roman" w:cs="Times New Roman" w:eastAsia="Times New Roman" w:hAnsi="Times New Roman"/>
                <w:sz w:val="18"/>
                <w:szCs w:val="18"/>
                <w:i w:val="1"/>
                <w:iCs w:val="1"/>
                <w:color w:val="auto"/>
              </w:rPr>
              <w:t>1 East Putnam Avenue, Floor 4 Greenwich, CT</w:t>
            </w:r>
          </w:p>
        </w:tc>
        <w:tc>
          <w:tcPr>
            <w:tcW w:w="324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2(a) Name of person filing:</w:t>
      </w:r>
    </w:p>
    <w:p>
      <w:pPr>
        <w:spacing w:after="0" w:line="119" w:lineRule="exact"/>
        <w:rPr>
          <w:sz w:val="20"/>
          <w:szCs w:val="20"/>
          <w:color w:val="auto"/>
        </w:rPr>
      </w:pPr>
    </w:p>
    <w:p>
      <w:pPr>
        <w:ind w:left="84"/>
        <w:spacing w:after="0"/>
        <w:rPr>
          <w:sz w:val="20"/>
          <w:szCs w:val="20"/>
          <w:color w:val="auto"/>
        </w:rPr>
      </w:pPr>
      <w:r>
        <w:rPr>
          <w:rFonts w:ascii="Times New Roman" w:cs="Times New Roman" w:eastAsia="Times New Roman" w:hAnsi="Times New Roman"/>
          <w:sz w:val="18"/>
          <w:szCs w:val="18"/>
          <w:i w:val="1"/>
          <w:iCs w:val="1"/>
          <w:color w:val="auto"/>
        </w:rPr>
        <w:t>Mizuho Financial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111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1625" cy="8255"/>
                    </a:xfrm>
                    <a:prstGeom prst="rect">
                      <a:avLst/>
                    </a:prstGeom>
                    <a:noFill/>
                  </pic:spPr>
                </pic:pic>
              </a:graphicData>
            </a:graphic>
          </wp:anchor>
        </w:drawing>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2(b) Address or principal business office or, if none, residence:</w:t>
      </w:r>
    </w:p>
    <w:p>
      <w:pPr>
        <w:spacing w:after="0" w:line="119" w:lineRule="exact"/>
        <w:rPr>
          <w:sz w:val="20"/>
          <w:szCs w:val="20"/>
          <w:color w:val="auto"/>
        </w:rPr>
      </w:pPr>
    </w:p>
    <w:p>
      <w:pPr>
        <w:ind w:left="84"/>
        <w:spacing w:after="0"/>
        <w:rPr>
          <w:sz w:val="20"/>
          <w:szCs w:val="20"/>
          <w:color w:val="auto"/>
        </w:rPr>
      </w:pPr>
      <w:r>
        <w:rPr>
          <w:rFonts w:ascii="Times New Roman" w:cs="Times New Roman" w:eastAsia="Times New Roman" w:hAnsi="Times New Roman"/>
          <w:sz w:val="18"/>
          <w:szCs w:val="18"/>
          <w:i w:val="1"/>
          <w:iCs w:val="1"/>
          <w:color w:val="auto"/>
        </w:rPr>
        <w:t>1–5–5, Otemachi, Chiyoda–ku, Tokyo 100–8176,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3886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86200" cy="8890"/>
                    </a:xfrm>
                    <a:prstGeom prst="rect">
                      <a:avLst/>
                    </a:prstGeom>
                    <a:noFill/>
                  </pic:spPr>
                </pic:pic>
              </a:graphicData>
            </a:graphic>
          </wp:anchor>
        </w:drawing>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2(c) Citizenship:</w:t>
      </w:r>
    </w:p>
    <w:p>
      <w:pPr>
        <w:spacing w:after="0" w:line="119" w:lineRule="exact"/>
        <w:rPr>
          <w:sz w:val="20"/>
          <w:szCs w:val="20"/>
          <w:color w:val="auto"/>
        </w:rPr>
      </w:pPr>
    </w:p>
    <w:p>
      <w:pPr>
        <w:ind w:left="84"/>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5351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35170" cy="8255"/>
                    </a:xfrm>
                    <a:prstGeom prst="rect">
                      <a:avLst/>
                    </a:prstGeom>
                    <a:noFill/>
                  </pic:spPr>
                </pic:pic>
              </a:graphicData>
            </a:graphic>
          </wp:anchor>
        </w:drawing>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2(d) 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32277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27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2(e) CUSIP No.:</w:t>
      </w:r>
    </w:p>
    <w:p>
      <w:pPr>
        <w:spacing w:after="0" w:line="119" w:lineRule="exact"/>
        <w:rPr>
          <w:sz w:val="20"/>
          <w:szCs w:val="20"/>
          <w:color w:val="auto"/>
        </w:rPr>
      </w:pPr>
    </w:p>
    <w:p>
      <w:pPr>
        <w:ind w:left="84"/>
        <w:spacing w:after="0"/>
        <w:rPr>
          <w:sz w:val="20"/>
          <w:szCs w:val="20"/>
          <w:color w:val="auto"/>
        </w:rPr>
      </w:pPr>
      <w:r>
        <w:rPr>
          <w:rFonts w:ascii="Times New Roman" w:cs="Times New Roman" w:eastAsia="Times New Roman" w:hAnsi="Times New Roman"/>
          <w:sz w:val="18"/>
          <w:szCs w:val="18"/>
          <w:i w:val="1"/>
          <w:iCs w:val="1"/>
          <w:color w:val="auto"/>
        </w:rPr>
        <w:t>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547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47870" cy="8890"/>
                    </a:xfrm>
                    <a:prstGeom prst="rect">
                      <a:avLst/>
                    </a:prstGeom>
                    <a:noFill/>
                  </pic:spPr>
                </pic:pic>
              </a:graphicData>
            </a:graphic>
          </wp:anchor>
        </w:drawing>
      </w:r>
    </w:p>
    <w:p>
      <w:pPr>
        <w:spacing w:after="0" w:line="3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If this statement is filed pursuant to §§240.13d–1(b) or 240.13d–2(b) or (c), check whether the person filing is a:</w:t>
      </w:r>
    </w:p>
    <w:p>
      <w:pPr>
        <w:spacing w:after="0" w:line="106" w:lineRule="exact"/>
        <w:rPr>
          <w:sz w:val="20"/>
          <w:szCs w:val="20"/>
          <w:color w:val="auto"/>
        </w:rPr>
      </w:pPr>
    </w:p>
    <w:p>
      <w:pPr>
        <w:ind w:left="244" w:hanging="244"/>
        <w:spacing w:after="0" w:line="207" w:lineRule="exact"/>
        <w:tabs>
          <w:tab w:leader="none" w:pos="2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264" w:hanging="264"/>
        <w:spacing w:after="0" w:line="207" w:lineRule="exact"/>
        <w:tabs>
          <w:tab w:leader="none" w:pos="26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244" w:hanging="244"/>
        <w:spacing w:after="0" w:line="207" w:lineRule="exact"/>
        <w:tabs>
          <w:tab w:leader="none" w:pos="2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264" w:hanging="264"/>
        <w:spacing w:after="0" w:line="207" w:lineRule="exact"/>
        <w:tabs>
          <w:tab w:leader="none" w:pos="26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130" w:lineRule="exact"/>
        <w:rPr>
          <w:rFonts w:ascii="Times New Roman" w:cs="Times New Roman" w:eastAsia="Times New Roman" w:hAnsi="Times New Roman"/>
          <w:sz w:val="18"/>
          <w:szCs w:val="18"/>
          <w:color w:val="auto"/>
        </w:rPr>
      </w:pPr>
    </w:p>
    <w:p>
      <w:pPr>
        <w:ind w:left="244" w:hanging="244"/>
        <w:spacing w:after="0" w:line="207" w:lineRule="exact"/>
        <w:tabs>
          <w:tab w:leader="none" w:pos="2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130" w:lineRule="exact"/>
        <w:rPr>
          <w:rFonts w:ascii="Times New Roman" w:cs="Times New Roman" w:eastAsia="Times New Roman" w:hAnsi="Times New Roman"/>
          <w:sz w:val="18"/>
          <w:szCs w:val="18"/>
          <w:color w:val="auto"/>
        </w:rPr>
      </w:pPr>
    </w:p>
    <w:p>
      <w:pPr>
        <w:ind w:left="224" w:hanging="224"/>
        <w:spacing w:after="0" w:line="207" w:lineRule="exact"/>
        <w:tabs>
          <w:tab w:leader="none" w:pos="22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264" w:hanging="264"/>
        <w:spacing w:after="0" w:line="207" w:lineRule="exact"/>
        <w:tabs>
          <w:tab w:leader="none" w:pos="26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264" w:hanging="264"/>
        <w:spacing w:after="0" w:line="207" w:lineRule="exact"/>
        <w:tabs>
          <w:tab w:leader="none" w:pos="26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764" w:right="120" w:hanging="764"/>
        <w:spacing w:after="0" w:line="226" w:lineRule="exact"/>
        <w:tabs>
          <w:tab w:leader="none" w:pos="209"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03" w:lineRule="exact"/>
        <w:rPr>
          <w:rFonts w:ascii="Times New Roman" w:cs="Times New Roman" w:eastAsia="Times New Roman" w:hAnsi="Times New Roman"/>
          <w:sz w:val="18"/>
          <w:szCs w:val="18"/>
          <w:color w:val="auto"/>
        </w:rPr>
      </w:pPr>
    </w:p>
    <w:p>
      <w:pPr>
        <w:ind w:left="224" w:hanging="224"/>
        <w:spacing w:after="0" w:line="207" w:lineRule="exact"/>
        <w:tabs>
          <w:tab w:leader="none" w:pos="22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764" w:right="460" w:hanging="764"/>
        <w:spacing w:after="0" w:line="226" w:lineRule="exact"/>
        <w:tabs>
          <w:tab w:leader="none" w:pos="249"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-6985</wp:posOffset>
            </wp:positionV>
            <wp:extent cx="2085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35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u w:val="single" w:color="auto"/>
          <w:color w:val="auto"/>
        </w:rPr>
        <w:t>1,150,000</w:t>
      </w:r>
      <w:r>
        <w:rPr>
          <w:rFonts w:ascii="Times New Roman" w:cs="Times New Roman" w:eastAsia="Times New Roman" w:hAnsi="Times New Roman"/>
          <w:sz w:val="18"/>
          <w:szCs w:val="18"/>
          <w:color w:val="auto"/>
        </w:rPr>
        <w:t xml:space="preserve"> .</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-7620</wp:posOffset>
            </wp:positionV>
            <wp:extent cx="257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3" w:name="page4"/>
    <w:bookmarkEnd w:id="3"/>
    <w:p>
      <w:pPr>
        <w:jc w:val="right"/>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13G</w:t>
      </w:r>
      <w:r>
        <w:rPr>
          <w:sz w:val="20"/>
          <w:szCs w:val="20"/>
          <w:color w:val="auto"/>
        </w:rPr>
        <w:tab/>
      </w:r>
      <w:r>
        <w:rPr>
          <w:rFonts w:ascii="Times New Roman" w:cs="Times New Roman" w:eastAsia="Times New Roman" w:hAnsi="Times New Roman"/>
          <w:sz w:val="18"/>
          <w:szCs w:val="18"/>
          <w:b w:val="1"/>
          <w:bCs w:val="1"/>
          <w:color w:val="auto"/>
        </w:rPr>
        <w:t>Page 4 of 5</w:t>
      </w:r>
    </w:p>
    <w:p>
      <w:pPr>
        <w:spacing w:after="0" w:line="162"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w:t>
            </w:r>
          </w:p>
        </w:tc>
        <w:tc>
          <w:tcPr>
            <w:tcW w:w="10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Sole power to vote or to direct the vote  1,150,000 .</w:t>
            </w:r>
          </w:p>
        </w:tc>
      </w:tr>
      <w:tr>
        <w:trPr>
          <w:trHeight w:val="20"/>
        </w:trPr>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18"/>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(ii)</w:t>
            </w:r>
          </w:p>
        </w:tc>
        <w:tc>
          <w:tcPr>
            <w:tcW w:w="10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Shared power to vote or to direct the vote  None .</w:t>
            </w:r>
          </w:p>
        </w:tc>
      </w:tr>
      <w:tr>
        <w:trPr>
          <w:trHeight w:val="20"/>
        </w:trPr>
        <w:tc>
          <w:tcPr>
            <w:tcW w:w="8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18"/>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(iii)</w:t>
            </w:r>
          </w:p>
        </w:tc>
        <w:tc>
          <w:tcPr>
            <w:tcW w:w="10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Sole power to dispose or to direct the disposition of  1,150,000 .</w:t>
            </w:r>
          </w:p>
        </w:tc>
      </w:tr>
      <w:tr>
        <w:trPr>
          <w:trHeight w:val="20"/>
        </w:trPr>
        <w:tc>
          <w:tcPr>
            <w:tcW w:w="84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18"/>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(iv)</w:t>
            </w:r>
          </w:p>
        </w:tc>
        <w:tc>
          <w:tcPr>
            <w:tcW w:w="1002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None .</w:t>
            </w:r>
          </w:p>
        </w:tc>
      </w:tr>
      <w:tr>
        <w:trPr>
          <w:trHeight w:val="20"/>
        </w:trPr>
        <w:tc>
          <w:tcPr>
            <w:tcW w:w="84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r>
      <w:tr>
        <w:trPr>
          <w:trHeight w:val="581"/>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5.</w:t>
            </w:r>
          </w:p>
        </w:tc>
        <w:tc>
          <w:tcPr>
            <w:tcW w:w="100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Ownership of 5 Percent or Less of a Class. </w:t>
            </w:r>
            <w:r>
              <w:rPr>
                <w:rFonts w:ascii="Times New Roman" w:cs="Times New Roman" w:eastAsia="Times New Roman" w:hAnsi="Times New Roman"/>
                <w:sz w:val="18"/>
                <w:szCs w:val="18"/>
                <w:i w:val="1"/>
                <w:iCs w:val="1"/>
                <w:color w:val="auto"/>
              </w:rPr>
              <w:t>If this statement is being filed to report the fact that as of the date hereof the reporting</w:t>
            </w:r>
          </w:p>
        </w:tc>
      </w:tr>
      <w:tr>
        <w:trPr>
          <w:trHeight w:val="236"/>
        </w:trPr>
        <w:tc>
          <w:tcPr>
            <w:tcW w:w="840" w:type="dxa"/>
            <w:vAlign w:val="bottom"/>
          </w:tcPr>
          <w:p>
            <w:pPr>
              <w:spacing w:after="0"/>
              <w:rPr>
                <w:sz w:val="20"/>
                <w:szCs w:val="20"/>
                <w:color w:val="auto"/>
              </w:rPr>
            </w:pPr>
          </w:p>
        </w:tc>
        <w:tc>
          <w:tcPr>
            <w:tcW w:w="10020" w:type="dxa"/>
            <w:vAlign w:val="bottom"/>
            <w:gridSpan w:val="8"/>
          </w:tcPr>
          <w:p>
            <w:pPr>
              <w:ind w:left="240"/>
              <w:spacing w:after="0"/>
              <w:rPr>
                <w:sz w:val="20"/>
                <w:szCs w:val="20"/>
                <w:color w:val="auto"/>
              </w:rPr>
            </w:pPr>
            <w:r>
              <w:rPr>
                <w:rFonts w:ascii="Times New Roman" w:cs="Times New Roman" w:eastAsia="Times New Roman" w:hAnsi="Times New Roman"/>
                <w:sz w:val="18"/>
                <w:szCs w:val="18"/>
                <w:i w:val="1"/>
                <w:iCs w:val="1"/>
                <w:color w:val="auto"/>
              </w:rPr>
              <w:t>person has ceased to be the beneficial owner of more than 5 percent of the class of securities, check the following [  ].</w:t>
            </w:r>
          </w:p>
        </w:tc>
      </w:tr>
      <w:tr>
        <w:trPr>
          <w:trHeight w:val="324"/>
        </w:trPr>
        <w:tc>
          <w:tcPr>
            <w:tcW w:w="840" w:type="dxa"/>
            <w:vAlign w:val="bottom"/>
          </w:tcPr>
          <w:p>
            <w:pPr>
              <w:spacing w:after="0"/>
              <w:rPr>
                <w:sz w:val="24"/>
                <w:szCs w:val="24"/>
                <w:color w:val="auto"/>
              </w:rPr>
            </w:pPr>
          </w:p>
        </w:tc>
        <w:tc>
          <w:tcPr>
            <w:tcW w:w="10020" w:type="dxa"/>
            <w:vAlign w:val="bottom"/>
            <w:gridSpan w:val="8"/>
          </w:tcPr>
          <w:p>
            <w:pPr>
              <w:ind w:left="260"/>
              <w:spacing w:after="0"/>
              <w:rPr>
                <w:sz w:val="20"/>
                <w:szCs w:val="20"/>
                <w:color w:val="auto"/>
              </w:rPr>
            </w:pPr>
            <w:r>
              <w:rPr>
                <w:rFonts w:ascii="Times New Roman" w:cs="Times New Roman" w:eastAsia="Times New Roman" w:hAnsi="Times New Roman"/>
                <w:sz w:val="18"/>
                <w:szCs w:val="18"/>
                <w:i w:val="1"/>
                <w:iCs w:val="1"/>
                <w:color w:val="auto"/>
              </w:rPr>
              <w:t>Dissolution of a group requires a response to this item.</w:t>
            </w:r>
          </w:p>
        </w:tc>
      </w:tr>
      <w:tr>
        <w:trPr>
          <w:trHeight w:val="58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6.</w:t>
            </w:r>
          </w:p>
        </w:tc>
        <w:tc>
          <w:tcPr>
            <w:tcW w:w="100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Ownership of More than 5 Percent on Behalf of Another Person.</w:t>
            </w:r>
          </w:p>
        </w:tc>
      </w:tr>
      <w:tr>
        <w:trPr>
          <w:trHeight w:val="324"/>
        </w:trPr>
        <w:tc>
          <w:tcPr>
            <w:tcW w:w="840" w:type="dxa"/>
            <w:vAlign w:val="bottom"/>
          </w:tcPr>
          <w:p>
            <w:pPr>
              <w:spacing w:after="0"/>
              <w:rPr>
                <w:sz w:val="24"/>
                <w:szCs w:val="24"/>
                <w:color w:val="auto"/>
              </w:rPr>
            </w:pPr>
          </w:p>
        </w:tc>
        <w:tc>
          <w:tcPr>
            <w:tcW w:w="10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5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7.</w:t>
            </w:r>
          </w:p>
        </w:tc>
        <w:tc>
          <w:tcPr>
            <w:tcW w:w="100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w w:val="99"/>
              </w:rPr>
              <w:t>Identification and Classification of the Subsidiary Which Acquired the Security Being Reported on by the Parent Holding Company</w:t>
            </w:r>
          </w:p>
        </w:tc>
      </w:tr>
      <w:tr>
        <w:trPr>
          <w:trHeight w:val="238"/>
        </w:trPr>
        <w:tc>
          <w:tcPr>
            <w:tcW w:w="840" w:type="dxa"/>
            <w:vAlign w:val="bottom"/>
          </w:tcPr>
          <w:p>
            <w:pPr>
              <w:spacing w:after="0"/>
              <w:rPr>
                <w:sz w:val="20"/>
                <w:szCs w:val="20"/>
                <w:color w:val="auto"/>
              </w:rPr>
            </w:pPr>
          </w:p>
        </w:tc>
        <w:tc>
          <w:tcPr>
            <w:tcW w:w="100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or Control Person.</w:t>
            </w:r>
          </w:p>
        </w:tc>
      </w:tr>
      <w:tr>
        <w:trPr>
          <w:trHeight w:val="324"/>
        </w:trPr>
        <w:tc>
          <w:tcPr>
            <w:tcW w:w="840" w:type="dxa"/>
            <w:vAlign w:val="bottom"/>
          </w:tcPr>
          <w:p>
            <w:pPr>
              <w:spacing w:after="0"/>
              <w:rPr>
                <w:sz w:val="24"/>
                <w:szCs w:val="24"/>
                <w:color w:val="auto"/>
              </w:rPr>
            </w:pPr>
          </w:p>
        </w:tc>
        <w:tc>
          <w:tcPr>
            <w:tcW w:w="10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See Exhibit A</w:t>
            </w:r>
          </w:p>
        </w:tc>
      </w:tr>
      <w:tr>
        <w:trPr>
          <w:trHeight w:val="58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8.</w:t>
            </w:r>
          </w:p>
        </w:tc>
        <w:tc>
          <w:tcPr>
            <w:tcW w:w="100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and Classification of Members of the Group.</w:t>
            </w:r>
          </w:p>
        </w:tc>
      </w:tr>
      <w:tr>
        <w:trPr>
          <w:trHeight w:val="324"/>
        </w:trPr>
        <w:tc>
          <w:tcPr>
            <w:tcW w:w="840" w:type="dxa"/>
            <w:vAlign w:val="bottom"/>
          </w:tcPr>
          <w:p>
            <w:pPr>
              <w:spacing w:after="0"/>
              <w:rPr>
                <w:sz w:val="24"/>
                <w:szCs w:val="24"/>
                <w:color w:val="auto"/>
              </w:rPr>
            </w:pPr>
          </w:p>
        </w:tc>
        <w:tc>
          <w:tcPr>
            <w:tcW w:w="10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8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9.</w:t>
            </w:r>
          </w:p>
        </w:tc>
        <w:tc>
          <w:tcPr>
            <w:tcW w:w="100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Notice of Dissolution of Group.</w:t>
            </w:r>
          </w:p>
        </w:tc>
      </w:tr>
      <w:tr>
        <w:trPr>
          <w:trHeight w:val="324"/>
        </w:trPr>
        <w:tc>
          <w:tcPr>
            <w:tcW w:w="840" w:type="dxa"/>
            <w:vAlign w:val="bottom"/>
          </w:tcPr>
          <w:p>
            <w:pPr>
              <w:spacing w:after="0"/>
              <w:rPr>
                <w:sz w:val="24"/>
                <w:szCs w:val="24"/>
                <w:color w:val="auto"/>
              </w:rPr>
            </w:pPr>
          </w:p>
        </w:tc>
        <w:tc>
          <w:tcPr>
            <w:tcW w:w="1002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34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10.</w:t>
      </w:r>
      <w:r>
        <w:rPr>
          <w:sz w:val="20"/>
          <w:szCs w:val="20"/>
          <w:color w:val="auto"/>
        </w:rPr>
        <w:tab/>
      </w:r>
      <w:r>
        <w:rPr>
          <w:rFonts w:ascii="Times New Roman" w:cs="Times New Roman" w:eastAsia="Times New Roman" w:hAnsi="Times New Roman"/>
          <w:sz w:val="18"/>
          <w:szCs w:val="18"/>
          <w:b w:val="1"/>
          <w:bCs w:val="1"/>
          <w:i w:val="1"/>
          <w:iCs w:val="1"/>
          <w:color w:val="auto"/>
        </w:rPr>
        <w:t>Certifications</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80" w:lineRule="exact"/>
        <w:rPr>
          <w:sz w:val="20"/>
          <w:szCs w:val="20"/>
          <w:color w:val="auto"/>
        </w:rPr>
      </w:pPr>
    </w:p>
    <w:p>
      <w:pPr>
        <w:ind w:left="4" w:right="6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foreign regulatory scheme applicable to a parent holding company is substantially comparable to the regulatory scheme applicable to the functionally equivalent U.S. institution. I also undertake to furnish to the Commission staff, upon request, information that would otherwise be disclosed in a Schedule 13D.</w:t>
      </w:r>
    </w:p>
    <w:p>
      <w:pPr>
        <w:sectPr>
          <w:pgSz w:w="11900" w:h="16838" w:orient="portrait"/>
          <w:cols w:equalWidth="0" w:num="1">
            <w:col w:w="11024"/>
          </w:cols>
          <w:pgMar w:left="436"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5 of 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02-12-2021</w:t>
            </w: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Signature: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 Shigeru Umekawa</w:t>
            </w:r>
          </w:p>
        </w:tc>
      </w:tr>
      <w:tr>
        <w:trPr>
          <w:trHeight w:val="331"/>
        </w:trPr>
        <w:tc>
          <w:tcPr>
            <w:tcW w:w="540" w:type="dxa"/>
            <w:vAlign w:val="bottom"/>
          </w:tcPr>
          <w:p>
            <w:pPr>
              <w:spacing w:after="0"/>
              <w:rPr>
                <w:sz w:val="24"/>
                <w:szCs w:val="24"/>
                <w:color w:val="auto"/>
              </w:rPr>
            </w:pPr>
          </w:p>
        </w:tc>
        <w:tc>
          <w:tcPr>
            <w:tcW w:w="4400" w:type="dxa"/>
            <w:vAlign w:val="bottom"/>
            <w:tcBorders>
              <w:top w:val="single" w:sz="8" w:color="auto"/>
            </w:tcBorders>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Shigeru Umekawa</w:t>
            </w:r>
          </w:p>
        </w:tc>
      </w:tr>
      <w:tr>
        <w:trPr>
          <w:trHeight w:val="331"/>
        </w:trPr>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Director, Global Corporate Coordination Dep.</w:t>
            </w:r>
          </w:p>
        </w:tc>
      </w:tr>
    </w:tbl>
    <w:p>
      <w:pPr>
        <w:sectPr>
          <w:pgSz w:w="11900" w:h="16838" w:orient="portrait"/>
          <w:cols w:equalWidth="0" w:num="1">
            <w:col w:w="11020"/>
          </w:cols>
          <w:pgMar w:left="440" w:top="266"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Power of Attorney</w:t>
      </w:r>
    </w:p>
    <w:p>
      <w:pPr>
        <w:spacing w:after="0" w:line="229"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(the “Exchange Act”) and the rules and regulations thereunder, the undersigned, in the undersigned capacity as an authorized representative of Mizuho Financial Group, Inc. (the “Company”), hereby grants full power and authority to Shigeru Umekawa, Managing Director, Head of Overseas Office Coordination Global Corporate Coordination Department, to:</w:t>
      </w:r>
    </w:p>
    <w:p>
      <w:pPr>
        <w:spacing w:after="0" w:line="85" w:lineRule="exact"/>
        <w:rPr>
          <w:sz w:val="20"/>
          <w:szCs w:val="20"/>
          <w:color w:val="auto"/>
        </w:rPr>
      </w:pPr>
    </w:p>
    <w:p>
      <w:pPr>
        <w:ind w:left="960" w:right="30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behalf of the undersigned Form 13G in accordance with Section 13(d) and Section 13(g) of the Exchange Act or any rule or regulation thereunder; .</w:t>
      </w:r>
    </w:p>
    <w:p>
      <w:pPr>
        <w:spacing w:after="0" w:line="67" w:lineRule="exact"/>
        <w:rPr>
          <w:rFonts w:ascii="Times New Roman" w:cs="Times New Roman" w:eastAsia="Times New Roman" w:hAnsi="Times New Roman"/>
          <w:sz w:val="18"/>
          <w:szCs w:val="18"/>
          <w:color w:val="auto"/>
        </w:rPr>
      </w:pPr>
    </w:p>
    <w:p>
      <w:pPr>
        <w:ind w:left="960" w:right="4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13G, complete and execute any amendments, restatements, supplements, and/or exhibits thereto, and timely file such form with the U.S. Securities and Exchange Commission (the “SEC”); and</w:t>
      </w:r>
    </w:p>
    <w:p>
      <w:pPr>
        <w:spacing w:after="0" w:line="81" w:lineRule="exact"/>
        <w:rPr>
          <w:rFonts w:ascii="Times New Roman" w:cs="Times New Roman" w:eastAsia="Times New Roman" w:hAnsi="Times New Roman"/>
          <w:sz w:val="18"/>
          <w:szCs w:val="18"/>
          <w:color w:val="auto"/>
        </w:rPr>
      </w:pPr>
    </w:p>
    <w:p>
      <w:pPr>
        <w:ind w:left="960" w:right="440" w:hanging="532"/>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shall lawfully do or cause to be done by virtue of this Limited Power of Attorney and the rights and powers herein granted.</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attorney-in-fact, in serving in such capacity at the request and on the behalf of the undersigned, is not assuming any of the undersigned’s responsibilities to comply with, or any liability for the failure to comply with, any provision of Section 13 of the Exchange Act.</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Limited Power of Attorney shall remain in full force and effect until the undersigned is no longer required to file Forms 13G with respect to the Company’s holdings of and transactions in securities, unless earlier revoked by the undersigned in a signed writing delivered to the foregoing attorney-in-fact.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ectPr>
          <w:pgSz w:w="11900" w:h="16838" w:orient="portrait"/>
          <w:cols w:equalWidth="0" w:num="1">
            <w:col w:w="11000"/>
          </w:cols>
          <w:pgMar w:left="440" w:top="266"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has caused this Power of Attorney to be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Financial Group, Inc.</w:t>
            </w:r>
          </w:p>
        </w:tc>
        <w:tc>
          <w:tcPr>
            <w:tcW w:w="16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5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02-12-2021</w:t>
            </w: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Signature: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 Hiroshi Nagamine</w:t>
            </w:r>
          </w:p>
        </w:tc>
      </w:tr>
      <w:tr>
        <w:trPr>
          <w:trHeight w:val="331"/>
        </w:trPr>
        <w:tc>
          <w:tcPr>
            <w:tcW w:w="540" w:type="dxa"/>
            <w:vAlign w:val="bottom"/>
          </w:tcPr>
          <w:p>
            <w:pPr>
              <w:spacing w:after="0"/>
              <w:rPr>
                <w:sz w:val="24"/>
                <w:szCs w:val="24"/>
                <w:color w:val="auto"/>
              </w:rPr>
            </w:pPr>
          </w:p>
        </w:tc>
        <w:tc>
          <w:tcPr>
            <w:tcW w:w="4400" w:type="dxa"/>
            <w:vAlign w:val="bottom"/>
            <w:tcBorders>
              <w:top w:val="single" w:sz="8" w:color="auto"/>
            </w:tcBorders>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Hiroshi Nagamine</w:t>
            </w:r>
          </w:p>
        </w:tc>
      </w:tr>
      <w:tr>
        <w:trPr>
          <w:trHeight w:val="331"/>
        </w:trPr>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Managing Executive Officer</w:t>
            </w: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432"/>
        </w:trPr>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6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Lists of the relevant subsidiaries</w:t>
            </w:r>
          </w:p>
        </w:tc>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92"/>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business office</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228"/>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Mizuho</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Bank, Ltd</w:t>
            </w: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1–5–5, Otemachi,</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Chiyoda–ku, Tokyo 100–8176, Japan</w:t>
            </w:r>
          </w:p>
        </w:tc>
        <w:tc>
          <w:tcPr>
            <w:tcW w:w="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A non-U.S.</w:t>
            </w:r>
          </w:p>
        </w:tc>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institution equivalent to Bank</w:t>
            </w:r>
          </w:p>
        </w:tc>
      </w:tr>
      <w:tr>
        <w:trPr>
          <w:trHeight w:val="30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Americas LLC</w:t>
            </w: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1271 Avenue of the Americas, NY, NY 10020, USA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parent holding company</w:t>
            </w:r>
          </w:p>
        </w:tc>
      </w:tr>
      <w:tr>
        <w:trPr>
          <w:trHeight w:val="32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1271 Avenue of the Americas, NY, NY 10020, USA</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registered Broker-Dealer</w:t>
            </w:r>
          </w:p>
        </w:tc>
      </w:tr>
    </w:tbl>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(the “Exchange Act”) and the rules and regulations thereunder, the undersigned, in the undersigned capacity as an authorized representative of Mizuho Bank, Ltd., Mizuho Americas LLC and Mizuho Securities USA LLC (collectively, the “Companies”), hereby grants full power and authority to Shigeru Umekawa, Managing Director, Head of Overseas Office Coordination Global Corporate Coordination Department of Mizuho Financial Group, Inc., as agent to:</w:t>
      </w:r>
    </w:p>
    <w:p>
      <w:pPr>
        <w:spacing w:after="0" w:line="85" w:lineRule="exact"/>
        <w:rPr>
          <w:sz w:val="20"/>
          <w:szCs w:val="20"/>
          <w:color w:val="auto"/>
        </w:rPr>
      </w:pPr>
    </w:p>
    <w:p>
      <w:pPr>
        <w:ind w:left="960" w:right="32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behalf of the undersigned Form 13G in accordance with Section 13(d) and Section 13(g) of the Exchange Act or any rule or regulation thereunder; .</w:t>
      </w:r>
    </w:p>
    <w:p>
      <w:pPr>
        <w:spacing w:after="0" w:line="67"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13G, complete and execute any amendments, restatements, supplements, and/or exhibits thereto, and timely file such form with the U.S. Securities and Exchange Commission (the “SEC”); and</w:t>
      </w:r>
    </w:p>
    <w:p>
      <w:pPr>
        <w:spacing w:after="0" w:line="81" w:lineRule="exact"/>
        <w:rPr>
          <w:rFonts w:ascii="Times New Roman" w:cs="Times New Roman" w:eastAsia="Times New Roman" w:hAnsi="Times New Roman"/>
          <w:sz w:val="18"/>
          <w:szCs w:val="18"/>
          <w:color w:val="auto"/>
        </w:rPr>
      </w:pPr>
    </w:p>
    <w:p>
      <w:pPr>
        <w:ind w:left="960" w:right="460" w:hanging="532"/>
        <w:spacing w:after="0" w:line="261"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and on the behalf of the undersigned, are not assuming any of the undersigned’s responsibilities to comply with, or any liability for the failure to comply with, any provision of Section 13 of the Exchange Act.</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This Limited Power of Attorney shall remain in full force and effect until the undersigned is no longer required to file Forms 13G with respect to the Companies’ holdings of and transactions in securities, unless earlier revoked by the undersigned in a signed writing delivered to each of the foregoing attorneys-in-fact.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ectPr>
          <w:pgSz w:w="11900" w:h="16838" w:orient="portrait"/>
          <w:cols w:equalWidth="0" w:num="1">
            <w:col w:w="11020"/>
          </w:cols>
          <w:pgMar w:left="440" w:top="266"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has caused this Power of Attorney to be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6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5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02-12-2021</w:t>
            </w: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Signature: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 Tetsuya Akutsu</w:t>
            </w:r>
          </w:p>
        </w:tc>
      </w:tr>
      <w:tr>
        <w:trPr>
          <w:trHeight w:val="331"/>
        </w:trPr>
        <w:tc>
          <w:tcPr>
            <w:tcW w:w="540" w:type="dxa"/>
            <w:vAlign w:val="bottom"/>
          </w:tcPr>
          <w:p>
            <w:pPr>
              <w:spacing w:after="0"/>
              <w:rPr>
                <w:sz w:val="24"/>
                <w:szCs w:val="24"/>
                <w:color w:val="auto"/>
              </w:rPr>
            </w:pPr>
          </w:p>
        </w:tc>
        <w:tc>
          <w:tcPr>
            <w:tcW w:w="4400" w:type="dxa"/>
            <w:vAlign w:val="bottom"/>
            <w:tcBorders>
              <w:top w:val="single" w:sz="8" w:color="auto"/>
            </w:tcBorders>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Tetsuya Akutsu</w:t>
            </w:r>
          </w:p>
        </w:tc>
      </w:tr>
      <w:tr>
        <w:trPr>
          <w:trHeight w:val="331"/>
        </w:trPr>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Officer</w:t>
            </w: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has caused this Power of Attorney to be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Americas LLC</w:t>
            </w:r>
          </w:p>
        </w:tc>
        <w:tc>
          <w:tcPr>
            <w:tcW w:w="16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5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02-12-2021</w:t>
            </w: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Signature: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 Richard Skoller</w:t>
            </w:r>
          </w:p>
        </w:tc>
      </w:tr>
      <w:tr>
        <w:trPr>
          <w:trHeight w:val="331"/>
        </w:trPr>
        <w:tc>
          <w:tcPr>
            <w:tcW w:w="540" w:type="dxa"/>
            <w:vAlign w:val="bottom"/>
          </w:tcPr>
          <w:p>
            <w:pPr>
              <w:spacing w:after="0"/>
              <w:rPr>
                <w:sz w:val="24"/>
                <w:szCs w:val="24"/>
                <w:color w:val="auto"/>
              </w:rPr>
            </w:pPr>
          </w:p>
        </w:tc>
        <w:tc>
          <w:tcPr>
            <w:tcW w:w="4400" w:type="dxa"/>
            <w:vAlign w:val="bottom"/>
            <w:tcBorders>
              <w:top w:val="single" w:sz="8" w:color="auto"/>
            </w:tcBorders>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Skoller</w:t>
            </w:r>
          </w:p>
        </w:tc>
      </w:tr>
      <w:tr>
        <w:trPr>
          <w:trHeight w:val="331"/>
        </w:trPr>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020"/>
          </w:cols>
          <w:pgMar w:left="440" w:top="270"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has caused this Power of Attorney to be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68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5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02-12-2021</w:t>
            </w: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Signature: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 Richard Skoller</w:t>
            </w:r>
          </w:p>
        </w:tc>
      </w:tr>
      <w:tr>
        <w:trPr>
          <w:trHeight w:val="331"/>
        </w:trPr>
        <w:tc>
          <w:tcPr>
            <w:tcW w:w="540" w:type="dxa"/>
            <w:vAlign w:val="bottom"/>
          </w:tcPr>
          <w:p>
            <w:pPr>
              <w:spacing w:after="0"/>
              <w:rPr>
                <w:sz w:val="24"/>
                <w:szCs w:val="24"/>
                <w:color w:val="auto"/>
              </w:rPr>
            </w:pPr>
          </w:p>
        </w:tc>
        <w:tc>
          <w:tcPr>
            <w:tcW w:w="4400" w:type="dxa"/>
            <w:vAlign w:val="bottom"/>
            <w:tcBorders>
              <w:top w:val="single" w:sz="8" w:color="auto"/>
            </w:tcBorders>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Skoller</w:t>
            </w:r>
          </w:p>
        </w:tc>
      </w:tr>
      <w:tr>
        <w:trPr>
          <w:trHeight w:val="331"/>
        </w:trPr>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Director, General Counsel</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9"/>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2021-02-12T06:37:05Z</dcterms:created>
  <dcterms:modified xsi:type="dcterms:W3CDTF">2021-02-12T06:37:05Z</dcterms:modified>
</cp:coreProperties>
</file>