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46736-3_s3.htm"/>
        <w:bookmarkStart w:id="1" w:name="kstm2467363_s3"/>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r>
        <mc:AlternateContent>
          <mc:Choice Requires="wps">
            <w:drawing>
              <wp:anchor behindDoc="0" distT="0" distB="0" distL="0" distR="0" simplePos="0" locked="0" layoutInCell="1" allowOverlap="1" relativeHeight="2">
                <wp:simplePos x="0" y="0"/>
                <wp:positionH relativeFrom="page">
                  <wp:posOffset>617855</wp:posOffset>
                </wp:positionH>
                <wp:positionV relativeFrom="page">
                  <wp:posOffset>9383395</wp:posOffset>
                </wp:positionV>
                <wp:extent cx="7560310" cy="381000"/>
                <wp:effectExtent l="0" t="0" r="0" b="0"/>
                <wp:wrapNone/>
                <wp:docPr id="1" name="Frame1"/>
                <a:graphic xmlns:a="http://schemas.openxmlformats.org/drawingml/2006/main">
                  <a:graphicData uri="http://schemas.microsoft.com/office/word/2010/wordprocessingShape">
                    <wps:wsp>
                      <wps:cNvSpPr txBox="1"/>
                      <wps:spPr>
                        <a:xfrm>
                          <a:off x="0" y="0"/>
                          <a:ext cx="7560310" cy="381000"/>
                        </a:xfrm>
                        <a:prstGeom prst="rect"/>
                        <a:solidFill>
                          <a:srgbClr val="FFFFFF"/>
                        </a:solidFill>
                      </wps:spPr>
                      <wps:txb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prospectus is not complete and may be changed. The selling stockholders may not sell these securities until the registration statement filed with the Securities and Exchange Commission is effective. This prospectus is not an offer to sell nor does it seek an offer to buy these securities in any jurisdiction where the offer or sale is not permitted.</w:t>
                            </w:r>
                            <w:r>
                              <w:rPr>
                                <w:rFonts w:ascii="Helvetica;Arial;sans-serif" w:hAnsi="Helvetica;Arial;sans-serif"/>
                                <w:b/>
                                <w:color w:val="000000"/>
                                <w:spacing w:val="-2"/>
                                <w:sz w:val="16"/>
                              </w:rPr>
                              <w:t xml:space="preserve"> </w:t>
                            </w:r>
                          </w:p>
                        </w:txbxContent>
                      </wps:txbx>
                      <wps:bodyPr anchor="t" lIns="0" tIns="0" rIns="0" bIns="0">
                        <a:noAutofit/>
                      </wps:bodyPr>
                    </wps:wsp>
                  </a:graphicData>
                </a:graphic>
              </wp:anchor>
            </w:drawing>
          </mc:Choice>
          <mc:Fallback>
            <w:pict>
              <v:rect style="position:absolute;rotation:-0;width:595.3pt;height:30pt;mso-wrap-distance-left:0pt;mso-wrap-distance-right:0pt;mso-wrap-distance-top:0pt;mso-wrap-distance-bottom:0pt;margin-top:738.85pt;mso-position-vertical-relative:page;margin-left:48.65pt;mso-position-horizontal-relative:page">
                <v:textbo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prospectus is not complete and may be changed. The selling stockholders may not sell these securities until the registration statement filed with the Securities and Exchange Commission is effective. This prospectus is not an offer to sell nor does it seek an offer to buy these securities in any jurisdiction where the offer or sale is not permitted.</w:t>
                      </w:r>
                      <w:r>
                        <w:rPr>
                          <w:rFonts w:ascii="Helvetica;Arial;sans-serif" w:hAnsi="Helvetica;Arial;sans-serif"/>
                          <w:b/>
                          <w:color w:val="000000"/>
                          <w:spacing w:val="-2"/>
                          <w:sz w:val="16"/>
                        </w:rPr>
                        <w:t xml:space="preserve"> </w:t>
                      </w:r>
                    </w:p>
                  </w:txbxContent>
                </v:textbox>
                <w10:wrap type="none"/>
              </v:rect>
            </w:pict>
          </mc:Fallback>
        </mc:AlternateContent>
      </w:r>
    </w:p>
    <w:p>
      <w:pPr>
        <w:pStyle w:val="TextBody"/>
        <w:bidi w:val="0"/>
        <w:spacing w:lineRule="atLeast" w:line="200" w:before="557" w:after="437"/>
        <w:ind w:left="540" w:right="0" w:hanging="0"/>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As filed with the Securities and Exchange Commission on April 4, 2024</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200" w:before="24" w:after="283"/>
        <w:jc w:val="right"/>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Registration No. 333-      </w:t>
      </w:r>
      <w:r>
        <w:rPr>
          <w:rFonts w:ascii="Times New Roman;Times;serif" w:hAnsi="Times New Roman;Times;serif"/>
          <w:b/>
          <w:i w:val="false"/>
          <w:caps w:val="false"/>
          <w:smallCaps w:val="false"/>
          <w:color w:val="000000"/>
          <w:sz w:val="18"/>
        </w:rPr>
        <w:t>​</w:t>
      </w:r>
    </w:p>
    <w:p>
      <w:pPr>
        <w:pStyle w:val="TextBody"/>
        <w:bidi w:val="0"/>
        <w:spacing w:before="114"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44"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00" w:before="144"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UNITED STATES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SECURITIES AND EXCHANGE COMMISSION</w:t>
      </w:r>
      <w:r>
        <w:rPr>
          <w:rFonts w:ascii="Times New Roman;Times;serif" w:hAnsi="Times New Roman;Times;serif"/>
          <w:b/>
          <w:i w:val="false"/>
          <w:caps w:val="false"/>
          <w:smallCaps w:val="false"/>
          <w:color w:val="000000"/>
          <w:sz w:val="28"/>
        </w:rPr>
        <w:t xml:space="preserve"> </w:t>
      </w:r>
    </w:p>
    <w:p>
      <w:pPr>
        <w:pStyle w:val="TextBody"/>
        <w:bidi w:val="0"/>
        <w:spacing w:lineRule="atLeast" w:line="200" w:before="24"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Washington, D.C. 20549</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300" w:before="16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FORM S-3</w:t>
      </w:r>
      <w:r>
        <w:rPr>
          <w:rFonts w:ascii="Times New Roman;Times;serif" w:hAnsi="Times New Roman;Times;serif"/>
          <w:b/>
          <w:i w:val="false"/>
          <w:caps w:val="false"/>
          <w:smallCaps w:val="false"/>
          <w:color w:val="000000"/>
          <w:sz w:val="28"/>
        </w:rPr>
        <w:t xml:space="preserve"> </w:t>
      </w:r>
    </w:p>
    <w:p>
      <w:pPr>
        <w:pStyle w:val="TextBody"/>
        <w:bidi w:val="0"/>
        <w:spacing w:lineRule="atLeast" w:line="200" w:before="24"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REGISTRATION STATEMENT</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UNDER</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THE SECURITIES ACT OF 1933</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220" w:before="160" w:after="283"/>
        <w:jc w:val="center"/>
        <w:rPr>
          <w:rFonts w:ascii="Times New Roman;Times;serif" w:hAnsi="Times New Roman;Times;serif"/>
          <w:b w:val="false"/>
          <w:i w:val="false"/>
          <w:caps w:val="false"/>
          <w:smallCaps w:val="false"/>
          <w:color w:val="000000"/>
          <w:sz w:val="28"/>
        </w:rPr>
      </w:pPr>
      <w:r>
        <w:rPr>
          <w:rFonts w:ascii="Times New Roman;Times;serif" w:hAnsi="Times New Roman;Times;serif"/>
          <w:b/>
          <w:i w:val="false"/>
          <w:caps w:val="false"/>
          <w:smallCaps w:val="false"/>
          <w:color w:val="000000"/>
          <w:spacing w:val="-6"/>
          <w:sz w:val="28"/>
        </w:rPr>
        <w:t>Presto Automation Inc.</w:t>
      </w:r>
      <w:r>
        <w:rPr>
          <w:rFonts w:ascii="Times New Roman;Times;serif" w:hAnsi="Times New Roman;Times;serif"/>
          <w:b w:val="false"/>
          <w:i w:val="false"/>
          <w:caps w:val="false"/>
          <w:smallCaps w:val="false"/>
          <w:color w:val="000000"/>
          <w:sz w:val="28"/>
        </w:rPr>
        <w:t xml:space="preserve"> </w:t>
        <w:br/>
      </w:r>
      <w:r>
        <w:rPr>
          <w:rFonts w:ascii="Times New Roman;Times;serif" w:hAnsi="Times New Roman;Times;serif"/>
          <w:b w:val="false"/>
          <w:i w:val="false"/>
          <w:caps w:val="false"/>
          <w:smallCaps w:val="false"/>
          <w:color w:val="000000"/>
          <w:spacing w:val="3"/>
          <w:sz w:val="16"/>
        </w:rPr>
        <w:t>(Exact name of registrant as specified in its charter)</w:t>
      </w:r>
      <w:r>
        <w:rPr>
          <w:rFonts w:ascii="Times New Roman;Times;serif" w:hAnsi="Times New Roman;Times;serif"/>
          <w:b w:val="false"/>
          <w:i w:val="false"/>
          <w:caps w:val="false"/>
          <w:smallCaps w:val="false"/>
          <w:color w:val="000000"/>
          <w:spacing w:val="6"/>
          <w:sz w:val="28"/>
        </w:rPr>
        <w:t xml:space="preserve"> </w:t>
      </w:r>
    </w:p>
    <w:tbl>
      <w:tblPr>
        <w:tblW w:w="5934" w:type="dxa"/>
        <w:jc w:val="left"/>
        <w:tblInd w:w="540" w:type="dxa"/>
        <w:tblLayout w:type="fixed"/>
        <w:tblCellMar>
          <w:top w:w="0" w:type="dxa"/>
          <w:left w:w="0" w:type="dxa"/>
          <w:bottom w:w="0" w:type="dxa"/>
          <w:right w:w="0" w:type="dxa"/>
        </w:tblCellMar>
      </w:tblPr>
      <w:tblGrid>
        <w:gridCol w:w="124"/>
        <w:gridCol w:w="3058"/>
        <w:gridCol w:w="109"/>
        <w:gridCol w:w="109"/>
        <w:gridCol w:w="2380"/>
        <w:gridCol w:w="154"/>
      </w:tblGrid>
      <w:tr>
        <w:trPr/>
        <w:tc>
          <w:tcPr>
            <w:tcW w:w="124" w:type="dxa"/>
            <w:tcBorders/>
            <w:vAlign w:val="center"/>
          </w:tcPr>
          <w:p>
            <w:pPr>
              <w:pStyle w:val="TableContents"/>
              <w:bidi w:val="0"/>
              <w:spacing w:before="0" w:after="283"/>
              <w:jc w:val="left"/>
              <w:rPr/>
            </w:pPr>
            <w:r>
              <w:rPr/>
              <w:t>​</w:t>
            </w:r>
          </w:p>
        </w:tc>
        <w:tc>
          <w:tcPr>
            <w:tcW w:w="3058" w:type="dxa"/>
            <w:tcBorders/>
            <w:vAlign w:val="center"/>
          </w:tcPr>
          <w:p>
            <w:pPr>
              <w:pStyle w:val="TableContents"/>
              <w:bidi w:val="0"/>
              <w:spacing w:before="0" w:after="0"/>
              <w:jc w:val="center"/>
              <w:rPr/>
            </w:pPr>
            <w:r>
              <w:rPr>
                <w:spacing w:val="-4"/>
              </w:rPr>
              <w:t>Delaware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80" w:type="dxa"/>
            <w:tcBorders/>
            <w:vAlign w:val="center"/>
          </w:tcPr>
          <w:p>
            <w:pPr>
              <w:pStyle w:val="TableContents"/>
              <w:bidi w:val="0"/>
              <w:spacing w:before="0" w:after="0"/>
              <w:jc w:val="center"/>
              <w:rPr/>
            </w:pPr>
            <w:r>
              <w:rPr>
                <w:spacing w:val="-4"/>
              </w:rPr>
              <w:t>84-2968594</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058" w:type="dxa"/>
            <w:tcBorders/>
            <w:vAlign w:val="center"/>
          </w:tcPr>
          <w:p>
            <w:pPr>
              <w:pStyle w:val="TableContents"/>
              <w:bidi w:val="0"/>
              <w:spacing w:lineRule="atLeast" w:line="180" w:before="0" w:after="0"/>
              <w:jc w:val="center"/>
              <w:rPr/>
            </w:pPr>
            <w:r>
              <w:rPr>
                <w:spacing w:val="3"/>
              </w:rPr>
              <w:t>(State or other jurisdiction of</w:t>
            </w:r>
            <w:r>
              <w:rPr/>
              <w:t xml:space="preserve"> </w:t>
              <w:br/>
            </w:r>
            <w:r>
              <w:rPr>
                <w:spacing w:val="3"/>
              </w:rPr>
              <w:t>incorporation or organization)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80" w:type="dxa"/>
            <w:tcBorders/>
            <w:vAlign w:val="center"/>
          </w:tcPr>
          <w:p>
            <w:pPr>
              <w:pStyle w:val="TableContents"/>
              <w:bidi w:val="0"/>
              <w:spacing w:lineRule="atLeast" w:line="180" w:before="0" w:after="0"/>
              <w:jc w:val="center"/>
              <w:rPr/>
            </w:pPr>
            <w:r>
              <w:rPr>
                <w:spacing w:val="3"/>
              </w:rPr>
              <w:t>(I.R.S. Employer</w:t>
            </w:r>
            <w:r>
              <w:rPr/>
              <w:t xml:space="preserve"> </w:t>
              <w:br/>
            </w:r>
            <w:r>
              <w:rPr>
                <w:spacing w:val="3"/>
              </w:rPr>
              <w:t>Identification Number)</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00" w:before="180" w:after="283"/>
        <w:ind w:left="540" w:right="0" w:hanging="0"/>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985 Industrial Road</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San Carlos, CA 94070</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Telephone: (650) 817-9012</w:t>
      </w:r>
      <w:r>
        <w:rPr>
          <w:rFonts w:ascii="Times New Roman;Times;serif" w:hAnsi="Times New Roman;Times;serif"/>
          <w:b/>
          <w:i w:val="false"/>
          <w:caps w:val="false"/>
          <w:smallCaps w:val="false"/>
          <w:color w:val="000000"/>
          <w:sz w:val="18"/>
        </w:rPr>
        <w:t xml:space="preserve"> </w:t>
      </w:r>
    </w:p>
    <w:p>
      <w:pPr>
        <w:pStyle w:val="TextBody"/>
        <w:bidi w:val="0"/>
        <w:spacing w:lineRule="atLeast" w:line="180" w:before="24"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(Address, including zip code, and telephone number, including area code, of registrant’s principal executive offices)</w:t>
      </w:r>
      <w:r>
        <w:rPr>
          <w:rFonts w:ascii="Times New Roman;Times;serif" w:hAnsi="Times New Roman;Times;serif"/>
          <w:b w:val="false"/>
          <w:i w:val="false"/>
          <w:caps w:val="false"/>
          <w:smallCaps w:val="false"/>
          <w:color w:val="000000"/>
          <w:sz w:val="16"/>
        </w:rPr>
        <w:t>​</w:t>
      </w:r>
      <w:r>
        <w:rPr>
          <w:rFonts w:ascii="Times New Roman;Times;serif" w:hAnsi="Times New Roman;Times;serif"/>
          <w:b w:val="false"/>
          <w:i w:val="false"/>
          <w:caps w:val="false"/>
          <w:smallCaps w:val="false"/>
          <w:color w:val="000000"/>
          <w:spacing w:val="4"/>
          <w:sz w:val="16"/>
        </w:rPr>
        <w:t xml:space="preserve"> </w:t>
      </w:r>
    </w:p>
    <w:p>
      <w:pPr>
        <w:pStyle w:val="TextBody"/>
        <w:bidi w:val="0"/>
        <w:spacing w:lineRule="atLeast" w:line="200" w:before="12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Susan Shinoff</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Presto Automation Inc.</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985 Industrial Road</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San Carlos, CA 94070</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Telephone: (650) 817-9012</w:t>
      </w:r>
      <w:r>
        <w:rPr>
          <w:rFonts w:ascii="Times New Roman;Times;serif" w:hAnsi="Times New Roman;Times;serif"/>
          <w:b/>
          <w:i w:val="false"/>
          <w:caps w:val="false"/>
          <w:smallCaps w:val="false"/>
          <w:color w:val="000000"/>
          <w:sz w:val="18"/>
        </w:rPr>
        <w:t xml:space="preserve"> </w:t>
      </w:r>
    </w:p>
    <w:p>
      <w:pPr>
        <w:pStyle w:val="TextBody"/>
        <w:bidi w:val="0"/>
        <w:spacing w:lineRule="atLeast" w:line="180" w:before="24"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(Name, address, including zip code, and telephone number, including area code, of agent for service)</w:t>
      </w:r>
      <w:r>
        <w:rPr>
          <w:rFonts w:ascii="Times New Roman;Times;serif" w:hAnsi="Times New Roman;Times;serif"/>
          <w:b w:val="false"/>
          <w:i w:val="false"/>
          <w:caps w:val="false"/>
          <w:smallCaps w:val="false"/>
          <w:color w:val="000000"/>
          <w:sz w:val="16"/>
        </w:rPr>
        <w:t>​</w:t>
      </w:r>
      <w:r>
        <w:rPr>
          <w:rFonts w:ascii="Times New Roman;Times;serif" w:hAnsi="Times New Roman;Times;serif"/>
          <w:b w:val="false"/>
          <w:i w:val="false"/>
          <w:caps w:val="false"/>
          <w:smallCaps w:val="false"/>
          <w:color w:val="000000"/>
          <w:spacing w:val="4"/>
          <w:sz w:val="16"/>
        </w:rPr>
        <w:t xml:space="preserve"> </w:t>
      </w:r>
    </w:p>
    <w:p>
      <w:pPr>
        <w:pStyle w:val="TextBody"/>
        <w:bidi w:val="0"/>
        <w:spacing w:lineRule="atLeast" w:line="200" w:before="120" w:after="283"/>
        <w:jc w:val="center"/>
        <w:rPr>
          <w:rFonts w:ascii="Times New Roman;Times;serif" w:hAnsi="Times New Roman;Times;serif"/>
          <w:b/>
          <w:i/>
          <w:caps w:val="false"/>
          <w:smallCaps w:val="false"/>
          <w:color w:val="000000"/>
          <w:sz w:val="18"/>
        </w:rPr>
      </w:pPr>
      <w:r>
        <w:rPr>
          <w:rFonts w:ascii="Times New Roman;Times;serif" w:hAnsi="Times New Roman;Times;serif"/>
          <w:b/>
          <w:i/>
          <w:caps w:val="false"/>
          <w:smallCaps w:val="false"/>
          <w:color w:val="000000"/>
          <w:spacing w:val="-4"/>
          <w:sz w:val="18"/>
        </w:rPr>
        <w:t>Copies to:</w:t>
      </w:r>
      <w:r>
        <w:rPr>
          <w:rFonts w:ascii="Times New Roman;Times;serif" w:hAnsi="Times New Roman;Times;serif"/>
          <w:b/>
          <w:i/>
          <w:caps w:val="false"/>
          <w:smallCaps w:val="false"/>
          <w:color w:val="000000"/>
          <w:spacing w:val="4"/>
          <w:sz w:val="18"/>
        </w:rPr>
        <w:t xml:space="preserve"> </w:t>
      </w:r>
    </w:p>
    <w:p>
      <w:pPr>
        <w:pStyle w:val="TextBody"/>
        <w:bidi w:val="0"/>
        <w:spacing w:lineRule="atLeast" w:line="200" w:before="12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Colin Diamond</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Will Burns</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Paul Hastings LLP</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200 Park Avenue</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New York, New York 10166</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Telephone: (212) 318-6000</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200" w:before="80" w:after="283"/>
        <w:ind w:left="540" w:right="0" w:firstLine="400"/>
        <w:jc w:val="left"/>
        <w:rPr>
          <w:rFonts w:ascii="Times New Roman;Times;serif" w:hAnsi="Times New Roman;Times;serif"/>
          <w:b w:val="false"/>
          <w:i w:val="false"/>
          <w:caps w:val="false"/>
          <w:smallCaps w:val="false"/>
          <w:color w:val="000000"/>
          <w:sz w:val="18"/>
        </w:rPr>
      </w:pPr>
      <w:r>
        <w:rPr>
          <w:rFonts w:ascii="Times New Roman;Times;serif" w:hAnsi="Times New Roman;Times;serif"/>
          <w:b/>
          <w:i w:val="false"/>
          <w:caps w:val="false"/>
          <w:smallCaps w:val="false"/>
          <w:color w:val="000000"/>
          <w:spacing w:val="-4"/>
          <w:sz w:val="18"/>
        </w:rPr>
        <w:t>Approximate date of commencement of proposed sale to the public:</w:t>
      </w:r>
      <w:r>
        <w:rPr>
          <w:rFonts w:ascii="Times New Roman;Times;serif" w:hAnsi="Times New Roman;Times;serif"/>
          <w:b w:val="false"/>
          <w:i w:val="false"/>
          <w:caps w:val="false"/>
          <w:smallCaps w:val="false"/>
          <w:color w:val="000000"/>
          <w:spacing w:val="4"/>
          <w:sz w:val="18"/>
        </w:rPr>
        <w:t xml:space="preserve"> From time to time after this registration statement becomes effective. </w:t>
      </w:r>
    </w:p>
    <w:p>
      <w:pPr>
        <w:pStyle w:val="TextBody"/>
        <w:bidi w:val="0"/>
        <w:spacing w:lineRule="atLeast" w:line="200" w:before="8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the only securities being registered on this Form are being offered pursuant to dividend or interest reinvestment plans, please check the following box. ☐ </w:t>
      </w:r>
    </w:p>
    <w:p>
      <w:pPr>
        <w:pStyle w:val="TextBody"/>
        <w:bidi w:val="0"/>
        <w:spacing w:lineRule="atLeast" w:line="200" w:before="8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lineRule="atLeast" w:line="200" w:before="8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lineRule="atLeast" w:line="200" w:before="8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lineRule="atLeast" w:line="200" w:before="8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a registration statement pursuant to General Instruction I.D. or a post-effective amendment thereto that shall become effective on filing with the Commission pursuant to Rule 462(e) under the Securities Act, check the following box. ☐ </w:t>
      </w:r>
    </w:p>
    <w:p>
      <w:pPr>
        <w:pStyle w:val="TextBody"/>
        <w:bidi w:val="0"/>
        <w:spacing w:lineRule="atLeast" w:line="200" w:before="8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lineRule="atLeast" w:line="200" w:before="8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w:t>
      </w:r>
    </w:p>
    <w:tbl>
      <w:tblPr>
        <w:tblW w:w="6855" w:type="dxa"/>
        <w:jc w:val="left"/>
        <w:tblInd w:w="540" w:type="dxa"/>
        <w:tblLayout w:type="fixed"/>
        <w:tblCellMar>
          <w:top w:w="0" w:type="dxa"/>
          <w:left w:w="0" w:type="dxa"/>
          <w:bottom w:w="0" w:type="dxa"/>
          <w:right w:w="0" w:type="dxa"/>
        </w:tblCellMar>
      </w:tblPr>
      <w:tblGrid>
        <w:gridCol w:w="124"/>
        <w:gridCol w:w="2338"/>
        <w:gridCol w:w="109"/>
        <w:gridCol w:w="109"/>
        <w:gridCol w:w="376"/>
        <w:gridCol w:w="109"/>
        <w:gridCol w:w="109"/>
        <w:gridCol w:w="2833"/>
        <w:gridCol w:w="109"/>
        <w:gridCol w:w="109"/>
        <w:gridCol w:w="376"/>
        <w:gridCol w:w="154"/>
      </w:tblGrid>
      <w:tr>
        <w:trPr/>
        <w:tc>
          <w:tcPr>
            <w:tcW w:w="124" w:type="dxa"/>
            <w:tcBorders/>
            <w:vAlign w:val="center"/>
          </w:tcPr>
          <w:p>
            <w:pPr>
              <w:pStyle w:val="TableContents"/>
              <w:bidi w:val="0"/>
              <w:spacing w:before="0" w:after="283"/>
              <w:jc w:val="left"/>
              <w:rPr/>
            </w:pPr>
            <w:r>
              <w:rPr/>
              <w:t>​</w:t>
            </w:r>
          </w:p>
        </w:tc>
        <w:tc>
          <w:tcPr>
            <w:tcW w:w="2338" w:type="dxa"/>
            <w:tcBorders/>
            <w:vAlign w:val="center"/>
          </w:tcPr>
          <w:p>
            <w:pPr>
              <w:pStyle w:val="TableContents"/>
              <w:bidi w:val="0"/>
              <w:spacing w:before="0" w:after="283"/>
              <w:jc w:val="left"/>
              <w:rPr>
                <w:spacing w:val="4"/>
              </w:rPr>
            </w:pPr>
            <w:r>
              <w:rPr>
                <w:spacing w:val="4"/>
              </w:rPr>
              <w:t xml:space="preserve">Large accelerated filer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6" w:type="dxa"/>
            <w:tcBorders/>
            <w:vAlign w:val="center"/>
          </w:tcPr>
          <w:p>
            <w:pPr>
              <w:pStyle w:val="TableContents"/>
              <w:bidi w:val="0"/>
              <w:spacing w:before="0" w:after="283"/>
              <w:jc w:val="left"/>
              <w:rPr>
                <w:spacing w:val="4"/>
              </w:rPr>
            </w:pPr>
            <w:r>
              <w:rPr>
                <w:spacing w:val="4"/>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33" w:type="dxa"/>
            <w:tcBorders/>
            <w:vAlign w:val="center"/>
          </w:tcPr>
          <w:p>
            <w:pPr>
              <w:pStyle w:val="TableContents"/>
              <w:bidi w:val="0"/>
              <w:spacing w:before="0" w:after="283"/>
              <w:jc w:val="left"/>
              <w:rPr>
                <w:spacing w:val="4"/>
              </w:rPr>
            </w:pPr>
            <w:r>
              <w:rPr>
                <w:spacing w:val="4"/>
              </w:rPr>
              <w:t xml:space="preserve">Accelerated filer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6" w:type="dxa"/>
            <w:tcBorders/>
            <w:vAlign w:val="center"/>
          </w:tcPr>
          <w:p>
            <w:pPr>
              <w:pStyle w:val="TableContents"/>
              <w:bidi w:val="0"/>
              <w:spacing w:before="0" w:after="283"/>
              <w:jc w:val="left"/>
              <w:rPr>
                <w:spacing w:val="4"/>
              </w:rPr>
            </w:pPr>
            <w:r>
              <w:rPr>
                <w:spacing w:val="4"/>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338" w:type="dxa"/>
            <w:tcBorders/>
            <w:vAlign w:val="center"/>
          </w:tcPr>
          <w:p>
            <w:pPr>
              <w:pStyle w:val="TableContents"/>
              <w:bidi w:val="0"/>
              <w:spacing w:before="0" w:after="283"/>
              <w:jc w:val="left"/>
              <w:rPr>
                <w:spacing w:val="4"/>
              </w:rPr>
            </w:pPr>
            <w:r>
              <w:rPr>
                <w:spacing w:val="4"/>
              </w:rPr>
              <w:t xml:space="preserve">Non-accelerated filer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6" w:type="dxa"/>
            <w:tcBorders/>
            <w:vAlign w:val="center"/>
          </w:tcPr>
          <w:p>
            <w:pPr>
              <w:pStyle w:val="TableContents"/>
              <w:bidi w:val="0"/>
              <w:spacing w:before="0" w:after="283"/>
              <w:jc w:val="left"/>
              <w:rPr>
                <w:spacing w:val="4"/>
              </w:rPr>
            </w:pPr>
            <w:r>
              <w:rPr>
                <w:spacing w:val="4"/>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33" w:type="dxa"/>
            <w:tcBorders/>
            <w:vAlign w:val="center"/>
          </w:tcPr>
          <w:p>
            <w:pPr>
              <w:pStyle w:val="TableContents"/>
              <w:bidi w:val="0"/>
              <w:spacing w:before="0" w:after="283"/>
              <w:jc w:val="left"/>
              <w:rPr>
                <w:spacing w:val="4"/>
              </w:rPr>
            </w:pPr>
            <w:r>
              <w:rPr>
                <w:spacing w:val="4"/>
              </w:rPr>
              <w:t xml:space="preserve">Smaller reporting company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6" w:type="dxa"/>
            <w:tcBorders/>
            <w:vAlign w:val="center"/>
          </w:tcPr>
          <w:p>
            <w:pPr>
              <w:pStyle w:val="TableContents"/>
              <w:bidi w:val="0"/>
              <w:spacing w:before="0" w:after="283"/>
              <w:jc w:val="left"/>
              <w:rPr>
                <w:spacing w:val="4"/>
              </w:rPr>
            </w:pPr>
            <w:r>
              <w:rPr>
                <w:spacing w:val="4"/>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33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33" w:type="dxa"/>
            <w:tcBorders/>
            <w:vAlign w:val="center"/>
          </w:tcPr>
          <w:p>
            <w:pPr>
              <w:pStyle w:val="TableContents"/>
              <w:bidi w:val="0"/>
              <w:spacing w:before="0" w:after="283"/>
              <w:jc w:val="left"/>
              <w:rPr>
                <w:spacing w:val="4"/>
              </w:rPr>
            </w:pPr>
            <w:r>
              <w:rPr>
                <w:spacing w:val="4"/>
              </w:rPr>
              <w:t xml:space="preserve">Emerging growth company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6" w:type="dxa"/>
            <w:tcBorders/>
            <w:vAlign w:val="center"/>
          </w:tcPr>
          <w:p>
            <w:pPr>
              <w:pStyle w:val="TableContents"/>
              <w:bidi w:val="0"/>
              <w:spacing w:before="0" w:after="283"/>
              <w:jc w:val="left"/>
              <w:rPr/>
            </w:pPr>
            <w:r>
              <w:rPr>
                <w:spacing w:val="4"/>
              </w:rPr>
              <w:t>☒</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00" w:before="24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an emerging growth company, indicate by check mark if the registrant has elected not to use the extended transition period for complying with any new or revised financial accounting standards provided pursuant to Section 7(a)(2)(B) of Securities Act. ☐ </w:t>
      </w:r>
    </w:p>
    <w:p>
      <w:pPr>
        <w:pStyle w:val="TextBody"/>
        <w:bidi w:val="0"/>
        <w:spacing w:lineRule="atLeast" w:line="200" w:before="80" w:after="283"/>
        <w:ind w:left="540" w:right="0" w:firstLine="400"/>
        <w:jc w:val="left"/>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 acting pursuant to said Section 8(a), may determine.</w:t>
      </w:r>
      <w:r>
        <w:rPr>
          <w:rFonts w:ascii="Times New Roman;Times;serif" w:hAnsi="Times New Roman;Times;serif"/>
          <w:b/>
          <w:i w:val="false"/>
          <w:caps w:val="false"/>
          <w:smallCaps w:val="false"/>
          <w:color w:val="000000"/>
          <w:sz w:val="18"/>
        </w:rPr>
        <w:t xml:space="preserve"> </w:t>
      </w:r>
    </w:p>
    <w:p>
      <w:pPr>
        <w:pStyle w:val="TextBody"/>
        <w:bidi w:val="0"/>
        <w:spacing w:before="54"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44"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EXPLANATORY NOTE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filing this Registration Statement on Form S-3 (this “Registration Statement”)to satisfy our obligations under (i) the registration rights agreement, dated as of January 30, 2024, by and between Presto Automation, Inc., a Delaware corporation (the “Company”), and each of the buyer signatory thereto, (ii) the registration rights agreement, dated as of March 31, 2023, by and among the Company and the Company’s lenders (the “Lenders”), (iii) the registration rights agreement, dated as of October 10, 2023, between the Company and Presto CA LLC (“Presto CA”), (iv) the common stock purchase agreements, each dated November 17, 2023, between the Company and each of the investors thereto and (v) the registration rights agreement, dated as of March 1, 2024, between the Company and Remus Capital Series B II, L.P.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further described in our Current Reports on Form 8-K filed with the Securities and Exchange Commission on February 2, 2024 and March 4, 2024, our offering of subordinated notes that closed on February 2, 2024 (the “January Offering”) and our registered direct offering of shares of our common stock, par value $0.01 per share (the “Common Stock”), that closed on March 4, 2024 (the “March Offering”) each triggered certain anti-dilution provisions requiring us to, among other things, issue additional shares of Common Stock to Presto CA and the November 2023 Purchasers and to adjust the number of shares underlying warrants held by Metropolitan (as defined below) (the “Anti-Dilution Shares”). The issuances of such Anti-Dilution Shares were limited pursuant to Nasdaq Listing Rule 5635(d) absent shareholder approval. On February 26, 2024, the Company held a special meeting of stockholders and the stockholders approved, among other things, the issuance of the Anti-Dilution Shares triggered by the January Offering in excess of 19.99% of the Company’s outstanding Common Stock (the “January Anti-Dilution Shares”). The January Anti-Dilution Shares were subsequently issued to the applicable holders. Further, the Company plans to hold an additional special meeting of stockholders (the “Special Meeting”) and to file a preliminary proxy statement to, among other things, approve the issuance of the Anti-Dilution Shares triggered by the March Offering in excess of 19.99% of the Company’s outstanding Common Stock (the “March Anti-Dilution Shares”). As of the date of this filing, none of the March Anti-Dilution Shares have been issued, and the March Anti-Dilution Shares will be issued subsequent to the approval of the proposals at the Special Meeting. In this Registration on Form S-3, we have assumed that the proposals will be approved, and therefore have reflected all of the Anti-Dilution Shares as outstanding in the Selling Stockholder table of and throughout this Registration Statement.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437"/>
        <w:ind w:left="1753" w:right="0" w:hanging="0"/>
        <w:jc w:val="center"/>
        <w:rPr>
          <w:rFonts w:ascii="Times New Roman;Times;serif" w:hAnsi="Times New Roman;Times;serif"/>
          <w:b/>
          <w:i w:val="false"/>
          <w:caps w:val="false"/>
          <w:smallCaps w:val="false"/>
          <w:color w:val="FC0014"/>
          <w:sz w:val="20"/>
        </w:rPr>
      </w:pPr>
      <w:r>
        <w:rPr>
          <w:rFonts w:ascii="Times New Roman;Times;serif" w:hAnsi="Times New Roman;Times;serif"/>
          <w:b/>
          <w:i w:val="false"/>
          <w:caps w:val="false"/>
          <w:smallCaps w:val="false"/>
          <w:color w:val="FC0014"/>
          <w:spacing w:val="-4"/>
          <w:sz w:val="20"/>
        </w:rPr>
        <w:t>SUBJECT TO COMPLETION, DATED APRIL 4, 2024</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00" w:before="240" w:after="283"/>
        <w:jc w:val="left"/>
        <w:rPr>
          <w:rFonts w:ascii="Times New Roman;Times;serif" w:hAnsi="Times New Roman;Times;serif"/>
          <w:b/>
          <w:i w:val="false"/>
          <w:caps w:val="false"/>
          <w:smallCaps w:val="false"/>
          <w:color w:val="000000"/>
          <w:sz w:val="16"/>
        </w:rPr>
      </w:pPr>
      <w:r>
        <w:rPr>
          <w:rFonts w:ascii="Times New Roman;Times;serif" w:hAnsi="Times New Roman;Times;serif"/>
          <w:b/>
          <w:i w:val="false"/>
          <w:caps w:val="false"/>
          <w:smallCaps w:val="false"/>
          <w:color w:val="000000"/>
          <w:spacing w:val="-3"/>
          <w:sz w:val="16"/>
        </w:rPr>
        <w:t>PROSPECTUS</w:t>
      </w:r>
      <w:r>
        <w:rPr>
          <w:rFonts w:ascii="Times New Roman;Times;serif" w:hAnsi="Times New Roman;Times;serif"/>
          <w:b/>
          <w:i w:val="false"/>
          <w:caps w:val="false"/>
          <w:smallCaps w:val="false"/>
          <w:color w:val="000000"/>
          <w:spacing w:val="3"/>
          <w:sz w:val="16"/>
        </w:rPr>
        <w:t xml:space="preserve"> </w:t>
      </w:r>
    </w:p>
    <w:p>
      <w:pPr>
        <w:pStyle w:val="TextBody"/>
        <w:bidi w:val="0"/>
        <w:spacing w:lineRule="atLeast" w:line="320" w:before="12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Presto Automation Inc.</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70" w:before="12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caps w:val="false"/>
          <w:smallCaps w:val="false"/>
          <w:color w:val="000000"/>
          <w:spacing w:val="-5"/>
          <w:sz w:val="24"/>
        </w:rPr>
        <w:t>Secondary Offering of</w:t>
      </w:r>
      <w:r>
        <w:rPr>
          <w:rFonts w:ascii="Times New Roman;Times;serif" w:hAnsi="Times New Roman;Times;serif"/>
          <w:b/>
          <w:i w:val="false"/>
          <w:caps w:val="false"/>
          <w:smallCaps w:val="false"/>
          <w:color w:val="000000"/>
          <w:sz w:val="24"/>
        </w:rPr>
        <w:t xml:space="preserve"> </w:t>
        <w:br/>
      </w:r>
      <w:r>
        <w:rPr>
          <w:rFonts w:ascii="Times New Roman;Times;serif" w:hAnsi="Times New Roman;Times;serif"/>
          <w:b/>
          <w:i w:val="false"/>
          <w:caps w:val="false"/>
          <w:smallCaps w:val="false"/>
          <w:color w:val="000000"/>
          <w:spacing w:val="-5"/>
          <w:sz w:val="24"/>
        </w:rPr>
        <w:t>103,757,492 Shares of Common Stock</w:t>
      </w:r>
      <w:r>
        <w:rPr>
          <w:rFonts w:ascii="Times New Roman;Times;serif" w:hAnsi="Times New Roman;Times;serif"/>
          <w:b/>
          <w:i w:val="false"/>
          <w:caps w:val="false"/>
          <w:smallCaps w:val="false"/>
          <w:color w:val="000000"/>
          <w:spacing w:val="5"/>
          <w:sz w:val="24"/>
        </w:rPr>
        <w:t xml:space="preserve"> </w:t>
      </w:r>
    </w:p>
    <w:p>
      <w:pPr>
        <w:pStyle w:val="TextBody"/>
        <w:bidi w:val="0"/>
        <w:spacing w:lineRule="atLeast" w:line="170" w:before="80" w:after="283"/>
        <w:ind w:left="1753" w:right="0" w:firstLine="400"/>
        <w:jc w:val="left"/>
        <w:rPr>
          <w:rFonts w:ascii="Times New Roman;Times;serif" w:hAnsi="Times New Roman;Times;serif"/>
          <w:b w:val="false"/>
          <w:i w:val="false"/>
          <w:caps w:val="false"/>
          <w:smallCaps w:val="false"/>
          <w:color w:val="000000"/>
          <w:spacing w:val="3"/>
          <w:sz w:val="15"/>
        </w:rPr>
      </w:pPr>
      <w:r>
        <w:rPr>
          <w:rFonts w:ascii="Times New Roman;Times;serif" w:hAnsi="Times New Roman;Times;serif"/>
          <w:b w:val="false"/>
          <w:i w:val="false"/>
          <w:caps w:val="false"/>
          <w:smallCaps w:val="false"/>
          <w:color w:val="000000"/>
          <w:spacing w:val="3"/>
          <w:sz w:val="15"/>
        </w:rPr>
        <w:t xml:space="preserve">This prospectus relates to the resale, from time to time, by the selling stockholders identified in this prospectus (each a “Selling Stockholder” and, collectively, the “Selling Stockholders”) of up to 103,757,492 shares of common stock, par value $0.01 per share (the “Common Stock”), of Presto Automation Inc., a Delaware corporation (the “Company,” “we,” “us” or “Presto”), which consist of the following (the “Resale Shares”): </w:t>
      </w:r>
    </w:p>
    <w:p>
      <w:pPr>
        <w:pStyle w:val="TextBody"/>
        <w:bidi w:val="0"/>
        <w:spacing w:lineRule="atLeast" w:line="178" w:before="76" w:after="0"/>
        <w:ind w:left="2553" w:right="0" w:hanging="0"/>
        <w:jc w:val="left"/>
        <w:rPr>
          <w:rFonts w:ascii="Times New Roman;Times;serif" w:hAnsi="Times New Roman;Times;serif"/>
          <w:b w:val="false"/>
          <w:i w:val="false"/>
          <w:caps w:val="false"/>
          <w:smallCaps w:val="false"/>
          <w:color w:val="000000"/>
          <w:spacing w:val="3"/>
          <w:sz w:val="15"/>
        </w:rPr>
      </w:pPr>
      <w:r>
        <w:rPr>
          <w:rFonts w:ascii="Times New Roman;Times;serif" w:hAnsi="Times New Roman;Times;serif"/>
          <w:b w:val="false"/>
          <w:i w:val="false"/>
          <w:caps w:val="false"/>
          <w:smallCaps w:val="false"/>
          <w:color w:val="000000"/>
          <w:spacing w:val="3"/>
          <w:sz w:val="15"/>
        </w:rPr>
        <w:t xml:space="preserve">36,000,000 shares of Common Stock issuable upon the conversion of the Company’s subordinated notes (the “January 2024 Notes”) issued pursuant to securities purchase agreements, dated January 30, 2024, between us and the buyers thereto; </w:t>
      </w:r>
      <w:r>
        <mc:AlternateContent>
          <mc:Choice Requires="wps">
            <w:drawing>
              <wp:anchor behindDoc="0" distT="48260" distB="0" distL="254000" distR="0" simplePos="0" locked="0" layoutInCell="1" allowOverlap="1" relativeHeight="9">
                <wp:simplePos x="0" y="0"/>
                <wp:positionH relativeFrom="column">
                  <wp:align>left</wp:align>
                </wp:positionH>
                <wp:positionV relativeFrom="line">
                  <wp:align>top</wp:align>
                </wp:positionV>
                <wp:extent cx="254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78" w:before="0" w:after="283"/>
                              <w:jc w:val="left"/>
                              <w:rPr/>
                            </w:pPr>
                            <w:r>
                              <w:rPr>
                                <w:spacing w:val="3"/>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178" w:before="0" w:after="283"/>
                        <w:jc w:val="left"/>
                        <w:rPr/>
                      </w:pPr>
                      <w:r>
                        <w:rPr>
                          <w:spacing w:val="3"/>
                        </w:rPr>
                        <w:t>(i)</w:t>
                      </w:r>
                      <w:r>
                        <w:rPr/>
                        <w:t xml:space="preserve"> </w:t>
                        <w:br/>
                      </w:r>
                    </w:p>
                  </w:txbxContent>
                </v:textbox>
                <w10:wrap type="square" side="right"/>
              </v:rect>
            </w:pict>
          </mc:Fallback>
        </mc:AlternateContent>
      </w:r>
    </w:p>
    <w:p>
      <w:pPr>
        <w:pStyle w:val="TextBody"/>
        <w:bidi w:val="0"/>
        <w:spacing w:before="0" w:after="0"/>
        <w:ind w:left="1753" w:right="0" w:hanging="0"/>
        <w:jc w:val="left"/>
        <w:rPr>
          <w:caps w:val="false"/>
          <w:smallCaps w:val="false"/>
          <w:color w:val="000000"/>
        </w:rPr>
      </w:pPr>
      <w:r>
        <w:rPr>
          <w:caps w:val="false"/>
          <w:smallCaps w:val="false"/>
          <w:color w:val="000000"/>
        </w:rPr>
        <w:t>​</w:t>
      </w:r>
    </w:p>
    <w:p>
      <w:pPr>
        <w:pStyle w:val="TextBody"/>
        <w:bidi w:val="0"/>
        <w:spacing w:lineRule="atLeast" w:line="178" w:before="76" w:after="0"/>
        <w:ind w:left="2553" w:right="0" w:hanging="0"/>
        <w:jc w:val="left"/>
        <w:rPr>
          <w:rFonts w:ascii="Times New Roman;Times;serif" w:hAnsi="Times New Roman;Times;serif"/>
          <w:b w:val="false"/>
          <w:i w:val="false"/>
          <w:caps w:val="false"/>
          <w:smallCaps w:val="false"/>
          <w:color w:val="000000"/>
          <w:spacing w:val="3"/>
          <w:sz w:val="15"/>
        </w:rPr>
      </w:pPr>
      <w:r>
        <w:rPr>
          <w:rFonts w:ascii="Times New Roman;Times;serif" w:hAnsi="Times New Roman;Times;serif"/>
          <w:b w:val="false"/>
          <w:i w:val="false"/>
          <w:caps w:val="false"/>
          <w:smallCaps w:val="false"/>
          <w:color w:val="000000"/>
          <w:spacing w:val="3"/>
          <w:sz w:val="15"/>
        </w:rPr>
        <w:t xml:space="preserve">up to 10,799,549 shares of Common Stock that may become issuable upon conversion of capitalized pay-in-kind interest (“PIK Interest”) that may accrue through the maturity date of the January 2024 Notes; </w:t>
      </w:r>
      <w:r>
        <mc:AlternateContent>
          <mc:Choice Requires="wps">
            <w:drawing>
              <wp:anchor behindDoc="0" distT="48260" distB="0" distL="254000" distR="0" simplePos="0" locked="0" layoutInCell="1" allowOverlap="1" relativeHeight="10">
                <wp:simplePos x="0" y="0"/>
                <wp:positionH relativeFrom="column">
                  <wp:align>left</wp:align>
                </wp:positionH>
                <wp:positionV relativeFrom="line">
                  <wp:align>top</wp:align>
                </wp:positionV>
                <wp:extent cx="2540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78" w:before="0" w:after="283"/>
                              <w:jc w:val="left"/>
                              <w:rPr/>
                            </w:pPr>
                            <w:r>
                              <w:rPr>
                                <w:spacing w:val="3"/>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178" w:before="0" w:after="283"/>
                        <w:jc w:val="left"/>
                        <w:rPr/>
                      </w:pPr>
                      <w:r>
                        <w:rPr>
                          <w:spacing w:val="3"/>
                        </w:rPr>
                        <w:t>(ii)</w:t>
                      </w:r>
                      <w:r>
                        <w:rPr/>
                        <w:t xml:space="preserve"> </w:t>
                        <w:br/>
                      </w:r>
                    </w:p>
                  </w:txbxContent>
                </v:textbox>
                <w10:wrap type="square" side="right"/>
              </v:rect>
            </w:pict>
          </mc:Fallback>
        </mc:AlternateContent>
      </w:r>
    </w:p>
    <w:p>
      <w:pPr>
        <w:pStyle w:val="TextBody"/>
        <w:bidi w:val="0"/>
        <w:spacing w:before="0" w:after="0"/>
        <w:ind w:left="1753" w:right="0" w:hanging="0"/>
        <w:jc w:val="left"/>
        <w:rPr>
          <w:caps w:val="false"/>
          <w:smallCaps w:val="false"/>
          <w:color w:val="000000"/>
        </w:rPr>
      </w:pPr>
      <w:r>
        <w:rPr>
          <w:caps w:val="false"/>
          <w:smallCaps w:val="false"/>
          <w:color w:val="000000"/>
        </w:rPr>
        <w:t>​</w:t>
      </w:r>
    </w:p>
    <w:p>
      <w:pPr>
        <w:pStyle w:val="TextBody"/>
        <w:bidi w:val="0"/>
        <w:spacing w:lineRule="atLeast" w:line="178" w:before="76" w:after="0"/>
        <w:ind w:left="2553" w:right="0" w:hanging="0"/>
        <w:jc w:val="left"/>
        <w:rPr>
          <w:rFonts w:ascii="Times New Roman;Times;serif" w:hAnsi="Times New Roman;Times;serif"/>
          <w:b w:val="false"/>
          <w:i w:val="false"/>
          <w:caps w:val="false"/>
          <w:smallCaps w:val="false"/>
          <w:color w:val="000000"/>
          <w:spacing w:val="3"/>
          <w:sz w:val="15"/>
        </w:rPr>
      </w:pPr>
      <w:r>
        <w:rPr>
          <w:rFonts w:ascii="Times New Roman;Times;serif" w:hAnsi="Times New Roman;Times;serif"/>
          <w:b w:val="false"/>
          <w:i w:val="false"/>
          <w:caps w:val="false"/>
          <w:smallCaps w:val="false"/>
          <w:color w:val="000000"/>
          <w:spacing w:val="3"/>
          <w:sz w:val="15"/>
        </w:rPr>
        <w:t xml:space="preserve">3,840,000 shares of Common Stock issuable upon the conversion of the Company’s subordinated convertible note (the “Remus Note”) issued to Remus Capital Series B II, L.P. on March 1, 2024; </w:t>
      </w:r>
      <w:r>
        <mc:AlternateContent>
          <mc:Choice Requires="wps">
            <w:drawing>
              <wp:anchor behindDoc="0" distT="48260" distB="0" distL="254000" distR="0" simplePos="0" locked="0" layoutInCell="1" allowOverlap="1" relativeHeight="11">
                <wp:simplePos x="0" y="0"/>
                <wp:positionH relativeFrom="column">
                  <wp:align>left</wp:align>
                </wp:positionH>
                <wp:positionV relativeFrom="line">
                  <wp:align>top</wp:align>
                </wp:positionV>
                <wp:extent cx="254000" cy="525780"/>
                <wp:effectExtent l="0" t="0" r="0" b="0"/>
                <wp:wrapSquare wrapText="right"/>
                <wp:docPr id="4" name="Frame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178" w:before="0" w:after="283"/>
                              <w:jc w:val="left"/>
                              <w:rPr/>
                            </w:pPr>
                            <w:r>
                              <w:rPr>
                                <w:spacing w:val="3"/>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178" w:before="0" w:after="283"/>
                        <w:jc w:val="left"/>
                        <w:rPr/>
                      </w:pPr>
                      <w:r>
                        <w:rPr>
                          <w:spacing w:val="3"/>
                        </w:rPr>
                        <w:t>(iii)</w:t>
                      </w:r>
                      <w:r>
                        <w:rPr/>
                        <w:t xml:space="preserve"> </w:t>
                        <w:br/>
                      </w:r>
                    </w:p>
                  </w:txbxContent>
                </v:textbox>
                <w10:wrap type="square" side="right"/>
              </v:rect>
            </w:pict>
          </mc:Fallback>
        </mc:AlternateContent>
      </w:r>
    </w:p>
    <w:p>
      <w:pPr>
        <w:pStyle w:val="TextBody"/>
        <w:bidi w:val="0"/>
        <w:spacing w:before="0" w:after="0"/>
        <w:ind w:left="1753" w:right="0" w:hanging="0"/>
        <w:jc w:val="left"/>
        <w:rPr>
          <w:caps w:val="false"/>
          <w:smallCaps w:val="false"/>
          <w:color w:val="000000"/>
        </w:rPr>
      </w:pPr>
      <w:r>
        <w:rPr>
          <w:caps w:val="false"/>
          <w:smallCaps w:val="false"/>
          <w:color w:val="000000"/>
        </w:rPr>
        <w:t>​</w:t>
      </w:r>
    </w:p>
    <w:p>
      <w:pPr>
        <w:pStyle w:val="TextBody"/>
        <w:bidi w:val="0"/>
        <w:spacing w:lineRule="atLeast" w:line="178" w:before="76" w:after="0"/>
        <w:ind w:left="2553" w:right="0" w:hanging="0"/>
        <w:jc w:val="left"/>
        <w:rPr>
          <w:rFonts w:ascii="Times New Roman;Times;serif" w:hAnsi="Times New Roman;Times;serif"/>
          <w:b w:val="false"/>
          <w:i w:val="false"/>
          <w:caps w:val="false"/>
          <w:smallCaps w:val="false"/>
          <w:color w:val="000000"/>
          <w:sz w:val="15"/>
        </w:rPr>
      </w:pPr>
      <w:r>
        <w:rPr>
          <w:rFonts w:ascii="Times New Roman;Times;serif" w:hAnsi="Times New Roman;Times;serif"/>
          <w:b w:val="false"/>
          <w:i w:val="false"/>
          <w:caps w:val="false"/>
          <w:smallCaps w:val="false"/>
          <w:color w:val="000000"/>
          <w:spacing w:val="3"/>
          <w:sz w:val="15"/>
        </w:rPr>
        <w:t>up to 1,100,665 shares of Common Stock that may become issuable upon conversion of capitalized PIK Interest that may accrue through the maturity date of the Remus Note;</w:t>
      </w:r>
      <w:r>
        <w:rPr>
          <w:rFonts w:ascii="Times New Roman;Times;serif" w:hAnsi="Times New Roman;Times;serif"/>
          <w:b w:val="false"/>
          <w:i w:val="false"/>
          <w:caps w:val="false"/>
          <w:smallCaps w:val="false"/>
          <w:color w:val="000000"/>
          <w:sz w:val="15"/>
        </w:rPr>
        <w:t xml:space="preserve"> </w:t>
      </w:r>
      <w:r>
        <mc:AlternateContent>
          <mc:Choice Requires="wps">
            <w:drawing>
              <wp:anchor behindDoc="0" distT="48260" distB="0" distL="254000" distR="0" simplePos="0" locked="0" layoutInCell="1" allowOverlap="1" relativeHeight="12">
                <wp:simplePos x="0" y="0"/>
                <wp:positionH relativeFrom="column">
                  <wp:align>left</wp:align>
                </wp:positionH>
                <wp:positionV relativeFrom="line">
                  <wp:align>top</wp:align>
                </wp:positionV>
                <wp:extent cx="254000" cy="525780"/>
                <wp:effectExtent l="0" t="0" r="0" b="0"/>
                <wp:wrapSquare wrapText="right"/>
                <wp:docPr id="5" name="Frame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178" w:before="0" w:after="283"/>
                              <w:jc w:val="left"/>
                              <w:rPr/>
                            </w:pPr>
                            <w:r>
                              <w:rPr>
                                <w:spacing w:val="3"/>
                              </w:rPr>
                              <w:t>(iv)</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178" w:before="0" w:after="283"/>
                        <w:jc w:val="left"/>
                        <w:rPr/>
                      </w:pPr>
                      <w:r>
                        <w:rPr>
                          <w:spacing w:val="3"/>
                        </w:rPr>
                        <w:t>(iv)</w:t>
                      </w:r>
                      <w:r>
                        <w:rPr/>
                        <w:t xml:space="preserve"> </w:t>
                        <w:br/>
                      </w:r>
                    </w:p>
                  </w:txbxContent>
                </v:textbox>
                <w10:wrap type="square" side="right"/>
              </v:rect>
            </w:pict>
          </mc:Fallback>
        </mc:AlternateContent>
      </w:r>
    </w:p>
    <w:p>
      <w:pPr>
        <w:pStyle w:val="TextBody"/>
        <w:bidi w:val="0"/>
        <w:spacing w:before="0" w:after="0"/>
        <w:ind w:left="1753" w:right="0" w:hanging="0"/>
        <w:jc w:val="left"/>
        <w:rPr>
          <w:caps w:val="false"/>
          <w:smallCaps w:val="false"/>
          <w:color w:val="000000"/>
        </w:rPr>
      </w:pPr>
      <w:r>
        <w:rPr>
          <w:caps w:val="false"/>
          <w:smallCaps w:val="false"/>
          <w:color w:val="000000"/>
        </w:rPr>
        <w:t>​</w:t>
      </w:r>
    </w:p>
    <w:p>
      <w:pPr>
        <w:pStyle w:val="TextBody"/>
        <w:bidi w:val="0"/>
        <w:spacing w:lineRule="atLeast" w:line="178" w:before="76" w:after="0"/>
        <w:ind w:left="2553" w:right="0" w:hanging="0"/>
        <w:jc w:val="left"/>
        <w:rPr>
          <w:rFonts w:ascii="Times New Roman;Times;serif" w:hAnsi="Times New Roman;Times;serif"/>
          <w:b w:val="false"/>
          <w:i w:val="false"/>
          <w:caps w:val="false"/>
          <w:smallCaps w:val="false"/>
          <w:color w:val="000000"/>
          <w:spacing w:val="3"/>
          <w:sz w:val="15"/>
        </w:rPr>
      </w:pPr>
      <w:r>
        <w:rPr>
          <w:rFonts w:ascii="Times New Roman;Times;serif" w:hAnsi="Times New Roman;Times;serif"/>
          <w:b w:val="false"/>
          <w:i w:val="false"/>
          <w:caps w:val="false"/>
          <w:smallCaps w:val="false"/>
          <w:color w:val="000000"/>
          <w:spacing w:val="3"/>
          <w:sz w:val="15"/>
        </w:rPr>
        <w:t xml:space="preserve">8,517,278 shares of Common Stock issuable upon the exercise of warrants, with an exercise price of $0.01 per share, subject to adjustment, held by Metropolitan Partners Group Administration, LLC (“Metropolitan”), the administrative, payment and collateral agent for Metropolitan Levered Partners Fund VII, LP, Metropolitan Partners Fund VII, LP, Metropolitan Offshore Partners Fund VII, LP, and CEOF Holdings LP (the “Metropolitan Entities”), pursuant to that certain Credit Agreement entered into initially on September 21, 2022, as subsequently amended (the “Credit Agreement”), such warrants being issued in consideration of the conversion of interest into principal and in respect of amendments to the Credit Agreement, including shares to be issued pursuant to the anti-dilution adjustment provisions in such warrants (the “Fifth Amendment Warrants”); </w:t>
      </w:r>
      <w:r>
        <mc:AlternateContent>
          <mc:Choice Requires="wps">
            <w:drawing>
              <wp:anchor behindDoc="0" distT="48260" distB="0" distL="254000" distR="0" simplePos="0" locked="0" layoutInCell="1" allowOverlap="1" relativeHeight="13">
                <wp:simplePos x="0" y="0"/>
                <wp:positionH relativeFrom="column">
                  <wp:align>left</wp:align>
                </wp:positionH>
                <wp:positionV relativeFrom="line">
                  <wp:align>top</wp:align>
                </wp:positionV>
                <wp:extent cx="254000" cy="350520"/>
                <wp:effectExtent l="0" t="0" r="0" b="0"/>
                <wp:wrapSquare wrapText="right"/>
                <wp:docPr id="6"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78" w:before="0" w:after="283"/>
                              <w:jc w:val="left"/>
                              <w:rPr/>
                            </w:pPr>
                            <w:r>
                              <w:rPr>
                                <w:spacing w:val="3"/>
                              </w:rPr>
                              <w:t>(v)</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178" w:before="0" w:after="283"/>
                        <w:jc w:val="left"/>
                        <w:rPr/>
                      </w:pPr>
                      <w:r>
                        <w:rPr>
                          <w:spacing w:val="3"/>
                        </w:rPr>
                        <w:t>(v)</w:t>
                      </w:r>
                      <w:r>
                        <w:rPr/>
                        <w:t xml:space="preserve"> </w:t>
                        <w:br/>
                      </w:r>
                    </w:p>
                  </w:txbxContent>
                </v:textbox>
                <w10:wrap type="square" side="right"/>
              </v:rect>
            </w:pict>
          </mc:Fallback>
        </mc:AlternateContent>
      </w:r>
    </w:p>
    <w:p>
      <w:pPr>
        <w:pStyle w:val="TextBody"/>
        <w:bidi w:val="0"/>
        <w:spacing w:before="0" w:after="0"/>
        <w:ind w:left="1753" w:right="0" w:hanging="0"/>
        <w:jc w:val="left"/>
        <w:rPr>
          <w:caps w:val="false"/>
          <w:smallCaps w:val="false"/>
          <w:color w:val="000000"/>
        </w:rPr>
      </w:pPr>
      <w:r>
        <w:rPr>
          <w:caps w:val="false"/>
          <w:smallCaps w:val="false"/>
          <w:color w:val="000000"/>
        </w:rPr>
        <w:t>​</w:t>
      </w:r>
    </w:p>
    <w:p>
      <w:pPr>
        <w:pStyle w:val="TextBody"/>
        <w:bidi w:val="0"/>
        <w:spacing w:lineRule="atLeast" w:line="178" w:before="76" w:after="0"/>
        <w:ind w:left="2553" w:right="0" w:hanging="0"/>
        <w:jc w:val="left"/>
        <w:rPr>
          <w:rFonts w:ascii="Times New Roman;Times;serif" w:hAnsi="Times New Roman;Times;serif"/>
          <w:b w:val="false"/>
          <w:i w:val="false"/>
          <w:caps w:val="false"/>
          <w:smallCaps w:val="false"/>
          <w:color w:val="000000"/>
          <w:spacing w:val="3"/>
          <w:sz w:val="15"/>
        </w:rPr>
      </w:pPr>
      <w:r>
        <w:rPr>
          <w:rFonts w:ascii="Times New Roman;Times;serif" w:hAnsi="Times New Roman;Times;serif"/>
          <w:b w:val="false"/>
          <w:i w:val="false"/>
          <w:caps w:val="false"/>
          <w:smallCaps w:val="false"/>
          <w:color w:val="000000"/>
          <w:spacing w:val="3"/>
          <w:sz w:val="15"/>
        </w:rPr>
        <w:t xml:space="preserve">21,000,000 shares of Common Stock issuable upon the exercise of warrants, with an exercise price of $0.01 per share, issued pursuant to the anti-dilution adjustment provisions in such warrants (together with the Fifth Amendment Warrants, the “Met Warrants”); </w:t>
      </w:r>
      <w:r>
        <mc:AlternateContent>
          <mc:Choice Requires="wps">
            <w:drawing>
              <wp:anchor behindDoc="0" distT="48260" distB="0" distL="254000" distR="0" simplePos="0" locked="0" layoutInCell="1" allowOverlap="1" relativeHeight="14">
                <wp:simplePos x="0" y="0"/>
                <wp:positionH relativeFrom="column">
                  <wp:align>left</wp:align>
                </wp:positionH>
                <wp:positionV relativeFrom="line">
                  <wp:align>top</wp:align>
                </wp:positionV>
                <wp:extent cx="254000" cy="525780"/>
                <wp:effectExtent l="0" t="0" r="0" b="0"/>
                <wp:wrapSquare wrapText="right"/>
                <wp:docPr id="7" name="Frame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178" w:before="0" w:after="283"/>
                              <w:jc w:val="left"/>
                              <w:rPr/>
                            </w:pPr>
                            <w:r>
                              <w:rPr>
                                <w:spacing w:val="3"/>
                              </w:rPr>
                              <w:t>(vi)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178" w:before="0" w:after="283"/>
                        <w:jc w:val="left"/>
                        <w:rPr/>
                      </w:pPr>
                      <w:r>
                        <w:rPr>
                          <w:spacing w:val="3"/>
                        </w:rPr>
                        <w:t>(vi)</w:t>
                      </w:r>
                      <w:r>
                        <w:rPr/>
                        <w:t xml:space="preserve"> </w:t>
                        <w:br/>
                      </w:r>
                    </w:p>
                  </w:txbxContent>
                </v:textbox>
                <w10:wrap type="square" side="right"/>
              </v:rect>
            </w:pict>
          </mc:Fallback>
        </mc:AlternateContent>
      </w:r>
    </w:p>
    <w:p>
      <w:pPr>
        <w:pStyle w:val="TextBody"/>
        <w:bidi w:val="0"/>
        <w:spacing w:before="0" w:after="0"/>
        <w:ind w:left="1753" w:right="0" w:hanging="0"/>
        <w:jc w:val="left"/>
        <w:rPr>
          <w:caps w:val="false"/>
          <w:smallCaps w:val="false"/>
          <w:color w:val="000000"/>
        </w:rPr>
      </w:pPr>
      <w:r>
        <w:rPr>
          <w:caps w:val="false"/>
          <w:smallCaps w:val="false"/>
          <w:color w:val="000000"/>
        </w:rPr>
        <w:t>​</w:t>
      </w:r>
    </w:p>
    <w:p>
      <w:pPr>
        <w:pStyle w:val="TextBody"/>
        <w:bidi w:val="0"/>
        <w:spacing w:lineRule="atLeast" w:line="178" w:before="76" w:after="0"/>
        <w:ind w:left="2553" w:right="0" w:hanging="0"/>
        <w:jc w:val="left"/>
        <w:rPr>
          <w:rFonts w:ascii="Times New Roman;Times;serif" w:hAnsi="Times New Roman;Times;serif"/>
          <w:b w:val="false"/>
          <w:i w:val="false"/>
          <w:caps w:val="false"/>
          <w:smallCaps w:val="false"/>
          <w:color w:val="000000"/>
          <w:spacing w:val="3"/>
          <w:sz w:val="15"/>
        </w:rPr>
      </w:pPr>
      <w:r>
        <w:rPr>
          <w:rFonts w:ascii="Times New Roman;Times;serif" w:hAnsi="Times New Roman;Times;serif"/>
          <w:b w:val="false"/>
          <w:i w:val="false"/>
          <w:caps w:val="false"/>
          <w:smallCaps w:val="false"/>
          <w:color w:val="000000"/>
          <w:spacing w:val="3"/>
          <w:sz w:val="15"/>
        </w:rPr>
        <w:t xml:space="preserve">10,500,000 shares of Common Stock that were issued or will be issued pursuant to the anti-dilution provisions in the securities purchase agreement, dated as of October 10, 2023, between us and Presto CA LLC (the “CA Purchase Agreement”); and </w:t>
      </w:r>
      <w:r>
        <mc:AlternateContent>
          <mc:Choice Requires="wps">
            <w:drawing>
              <wp:anchor behindDoc="0" distT="48260" distB="0" distL="254000" distR="0" simplePos="0" locked="0" layoutInCell="1" allowOverlap="1" relativeHeight="15">
                <wp:simplePos x="0" y="0"/>
                <wp:positionH relativeFrom="column">
                  <wp:align>left</wp:align>
                </wp:positionH>
                <wp:positionV relativeFrom="line">
                  <wp:align>top</wp:align>
                </wp:positionV>
                <wp:extent cx="254000" cy="525780"/>
                <wp:effectExtent l="0" t="0" r="0" b="0"/>
                <wp:wrapSquare wrapText="right"/>
                <wp:docPr id="8" name="Frame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178" w:before="0" w:after="283"/>
                              <w:jc w:val="left"/>
                              <w:rPr/>
                            </w:pPr>
                            <w:r>
                              <w:rPr>
                                <w:spacing w:val="3"/>
                              </w:rPr>
                              <w:t>(vii)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178" w:before="0" w:after="283"/>
                        <w:jc w:val="left"/>
                        <w:rPr/>
                      </w:pPr>
                      <w:r>
                        <w:rPr>
                          <w:spacing w:val="3"/>
                        </w:rPr>
                        <w:t>(vii)</w:t>
                      </w:r>
                      <w:r>
                        <w:rPr/>
                        <w:t xml:space="preserve"> </w:t>
                        <w:br/>
                      </w:r>
                    </w:p>
                  </w:txbxContent>
                </v:textbox>
                <w10:wrap type="square" side="right"/>
              </v:rect>
            </w:pict>
          </mc:Fallback>
        </mc:AlternateContent>
      </w:r>
    </w:p>
    <w:p>
      <w:pPr>
        <w:pStyle w:val="TextBody"/>
        <w:bidi w:val="0"/>
        <w:spacing w:before="0" w:after="0"/>
        <w:ind w:left="1753" w:right="0" w:hanging="0"/>
        <w:jc w:val="left"/>
        <w:rPr>
          <w:caps w:val="false"/>
          <w:smallCaps w:val="false"/>
          <w:color w:val="000000"/>
        </w:rPr>
      </w:pPr>
      <w:r>
        <w:rPr>
          <w:caps w:val="false"/>
          <w:smallCaps w:val="false"/>
          <w:color w:val="000000"/>
        </w:rPr>
        <w:t>​</w:t>
      </w:r>
    </w:p>
    <w:p>
      <w:pPr>
        <w:pStyle w:val="TextBody"/>
        <w:bidi w:val="0"/>
        <w:spacing w:lineRule="atLeast" w:line="178" w:before="76" w:after="0"/>
        <w:ind w:left="2553" w:right="0" w:hanging="0"/>
        <w:jc w:val="left"/>
        <w:rPr>
          <w:rFonts w:ascii="Times New Roman;Times;serif" w:hAnsi="Times New Roman;Times;serif"/>
          <w:b w:val="false"/>
          <w:i w:val="false"/>
          <w:caps w:val="false"/>
          <w:smallCaps w:val="false"/>
          <w:color w:val="000000"/>
          <w:spacing w:val="3"/>
          <w:sz w:val="15"/>
        </w:rPr>
      </w:pPr>
      <w:r>
        <w:rPr>
          <w:rFonts w:ascii="Times New Roman;Times;serif" w:hAnsi="Times New Roman;Times;serif"/>
          <w:b w:val="false"/>
          <w:i w:val="false"/>
          <w:caps w:val="false"/>
          <w:smallCaps w:val="false"/>
          <w:color w:val="000000"/>
          <w:spacing w:val="3"/>
          <w:sz w:val="15"/>
        </w:rPr>
        <w:t xml:space="preserve">12,000,000 shares of Common Stock that were issued or will be issued pursuant to the anti-dilution provisions in the common stock purchase agreements, dated as of November 17, 2023, between us and the purchasers thereto (the “November 2023 Purchase Agreements”). </w:t>
      </w:r>
      <w:r>
        <mc:AlternateContent>
          <mc:Choice Requires="wps">
            <w:drawing>
              <wp:anchor behindDoc="0" distT="48260" distB="0" distL="254000" distR="0" simplePos="0" locked="0" layoutInCell="1" allowOverlap="1" relativeHeight="16">
                <wp:simplePos x="0" y="0"/>
                <wp:positionH relativeFrom="column">
                  <wp:align>left</wp:align>
                </wp:positionH>
                <wp:positionV relativeFrom="line">
                  <wp:align>top</wp:align>
                </wp:positionV>
                <wp:extent cx="254000" cy="525780"/>
                <wp:effectExtent l="0" t="0" r="0" b="0"/>
                <wp:wrapSquare wrapText="right"/>
                <wp:docPr id="9" name="Frame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178" w:before="0" w:after="283"/>
                              <w:jc w:val="left"/>
                              <w:rPr/>
                            </w:pPr>
                            <w:r>
                              <w:rPr>
                                <w:spacing w:val="3"/>
                              </w:rPr>
                              <w:t>(viii)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178" w:before="0" w:after="283"/>
                        <w:jc w:val="left"/>
                        <w:rPr/>
                      </w:pPr>
                      <w:r>
                        <w:rPr>
                          <w:spacing w:val="3"/>
                        </w:rPr>
                        <w:t>(viii)</w:t>
                      </w:r>
                      <w:r>
                        <w:rPr/>
                        <w:t xml:space="preserve"> </w:t>
                        <w:br/>
                      </w:r>
                    </w:p>
                  </w:txbxContent>
                </v:textbox>
                <w10:wrap type="square" side="right"/>
              </v:rect>
            </w:pict>
          </mc:Fallback>
        </mc:AlternateContent>
      </w:r>
    </w:p>
    <w:p>
      <w:pPr>
        <w:pStyle w:val="TextBody"/>
        <w:bidi w:val="0"/>
        <w:spacing w:before="0" w:after="0"/>
        <w:ind w:left="1753" w:right="0" w:hanging="0"/>
        <w:jc w:val="left"/>
        <w:rPr>
          <w:caps w:val="false"/>
          <w:smallCaps w:val="false"/>
          <w:color w:val="000000"/>
        </w:rPr>
      </w:pPr>
      <w:r>
        <w:rPr>
          <w:caps w:val="false"/>
          <w:smallCaps w:val="false"/>
          <w:color w:val="000000"/>
        </w:rPr>
        <w:t>​</w:t>
      </w:r>
    </w:p>
    <w:p>
      <w:pPr>
        <w:pStyle w:val="TextBody"/>
        <w:bidi w:val="0"/>
        <w:spacing w:lineRule="atLeast" w:line="170" w:before="80" w:after="283"/>
        <w:ind w:left="1753" w:right="0" w:firstLine="400"/>
        <w:jc w:val="left"/>
        <w:rPr>
          <w:rFonts w:ascii="Times New Roman;Times;serif" w:hAnsi="Times New Roman;Times;serif"/>
          <w:b w:val="false"/>
          <w:i w:val="false"/>
          <w:caps w:val="false"/>
          <w:smallCaps w:val="false"/>
          <w:color w:val="000000"/>
          <w:spacing w:val="3"/>
          <w:sz w:val="15"/>
        </w:rPr>
      </w:pPr>
      <w:r>
        <w:rPr>
          <w:rFonts w:ascii="Times New Roman;Times;serif" w:hAnsi="Times New Roman;Times;serif"/>
          <w:b w:val="false"/>
          <w:i w:val="false"/>
          <w:caps w:val="false"/>
          <w:smallCaps w:val="false"/>
          <w:color w:val="000000"/>
          <w:spacing w:val="3"/>
          <w:sz w:val="15"/>
        </w:rPr>
        <w:t xml:space="preserve">Pursuant to Nasdaq Listing Rule 5635(d), the total number of shares of Common Stock that can be issued upon conversion of the January 2024 Notes, upon exercise of the Fifth Amendment Warrants and the Met Warrants, pursuant to the anti-dilution provisions in the CA Purchase Agreement and in the November 2023 Purchase Agreements, are limited to 19.99% of the outstanding shares of the Company at the time of the closing of the offerings, as applicable, absent shareholder approval. On February 26, 2024, the Company held a special meeting of stockholders and the stockholders approved, among other things, the issuance of the Anti-Dilution Shares triggered by our offering of subordinated notes that closed on February 2, 2024 (the “January Offering”) in excess of 19.99% of the Company’s outstanding Common Stock (the “January Anti-Dilution Shares”). The January Anti-Dilution Shares were subsequently issued to the applicable holders. Further, the Company plans to hold an additional special meeting of stockholders (the “Special Meeting”) and to file a preliminary proxy statement for the Special Meeting to, among other things, approve the issuance of the anti-dilution shares triggered by our registered direct offering of shares of Common Stock that closed on March 4, 2024 (the “March Offering”) in excess of 19.99% of the Company’s outstanding Common Stock (the “March Anti-Dilution Shares”). As of the date of this filing, none of the 9,000,000 March Anti-Dilution Shares have been issued, and the March Anti-Dilution Shares will be issued subsequent to the approval of the proposals at the Special Meeting. Assuming the proposals are approved at the Special Meeting, we are registering for resale the total number of shares issuable under the Met Warrants and pursuant to the anti-dilution provisions in the CA Purchase Agreement and in the November 2023 Purchase Agreements. </w:t>
      </w:r>
    </w:p>
    <w:p>
      <w:pPr>
        <w:pStyle w:val="TextBody"/>
        <w:bidi w:val="0"/>
        <w:spacing w:lineRule="atLeast" w:line="170" w:before="80" w:after="283"/>
        <w:ind w:left="1753" w:right="0" w:firstLine="400"/>
        <w:jc w:val="left"/>
        <w:rPr>
          <w:rFonts w:ascii="Times New Roman;Times;serif" w:hAnsi="Times New Roman;Times;serif"/>
          <w:b w:val="false"/>
          <w:i w:val="false"/>
          <w:caps w:val="false"/>
          <w:smallCaps w:val="false"/>
          <w:color w:val="000000"/>
          <w:spacing w:val="3"/>
          <w:sz w:val="15"/>
        </w:rPr>
      </w:pPr>
      <w:r>
        <w:rPr>
          <w:rFonts w:ascii="Times New Roman;Times;serif" w:hAnsi="Times New Roman;Times;serif"/>
          <w:b w:val="false"/>
          <w:i w:val="false"/>
          <w:caps w:val="false"/>
          <w:smallCaps w:val="false"/>
          <w:color w:val="000000"/>
          <w:spacing w:val="3"/>
          <w:sz w:val="15"/>
        </w:rPr>
        <w:t xml:space="preserve">This prospectus provides you with a general description of such securities and the general manner in which the Selling Stockholders may offer or sell the securities. More specific terms of any securities that the Selling Stockholders may offer or sell may be provided in a prospectus supplement that describes, among other things, the specific amounts and prices of the securities being offered and the terms of the offering. The prospectus supplement may also add, update or change information contained in this prospectus. </w:t>
      </w:r>
    </w:p>
    <w:p>
      <w:pPr>
        <w:pStyle w:val="TextBody"/>
        <w:bidi w:val="0"/>
        <w:spacing w:lineRule="atLeast" w:line="170" w:before="80" w:after="283"/>
        <w:ind w:left="1753" w:right="0" w:firstLine="400"/>
        <w:jc w:val="left"/>
        <w:rPr>
          <w:rFonts w:ascii="Times New Roman;Times;serif" w:hAnsi="Times New Roman;Times;serif"/>
          <w:b w:val="false"/>
          <w:i w:val="false"/>
          <w:caps w:val="false"/>
          <w:smallCaps w:val="false"/>
          <w:color w:val="000000"/>
          <w:spacing w:val="3"/>
          <w:sz w:val="15"/>
        </w:rPr>
      </w:pPr>
      <w:r>
        <w:rPr>
          <w:rFonts w:ascii="Times New Roman;Times;serif" w:hAnsi="Times New Roman;Times;serif"/>
          <w:b w:val="false"/>
          <w:i w:val="false"/>
          <w:caps w:val="false"/>
          <w:smallCaps w:val="false"/>
          <w:color w:val="000000"/>
          <w:spacing w:val="3"/>
          <w:sz w:val="15"/>
        </w:rPr>
        <w:t xml:space="preserve">We are not selling any shares of Common Stock under this prospectus and will not receive any proceeds from the sale by the Selling Stockholders of the Resale Shares. However, we will pay the expenses, other than underwriting discounts and commissions, associated with the sale of securities by the Selling Stockholders pursuant to this prospectus. We will receive the proceeds from any exercise of warrants for cash, but will not receive any proceeds as a result of the cashless exercise of warrants, to the extent permitted. </w:t>
      </w:r>
    </w:p>
    <w:p>
      <w:pPr>
        <w:pStyle w:val="TextBody"/>
        <w:bidi w:val="0"/>
        <w:spacing w:lineRule="atLeast" w:line="170" w:before="80" w:after="283"/>
        <w:ind w:left="1753" w:right="0" w:firstLine="400"/>
        <w:jc w:val="left"/>
        <w:rPr>
          <w:rFonts w:ascii="Times New Roman;Times;serif" w:hAnsi="Times New Roman;Times;serif"/>
          <w:b w:val="false"/>
          <w:i w:val="false"/>
          <w:caps w:val="false"/>
          <w:smallCaps w:val="false"/>
          <w:color w:val="000000"/>
          <w:sz w:val="15"/>
        </w:rPr>
      </w:pPr>
      <w:r>
        <w:rPr>
          <w:rFonts w:ascii="Times New Roman;Times;serif" w:hAnsi="Times New Roman;Times;serif"/>
          <w:b w:val="false"/>
          <w:i w:val="false"/>
          <w:caps w:val="false"/>
          <w:smallCaps w:val="false"/>
          <w:color w:val="000000"/>
          <w:spacing w:val="3"/>
          <w:sz w:val="15"/>
        </w:rPr>
        <w:t>Our registration of the securities covered by this prospectus does not mean that the Selling Stockholders will issue, offer or sell, as applicable, any of the securities. The Selling Stockholders may offer and sell the securities covered by this prospectus in a number of different ways and at varying prices. We provide more information about how the Selling Stockholders may sell the securities in the section entitled “</w:t>
      </w:r>
      <w:r>
        <w:rPr>
          <w:rFonts w:ascii="Times New Roman;Times;serif" w:hAnsi="Times New Roman;Times;serif"/>
          <w:b w:val="false"/>
          <w:i/>
          <w:caps w:val="false"/>
          <w:smallCaps w:val="false"/>
          <w:color w:val="000000"/>
          <w:spacing w:val="3"/>
          <w:sz w:val="15"/>
        </w:rPr>
        <w:t>Plan of Distribution</w:t>
      </w:r>
      <w:r>
        <w:rPr>
          <w:rFonts w:ascii="Times New Roman;Times;serif" w:hAnsi="Times New Roman;Times;serif"/>
          <w:b w:val="false"/>
          <w:i w:val="false"/>
          <w:caps w:val="false"/>
          <w:smallCaps w:val="false"/>
          <w:color w:val="000000"/>
          <w:spacing w:val="3"/>
          <w:sz w:val="15"/>
        </w:rPr>
        <w:t xml:space="preserve">.” You should read this prospectus and any prospectus supplement or amendment carefully before you invest in our securities. </w:t>
      </w:r>
    </w:p>
    <w:p>
      <w:pPr>
        <w:pStyle w:val="TextBody"/>
        <w:bidi w:val="0"/>
        <w:spacing w:lineRule="atLeast" w:line="170" w:before="80" w:after="283"/>
        <w:ind w:left="1753" w:right="0" w:firstLine="400"/>
        <w:jc w:val="left"/>
        <w:rPr>
          <w:rFonts w:ascii="Times New Roman;Times;serif" w:hAnsi="Times New Roman;Times;serif"/>
          <w:b w:val="false"/>
          <w:i w:val="false"/>
          <w:caps w:val="false"/>
          <w:smallCaps w:val="false"/>
          <w:color w:val="000000"/>
          <w:spacing w:val="3"/>
          <w:sz w:val="15"/>
        </w:rPr>
      </w:pPr>
      <w:r>
        <w:rPr>
          <w:rFonts w:ascii="Times New Roman;Times;serif" w:hAnsi="Times New Roman;Times;serif"/>
          <w:b w:val="false"/>
          <w:i w:val="false"/>
          <w:caps w:val="false"/>
          <w:smallCaps w:val="false"/>
          <w:color w:val="000000"/>
          <w:spacing w:val="3"/>
          <w:sz w:val="15"/>
        </w:rPr>
        <w:t xml:space="preserve">Our shares of Common Stock are listed on the Nasdaq Global Market under the symbol “PRST.” On April 3, 2024, the closing sale price of our Common Stock was $0.19. Our warrants are listed on the Nasdaq Global Market under the symbol “PRSTW.” On April 3, 2024, the closing sale price of our warrants was $0.02. </w:t>
      </w:r>
    </w:p>
    <w:p>
      <w:pPr>
        <w:pStyle w:val="TextBody"/>
        <w:bidi w:val="0"/>
        <w:spacing w:lineRule="atLeast" w:line="170" w:before="80" w:after="283"/>
        <w:ind w:left="1753" w:right="0" w:firstLine="400"/>
        <w:jc w:val="left"/>
        <w:rPr>
          <w:rFonts w:ascii="Times New Roman;Times;serif" w:hAnsi="Times New Roman;Times;serif"/>
          <w:b w:val="false"/>
          <w:i w:val="false"/>
          <w:caps w:val="false"/>
          <w:smallCaps w:val="false"/>
          <w:color w:val="000000"/>
          <w:sz w:val="15"/>
        </w:rPr>
      </w:pPr>
      <w:r>
        <w:rPr>
          <w:rFonts w:ascii="Times New Roman;Times;serif" w:hAnsi="Times New Roman;Times;serif"/>
          <w:b w:val="false"/>
          <w:i w:val="false"/>
          <w:caps w:val="false"/>
          <w:smallCaps w:val="false"/>
          <w:color w:val="000000"/>
          <w:spacing w:val="3"/>
          <w:sz w:val="15"/>
        </w:rPr>
        <w:t>The sale of all of the securities registered for resale hereunder, or the perception that such sales may occur, may cause the market prices of our securities to decline significantly. See “</w:t>
      </w:r>
      <w:r>
        <w:rPr>
          <w:rFonts w:ascii="Times New Roman;Times;serif" w:hAnsi="Times New Roman;Times;serif"/>
          <w:b w:val="false"/>
          <w:i/>
          <w:caps w:val="false"/>
          <w:smallCaps w:val="false"/>
          <w:color w:val="000000"/>
          <w:spacing w:val="3"/>
          <w:sz w:val="15"/>
        </w:rPr>
        <w:t>Risk Factors — Risks Relating to Our Common Stock and Warrants</w:t>
      </w:r>
      <w:r>
        <w:rPr>
          <w:rFonts w:ascii="Times New Roman;Times;serif" w:hAnsi="Times New Roman;Times;serif"/>
          <w:b w:val="false"/>
          <w:i w:val="false"/>
          <w:caps w:val="false"/>
          <w:smallCaps w:val="false"/>
          <w:color w:val="000000"/>
          <w:spacing w:val="3"/>
          <w:sz w:val="15"/>
        </w:rPr>
        <w:t xml:space="preserve">” in our Annual Report on Form 10-K for the fiscal year ended June 30, 2023 for more information. </w:t>
      </w:r>
    </w:p>
    <w:p>
      <w:pPr>
        <w:pStyle w:val="TextBody"/>
        <w:bidi w:val="0"/>
        <w:spacing w:lineRule="atLeast" w:line="170" w:before="80" w:after="283"/>
        <w:ind w:left="1753" w:right="0" w:firstLine="400"/>
        <w:jc w:val="left"/>
        <w:rPr/>
      </w:pPr>
      <w:r>
        <w:rPr>
          <w:rFonts w:ascii="Times New Roman;Times;serif" w:hAnsi="Times New Roman;Times;serif"/>
          <w:b/>
          <w:i w:val="false"/>
          <w:caps w:val="false"/>
          <w:smallCaps w:val="false"/>
          <w:color w:val="000000"/>
          <w:spacing w:val="-3"/>
          <w:sz w:val="15"/>
        </w:rPr>
        <w:t>Investing in our securities involves risks that are described in the “</w:t>
      </w:r>
      <w:r>
        <w:rPr>
          <w:rFonts w:ascii="Times New Roman;Times;serif" w:hAnsi="Times New Roman;Times;serif"/>
          <w:b/>
          <w:i/>
          <w:caps w:val="false"/>
          <w:smallCaps w:val="false"/>
          <w:color w:val="000000"/>
          <w:spacing w:val="-3"/>
          <w:sz w:val="15"/>
        </w:rPr>
        <w:t>Risk Factors</w:t>
      </w:r>
      <w:r>
        <w:rPr>
          <w:rFonts w:ascii="Times New Roman;Times;serif" w:hAnsi="Times New Roman;Times;serif"/>
          <w:b/>
          <w:i w:val="false"/>
          <w:caps w:val="false"/>
          <w:smallCaps w:val="false"/>
          <w:color w:val="000000"/>
          <w:spacing w:val="-3"/>
          <w:sz w:val="15"/>
        </w:rPr>
        <w:t>” section beginning on page </w:t>
      </w:r>
      <w:hyperlink w:anchor="tRIFA">
        <w:r>
          <w:rPr>
            <w:rStyle w:val="InternetLink"/>
          </w:rPr>
          <w:t>5</w:t>
        </w:r>
      </w:hyperlink>
      <w:r>
        <w:rPr>
          <w:rFonts w:ascii="Times New Roman;Times;serif" w:hAnsi="Times New Roman;Times;serif"/>
          <w:b/>
          <w:i w:val="false"/>
          <w:caps w:val="false"/>
          <w:smallCaps w:val="false"/>
          <w:color w:val="000000"/>
          <w:spacing w:val="-3"/>
          <w:sz w:val="15"/>
        </w:rPr>
        <w:t xml:space="preserve"> of this prospectus and similar sections contained in the documents incorporated by reference into this prospectus.</w:t>
      </w:r>
      <w:r>
        <w:rPr>
          <w:rFonts w:ascii="Times New Roman;Times;serif" w:hAnsi="Times New Roman;Times;serif"/>
          <w:b/>
          <w:i w:val="false"/>
          <w:caps w:val="false"/>
          <w:smallCaps w:val="false"/>
          <w:color w:val="000000"/>
          <w:spacing w:val="3"/>
          <w:sz w:val="15"/>
        </w:rPr>
        <w:t xml:space="preserve"> </w:t>
      </w:r>
    </w:p>
    <w:p>
      <w:pPr>
        <w:pStyle w:val="TextBody"/>
        <w:bidi w:val="0"/>
        <w:spacing w:lineRule="atLeast" w:line="170" w:before="80" w:after="283"/>
        <w:ind w:left="1753" w:right="0" w:firstLine="400"/>
        <w:jc w:val="left"/>
        <w:rPr>
          <w:rFonts w:ascii="Times New Roman;Times;serif" w:hAnsi="Times New Roman;Times;serif"/>
          <w:b/>
          <w:i w:val="false"/>
          <w:caps w:val="false"/>
          <w:smallCaps w:val="false"/>
          <w:color w:val="000000"/>
          <w:sz w:val="15"/>
        </w:rPr>
      </w:pPr>
      <w:r>
        <w:rPr>
          <w:rFonts w:ascii="Times New Roman;Times;serif" w:hAnsi="Times New Roman;Times;serif"/>
          <w:b/>
          <w:i w:val="false"/>
          <w:caps w:val="false"/>
          <w:smallCaps w:val="false"/>
          <w:color w:val="000000"/>
          <w:spacing w:val="-3"/>
          <w:sz w:val="15"/>
        </w:rPr>
        <w:t>Neither the Securities and Exchange Commission nor any state securities commission has approved or disapproved of these securities or determined if this prospectus is truthful or complete. Any representation to the contrary is a criminal offense.</w:t>
      </w:r>
      <w:r>
        <w:rPr>
          <w:rFonts w:ascii="Times New Roman;Times;serif" w:hAnsi="Times New Roman;Times;serif"/>
          <w:b/>
          <w:i w:val="false"/>
          <w:caps w:val="false"/>
          <w:smallCaps w:val="false"/>
          <w:color w:val="000000"/>
          <w:spacing w:val="3"/>
          <w:sz w:val="15"/>
        </w:rPr>
        <w:t xml:space="preserve"> </w:t>
      </w:r>
    </w:p>
    <w:p>
      <w:pPr>
        <w:pStyle w:val="TextBody"/>
        <w:bidi w:val="0"/>
        <w:spacing w:lineRule="atLeast" w:line="170" w:before="80" w:after="283"/>
        <w:jc w:val="center"/>
        <w:rPr>
          <w:rFonts w:ascii="Times New Roman;Times;serif" w:hAnsi="Times New Roman;Times;serif"/>
          <w:b/>
          <w:i w:val="false"/>
          <w:caps w:val="false"/>
          <w:smallCaps w:val="false"/>
          <w:color w:val="000000"/>
          <w:sz w:val="15"/>
        </w:rPr>
      </w:pPr>
      <w:r>
        <w:rPr>
          <w:rFonts w:ascii="Times New Roman;Times;serif" w:hAnsi="Times New Roman;Times;serif"/>
          <w:b/>
          <w:i w:val="false"/>
          <w:caps w:val="false"/>
          <w:smallCaps w:val="false"/>
          <w:color w:val="000000"/>
          <w:spacing w:val="-3"/>
          <w:sz w:val="15"/>
        </w:rPr>
        <w:t>The date of this prospectus is         , 2024.</w:t>
      </w:r>
      <w:r>
        <w:rPr>
          <w:rFonts w:ascii="Times New Roman;Times;serif" w:hAnsi="Times New Roman;Times;serif"/>
          <w:b/>
          <w:i w:val="false"/>
          <w:caps w:val="false"/>
          <w:smallCaps w:val="false"/>
          <w:color w:val="000000"/>
          <w:sz w:val="15"/>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4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593"/>
        <w:gridCol w:w="109"/>
        <w:gridCol w:w="109"/>
        <w:gridCol w:w="109"/>
        <w:gridCol w:w="109"/>
        <w:gridCol w:w="395"/>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jc w:val="left"/>
              <w:rPr/>
            </w:pPr>
            <w:hyperlink w:anchor="tATP">
              <w:r>
                <w:rPr>
                  <w:rStyle w:val="InternetLink"/>
                  <w:spacing w:val="4"/>
                </w:rPr>
                <w:t xml:space="preserve">ABOUT THIS PROSPECTUS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ATP">
              <w:r>
                <w:rPr>
                  <w:rStyle w:val="InternetLink"/>
                  <w:spacing w:val="4"/>
                </w:rPr>
                <w:t>1</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jc w:val="left"/>
              <w:rPr/>
            </w:pPr>
            <w:hyperlink w:anchor="tTRA">
              <w:r>
                <w:rPr>
                  <w:rStyle w:val="InternetLink"/>
                  <w:spacing w:val="4"/>
                </w:rPr>
                <w:t xml:space="preserve">TRADEMARKS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TRA">
              <w:r>
                <w:rPr>
                  <w:rStyle w:val="InternetLink"/>
                  <w:spacing w:val="4"/>
                </w:rPr>
                <w:t>2</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jc w:val="left"/>
              <w:rPr/>
            </w:pPr>
            <w:hyperlink w:anchor="tCSRF">
              <w:r>
                <w:rPr>
                  <w:rStyle w:val="InternetLink"/>
                  <w:spacing w:val="4"/>
                </w:rPr>
                <w:t xml:space="preserve">CAUTIONARY STATEMENT REGARDING FORWARD-LOOKING STATEMENTS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CSRF">
              <w:r>
                <w:rPr>
                  <w:rStyle w:val="InternetLink"/>
                  <w:spacing w:val="4"/>
                </w:rPr>
                <w:t>3</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jc w:val="left"/>
              <w:rPr/>
            </w:pPr>
            <w:hyperlink w:anchor="tSOTP">
              <w:r>
                <w:rPr>
                  <w:rStyle w:val="InternetLink"/>
                  <w:spacing w:val="4"/>
                </w:rPr>
                <w:t xml:space="preserve">SUMMARY OF THE PROSPECTUS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SOTP">
              <w:r>
                <w:rPr>
                  <w:rStyle w:val="InternetLink"/>
                  <w:spacing w:val="4"/>
                </w:rPr>
                <w:t>4</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RIFA">
              <w:r>
                <w:rPr>
                  <w:rStyle w:val="InternetLink"/>
                  <w:spacing w:val="4"/>
                </w:rPr>
                <w:t>5</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UOP">
              <w:r>
                <w:rPr>
                  <w:rStyle w:val="InternetLink"/>
                  <w:spacing w:val="4"/>
                </w:rPr>
                <w:t>6</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jc w:val="left"/>
              <w:rPr/>
            </w:pPr>
            <w:hyperlink w:anchor="tDOCS">
              <w:r>
                <w:rPr>
                  <w:rStyle w:val="InternetLink"/>
                  <w:spacing w:val="4"/>
                </w:rPr>
                <w:t xml:space="preserve">DESCRIPTION OF COMMON STOCK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DOCS">
              <w:r>
                <w:rPr>
                  <w:rStyle w:val="InternetLink"/>
                  <w:spacing w:val="4"/>
                </w:rPr>
                <w:t>7</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jc w:val="left"/>
              <w:rPr/>
            </w:pPr>
            <w:hyperlink w:anchor="tSEST">
              <w:r>
                <w:rPr>
                  <w:rStyle w:val="InternetLink"/>
                  <w:spacing w:val="4"/>
                </w:rPr>
                <w:t xml:space="preserve">SELLING STOCKHOLDERS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SEST">
              <w:r>
                <w:rPr>
                  <w:rStyle w:val="InternetLink"/>
                  <w:spacing w:val="4"/>
                </w:rPr>
                <w:t>8</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POD">
              <w:r>
                <w:rPr>
                  <w:rStyle w:val="InternetLink"/>
                  <w:spacing w:val="4"/>
                </w:rPr>
                <w:t>12</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LEMA">
              <w:r>
                <w:rPr>
                  <w:rStyle w:val="InternetLink"/>
                  <w:spacing w:val="4"/>
                </w:rPr>
                <w:t>14</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EXP">
              <w:r>
                <w:rPr>
                  <w:rStyle w:val="InternetLink"/>
                  <w:spacing w:val="4"/>
                </w:rPr>
                <w:t>14</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WYCF">
              <w:r>
                <w:rPr>
                  <w:rStyle w:val="InternetLink"/>
                  <w:spacing w:val="4"/>
                </w:rPr>
                <w:t>14</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should rely only on the information contained in this prospectus. No one has been authorized to provide you with information that is different from that contained in this prospectus. This prospectus is dated as of the date set forth on the cover hereof. You should not assume that the information contained in this prospectus is accurate as of any date other than that date.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ATP"/>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on Form S-3 that we filed with the Securities and Exchange Commission (the “SEC”) using a “shelf” registration process. Under this shelf registration process, the Selling Stockholders may, from time to time, issue, offer and sell, as applicable, any combination of the securities described in this prospectus in one or more offerings. The Selling Stockholders may use the shelf registration statement to sell up to an aggregate of up to 103,757,492 shares of Common Stock. More specific terms of any securities that the Selling Stockholders offer and sell may be provided in a prospectus supplement that describes, among other things, the specific amounts and prices of the securities being offered and the terms of the offering.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prospectus supplement may also add, update or change information included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 You should rely only on the information contained in this prospectus, any applicable prospectus supplement or any related free writing prospectus. See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we nor the Selling Stockholders have authorized anyone to provide any information or to make any representations other than those contained in this prospectus, any accompanying prospectus supplement or any free writing prospectus we have prepared. We and the Selling Stockholders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only, regardless of the time of delivery of this prospectus or any applicable prospectus supplement, or any sale of a security. Our business, financial condition, results of operations and prospects may have changed since those dates.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Before making an investment decision, you should read, in addition to this prospectus and the registration statement, any documents that we incorporate by reference in this prospectus, as referred to under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and you may obtain copies of those documents as described below.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the context indicates otherwise, references to the “Company,” “PRST,” “we,” “us” and “our” refer to Presto Automation Inc., a Delaware corporation, and its consolidated subsidiaries.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TRA"/>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4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TRADEMARKS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This document and those incorporated by reference herein contain references to trademarks and service marks belonging to other entities. Solely for convenience, trademarks and trade names referred to in this prospectus and the information incorporated by reference herein may appear without the </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3"/>
          <w:sz w:val="15"/>
        </w:rPr>
        <w:t>TM</w:t>
      </w:r>
      <w:r>
        <w:rPr>
          <w:rFonts w:ascii="Times New Roman;Times;serif" w:hAnsi="Times New Roman;Times;serif"/>
          <w:b w:val="false"/>
          <w:i w:val="false"/>
          <w:caps w:val="false"/>
          <w:smallCaps w:val="false"/>
          <w:color w:val="000000"/>
          <w:spacing w:val="4"/>
          <w:sz w:val="20"/>
        </w:rPr>
        <w:t xml:space="preserve">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it by, any other companies.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CSRF"/>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0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STATEMENT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including the documents incorporated herein by reference, contains forward-looking statements. These forward-looking statements include, without limitation, statements relating to expectations for future financial performance, business strategies or expectations for our business. These statements are based on the beliefs and assumptions of the management of the Company. Although the Company believes that its plans, intentions and expectations reflected in or suggested by these forward-looking statements are reasonable, it cannot assure you that it will achieve or realize these plans, intentions or expectations. These statements constitute projections, forecasts and forward-looking statements, and are not guarantees of performance. Such statements can be identified by the fact that they do not relate strictly to historical or current facts. When used in this prospectus and/or the documents incorporated herein by reference, words such as “anticipate”, “believe”, “can”, “continue”, “could”, “estimate”, “expect”, “forecast”, “intend”, “may”, “might”, “plan”, “possible”, “potential”, “predict”, “project”, “seek”, “should”, “strive”, “target”, “will”, “would” and similar expressions may identify forward-looking statements, but the absence of these words does not mean that a statement is not forward-looking.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differ include, but are not limited to, those described in our filings made with the SEC from time to time incorporated herein by reference.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These forward-looking statements speak only as of the date of such statements.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SOTP"/>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SUMMARY OF THE PROSPECTUS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This summary highlights selected information contained in the documents we incorporate by reference and may not contain all of the information that is important to you in making an investment decision. Before investing in our securities, you should carefully read this entire prospectus, including the documents incorporated herein by reference, especially the risk factors, management’s discussion and analysis of financial condition and results of operations, and consolidated financial statements and the related notes. See the section titled “Where You Can Find More Information.”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Overview</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provide enterprise grade AI and automation solutions to the restaurant technology industry. Our solutions are designed to decrease labor costs, improve staff productivity, increase revenue and enhance the guest experience. We offer our AI solution, Presto Voice, to quick service restaurants (QSR) and our pay-at-table tablet solution, Presto Touch, to casual dining chains. Some of the most recognized restaurant names in the United States are among our customers, including Carl’s Jr. and Hardee’s, Wienerschnitzel and Checkers for Presto Voice and Applebee’s and Chili’s for Presto Touch.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Following our founding in 2008, we initially focused exclusively on Presto Touch. As of June 30, 2023, we had shipped over 277,000 Presto Touch tablets to three of the largest casual dining chains in the United States. Presto Voice addresses the pressing needs of drive-thru restaurant operators by improving order accuracy, reducing labor costs and increasing revenue through menu upselling, while also providing guests with an improved drive-thru experience. While Presto Touch has accounted for substantially all of our historical revenues, we believe that Presto Voice will contribute an increasing portion of our revenues in the future.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are considering strategic alternatives related to our Presto Touch solution, which could include either a sale, partial sale or abandonment in the coming months, and allows us to focus our efforts on our Presto Voice solution. Refer to Note 15 in Part I, Item 1, of our Quarterly Report on Form 10-Q for the quarter ended December 31, 2023 for details on a memorandum of understanding (the “MOU”) relating to the Presto Touch solution entered into on January 17, 2024. Since the Touch Business is in the process of being wound down and the parties are in discussions to determine whether the MOU will be amended to effect the sale of the assets of that business.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restaurant technology market, while still nascent, continues to rapidly develop and evolve in response to the challenges faced by restaurant operators and the productivity enhancements available to them through the use of technological advances. While growing and robust, the restaurant industry today faces increasing labor and other costs. At the same time, a higher percentage of guests are ordering food and drink via the drive-thru. In an era of high inflation, restaurant operators need to simultaneously lower their costs and generate higher revenues to leverage their cost structures. We believe our solutions help restaurant operators address these concerns with compelling end-to-end solutions that seamlessly integrate into a restaurant’s existing technology stacks.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Corporate Information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Our principal executive office is located at 985 Industrial Road, San Carlos, CA 94070. Our telephone number is (650) 817-9012. Our website address is www.presto.com. Information contained on our website is not a part of this prospectus, and the inclusion of our website address in this prospectus is an inactive textual reference only.</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RIFA"/>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2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 investment in any securities offered pursuant to this prospectus and the applicable prospectus supplement involves risks. Before deciding whether to invest in our securities, you should carefully consider the risk factors incorporated by reference to our most recent Annual Report on Form 10-K, as amended by Amendment No. 1 to our Annual Report on Form 10-K/A, our most recent Quarterly Reports on Form 10-Q and any subsequent Current Reports on Form 8-K, and all other information contained or incorporated by reference into this prospectus, as updated by our subsequent filings under the Exchange Act, and the risk factors and other information contained in any applicable prospectus supplement. For more information, see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UOP"/>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8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not receive any of the proceeds from the sale or other disposition of the Resale Shares held by the Selling Stockholders pursuant to this prospectus. We will receive the proceeds from any exercise of warrants for cash, but will not receive any proceeds as a result of the cashless exercise of warrants, to the extent permitted.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Stockholders will pay any underwriting fees, discounts, selling commissions, stock transfer taxes and certain legal expenses incurred by such Selling Stockholders in disposing of their Resale Shares, and we will bear all other costs, fees and expenses incurred in effecting the registration of such securities covered by this prospectus, including, without limitation, all registration and filing fees, Nasdaq listing fees and fees and expenses of our counsel and our independent registered public accountants.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DOCS"/>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2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A description of our Common Stock is set forth in our registration statement on Form 8-A as originally filed with the SEC on December 23, 2020 and any amendment or report filed for the purpose of updating this information (including Exhibit 4.1 to our </w:t>
      </w:r>
      <w:hyperlink r:id="rId2">
        <w:r>
          <w:rPr>
            <w:rStyle w:val="InternetLink"/>
          </w:rPr>
          <w:t>Annual Report on Form 10-K for the fiscal year ended June 30, 2023</w:t>
        </w:r>
      </w:hyperlink>
      <w:r>
        <w:rPr>
          <w:rFonts w:ascii="Times New Roman;Times;serif" w:hAnsi="Times New Roman;Times;serif"/>
          <w:b w:val="false"/>
          <w:i w:val="false"/>
          <w:caps w:val="false"/>
          <w:smallCaps w:val="false"/>
          <w:color w:val="000000"/>
          <w:spacing w:val="4"/>
          <w:sz w:val="20"/>
        </w:rPr>
        <w:t xml:space="preserve">), which description is incorporated by reference herein.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SEST"/>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SELLING STOCKHOLDERS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relates to the resale by the Selling Stockholders of up to an aggregate of 103,757,492 shares of Common Stock, which includes: </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36,000,000 shares of Common Stock issuable upon the conversion of the January 2024 Notes issued pursuant to securities purchase agreements, dated January 30, 2024, between us and the buyers thereto; </w:t>
      </w:r>
      <w:r>
        <mc:AlternateContent>
          <mc:Choice Requires="wps">
            <w:drawing>
              <wp:anchor behindDoc="0" distT="97790" distB="0" distL="254000" distR="0" simplePos="0" locked="0" layoutInCell="1" allowOverlap="1" relativeHeight="17">
                <wp:simplePos x="0" y="0"/>
                <wp:positionH relativeFrom="column">
                  <wp:align>left</wp:align>
                </wp:positionH>
                <wp:positionV relativeFrom="line">
                  <wp:align>top</wp:align>
                </wp:positionV>
                <wp:extent cx="254000" cy="350520"/>
                <wp:effectExtent l="0" t="0" r="0" b="0"/>
                <wp:wrapSquare wrapText="right"/>
                <wp:docPr id="10" name="Frame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 to 10,799,549 shares of Common Stock that may become issuable upon conversion of capitalized PIK Interest that may accrue through the maturity date of the January 2024 Notes; </w:t>
      </w:r>
      <w:r>
        <mc:AlternateContent>
          <mc:Choice Requires="wps">
            <w:drawing>
              <wp:anchor behindDoc="0" distT="97790" distB="0" distL="254000" distR="0" simplePos="0" locked="0" layoutInCell="1" allowOverlap="1" relativeHeight="18">
                <wp:simplePos x="0" y="0"/>
                <wp:positionH relativeFrom="column">
                  <wp:align>left</wp:align>
                </wp:positionH>
                <wp:positionV relativeFrom="line">
                  <wp:align>top</wp:align>
                </wp:positionV>
                <wp:extent cx="254000" cy="350520"/>
                <wp:effectExtent l="0" t="0" r="0" b="0"/>
                <wp:wrapSquare wrapText="right"/>
                <wp:docPr id="11" name="Frame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3,840,000 shares of Common Stock issuable upon the conversion of the Remus Note issued to Remus Capital Series B II, L.P. on March 1, 2024;</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97790" distB="0" distL="254000" distR="0" simplePos="0" locked="0" layoutInCell="1" allowOverlap="1" relativeHeight="19">
                <wp:simplePos x="0" y="0"/>
                <wp:positionH relativeFrom="column">
                  <wp:align>left</wp:align>
                </wp:positionH>
                <wp:positionV relativeFrom="line">
                  <wp:align>top</wp:align>
                </wp:positionV>
                <wp:extent cx="254000" cy="525780"/>
                <wp:effectExtent l="0" t="0" r="0" b="0"/>
                <wp:wrapSquare wrapText="right"/>
                <wp:docPr id="12" name="Frame1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up to 1,100,665 shares of Common Stock that may become issuable upon conversion of capitalized PIK Interest that may accrue through the maturity date of the Remus Note;</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97790" distB="0" distL="254000" distR="0" simplePos="0" locked="0" layoutInCell="1" allowOverlap="1" relativeHeight="20">
                <wp:simplePos x="0" y="0"/>
                <wp:positionH relativeFrom="column">
                  <wp:align>left</wp:align>
                </wp:positionH>
                <wp:positionV relativeFrom="line">
                  <wp:align>top</wp:align>
                </wp:positionV>
                <wp:extent cx="254000" cy="525780"/>
                <wp:effectExtent l="0" t="0" r="0" b="0"/>
                <wp:wrapSquare wrapText="right"/>
                <wp:docPr id="13" name="Frame1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29,517,278 shares of Common Stock issuable upon the exercise of warrants by Metropolitan and the Metropolitan Entities, which consist of: </w:t>
      </w:r>
      <w:r>
        <mc:AlternateContent>
          <mc:Choice Requires="wps">
            <w:drawing>
              <wp:anchor behindDoc="0" distT="97790" distB="0" distL="254000" distR="0" simplePos="0" locked="0" layoutInCell="1" allowOverlap="1" relativeHeight="21">
                <wp:simplePos x="0" y="0"/>
                <wp:positionH relativeFrom="column">
                  <wp:align>left</wp:align>
                </wp:positionH>
                <wp:positionV relativeFrom="line">
                  <wp:align>top</wp:align>
                </wp:positionV>
                <wp:extent cx="254000" cy="350520"/>
                <wp:effectExtent l="0" t="0" r="0" b="0"/>
                <wp:wrapSquare wrapText="right"/>
                <wp:docPr id="14" name="Frame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(v)</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8,517,278 shares of Common Stock issuable upon the exercise of warrants, with an exercise price of $0.01 per share, that were issued in consideration of the conversion of interest into principal and in respect of amendments to the Credit Agreement, including shares to be issued pursuant to the anti-dilution adjustment provisions in such warrants; and </w:t>
      </w:r>
      <w:r>
        <mc:AlternateContent>
          <mc:Choice Requires="wps">
            <w:drawing>
              <wp:anchor behindDoc="0" distT="97790" distB="0" distL="508000" distR="0" simplePos="0" locked="0" layoutInCell="1" allowOverlap="1" relativeHeight="22">
                <wp:simplePos x="0" y="0"/>
                <wp:positionH relativeFrom="column">
                  <wp:align>left</wp:align>
                </wp:positionH>
                <wp:positionV relativeFrom="line">
                  <wp:align>top</wp:align>
                </wp:positionV>
                <wp:extent cx="254000" cy="350520"/>
                <wp:effectExtent l="0" t="0" r="0" b="0"/>
                <wp:wrapSquare wrapText="right"/>
                <wp:docPr id="15" name="Frame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7pt;mso-wrap-distance-bottom:0pt;margin-top:7.7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21,000,000 shares of Common Stock issuable upon the exercise of warrants, with an exercise price of $0.01 per share, issued pursuant to the anti-dilution adjustments provisions in such warrants. </w:t>
      </w:r>
      <w:r>
        <mc:AlternateContent>
          <mc:Choice Requires="wps">
            <w:drawing>
              <wp:anchor behindDoc="0" distT="99060" distB="0" distL="508000" distR="0" simplePos="0" locked="0" layoutInCell="1" allowOverlap="1" relativeHeight="23">
                <wp:simplePos x="0" y="0"/>
                <wp:positionH relativeFrom="column">
                  <wp:align>left</wp:align>
                </wp:positionH>
                <wp:positionV relativeFrom="line">
                  <wp:align>top</wp:align>
                </wp:positionV>
                <wp:extent cx="254000" cy="350520"/>
                <wp:effectExtent l="0" t="0" r="0" b="0"/>
                <wp:wrapSquare wrapText="right"/>
                <wp:docPr id="16" name="Frame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10,500,000 shares of Common Stock that were issued pursuant to the anti-dilution adjustment provisions in the CA Purchase Agreement; and </w:t>
      </w:r>
      <w:r>
        <mc:AlternateContent>
          <mc:Choice Requires="wps">
            <w:drawing>
              <wp:anchor behindDoc="0" distT="99060" distB="0" distL="254000" distR="0" simplePos="0" locked="0" layoutInCell="1" allowOverlap="1" relativeHeight="24">
                <wp:simplePos x="0" y="0"/>
                <wp:positionH relativeFrom="column">
                  <wp:align>left</wp:align>
                </wp:positionH>
                <wp:positionV relativeFrom="line">
                  <wp:align>top</wp:align>
                </wp:positionV>
                <wp:extent cx="254000" cy="525780"/>
                <wp:effectExtent l="0" t="0" r="0" b="0"/>
                <wp:wrapSquare wrapText="right"/>
                <wp:docPr id="17" name="Frame1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(vi)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(vi)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12,000,000 shares of Common Stock that were issued pursuant to the anti-dilution adjustment provisions in the November 2023 Purchase Agreement. </w:t>
      </w:r>
      <w:r>
        <mc:AlternateContent>
          <mc:Choice Requires="wps">
            <w:drawing>
              <wp:anchor behindDoc="0" distT="99060" distB="0" distL="254000" distR="0" simplePos="0" locked="0" layoutInCell="1" allowOverlap="1" relativeHeight="25">
                <wp:simplePos x="0" y="0"/>
                <wp:positionH relativeFrom="column">
                  <wp:align>left</wp:align>
                </wp:positionH>
                <wp:positionV relativeFrom="line">
                  <wp:align>top</wp:align>
                </wp:positionV>
                <wp:extent cx="254000" cy="525780"/>
                <wp:effectExtent l="0" t="0" r="0" b="0"/>
                <wp:wrapSquare wrapText="right"/>
                <wp:docPr id="18" name="Frame1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(vii)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(vii)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8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Nasdaq Listing Rule 5635(d), the total number of shares of Common Stock that can be issued upon conversion of the January 2024 Notes, upon exercise of the Fifth Amendment Warrants and the Met Warrants, and pursuant to the anti-dilution provisions in the CA Purchase Agreement and in the November 2023 Purchase Agreements, are limited to 19.99% of the outstanding shares of the Company at the time of the closing of the offerings, as applicable, absent shareholder approval. On February 26, 2024, the Company held a special meeting of stockholders and the stockholders approved, among other things, the issuance of the January Anti-Dilution Shares. The January Anti-Dilution Shares were subsequently issued to the applicable holders. Further, the Company plans to hold an additional Special Meeting and to file a preliminary proxy statement for the Special Meeting to, among other things, approve the issuance of the March Anti-Dilution Shares. As of the date of this filing, none of the 9,000,000 March Anti-Dilution Shares have been issued, and the March Anti-Dilution Shares will be issued subsequent to the approval of the proposals at the Special Meeting. Assuming the proposals are approved at the Special Meeting, we are registering for resale the total number of shares issuable under the Met Warrants and pursuant to the anti-dilution provisions in the CA Purchase Agreement and in the November 2023 Purchase Agreements. </w:t>
      </w:r>
    </w:p>
    <w:p>
      <w:pPr>
        <w:pStyle w:val="TextBody"/>
        <w:bidi w:val="0"/>
        <w:spacing w:lineRule="atLeast" w:line="230" w:before="8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Stockholders may from time to time offer and sell any or all of the shares of Common Stock set forth below pursuant to this prospectus and any accompanying prospectus supplement. When we refer to the “Selling Stockholders” in this prospectus, we mean the persons listed in the table below, and the pledgees, donees, transferees, assignees, successors, designees and others who later come to hold any of the Selling Stockholders’ interest in the Common Stock other than through a public sale. We cannot advise you as to whether the Selling Stockholders will in fact sell any or all of such shares of Common Stock. In addition, the Selling Stockholders may sell, transfer or otherwise dispose of, at any time and from time to time, the shares of Common Stock in transactions exempt from the registration requirements of the Securities Act after the date of this prospectus. For purposes of this table, we have assumed that the Selling Stockholders will have sold all of the securities covered by this prospectus upon the completion of the offering.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to the Company’s knowledge after review of information reasonably obtainable, as of the date of this filing (or such other date as such information was provided to us by the applicable Selling Stockholders), the name and address of the Selling Stockholders, the number of shares of Common Stock beneficially owned, the number of shares of Common Stock that the Selling Stockholders may offer pursuant to this prospectus and the number of shares of Common Stock beneficially owned by the Selling Stockholders after the sale of the securities offered hereby.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Selling Stockholder information for each additional Selling Stockholder, if any, will be set forth by prospectus supplement to the extent required prior to the time of any offer or sale of such Selling Stockholder’s shares pursuant to this prospectus. Any prospectus supplement may add, update, substitute, or change the information contained in this prospectus, including the identity of each Selling Stockholder and the number of shares registered on its behalf. A Selling Stockholder may sell or otherwise transfer all, some or none of such shares in this offering. See “Plan of Distribution.”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beneficial ownership of our Common Stock is based on 104,175,894 shares of our Common Stock outstanding as of March 31, 2024, assuming the March Anti-Dilution Shares are issued and outstanding as described above. Beneficial ownership is determined according to the rules of the SEC, which generally provide that a person has beneficial ownership of a security if he, she or it possesses sole or shared voting or investment power over that security. Under those rules, beneficial ownership includes securities that the individual or entity has the right to acquire, such as through the exercise of warrants or stock options, within 60 days of March 31, 2024. Shares subject to warrants or options that are currently exercisable or exercisable within 60 days of March 31, 2024 that vest within 60 days of March 31, 2024 are considered outstanding and beneficially owned by the person holding such warrants or options for the purpose of computing the percentage ownership of that person but are not treated as outstanding for the purpose of computing the percentage ownership of any other person.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noted by footnote, and subject to community property laws where applicable, based on the information provided to us, the persons and entities named in the table below have sole voting and investment power with respect to all shares shown as beneficially owned by them. </w:t>
      </w:r>
    </w:p>
    <w:tbl>
      <w:tblPr>
        <w:tblW w:w="9232" w:type="dxa"/>
        <w:jc w:val="left"/>
        <w:tblInd w:w="1393" w:type="dxa"/>
        <w:tblLayout w:type="fixed"/>
        <w:tblCellMar>
          <w:top w:w="0" w:type="dxa"/>
          <w:left w:w="0" w:type="dxa"/>
          <w:bottom w:w="28" w:type="dxa"/>
          <w:right w:w="0" w:type="dxa"/>
        </w:tblCellMar>
      </w:tblPr>
      <w:tblGrid>
        <w:gridCol w:w="1380"/>
        <w:gridCol w:w="109"/>
        <w:gridCol w:w="109"/>
        <w:gridCol w:w="109"/>
        <w:gridCol w:w="109"/>
        <w:gridCol w:w="1231"/>
        <w:gridCol w:w="109"/>
        <w:gridCol w:w="109"/>
        <w:gridCol w:w="109"/>
        <w:gridCol w:w="109"/>
        <w:gridCol w:w="109"/>
        <w:gridCol w:w="721"/>
        <w:gridCol w:w="109"/>
        <w:gridCol w:w="109"/>
        <w:gridCol w:w="109"/>
        <w:gridCol w:w="109"/>
        <w:gridCol w:w="109"/>
        <w:gridCol w:w="1186"/>
        <w:gridCol w:w="109"/>
        <w:gridCol w:w="109"/>
        <w:gridCol w:w="109"/>
        <w:gridCol w:w="109"/>
        <w:gridCol w:w="109"/>
        <w:gridCol w:w="1186"/>
        <w:gridCol w:w="109"/>
        <w:gridCol w:w="109"/>
        <w:gridCol w:w="109"/>
        <w:gridCol w:w="114"/>
        <w:gridCol w:w="114"/>
        <w:gridCol w:w="639"/>
        <w:gridCol w:w="109"/>
        <w:gridCol w:w="154"/>
      </w:tblGrid>
      <w:tr>
        <w:trPr/>
        <w:tc>
          <w:tcPr>
            <w:tcW w:w="138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824"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 xml:space="preserve">Beneficially Owned Before the </w:t>
            </w:r>
            <w:r>
              <w:rPr/>
              <w:br/>
            </w:r>
            <w:r>
              <w:rPr>
                <w:spacing w:val="-3"/>
              </w:rPr>
              <w:t xml:space="preserve">Offering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513" w:type="dxa"/>
            <w:gridSpan w:val="4"/>
            <w:vMerge w:val="restart"/>
            <w:tcBorders>
              <w:bottom w:val="single" w:sz="2" w:space="0" w:color="000000"/>
            </w:tcBorders>
            <w:tcMar>
              <w:bottom w:w="43" w:type="dxa"/>
            </w:tcMar>
            <w:vAlign w:val="center"/>
          </w:tcPr>
          <w:p>
            <w:pPr>
              <w:pStyle w:val="TableContents"/>
              <w:bidi w:val="0"/>
              <w:spacing w:lineRule="atLeast" w:line="180" w:before="0" w:after="0"/>
              <w:jc w:val="center"/>
              <w:rPr/>
            </w:pPr>
            <w:r>
              <w:rPr>
                <w:spacing w:val="-3"/>
              </w:rPr>
              <w:t xml:space="preserve">Number of </w:t>
            </w:r>
            <w:r>
              <w:rPr/>
              <w:br/>
            </w:r>
            <w:r>
              <w:rPr>
                <w:spacing w:val="-3"/>
              </w:rPr>
              <w:t xml:space="preserve">Shares of </w:t>
            </w:r>
            <w:r>
              <w:rPr/>
              <w:br/>
            </w:r>
            <w:r>
              <w:rPr>
                <w:spacing w:val="-3"/>
              </w:rPr>
              <w:t xml:space="preserve">Common Stock </w:t>
            </w:r>
            <w:r>
              <w:rPr/>
              <w:br/>
            </w:r>
            <w:r>
              <w:rPr>
                <w:spacing w:val="-3"/>
              </w:rPr>
              <w:t xml:space="preserve">Being Offered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707"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 xml:space="preserve">Beneficially Owned After the </w:t>
            </w:r>
            <w:r>
              <w:rPr/>
              <w:br/>
            </w:r>
            <w:r>
              <w:rPr>
                <w:spacing w:val="-3"/>
              </w:rPr>
              <w:t xml:space="preserve">Offering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380" w:type="dxa"/>
            <w:tcBorders>
              <w:bottom w:val="single" w:sz="2" w:space="0" w:color="000000"/>
            </w:tcBorders>
            <w:tcMar>
              <w:bottom w:w="43" w:type="dxa"/>
            </w:tcMar>
            <w:vAlign w:val="center"/>
          </w:tcPr>
          <w:p>
            <w:pPr>
              <w:pStyle w:val="TableContents"/>
              <w:bidi w:val="0"/>
              <w:spacing w:lineRule="atLeast" w:line="142" w:before="0" w:after="0"/>
              <w:jc w:val="left"/>
              <w:rPr/>
            </w:pPr>
            <w:r>
              <w:rPr>
                <w:spacing w:val="-3"/>
              </w:rPr>
              <w:t>Selling Stockholder</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58"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Number of </w:t>
            </w:r>
            <w:r>
              <w:rPr/>
              <w:br/>
            </w:r>
            <w:r>
              <w:rPr>
                <w:spacing w:val="-3"/>
              </w:rPr>
              <w:t xml:space="preserve">Shares of </w:t>
            </w:r>
            <w:r>
              <w:rPr/>
              <w:br/>
            </w:r>
            <w:r>
              <w:rPr>
                <w:spacing w:val="-3"/>
              </w:rPr>
              <w:t xml:space="preserve">Common 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48"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 of </w:t>
            </w:r>
            <w:r>
              <w:rPr/>
              <w:br/>
            </w:r>
            <w:r>
              <w:rPr>
                <w:spacing w:val="-3"/>
              </w:rPr>
              <w:t xml:space="preserve">Common </w:t>
            </w:r>
            <w:r>
              <w:rPr/>
              <w:br/>
            </w:r>
            <w:r>
              <w:rPr>
                <w:spacing w:val="-3"/>
              </w:rPr>
              <w:t xml:space="preserve">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1513" w:type="dxa"/>
            <w:gridSpan w:val="4"/>
            <w:vMerge w:val="continue"/>
            <w:tcBorders>
              <w:bottom w:val="single" w:sz="2" w:space="0" w:color="000000"/>
            </w:tcBorders>
            <w:tcMar>
              <w:bottom w:w="43"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Number of </w:t>
            </w:r>
            <w:r>
              <w:rPr/>
              <w:br/>
            </w:r>
            <w:r>
              <w:rPr>
                <w:spacing w:val="-3"/>
              </w:rPr>
              <w:t xml:space="preserve">Shares of </w:t>
            </w:r>
            <w:r>
              <w:rPr/>
              <w:br/>
            </w:r>
            <w:r>
              <w:rPr>
                <w:spacing w:val="-3"/>
              </w:rPr>
              <w:t xml:space="preserve">Common 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6"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 of </w:t>
            </w:r>
            <w:r>
              <w:rPr/>
              <w:br/>
            </w:r>
            <w:r>
              <w:rPr>
                <w:spacing w:val="-3"/>
              </w:rPr>
              <w:t xml:space="preserve">Common </w:t>
            </w:r>
            <w:r>
              <w:rPr/>
              <w:br/>
            </w:r>
            <w:r>
              <w:rPr>
                <w:spacing w:val="-3"/>
              </w:rPr>
              <w:t xml:space="preserve">Stock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380" w:type="dxa"/>
            <w:tcBorders/>
            <w:shd w:fill="CCEEFF" w:val="clear"/>
            <w:tcMar>
              <w:bottom w:w="0" w:type="dxa"/>
            </w:tcMar>
            <w:vAlign w:val="center"/>
          </w:tcPr>
          <w:p>
            <w:pPr>
              <w:pStyle w:val="TableContents"/>
              <w:bidi w:val="0"/>
              <w:spacing w:before="0" w:after="0"/>
              <w:jc w:val="left"/>
              <w:rPr/>
            </w:pPr>
            <w:r>
              <w:rPr>
                <w:spacing w:val="4"/>
              </w:rPr>
              <w:t>626RB FT LLC</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31" w:type="dxa"/>
            <w:tcBorders/>
            <w:shd w:fill="CCEEFF" w:val="clear"/>
            <w:tcMar>
              <w:bottom w:w="0" w:type="dxa"/>
            </w:tcMar>
            <w:vAlign w:val="center"/>
          </w:tcPr>
          <w:p>
            <w:pPr>
              <w:pStyle w:val="TableContents"/>
              <w:bidi w:val="0"/>
              <w:spacing w:before="0" w:after="283"/>
              <w:jc w:val="right"/>
              <w:rPr/>
            </w:pPr>
            <w:r>
              <w:rPr/>
              <w:t>4,000,000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21" w:type="dxa"/>
            <w:tcBorders/>
            <w:shd w:fill="CCEEFF" w:val="clear"/>
            <w:tcMar>
              <w:bottom w:w="0" w:type="dxa"/>
            </w:tcMar>
            <w:vAlign w:val="center"/>
          </w:tcPr>
          <w:p>
            <w:pPr>
              <w:pStyle w:val="TableContents"/>
              <w:bidi w:val="0"/>
              <w:spacing w:before="0" w:after="283"/>
              <w:jc w:val="right"/>
              <w:rPr/>
            </w:pPr>
            <w:r>
              <w:rPr/>
              <w:t>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639" w:type="dxa"/>
            <w:tcBorders/>
            <w:shd w:fill="CCEEFF" w:val="clear"/>
            <w:tcMar>
              <w:bottom w:w="0" w:type="dxa"/>
            </w:tcMar>
            <w:vAlign w:val="center"/>
          </w:tcPr>
          <w:p>
            <w:pPr>
              <w:pStyle w:val="TableContents"/>
              <w:bidi w:val="0"/>
              <w:spacing w:before="0" w:after="283"/>
              <w:jc w:val="right"/>
              <w:rPr/>
            </w:pPr>
            <w:r>
              <w:rPr/>
              <w:t>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80" w:type="dxa"/>
            <w:tcBorders/>
            <w:tcMar>
              <w:bottom w:w="0" w:type="dxa"/>
            </w:tcMar>
            <w:vAlign w:val="center"/>
          </w:tcPr>
          <w:p>
            <w:pPr>
              <w:pStyle w:val="TableContents"/>
              <w:bidi w:val="0"/>
              <w:spacing w:before="0" w:after="0"/>
              <w:jc w:val="left"/>
              <w:rPr/>
            </w:pPr>
            <w:r>
              <w:rPr>
                <w:spacing w:val="4"/>
              </w:rPr>
              <w:t>Acadia Woods Partners, LLC</w:t>
            </w:r>
            <w:r>
              <w:rPr>
                <w:spacing w:val="3"/>
                <w:sz w:val="13"/>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31" w:type="dxa"/>
            <w:tcBorders/>
            <w:tcMar>
              <w:bottom w:w="0" w:type="dxa"/>
            </w:tcMar>
            <w:vAlign w:val="center"/>
          </w:tcPr>
          <w:p>
            <w:pPr>
              <w:pStyle w:val="TableContents"/>
              <w:bidi w:val="0"/>
              <w:spacing w:before="0" w:after="283"/>
              <w:jc w:val="right"/>
              <w:rPr/>
            </w:pPr>
            <w:r>
              <w:rPr/>
              <w:t xml:space="preserve">2,101,245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 xml:space="preserve">1,569,995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531,250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639"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80" w:type="dxa"/>
            <w:tcBorders/>
            <w:shd w:fill="CCEEFF" w:val="clear"/>
            <w:tcMar>
              <w:bottom w:w="0" w:type="dxa"/>
            </w:tcMar>
            <w:vAlign w:val="center"/>
          </w:tcPr>
          <w:p>
            <w:pPr>
              <w:pStyle w:val="TableContents"/>
              <w:bidi w:val="0"/>
              <w:spacing w:before="0" w:after="0"/>
              <w:jc w:val="left"/>
              <w:rPr/>
            </w:pPr>
            <w:r>
              <w:rPr>
                <w:spacing w:val="4"/>
              </w:rPr>
              <w:t>Cleveland Avenue LLC</w:t>
            </w:r>
            <w:r>
              <w:rPr>
                <w:spacing w:val="3"/>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31" w:type="dxa"/>
            <w:tcBorders/>
            <w:shd w:fill="CCEEFF" w:val="clear"/>
            <w:tcMar>
              <w:bottom w:w="0" w:type="dxa"/>
            </w:tcMar>
            <w:vAlign w:val="center"/>
          </w:tcPr>
          <w:p>
            <w:pPr>
              <w:pStyle w:val="TableContents"/>
              <w:bidi w:val="0"/>
              <w:spacing w:before="0" w:after="283"/>
              <w:jc w:val="right"/>
              <w:rPr/>
            </w:pPr>
            <w:r>
              <w:rPr/>
              <w:t xml:space="preserve">20,500,000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21" w:type="dxa"/>
            <w:tcBorders/>
            <w:shd w:fill="CCEEFF" w:val="clear"/>
            <w:tcMar>
              <w:bottom w:w="0" w:type="dxa"/>
            </w:tcMar>
            <w:vAlign w:val="center"/>
          </w:tcPr>
          <w:p>
            <w:pPr>
              <w:pStyle w:val="TableContents"/>
              <w:bidi w:val="0"/>
              <w:spacing w:before="0" w:after="283"/>
              <w:jc w:val="right"/>
              <w:rPr/>
            </w:pPr>
            <w:r>
              <w:rPr/>
              <w:t>19.7%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 xml:space="preserve">10,500,000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 xml:space="preserve">10,000,000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639" w:type="dxa"/>
            <w:tcBorders/>
            <w:shd w:fill="CCEEFF" w:val="clear"/>
            <w:tcMar>
              <w:bottom w:w="0" w:type="dxa"/>
            </w:tcMar>
            <w:vAlign w:val="center"/>
          </w:tcPr>
          <w:p>
            <w:pPr>
              <w:pStyle w:val="TableContents"/>
              <w:bidi w:val="0"/>
              <w:spacing w:before="0" w:after="283"/>
              <w:jc w:val="right"/>
              <w:rPr/>
            </w:pPr>
            <w:r>
              <w:rPr/>
              <w:t>9.6%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80" w:type="dxa"/>
            <w:tcBorders/>
            <w:tcMar>
              <w:bottom w:w="0" w:type="dxa"/>
            </w:tcMar>
            <w:vAlign w:val="center"/>
          </w:tcPr>
          <w:p>
            <w:pPr>
              <w:pStyle w:val="TableContents"/>
              <w:bidi w:val="0"/>
              <w:spacing w:before="0" w:after="0"/>
              <w:jc w:val="left"/>
              <w:rPr/>
            </w:pPr>
            <w:r>
              <w:rPr>
                <w:spacing w:val="4"/>
              </w:rPr>
              <w:t>Cosme Fagundo</w:t>
            </w:r>
            <w:r>
              <w:rPr>
                <w:spacing w:val="3"/>
                <w:sz w:val="13"/>
              </w:rPr>
              <w:t>(5)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31" w:type="dxa"/>
            <w:tcBorders/>
            <w:tcMar>
              <w:bottom w:w="0" w:type="dxa"/>
            </w:tcMar>
            <w:vAlign w:val="center"/>
          </w:tcPr>
          <w:p>
            <w:pPr>
              <w:pStyle w:val="TableContents"/>
              <w:bidi w:val="0"/>
              <w:spacing w:before="0" w:after="283"/>
              <w:jc w:val="right"/>
              <w:rPr/>
            </w:pPr>
            <w:r>
              <w:rPr/>
              <w:t xml:space="preserve">139,999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 xml:space="preserve">129,999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639"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80" w:type="dxa"/>
            <w:tcBorders/>
            <w:shd w:fill="CCEEFF" w:val="clear"/>
            <w:tcMar>
              <w:bottom w:w="0" w:type="dxa"/>
            </w:tcMar>
            <w:vAlign w:val="center"/>
          </w:tcPr>
          <w:p>
            <w:pPr>
              <w:pStyle w:val="TableContents"/>
              <w:bidi w:val="0"/>
              <w:spacing w:before="0" w:after="0"/>
              <w:jc w:val="left"/>
              <w:rPr/>
            </w:pPr>
            <w:r>
              <w:rPr>
                <w:spacing w:val="4"/>
              </w:rPr>
              <w:t>Falcons Capital Group, LLC</w:t>
            </w:r>
            <w:r>
              <w:rPr>
                <w:spacing w:val="3"/>
                <w:sz w:val="13"/>
              </w:rPr>
              <w:t>(6)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31" w:type="dxa"/>
            <w:tcBorders/>
            <w:shd w:fill="CCEEFF" w:val="clear"/>
            <w:tcMar>
              <w:bottom w:w="0" w:type="dxa"/>
            </w:tcMar>
            <w:vAlign w:val="center"/>
          </w:tcPr>
          <w:p>
            <w:pPr>
              <w:pStyle w:val="TableContents"/>
              <w:bidi w:val="0"/>
              <w:spacing w:before="0" w:after="283"/>
              <w:jc w:val="right"/>
              <w:rPr/>
            </w:pPr>
            <w:r>
              <w:rPr/>
              <w:t xml:space="preserve">1,181,466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21" w:type="dxa"/>
            <w:tcBorders/>
            <w:shd w:fill="CCEEFF" w:val="clear"/>
            <w:tcMar>
              <w:bottom w:w="0" w:type="dxa"/>
            </w:tcMar>
            <w:vAlign w:val="center"/>
          </w:tcPr>
          <w:p>
            <w:pPr>
              <w:pStyle w:val="TableContents"/>
              <w:bidi w:val="0"/>
              <w:spacing w:before="0" w:after="283"/>
              <w:jc w:val="right"/>
              <w:rPr/>
            </w:pPr>
            <w:r>
              <w:rPr/>
              <w:t>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 xml:space="preserve">1,039,990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141,476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639"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80" w:type="dxa"/>
            <w:tcBorders/>
            <w:tcMar>
              <w:bottom w:w="0" w:type="dxa"/>
            </w:tcMar>
            <w:vAlign w:val="center"/>
          </w:tcPr>
          <w:p>
            <w:pPr>
              <w:pStyle w:val="TableContents"/>
              <w:bidi w:val="0"/>
              <w:spacing w:before="0" w:after="0"/>
              <w:jc w:val="left"/>
              <w:rPr>
                <w:spacing w:val="4"/>
              </w:rPr>
            </w:pPr>
            <w:r>
              <w:rPr>
                <w:spacing w:val="4"/>
              </w:rPr>
              <w:t xml:space="preserve">Frank V. Sica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31" w:type="dxa"/>
            <w:tcBorders/>
            <w:tcMar>
              <w:bottom w:w="0" w:type="dxa"/>
            </w:tcMar>
            <w:vAlign w:val="center"/>
          </w:tcPr>
          <w:p>
            <w:pPr>
              <w:pStyle w:val="TableContents"/>
              <w:bidi w:val="0"/>
              <w:spacing w:before="0" w:after="283"/>
              <w:jc w:val="right"/>
              <w:rPr/>
            </w:pPr>
            <w:r>
              <w:rPr/>
              <w:t xml:space="preserve">669,781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450,000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219,781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639"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80" w:type="dxa"/>
            <w:tcBorders/>
            <w:shd w:fill="CCEEFF" w:val="clear"/>
            <w:tcMar>
              <w:bottom w:w="0" w:type="dxa"/>
            </w:tcMar>
            <w:vAlign w:val="center"/>
          </w:tcPr>
          <w:p>
            <w:pPr>
              <w:pStyle w:val="TableContents"/>
              <w:bidi w:val="0"/>
              <w:spacing w:before="0" w:after="0"/>
              <w:jc w:val="left"/>
              <w:rPr/>
            </w:pPr>
            <w:r>
              <w:rPr>
                <w:spacing w:val="4"/>
              </w:rPr>
              <w:t>Hunter Ventures Limited</w:t>
            </w:r>
            <w:r>
              <w:rPr>
                <w:spacing w:val="3"/>
                <w:sz w:val="13"/>
              </w:rPr>
              <w:t>(7)</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31" w:type="dxa"/>
            <w:tcBorders/>
            <w:shd w:fill="CCEEFF" w:val="clear"/>
            <w:tcMar>
              <w:bottom w:w="0" w:type="dxa"/>
            </w:tcMar>
            <w:vAlign w:val="center"/>
          </w:tcPr>
          <w:p>
            <w:pPr>
              <w:pStyle w:val="TableContents"/>
              <w:bidi w:val="0"/>
              <w:spacing w:before="0" w:after="283"/>
              <w:jc w:val="right"/>
              <w:rPr/>
            </w:pPr>
            <w:r>
              <w:rPr/>
              <w:t xml:space="preserve">31,199,699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21" w:type="dxa"/>
            <w:tcBorders/>
            <w:shd w:fill="CCEEFF" w:val="clear"/>
            <w:tcMar>
              <w:bottom w:w="0" w:type="dxa"/>
            </w:tcMar>
            <w:vAlign w:val="center"/>
          </w:tcPr>
          <w:p>
            <w:pPr>
              <w:pStyle w:val="TableContents"/>
              <w:bidi w:val="0"/>
              <w:spacing w:before="0" w:after="283"/>
              <w:jc w:val="right"/>
              <w:rPr/>
            </w:pPr>
            <w:r>
              <w:rPr/>
              <w:t>23.1%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 xml:space="preserve">31,199,699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639"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80" w:type="dxa"/>
            <w:tcBorders/>
            <w:tcMar>
              <w:bottom w:w="0" w:type="dxa"/>
            </w:tcMar>
            <w:vAlign w:val="center"/>
          </w:tcPr>
          <w:p>
            <w:pPr>
              <w:pStyle w:val="TableContents"/>
              <w:bidi w:val="0"/>
              <w:spacing w:before="0" w:after="0"/>
              <w:jc w:val="left"/>
              <w:rPr>
                <w:spacing w:val="4"/>
              </w:rPr>
            </w:pPr>
            <w:r>
              <w:rPr>
                <w:spacing w:val="4"/>
              </w:rPr>
              <w:t xml:space="preserve">John Thain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31" w:type="dxa"/>
            <w:tcBorders/>
            <w:tcMar>
              <w:bottom w:w="0" w:type="dxa"/>
            </w:tcMar>
            <w:vAlign w:val="center"/>
          </w:tcPr>
          <w:p>
            <w:pPr>
              <w:pStyle w:val="TableContents"/>
              <w:bidi w:val="0"/>
              <w:spacing w:before="0" w:after="283"/>
              <w:jc w:val="right"/>
              <w:rPr/>
            </w:pPr>
            <w:r>
              <w:rPr/>
              <w:t xml:space="preserve">4,000,000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3.8%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 xml:space="preserve">3,000,000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1,000,000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639" w:type="dxa"/>
            <w:tcBorders/>
            <w:tcMar>
              <w:bottom w:w="0" w:type="dxa"/>
            </w:tcMar>
            <w:vAlign w:val="center"/>
          </w:tcPr>
          <w:p>
            <w:pPr>
              <w:pStyle w:val="TableContents"/>
              <w:bidi w:val="0"/>
              <w:spacing w:before="0" w:after="283"/>
              <w:jc w:val="right"/>
              <w:rPr/>
            </w:pPr>
            <w:r>
              <w:rPr/>
              <w:t>1.0%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80" w:type="dxa"/>
            <w:tcBorders/>
            <w:shd w:fill="CCEEFF" w:val="clear"/>
            <w:tcMar>
              <w:bottom w:w="0" w:type="dxa"/>
            </w:tcMar>
            <w:vAlign w:val="center"/>
          </w:tcPr>
          <w:p>
            <w:pPr>
              <w:pStyle w:val="TableContents"/>
              <w:bidi w:val="0"/>
              <w:spacing w:before="0" w:after="0"/>
              <w:jc w:val="left"/>
              <w:rPr>
                <w:spacing w:val="4"/>
              </w:rPr>
            </w:pPr>
            <w:r>
              <w:rPr>
                <w:spacing w:val="4"/>
              </w:rPr>
              <w:t xml:space="preserve">Kuntala P. Das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31" w:type="dxa"/>
            <w:tcBorders/>
            <w:shd w:fill="CCEEFF" w:val="clear"/>
            <w:tcMar>
              <w:bottom w:w="0" w:type="dxa"/>
            </w:tcMar>
            <w:vAlign w:val="center"/>
          </w:tcPr>
          <w:p>
            <w:pPr>
              <w:pStyle w:val="TableContents"/>
              <w:bidi w:val="0"/>
              <w:spacing w:before="0" w:after="283"/>
              <w:jc w:val="right"/>
              <w:rPr/>
            </w:pPr>
            <w:r>
              <w:rPr/>
              <w:t xml:space="preserve">550,000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2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 xml:space="preserve">450,000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639"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80" w:type="dxa"/>
            <w:tcBorders/>
            <w:tcMar>
              <w:bottom w:w="0" w:type="dxa"/>
            </w:tcMar>
            <w:vAlign w:val="center"/>
          </w:tcPr>
          <w:p>
            <w:pPr>
              <w:pStyle w:val="TableContents"/>
              <w:bidi w:val="0"/>
              <w:spacing w:before="0" w:after="0"/>
              <w:ind w:left="200" w:right="0" w:hanging="200"/>
              <w:jc w:val="left"/>
              <w:rPr/>
            </w:pPr>
            <w:r>
              <w:rPr>
                <w:spacing w:val="4"/>
              </w:rPr>
              <w:t xml:space="preserve">Metropolitan Levered Partners Fund VII, </w:t>
            </w:r>
            <w:r>
              <w:rPr/>
              <w:br/>
            </w:r>
            <w:r>
              <w:rPr>
                <w:spacing w:val="4"/>
              </w:rPr>
              <w:t>LP</w:t>
            </w:r>
            <w:r>
              <w:rPr>
                <w:spacing w:val="3"/>
                <w:szCs w:val="13"/>
              </w:rPr>
              <w:t>﻿</w:t>
            </w:r>
            <w:r>
              <w:rPr>
                <w:spacing w:val="3"/>
                <w:sz w:val="13"/>
              </w:rPr>
              <w:t>(8)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31" w:type="dxa"/>
            <w:tcBorders/>
            <w:tcMar>
              <w:bottom w:w="0" w:type="dxa"/>
            </w:tcMar>
            <w:vAlign w:val="center"/>
          </w:tcPr>
          <w:p>
            <w:pPr>
              <w:pStyle w:val="TableContents"/>
              <w:bidi w:val="0"/>
              <w:spacing w:before="0" w:after="283"/>
              <w:jc w:val="right"/>
              <w:rPr/>
            </w:pPr>
            <w:r>
              <w:rPr/>
              <w:t>12,040,010</w:t>
            </w:r>
            <w:r>
              <w:rPr>
                <w:sz w:val="13"/>
              </w:rPr>
              <w:t>(9)</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4.99%</w:t>
            </w:r>
            <w:r>
              <w:rPr>
                <w:sz w:val="13"/>
              </w:rPr>
              <w:t>(9)</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 xml:space="preserve">9,466,321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 xml:space="preserve">2,573,689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639" w:type="dxa"/>
            <w:tcBorders/>
            <w:tcMar>
              <w:bottom w:w="0" w:type="dxa"/>
            </w:tcMar>
            <w:vAlign w:val="center"/>
          </w:tcPr>
          <w:p>
            <w:pPr>
              <w:pStyle w:val="TableContents"/>
              <w:bidi w:val="0"/>
              <w:spacing w:before="0" w:after="283"/>
              <w:jc w:val="right"/>
              <w:rPr/>
            </w:pPr>
            <w:r>
              <w:rPr/>
              <w:t xml:space="preserve">2.5%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80" w:type="dxa"/>
            <w:tcBorders/>
            <w:shd w:fill="CCEEFF" w:val="clear"/>
            <w:tcMar>
              <w:bottom w:w="0" w:type="dxa"/>
            </w:tcMar>
            <w:vAlign w:val="center"/>
          </w:tcPr>
          <w:p>
            <w:pPr>
              <w:pStyle w:val="TableContents"/>
              <w:bidi w:val="0"/>
              <w:spacing w:before="0" w:after="0"/>
              <w:jc w:val="left"/>
              <w:rPr/>
            </w:pPr>
            <w:r>
              <w:rPr>
                <w:spacing w:val="4"/>
              </w:rPr>
              <w:t>Metropolitan Partners Fund VII, LP</w:t>
            </w:r>
            <w:r>
              <w:rPr>
                <w:spacing w:val="3"/>
                <w:sz w:val="13"/>
              </w:rPr>
              <w:t>(8)</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31" w:type="dxa"/>
            <w:tcBorders/>
            <w:shd w:fill="CCEEFF" w:val="clear"/>
            <w:tcMar>
              <w:bottom w:w="0" w:type="dxa"/>
            </w:tcMar>
            <w:vAlign w:val="center"/>
          </w:tcPr>
          <w:p>
            <w:pPr>
              <w:pStyle w:val="TableContents"/>
              <w:bidi w:val="0"/>
              <w:spacing w:before="0" w:after="283"/>
              <w:jc w:val="right"/>
              <w:rPr/>
            </w:pPr>
            <w:r>
              <w:rPr/>
              <w:t>16,755,043</w:t>
            </w:r>
            <w:r>
              <w:rPr>
                <w:sz w:val="13"/>
              </w:rPr>
              <w:t>(10)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21" w:type="dxa"/>
            <w:tcBorders/>
            <w:shd w:fill="CCEEFF" w:val="clear"/>
            <w:tcMar>
              <w:bottom w:w="0" w:type="dxa"/>
            </w:tcMar>
            <w:vAlign w:val="center"/>
          </w:tcPr>
          <w:p>
            <w:pPr>
              <w:pStyle w:val="TableContents"/>
              <w:bidi w:val="0"/>
              <w:spacing w:before="0" w:after="283"/>
              <w:jc w:val="right"/>
              <w:rPr/>
            </w:pPr>
            <w:r>
              <w:rPr/>
              <w:t>4.99%</w:t>
            </w:r>
            <w:r>
              <w:rPr>
                <w:sz w:val="13"/>
              </w:rPr>
              <w:t>(10)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13,173,505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3,581,538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639" w:type="dxa"/>
            <w:tcBorders/>
            <w:shd w:fill="CCEEFF" w:val="clear"/>
            <w:tcMar>
              <w:bottom w:w="0" w:type="dxa"/>
            </w:tcMar>
            <w:vAlign w:val="center"/>
          </w:tcPr>
          <w:p>
            <w:pPr>
              <w:pStyle w:val="TableContents"/>
              <w:bidi w:val="0"/>
              <w:spacing w:before="0" w:after="283"/>
              <w:jc w:val="right"/>
              <w:rPr/>
            </w:pPr>
            <w:r>
              <w:rPr/>
              <w:t>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80" w:type="dxa"/>
            <w:tcBorders/>
            <w:tcMar>
              <w:bottom w:w="0" w:type="dxa"/>
            </w:tcMar>
            <w:vAlign w:val="center"/>
          </w:tcPr>
          <w:p>
            <w:pPr>
              <w:pStyle w:val="TableContents"/>
              <w:bidi w:val="0"/>
              <w:spacing w:before="0" w:after="0"/>
              <w:ind w:left="200" w:right="0" w:hanging="200"/>
              <w:jc w:val="left"/>
              <w:rPr/>
            </w:pPr>
            <w:r>
              <w:rPr>
                <w:spacing w:val="4"/>
              </w:rPr>
              <w:t>Metropolitan Offshore Partners Fund VII, LP</w:t>
            </w:r>
            <w:r>
              <w:rPr>
                <w:spacing w:val="3"/>
                <w:szCs w:val="13"/>
              </w:rPr>
              <w:t>﻿</w:t>
            </w:r>
            <w:r>
              <w:rPr>
                <w:spacing w:val="3"/>
                <w:sz w:val="13"/>
              </w:rPr>
              <w:t>(8)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31" w:type="dxa"/>
            <w:tcBorders/>
            <w:tcMar>
              <w:bottom w:w="0" w:type="dxa"/>
            </w:tcMar>
            <w:vAlign w:val="center"/>
          </w:tcPr>
          <w:p>
            <w:pPr>
              <w:pStyle w:val="TableContents"/>
              <w:bidi w:val="0"/>
              <w:spacing w:before="0" w:after="283"/>
              <w:jc w:val="right"/>
              <w:rPr/>
            </w:pPr>
            <w:r>
              <w:rPr/>
              <w:t>3,968,451</w:t>
            </w:r>
            <w:r>
              <w:rPr>
                <w:sz w:val="13"/>
              </w:rPr>
              <w:t>(11)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3.7%</w:t>
            </w:r>
            <w:r>
              <w:rPr>
                <w:sz w:val="13"/>
              </w:rPr>
              <w:t>(11)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 xml:space="preserve">3,120,134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 xml:space="preserve">848,317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639" w:type="dxa"/>
            <w:tcBorders/>
            <w:tcMar>
              <w:bottom w:w="0" w:type="dxa"/>
            </w:tcMar>
            <w:vAlign w:val="center"/>
          </w:tcPr>
          <w:p>
            <w:pPr>
              <w:pStyle w:val="TableContents"/>
              <w:bidi w:val="0"/>
              <w:spacing w:before="0" w:after="283"/>
              <w:jc w:val="right"/>
              <w:rPr/>
            </w:pP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80" w:type="dxa"/>
            <w:tcBorders/>
            <w:shd w:fill="CCEEFF" w:val="clear"/>
            <w:tcMar>
              <w:bottom w:w="0" w:type="dxa"/>
            </w:tcMar>
            <w:vAlign w:val="center"/>
          </w:tcPr>
          <w:p>
            <w:pPr>
              <w:pStyle w:val="TableContents"/>
              <w:bidi w:val="0"/>
              <w:spacing w:before="0" w:after="0"/>
              <w:jc w:val="left"/>
              <w:rPr/>
            </w:pPr>
            <w:r>
              <w:rPr>
                <w:spacing w:val="4"/>
              </w:rPr>
              <w:t>CEOF Holdings LP</w:t>
            </w:r>
            <w:r>
              <w:rPr>
                <w:spacing w:val="3"/>
                <w:sz w:val="13"/>
              </w:rPr>
              <w:t>(12)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31" w:type="dxa"/>
            <w:tcBorders/>
            <w:shd w:fill="CCEEFF" w:val="clear"/>
            <w:tcMar>
              <w:bottom w:w="0" w:type="dxa"/>
            </w:tcMar>
            <w:vAlign w:val="center"/>
          </w:tcPr>
          <w:p>
            <w:pPr>
              <w:pStyle w:val="TableContents"/>
              <w:bidi w:val="0"/>
              <w:spacing w:before="0" w:after="283"/>
              <w:jc w:val="right"/>
              <w:rPr/>
            </w:pPr>
            <w:r>
              <w:rPr/>
              <w:t>4,778,774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21" w:type="dxa"/>
            <w:tcBorders/>
            <w:shd w:fill="CCEEFF" w:val="clear"/>
            <w:tcMar>
              <w:bottom w:w="0" w:type="dxa"/>
            </w:tcMar>
            <w:vAlign w:val="center"/>
          </w:tcPr>
          <w:p>
            <w:pPr>
              <w:pStyle w:val="TableContents"/>
              <w:bidi w:val="0"/>
              <w:spacing w:before="0" w:after="283"/>
              <w:jc w:val="right"/>
              <w:rPr/>
            </w:pPr>
            <w:r>
              <w:rPr/>
              <w:t>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3,757,318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1,021,456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639" w:type="dxa"/>
            <w:tcBorders/>
            <w:shd w:fill="CCEEFF" w:val="clear"/>
            <w:tcMar>
              <w:bottom w:w="0" w:type="dxa"/>
            </w:tcMar>
            <w:vAlign w:val="center"/>
          </w:tcPr>
          <w:p>
            <w:pPr>
              <w:pStyle w:val="TableContents"/>
              <w:bidi w:val="0"/>
              <w:spacing w:before="0" w:after="283"/>
              <w:jc w:val="right"/>
              <w:rPr/>
            </w:pPr>
            <w:r>
              <w:rPr/>
              <w:t>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80" w:type="dxa"/>
            <w:tcBorders/>
            <w:tcMar>
              <w:bottom w:w="0" w:type="dxa"/>
            </w:tcMar>
            <w:vAlign w:val="center"/>
          </w:tcPr>
          <w:p>
            <w:pPr>
              <w:pStyle w:val="TableContents"/>
              <w:bidi w:val="0"/>
              <w:spacing w:before="0" w:after="0"/>
              <w:jc w:val="left"/>
              <w:rPr/>
            </w:pPr>
            <w:r>
              <w:rPr>
                <w:spacing w:val="4"/>
              </w:rPr>
              <w:t>Remus Capital Series B II, L.P.</w:t>
            </w:r>
            <w:r>
              <w:rPr>
                <w:spacing w:val="3"/>
                <w:sz w:val="13"/>
              </w:rPr>
              <w:t>(13)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31" w:type="dxa"/>
            <w:tcBorders/>
            <w:tcMar>
              <w:bottom w:w="0" w:type="dxa"/>
            </w:tcMar>
            <w:vAlign w:val="center"/>
          </w:tcPr>
          <w:p>
            <w:pPr>
              <w:pStyle w:val="TableContents"/>
              <w:bidi w:val="0"/>
              <w:spacing w:before="0" w:after="283"/>
              <w:jc w:val="right"/>
              <w:rPr/>
            </w:pPr>
            <w:r>
              <w:rPr/>
              <w:t>18,850,531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15.3%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18,850,531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639"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80" w:type="dxa"/>
            <w:tcBorders/>
            <w:shd w:fill="CCEEFF" w:val="clear"/>
            <w:tcMar>
              <w:bottom w:w="0" w:type="dxa"/>
            </w:tcMar>
            <w:vAlign w:val="center"/>
          </w:tcPr>
          <w:p>
            <w:pPr>
              <w:pStyle w:val="TableContents"/>
              <w:bidi w:val="0"/>
              <w:spacing w:before="0" w:after="0"/>
              <w:jc w:val="left"/>
              <w:rPr>
                <w:spacing w:val="4"/>
              </w:rPr>
            </w:pPr>
            <w:r>
              <w:rPr>
                <w:spacing w:val="4"/>
              </w:rPr>
              <w:t xml:space="preserve">Sheel Tyle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31" w:type="dxa"/>
            <w:tcBorders/>
            <w:shd w:fill="CCEEFF" w:val="clear"/>
            <w:tcMar>
              <w:bottom w:w="0" w:type="dxa"/>
            </w:tcMar>
            <w:vAlign w:val="center"/>
          </w:tcPr>
          <w:p>
            <w:pPr>
              <w:pStyle w:val="TableContents"/>
              <w:bidi w:val="0"/>
              <w:spacing w:before="0" w:after="283"/>
              <w:jc w:val="right"/>
              <w:rPr/>
            </w:pPr>
            <w:r>
              <w:rPr/>
              <w:t xml:space="preserve">1,250,000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21" w:type="dxa"/>
            <w:tcBorders/>
            <w:shd w:fill="CCEEFF" w:val="clear"/>
            <w:tcMar>
              <w:bottom w:w="0" w:type="dxa"/>
            </w:tcMar>
            <w:vAlign w:val="center"/>
          </w:tcPr>
          <w:p>
            <w:pPr>
              <w:pStyle w:val="TableContents"/>
              <w:bidi w:val="0"/>
              <w:spacing w:before="0" w:after="283"/>
              <w:jc w:val="right"/>
              <w:rPr/>
            </w:pPr>
            <w:r>
              <w:rPr/>
              <w:t xml:space="preserve">1.2%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 xml:space="preserve">1,050,000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639"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80" w:type="dxa"/>
            <w:tcBorders/>
            <w:tcMar>
              <w:bottom w:w="0" w:type="dxa"/>
            </w:tcMar>
            <w:vAlign w:val="center"/>
          </w:tcPr>
          <w:p>
            <w:pPr>
              <w:pStyle w:val="TableContents"/>
              <w:bidi w:val="0"/>
              <w:spacing w:before="0" w:after="0"/>
              <w:jc w:val="left"/>
              <w:rPr>
                <w:spacing w:val="4"/>
              </w:rPr>
            </w:pPr>
            <w:r>
              <w:rPr>
                <w:spacing w:val="4"/>
              </w:rPr>
              <w:t xml:space="preserve">William Souillard- Mandar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31" w:type="dxa"/>
            <w:tcBorders/>
            <w:tcMar>
              <w:bottom w:w="0" w:type="dxa"/>
            </w:tcMar>
            <w:vAlign w:val="center"/>
          </w:tcPr>
          <w:p>
            <w:pPr>
              <w:pStyle w:val="TableContents"/>
              <w:bidi w:val="0"/>
              <w:spacing w:before="0" w:after="283"/>
              <w:jc w:val="right"/>
              <w:rPr/>
            </w:pPr>
            <w:r>
              <w:rPr/>
              <w:t xml:space="preserve">3,000,000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2.9%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 xml:space="preserve">3,000,000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639"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Indicates beneficial ownership of less than 1%. </w:t>
      </w:r>
      <w:r>
        <mc:AlternateContent>
          <mc:Choice Requires="wps">
            <w:drawing>
              <wp:anchor behindDoc="0" distT="99060" distB="0" distL="0" distR="0" simplePos="0" locked="0" layoutInCell="1" allowOverlap="1" relativeHeight="26">
                <wp:simplePos x="0" y="0"/>
                <wp:positionH relativeFrom="column">
                  <wp:align>left</wp:align>
                </wp:positionH>
                <wp:positionV relativeFrom="line">
                  <wp:align>top</wp:align>
                </wp:positionV>
                <wp:extent cx="254000" cy="350520"/>
                <wp:effectExtent l="0" t="0" r="0" b="0"/>
                <wp:wrapSquare wrapText="right"/>
                <wp:docPr id="19" name="Frame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noted, the business address of these securityholders is c/o Presto Automation Inc., 985 Industrial Road, San Carlos, CA 94070. </w:t>
      </w:r>
      <w:r>
        <mc:AlternateContent>
          <mc:Choice Requires="wps">
            <w:drawing>
              <wp:anchor behindDoc="0" distT="48260" distB="0" distL="0" distR="0" simplePos="0" locked="0" layoutInCell="1" allowOverlap="1" relativeHeight="27">
                <wp:simplePos x="0" y="0"/>
                <wp:positionH relativeFrom="column">
                  <wp:align>left</wp:align>
                </wp:positionH>
                <wp:positionV relativeFrom="line">
                  <wp:align>top</wp:align>
                </wp:positionV>
                <wp:extent cx="254000" cy="350520"/>
                <wp:effectExtent l="0" t="0" r="0" b="0"/>
                <wp:wrapSquare wrapText="right"/>
                <wp:docPr id="20" name="Frame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Bethany Millard is a managing member of 626RB FT LLC and has voting and investment power over the shares held by the entity. The business address of 626RB FT LLC is 3995 South Douglas Rd., Miami, FL 33133. </w:t>
      </w:r>
      <w:r>
        <mc:AlternateContent>
          <mc:Choice Requires="wps">
            <w:drawing>
              <wp:anchor behindDoc="0" distT="48260" distB="0" distL="0" distR="0" simplePos="0" locked="0" layoutInCell="1" allowOverlap="1" relativeHeight="28">
                <wp:simplePos x="0" y="0"/>
                <wp:positionH relativeFrom="column">
                  <wp:align>left</wp:align>
                </wp:positionH>
                <wp:positionV relativeFrom="line">
                  <wp:align>top</wp:align>
                </wp:positionV>
                <wp:extent cx="254000" cy="350520"/>
                <wp:effectExtent l="0" t="0" r="0" b="0"/>
                <wp:wrapSquare wrapText="right"/>
                <wp:docPr id="21" name="Frame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519,995 shares issuable upon conversion of the January 2024 Notes, including the PIK Interest thereon. Jeffrey Samberg is the Managing Member of Acadia Woods Partners, LLC and has voting and investment power over the shares held by the entity. The business address of Acadia Woods Partners, LLC is c/o Hawkes Financial LLC, 77 Bedford Road, Katonah, NY 10536. </w:t>
      </w:r>
      <w:r>
        <mc:AlternateContent>
          <mc:Choice Requires="wps">
            <w:drawing>
              <wp:anchor behindDoc="0" distT="48260" distB="0" distL="0" distR="0" simplePos="0" locked="0" layoutInCell="1" allowOverlap="1" relativeHeight="29">
                <wp:simplePos x="0" y="0"/>
                <wp:positionH relativeFrom="column">
                  <wp:align>left</wp:align>
                </wp:positionH>
                <wp:positionV relativeFrom="line">
                  <wp:align>top</wp:align>
                </wp:positionV>
                <wp:extent cx="254000" cy="350520"/>
                <wp:effectExtent l="0" t="0" r="0" b="0"/>
                <wp:wrapSquare wrapText="right"/>
                <wp:docPr id="22" name="Frame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Cleveland Avenue Food and Beverage Fund II, LP (“CAFB Fund II”) is the sole member of Presto CA. Cleveland Avenue GP II, LLC (“Cleveland Avenue GP II”) is the general partner of CAFB Fund II. Cleveland Avenue, LLC (“CA LLC”) is the sole member of Cleveland Avenue GP II. Keith Kravcik, a director and significant stockholder of the Company, is the Chief Investment Officer for all of CA LLC’s various investment funds. Donald Thompson is the sole manager of CA LLC. Consequently, Mr. Thompson may be deemed to have sole voting and dispositive power over the shares held directly by Presto CA. Mr. Thompson disclaims beneficial ownership of these securities except to the extent of any pecuniary interest therein. The principal business address of Presto CA is c/o Cleveland Avenue, 222 N. Canal St., Chicago, IL 60606. </w:t>
      </w:r>
      <w:r>
        <mc:AlternateContent>
          <mc:Choice Requires="wps">
            <w:drawing>
              <wp:anchor behindDoc="0" distT="48260" distB="0" distL="0" distR="0" simplePos="0" locked="0" layoutInCell="1" allowOverlap="1" relativeHeight="30">
                <wp:simplePos x="0" y="0"/>
                <wp:positionH relativeFrom="column">
                  <wp:align>left</wp:align>
                </wp:positionH>
                <wp:positionV relativeFrom="line">
                  <wp:align>top</wp:align>
                </wp:positionV>
                <wp:extent cx="254000" cy="350520"/>
                <wp:effectExtent l="0" t="0" r="0" b="0"/>
                <wp:wrapSquare wrapText="right"/>
                <wp:docPr id="23" name="Frame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129,999 shares issuable upon conversion of the January 2024 Notes, including the PIK Interest thereon. </w:t>
      </w:r>
      <w:r>
        <mc:AlternateContent>
          <mc:Choice Requires="wps">
            <w:drawing>
              <wp:anchor behindDoc="0" distT="49530" distB="0" distL="0" distR="0" simplePos="0" locked="0" layoutInCell="1" allowOverlap="1" relativeHeight="31">
                <wp:simplePos x="0" y="0"/>
                <wp:positionH relativeFrom="column">
                  <wp:align>left</wp:align>
                </wp:positionH>
                <wp:positionV relativeFrom="line">
                  <wp:align>top</wp:align>
                </wp:positionV>
                <wp:extent cx="254000" cy="350520"/>
                <wp:effectExtent l="0" t="0" r="0" b="0"/>
                <wp:wrapSquare wrapText="right"/>
                <wp:docPr id="24" name="Frame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1,039,990 shares issuable upon conversion of the January 2024 Notes, including the PIK Interest thereon. Shamsuddin Charania has voting and investment power over the shares held by the entity. The business address of Falcons Capital Group, LLC is 1995 N. Park Place, Suite 430, Atlanta, GA 30339. </w:t>
      </w:r>
      <w:r>
        <mc:AlternateContent>
          <mc:Choice Requires="wps">
            <w:drawing>
              <wp:anchor behindDoc="0" distT="49530" distB="0" distL="0" distR="0" simplePos="0" locked="0" layoutInCell="1" allowOverlap="1" relativeHeight="32">
                <wp:simplePos x="0" y="0"/>
                <wp:positionH relativeFrom="column">
                  <wp:align>left</wp:align>
                </wp:positionH>
                <wp:positionV relativeFrom="line">
                  <wp:align>top</wp:align>
                </wp:positionV>
                <wp:extent cx="254000" cy="350520"/>
                <wp:effectExtent l="0" t="0" r="0" b="0"/>
                <wp:wrapSquare wrapText="right"/>
                <wp:docPr id="25" name="Frame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31,199,699 shares issuable upon conversion of the January 2024 Notes, including the PIK Interest thereon. Patrick Tsang has voting and investment power over the shares held by the entity. The business address of Hunter Ventures Limited is Vistra Corporate Services Centre, Wickhams Cay II, Road Town, Tortola, VG1110, British Virgin Islands. </w:t>
      </w:r>
      <w:r>
        <mc:AlternateContent>
          <mc:Choice Requires="wps">
            <w:drawing>
              <wp:anchor behindDoc="0" distT="49530" distB="0" distL="0" distR="0" simplePos="0" locked="0" layoutInCell="1" allowOverlap="1" relativeHeight="33">
                <wp:simplePos x="0" y="0"/>
                <wp:positionH relativeFrom="column">
                  <wp:align>left</wp:align>
                </wp:positionH>
                <wp:positionV relativeFrom="line">
                  <wp:align>top</wp:align>
                </wp:positionV>
                <wp:extent cx="254000" cy="350520"/>
                <wp:effectExtent l="0" t="0" r="0" b="0"/>
                <wp:wrapSquare wrapText="right"/>
                <wp:docPr id="26" name="Frame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MPF VII GP, LLC, an affiliate of Metropolitan Partners Group, is the general partner of Metropolitan Levered Partners Fund VII, LP, Metropolitan Offshore Partners Fund VII, LP, and Metropolitan Partners Fund VII, LP. Paul Lisiak is the Managing Partner of MPF VII GP, LLC and directs the voting and investment decisions with respect to the shares held by such entities. The business address of such entities is 850, Third Avenue, 18</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Floor, New York, New York 10022. Metropolitan Levered Partners Fund VII, LP, Metropolitan Partners Fund VII, LP, Metropolitan Offshore Partners Fund VII, LP are lenders under the Credit Agreement. </w:t>
      </w:r>
      <w:r>
        <mc:AlternateContent>
          <mc:Choice Requires="wps">
            <w:drawing>
              <wp:anchor behindDoc="0" distT="49530" distB="0" distL="0" distR="0" simplePos="0" locked="0" layoutInCell="1" allowOverlap="1" relativeHeight="34">
                <wp:simplePos x="0" y="0"/>
                <wp:positionH relativeFrom="column">
                  <wp:align>left</wp:align>
                </wp:positionH>
                <wp:positionV relativeFrom="line">
                  <wp:align>top</wp:align>
                </wp:positionV>
                <wp:extent cx="254000" cy="350520"/>
                <wp:effectExtent l="0" t="0" r="0" b="0"/>
                <wp:wrapSquare wrapText="right"/>
                <wp:docPr id="27" name="Frame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Includes 11,847,581 shares issuable upon exercise of warrants. Metropolitan Levered Partners Fund VII, LP is prohibited, subject to certain exceptions, from exercising the penny warrants to the extent that immediately prior to or after giving effect to such exercise, Metropolitan Levered Partners Fund VII, LP, together with its affiliates and other attribution parties, would own more than 4.99% (subject to increase up to 9.99% upon 61 days’ written notice to the Company) of the total number of shares of the Company’s Common Stock then issued and outstanding.</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49530" distB="0" distL="0" distR="0" simplePos="0" locked="0" layoutInCell="1" allowOverlap="1" relativeHeight="35">
                <wp:simplePos x="0" y="0"/>
                <wp:positionH relativeFrom="column">
                  <wp:align>left</wp:align>
                </wp:positionH>
                <wp:positionV relativeFrom="line">
                  <wp:align>top</wp:align>
                </wp:positionV>
                <wp:extent cx="254000" cy="350520"/>
                <wp:effectExtent l="0" t="0" r="0" b="0"/>
                <wp:wrapSquare wrapText="right"/>
                <wp:docPr id="28" name="Frame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Includes 16,678,679 shares issuable upon exercise of warrants. Metropolitan Partners Fund VII, LP is prohibited, subject to certain exceptions, from exercising the penny warrants to the extent that immediately prior to or after giving effect to such exercise, Metropolitan Partners Fund VII, LP, together with its affiliates and other attribution parties, would own more than 4.99% (subject to increase up to 9.99% upon 61 days’ written notice to the Company) of the total number of shares of the Company’s Common Stock then issued and outstanding.</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49530" distB="0" distL="0" distR="0" simplePos="0" locked="0" layoutInCell="1" allowOverlap="1" relativeHeight="36">
                <wp:simplePos x="0" y="0"/>
                <wp:positionH relativeFrom="column">
                  <wp:align>left</wp:align>
                </wp:positionH>
                <wp:positionV relativeFrom="line">
                  <wp:align>top</wp:align>
                </wp:positionV>
                <wp:extent cx="254000" cy="525780"/>
                <wp:effectExtent l="0" t="0" r="0" b="0"/>
                <wp:wrapSquare wrapText="right"/>
                <wp:docPr id="29" name="Frame2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3,368,451 shares issuable upon exercise of warrants. Metropolitan Offshore Partners Fund VII, LP is prohibited, subject to certain exceptions, from exercising the penny warrants to the extent that immediately prior to or after giving effect to such exercise, Metropolitan Offshore Partners Fund VII, </w:t>
      </w:r>
      <w:r>
        <mc:AlternateContent>
          <mc:Choice Requires="wps">
            <w:drawing>
              <wp:anchor behindDoc="0" distT="49530" distB="0" distL="0" distR="0" simplePos="0" locked="0" layoutInCell="1" allowOverlap="1" relativeHeight="37">
                <wp:simplePos x="0" y="0"/>
                <wp:positionH relativeFrom="column">
                  <wp:align>left</wp:align>
                </wp:positionH>
                <wp:positionV relativeFrom="line">
                  <wp:align>top</wp:align>
                </wp:positionV>
                <wp:extent cx="254000" cy="525780"/>
                <wp:effectExtent l="0" t="0" r="0" b="0"/>
                <wp:wrapSquare wrapText="right"/>
                <wp:docPr id="30" name="Frame3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28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LP, together with its affiliates and other attribution parties, would own more than 4.99% (subject to increase up to 9.99% upon 61 days’ written notice to the Company) of the total number of shares of the Company’s Common Stock then issued and outstanding.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Includes 4,702,410 shares issuable upon exercise of warrants. Corbin Capital Partners, L.P., is the investment manager of CEOF Holdings LP (“CEOF”). Craig Bergstrom is the Chief Investment Officer of Corbin Capital Partners, L.P. and directs the voting and investment decisions with respect to the reported shares held by CEOF, but disclaims beneficial ownership of such shares. The business address of CEOF is 575 Madison Avenue, 21st Floor, New York, New York 10022. CEOF is a lender under the Credit Agreement.</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50800" distB="0" distL="0" distR="0" simplePos="0" locked="0" layoutInCell="1" allowOverlap="1" relativeHeight="38">
                <wp:simplePos x="0" y="0"/>
                <wp:positionH relativeFrom="column">
                  <wp:align>left</wp:align>
                </wp:positionH>
                <wp:positionV relativeFrom="line">
                  <wp:align>top</wp:align>
                </wp:positionV>
                <wp:extent cx="254000" cy="525780"/>
                <wp:effectExtent l="0" t="0" r="0" b="0"/>
                <wp:wrapSquare wrapText="right"/>
                <wp:docPr id="31" name="Frame3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(12)</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13,909,866 shares issuable upon conversion of the January 2024 Notes, including the PIK Interest thereon, and 4,940,665 issuable upon conversion of the Remus Note, including the PIK Interest thereon. Krishna K. Gupta, a director and significant stockholder of the Company, has joint voting and dispositive power of the shares held by the entity. </w:t>
      </w:r>
      <w:r>
        <mc:AlternateContent>
          <mc:Choice Requires="wps">
            <w:drawing>
              <wp:anchor behindDoc="0" distT="50800" distB="0" distL="0" distR="0" simplePos="0" locked="0" layoutInCell="1" allowOverlap="1" relativeHeight="39">
                <wp:simplePos x="0" y="0"/>
                <wp:positionH relativeFrom="column">
                  <wp:align>left</wp:align>
                </wp:positionH>
                <wp:positionV relativeFrom="line">
                  <wp:align>top</wp:align>
                </wp:positionV>
                <wp:extent cx="254000" cy="525780"/>
                <wp:effectExtent l="0" t="0" r="0" b="0"/>
                <wp:wrapSquare wrapText="right"/>
                <wp:docPr id="32" name="Frame3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(13)</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POD"/>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relates to the resale from time to time by the Selling Stockholders named in this prospectus of an aggregate of 103,757,492 shares of Common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registering the securities covered by this prospectus on behalf of the Selling Stockholders. All costs, expenses and fees connected with the registration of such securities will be borne by us. Any brokerage commissions and similar expenses connected with selling such securities will be borne by the Selling Stockholders.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not receive any of the proceeds from the sale of the securities by the Selling Stockholders.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effectiveness of the registration statement of which this prospectus forms a part, the securities beneficially owned by the Selling Stockholders covered by this prospectus may be offered and sold from time to time by the Selling Stockholders, as applicable. The term “Selling Stockholders” includes donees, pledgees, transferees or other successors in interest selling securities received after the date of this prospectus from a Selling Stockholder as a gift, pledge, partnership distribution or other transfer. The Selling Stockholders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Each Selling Stockholder reserves the right to accept and, together with its respective agents, to reject, any proposed purchase of securities to be made directly or through agents. The Selling Stockholders and any of their permitted transferees may sell securities offered by this prospectus on any stock exchange, market or trading facility on which the securities are traded or in private transactions.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limitations set forth in any applicable registration rights agreement, the Selling Stockholders may use any one or more of the following methods when selling the securities offered by this prospectus: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purchases by a broker-dealer as principal and resale by such broker-dealer for its own account pursuant to this prospectus; </w:t>
      </w:r>
      <w:r>
        <mc:AlternateContent>
          <mc:Choice Requires="wps">
            <w:drawing>
              <wp:anchor behindDoc="0" distT="7620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3"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ordinary brokerage transactions and transactions in which the broker solicits purchasers; </w:t>
      </w:r>
      <w:r>
        <mc:AlternateContent>
          <mc:Choice Requires="wps">
            <w:drawing>
              <wp:anchor behindDoc="0" distT="7620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34"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block trades in which the broker-dealer so engaged will attempt to sell the securities as agent but may position and resell a portion of the block as principal to facilitate the transaction; </w:t>
      </w:r>
      <w:r>
        <mc:AlternateContent>
          <mc:Choice Requires="wps">
            <w:drawing>
              <wp:anchor behindDoc="0" distT="7620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35"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over-the-counter distribution in accordance with the rules of the applicable exchange; </w:t>
      </w:r>
      <w:r>
        <mc:AlternateContent>
          <mc:Choice Requires="wps">
            <w:drawing>
              <wp:anchor behindDoc="0" distT="7620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36"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settlement of short sales entered into after the date of this prospectus; </w:t>
      </w:r>
      <w:r>
        <mc:AlternateContent>
          <mc:Choice Requires="wps">
            <w:drawing>
              <wp:anchor behindDoc="0" distT="7620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37"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agreements with broker-dealers to sell a specified number of the securities at a stipulated price per share; </w:t>
      </w:r>
      <w:r>
        <mc:AlternateContent>
          <mc:Choice Requires="wps">
            <w:drawing>
              <wp:anchor behindDoc="0" distT="7620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38"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 </w:t>
      </w:r>
      <w:r>
        <mc:AlternateContent>
          <mc:Choice Requires="wps">
            <w:drawing>
              <wp:anchor behindDoc="0" distT="7620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39"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sales directly to purchasers, including through a specific bidding, auction or other process or in privately negotiated transactions; </w:t>
      </w:r>
      <w:r>
        <mc:AlternateContent>
          <mc:Choice Requires="wps">
            <w:drawing>
              <wp:anchor behindDoc="0" distT="7620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0"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the writing or settlement of options or other hedging transactions, whether through an options exchange or otherwise; </w:t>
      </w:r>
      <w:r>
        <mc:AlternateContent>
          <mc:Choice Requires="wps">
            <w:drawing>
              <wp:anchor behindDoc="0" distT="7620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1"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 combination of any of the above methods; or </w:t>
      </w:r>
      <w:r>
        <mc:AlternateContent>
          <mc:Choice Requires="wps">
            <w:drawing>
              <wp:anchor behindDoc="0" distT="7620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2"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method permitted pursuant to applicable law. </w:t>
      </w:r>
      <w:r>
        <mc:AlternateContent>
          <mc:Choice Requires="wps">
            <w:drawing>
              <wp:anchor behindDoc="0" distT="7620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3"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a Selling Stockholder that is an entity may elect to make a pro rata in-kind distribution of securities to its members, partners or stockholders pursuant to the registration statement of which this prospectus is a part by delivering a prospectus with a plan of distribution. Such members, partners or stockholders would thereby receive freely tradeable securities pursuant to the distribution through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24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registration statement. To the extent a distributee is an affiliate of ours (or to the extent otherwise required by law), we may file a prospectus supplement in order to permit the distributees to use the prospectus to resell the securities acquired in the distribution.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Stockholders also may transfer the securities in other circumstances, in which case the transferees, pledgees or other successors-in-interest will be the selling beneficial owners for purposes of this prospectus. Upon being notified by a Selling Stockholder that a donee, pledgee, transferee, other successor-in-interest intends to sell our securities, we will, to the extent required, promptly file a supplement to this prospectus to name specifically such person as a Selling Stockholder.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required, the names of the Selling Stockholders,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that includes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Stockholders may enter into hedging transactions with broker-dealers or other financial institutions, which may in turn engage in short sales of our securities in the course of hedging the positions they assume. The Selling Stockholders may also sell the securities short and deliver these securities to close out their short positions, or loan or pledge the securities to broker-dealers that in turn may sell these shares.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 The third party in such sale transactions will be an underwriter and will be identified in the applicable prospectus supplement (or a post-effective amendment to the registration statement of which this prospectus is a part).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offering the securities covered by this prospectus, the Selling Stockholders and any underwriters, broker-dealers or agents who execute sales for the Selling Stockholders may be deemed to be “underwriters” within the meaning of the Securities Act in connection with such sales. Any discounts, commissions, concessions or profit they earn on any resale of those securities may be underwriting discounts and commissions under the Securities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LEMA"/>
      <w:bookmarkEnd w:id="12"/>
      <w:r>
        <w:rPr>
          <w:rFonts w:ascii="calibri;arial;sans-serif" w:hAnsi="calibri;arial;sans-serif"/>
          <w:b w:val="false"/>
          <w:i w:val="false"/>
          <w:caps w:val="false"/>
          <w:smallCaps w:val="false"/>
          <w:color w:val="000000"/>
          <w:sz w:val="16"/>
        </w:rPr>
        <w:t>​</w:t>
      </w:r>
      <w:bookmarkStart w:id="13" w:name="tEXP"/>
      <w:bookmarkEnd w:id="13"/>
      <w:r>
        <w:rPr>
          <w:rFonts w:ascii="calibri;arial;sans-serif" w:hAnsi="calibri;arial;sans-serif"/>
          <w:b w:val="false"/>
          <w:i w:val="false"/>
          <w:caps w:val="false"/>
          <w:smallCaps w:val="false"/>
          <w:color w:val="000000"/>
          <w:sz w:val="16"/>
        </w:rPr>
        <w:t>​</w:t>
      </w:r>
      <w:bookmarkStart w:id="14" w:name="tWYCF"/>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in an applicable prospectus supplement, the validity of the securities to be offered by this prospectus will be passed upon for us by Paul Hastings LLP, 200 Park Avenue, New York, New York 10166 and for any agents, underwriters, dealers, remarketing firms or other third parties by counsel named in the applicable prospectus supplement.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consolidated financial statements incorporated in this prospectus by reference from Presto Automation Inc.’s </w:t>
      </w:r>
      <w:hyperlink r:id="rId3">
        <w:r>
          <w:rPr>
            <w:rStyle w:val="InternetLink"/>
          </w:rPr>
          <w:t>Annual Report on Form 10-K for the year ended June 30, 2023</w:t>
        </w:r>
      </w:hyperlink>
      <w:r>
        <w:rPr>
          <w:rFonts w:ascii="Times New Roman;Times;serif" w:hAnsi="Times New Roman;Times;serif"/>
          <w:b w:val="false"/>
          <w:i w:val="false"/>
          <w:caps w:val="false"/>
          <w:smallCaps w:val="false"/>
          <w:color w:val="000000"/>
          <w:spacing w:val="4"/>
          <w:sz w:val="20"/>
        </w:rPr>
        <w:t xml:space="preserve"> have been audited by Moss Adams LLP, an independent registered public accounting firm, as stated in its report, which is incorporated herein by reference. Such consolidated financial statements have been so incorporated in reliance upon the report of such firm (which report expresses an unqualified opinion and includes explanatory paragraphs relating to a going concern uncertainty and the adoption of a new accounting standard) given upon their authority as experts in accounting and auditing.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file annual, quarterly and current reports, proxy statements and other information with the SEC. We have also filed registration statements on Form S-1, including exhibits, under the Securities Act with respect to the securities offered by this prospectus. This prospectus is part of the registration statement, but does not contain all of the information included in the registration statement or the exhibits. Our SEC filings are available to the public on the internet at a website maintained by the SEC located at http://www.sec.gov. Those filings are also available to the public on, or accessible through, our website under the heading “Investors” at https://investor.presto.com/. The information on our web site, however, is not, and should not be deemed to be, a part of this prospectus.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and any accompanying prospectus supplement incorporate by reference the documents set forth below (excluding any portions of such documents that have been “furnished to” but not “filed with” the SEC for purposes of the Exchange Act): </w:t>
      </w:r>
    </w:p>
    <w:p>
      <w:pPr>
        <w:pStyle w:val="TextBody"/>
        <w:bidi w:val="0"/>
        <w:spacing w:lineRule="atLeast" w:line="240" w:before="118"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w:t>
      </w:r>
      <w:hyperlink r:id="rId4">
        <w:r>
          <w:rPr>
            <w:rStyle w:val="InternetLink"/>
          </w:rPr>
          <w:t>Annual Report on Form 10-K for the year ended June 30, 2023, filed with the SEC on October 11, 2023</w:t>
        </w:r>
      </w:hyperlink>
      <w:r>
        <w:rPr>
          <w:rFonts w:ascii="Times New Roman;Times;serif" w:hAnsi="Times New Roman;Times;serif"/>
          <w:b w:val="false"/>
          <w:i w:val="false"/>
          <w:caps w:val="false"/>
          <w:smallCaps w:val="false"/>
          <w:color w:val="000000"/>
          <w:spacing w:val="4"/>
          <w:sz w:val="20"/>
        </w:rPr>
        <w:t xml:space="preserve">, as amended by </w:t>
      </w:r>
      <w:hyperlink r:id="rId5">
        <w:r>
          <w:rPr>
            <w:rStyle w:val="InternetLink"/>
          </w:rPr>
          <w:t xml:space="preserve">Amendment No. 1 to our Annual Report for the year ended June 30, 2023 on Form 10-K/A, filed with the SEC on October 12, 2023; </w:t>
        </w:r>
      </w:hyperlink>
      <w:r>
        <mc:AlternateContent>
          <mc:Choice Requires="wps">
            <w:drawing>
              <wp:anchor behindDoc="0" distT="7493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4"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pPr>
      <w:hyperlink r:id="rId6">
        <w:r>
          <w:rPr>
            <w:rStyle w:val="InternetLink"/>
            <w:rFonts w:ascii="Times New Roman;Times;serif" w:hAnsi="Times New Roman;Times;serif"/>
            <w:b w:val="false"/>
            <w:i w:val="false"/>
            <w:caps w:val="false"/>
            <w:smallCaps w:val="false"/>
            <w:color w:val="000000"/>
            <w:spacing w:val="4"/>
            <w:sz w:val="20"/>
          </w:rPr>
          <w:t xml:space="preserve">our Quarterly Report on Form 10-Q for the quarter ended September 30, 2023, filed with the SEC on November 20, 2023; </w:t>
        </w:r>
      </w:hyperlink>
      <w:r>
        <mc:AlternateContent>
          <mc:Choice Requires="wps">
            <w:drawing>
              <wp:anchor behindDoc="0" distT="7493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45"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pPr>
      <w:hyperlink r:id="rId7">
        <w:r>
          <w:rPr>
            <w:rStyle w:val="InternetLink"/>
          </w:rPr>
          <w:t>our Quarterly Report on Form 10-Q for the quarter ended December 31, 2023, filed with the SEC on February 20, 2024 and accepted by the SEC on February 21, 2024;</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46"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spacing w:val="4"/>
                              </w:rPr>
                            </w:pPr>
                            <w:r>
                              <w:rPr>
                                <w:spacing w:val="4"/>
                              </w:rPr>
                              <w:t xml:space="preserve">• </w:t>
                            </w:r>
                            <w:r>
                              <w:rPr>
                                <w:spacing w:val="4"/>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spacing w:val="4"/>
                        </w:rPr>
                      </w:pPr>
                      <w:r>
                        <w:rPr>
                          <w:spacing w:val="4"/>
                        </w:rPr>
                        <w:t xml:space="preserve">• </w:t>
                      </w:r>
                      <w:r>
                        <w:rPr>
                          <w:spacing w:val="4"/>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Current Reports on Form 8-K, filed with the SEC on </w:t>
      </w:r>
      <w:hyperlink r:id="rId8">
        <w:r>
          <w:rPr>
            <w:rStyle w:val="InternetLink"/>
          </w:rPr>
          <w:t>August 2, 2023</w:t>
        </w:r>
      </w:hyperlink>
      <w:r>
        <w:rPr>
          <w:rFonts w:ascii="Times New Roman;Times;serif" w:hAnsi="Times New Roman;Times;serif"/>
          <w:b w:val="false"/>
          <w:i w:val="false"/>
          <w:caps w:val="false"/>
          <w:smallCaps w:val="false"/>
          <w:color w:val="000000"/>
          <w:spacing w:val="4"/>
          <w:sz w:val="20"/>
        </w:rPr>
        <w:t xml:space="preserve">, </w:t>
      </w:r>
      <w:hyperlink r:id="rId9">
        <w:r>
          <w:rPr>
            <w:rStyle w:val="InternetLink"/>
          </w:rPr>
          <w:t>August 31, 2023</w:t>
        </w:r>
      </w:hyperlink>
      <w:r>
        <w:rPr>
          <w:rFonts w:ascii="Times New Roman;Times;serif" w:hAnsi="Times New Roman;Times;serif"/>
          <w:b w:val="false"/>
          <w:i w:val="false"/>
          <w:caps w:val="false"/>
          <w:smallCaps w:val="false"/>
          <w:color w:val="000000"/>
          <w:spacing w:val="4"/>
          <w:sz w:val="20"/>
        </w:rPr>
        <w:t xml:space="preserve">, </w:t>
      </w:r>
      <w:hyperlink r:id="rId10">
        <w:r>
          <w:rPr>
            <w:rStyle w:val="InternetLink"/>
          </w:rPr>
          <w:t>October 11, 2023</w:t>
        </w:r>
      </w:hyperlink>
      <w:r>
        <w:rPr>
          <w:rFonts w:ascii="Times New Roman;Times;serif" w:hAnsi="Times New Roman;Times;serif"/>
          <w:b w:val="false"/>
          <w:i w:val="false"/>
          <w:caps w:val="false"/>
          <w:smallCaps w:val="false"/>
          <w:color w:val="000000"/>
          <w:spacing w:val="4"/>
          <w:sz w:val="20"/>
        </w:rPr>
        <w:t xml:space="preserve"> (excluding information under Item 2.02), </w:t>
      </w:r>
      <w:hyperlink r:id="rId11">
        <w:r>
          <w:rPr>
            <w:rStyle w:val="InternetLink"/>
          </w:rPr>
          <w:t>October 20, 2023</w:t>
        </w:r>
      </w:hyperlink>
      <w:r>
        <w:rPr>
          <w:rFonts w:ascii="Times New Roman;Times;serif" w:hAnsi="Times New Roman;Times;serif"/>
          <w:b w:val="false"/>
          <w:i w:val="false"/>
          <w:caps w:val="false"/>
          <w:smallCaps w:val="false"/>
          <w:color w:val="000000"/>
          <w:spacing w:val="4"/>
          <w:sz w:val="20"/>
        </w:rPr>
        <w:t xml:space="preserve">, </w:t>
      </w:r>
      <w:hyperlink r:id="rId12">
        <w:r>
          <w:rPr>
            <w:rStyle w:val="InternetLink"/>
          </w:rPr>
          <w:t>November 21, 2023</w:t>
        </w:r>
      </w:hyperlink>
      <w:r>
        <w:rPr>
          <w:rFonts w:ascii="Times New Roman;Times;serif" w:hAnsi="Times New Roman;Times;serif"/>
          <w:b w:val="false"/>
          <w:i w:val="false"/>
          <w:caps w:val="false"/>
          <w:smallCaps w:val="false"/>
          <w:color w:val="000000"/>
          <w:spacing w:val="4"/>
          <w:sz w:val="20"/>
        </w:rPr>
        <w:t xml:space="preserve">, </w:t>
      </w:r>
      <w:hyperlink r:id="rId13">
        <w:r>
          <w:rPr>
            <w:rStyle w:val="InternetLink"/>
          </w:rPr>
          <w:t>December, 5, 2023</w:t>
        </w:r>
      </w:hyperlink>
      <w:r>
        <w:rPr>
          <w:rFonts w:ascii="Times New Roman;Times;serif" w:hAnsi="Times New Roman;Times;serif"/>
          <w:b w:val="false"/>
          <w:i w:val="false"/>
          <w:caps w:val="false"/>
          <w:smallCaps w:val="false"/>
          <w:color w:val="000000"/>
          <w:spacing w:val="4"/>
          <w:sz w:val="20"/>
        </w:rPr>
        <w:t xml:space="preserve">, </w:t>
      </w:r>
      <w:hyperlink r:id="rId14">
        <w:r>
          <w:rPr>
            <w:rStyle w:val="InternetLink"/>
          </w:rPr>
          <w:t>December 12, 2023</w:t>
        </w:r>
      </w:hyperlink>
      <w:r>
        <w:rPr>
          <w:rFonts w:ascii="Times New Roman;Times;serif" w:hAnsi="Times New Roman;Times;serif"/>
          <w:b w:val="false"/>
          <w:i w:val="false"/>
          <w:caps w:val="false"/>
          <w:smallCaps w:val="false"/>
          <w:color w:val="000000"/>
          <w:spacing w:val="4"/>
          <w:sz w:val="20"/>
        </w:rPr>
        <w:t xml:space="preserve">, </w:t>
      </w:r>
      <w:hyperlink r:id="rId15">
        <w:r>
          <w:rPr>
            <w:rStyle w:val="InternetLink"/>
          </w:rPr>
          <w:t>December 14, 2023</w:t>
        </w:r>
      </w:hyperlink>
      <w:r>
        <w:rPr>
          <w:rFonts w:ascii="Times New Roman;Times;serif" w:hAnsi="Times New Roman;Times;serif"/>
          <w:b w:val="false"/>
          <w:i w:val="false"/>
          <w:caps w:val="false"/>
          <w:smallCaps w:val="false"/>
          <w:color w:val="000000"/>
          <w:spacing w:val="4"/>
          <w:sz w:val="20"/>
        </w:rPr>
        <w:t xml:space="preserve"> (excluding information under Item 7.01), </w:t>
      </w:r>
      <w:hyperlink r:id="rId16">
        <w:r>
          <w:rPr>
            <w:rStyle w:val="InternetLink"/>
          </w:rPr>
          <w:t>December 22, 2023</w:t>
        </w:r>
      </w:hyperlink>
      <w:r>
        <w:rPr>
          <w:rFonts w:ascii="Times New Roman;Times;serif" w:hAnsi="Times New Roman;Times;serif"/>
          <w:b w:val="false"/>
          <w:i w:val="false"/>
          <w:caps w:val="false"/>
          <w:smallCaps w:val="false"/>
          <w:color w:val="000000"/>
          <w:spacing w:val="4"/>
          <w:sz w:val="20"/>
        </w:rPr>
        <w:t xml:space="preserve">, </w:t>
      </w:r>
      <w:hyperlink r:id="rId17">
        <w:r>
          <w:rPr>
            <w:rStyle w:val="InternetLink"/>
          </w:rPr>
          <w:t>January 4, 2024</w:t>
        </w:r>
      </w:hyperlink>
      <w:r>
        <w:rPr>
          <w:rFonts w:ascii="Times New Roman;Times;serif" w:hAnsi="Times New Roman;Times;serif"/>
          <w:b w:val="false"/>
          <w:i w:val="false"/>
          <w:caps w:val="false"/>
          <w:smallCaps w:val="false"/>
          <w:color w:val="000000"/>
          <w:spacing w:val="4"/>
          <w:sz w:val="20"/>
        </w:rPr>
        <w:t xml:space="preserve">, </w:t>
      </w:r>
      <w:hyperlink r:id="rId18">
        <w:r>
          <w:rPr>
            <w:rStyle w:val="InternetLink"/>
          </w:rPr>
          <w:t>January 22, 2024</w:t>
        </w:r>
      </w:hyperlink>
      <w:r>
        <w:rPr>
          <w:rFonts w:ascii="Times New Roman;Times;serif" w:hAnsi="Times New Roman;Times;serif"/>
          <w:b w:val="false"/>
          <w:i w:val="false"/>
          <w:caps w:val="false"/>
          <w:smallCaps w:val="false"/>
          <w:color w:val="000000"/>
          <w:spacing w:val="4"/>
          <w:sz w:val="20"/>
        </w:rPr>
        <w:t xml:space="preserve">, </w:t>
      </w:r>
      <w:hyperlink r:id="rId19">
        <w:r>
          <w:rPr>
            <w:rStyle w:val="InternetLink"/>
          </w:rPr>
          <w:t>February 1, 2024</w:t>
        </w:r>
      </w:hyperlink>
      <w:r>
        <w:rPr>
          <w:rFonts w:ascii="Times New Roman;Times;serif" w:hAnsi="Times New Roman;Times;serif"/>
          <w:b w:val="false"/>
          <w:i w:val="false"/>
          <w:caps w:val="false"/>
          <w:smallCaps w:val="false"/>
          <w:color w:val="000000"/>
          <w:spacing w:val="4"/>
          <w:sz w:val="20"/>
        </w:rPr>
        <w:t xml:space="preserve">, </w:t>
      </w:r>
      <w:hyperlink r:id="rId20">
        <w:r>
          <w:rPr>
            <w:rStyle w:val="InternetLink"/>
          </w:rPr>
          <w:t>February 2, 2024</w:t>
        </w:r>
      </w:hyperlink>
      <w:r>
        <w:rPr>
          <w:rFonts w:ascii="Times New Roman;Times;serif" w:hAnsi="Times New Roman;Times;serif"/>
          <w:b w:val="false"/>
          <w:i w:val="false"/>
          <w:caps w:val="false"/>
          <w:smallCaps w:val="false"/>
          <w:color w:val="000000"/>
          <w:spacing w:val="4"/>
          <w:sz w:val="20"/>
        </w:rPr>
        <w:t xml:space="preserve"> (and subsequent Form 8-K/A filed on </w:t>
      </w:r>
      <w:hyperlink r:id="rId21">
        <w:r>
          <w:rPr>
            <w:rStyle w:val="InternetLink"/>
          </w:rPr>
          <w:t>February 20, 2024</w:t>
        </w:r>
      </w:hyperlink>
      <w:r>
        <w:rPr>
          <w:rFonts w:ascii="Times New Roman;Times;serif" w:hAnsi="Times New Roman;Times;serif"/>
          <w:b w:val="false"/>
          <w:i w:val="false"/>
          <w:caps w:val="false"/>
          <w:smallCaps w:val="false"/>
          <w:color w:val="000000"/>
          <w:spacing w:val="4"/>
          <w:sz w:val="20"/>
        </w:rPr>
        <w:t xml:space="preserve">), </w:t>
      </w:r>
      <w:hyperlink r:id="rId22">
        <w:r>
          <w:rPr>
            <w:rStyle w:val="InternetLink"/>
          </w:rPr>
          <w:t>February 8, 2024</w:t>
        </w:r>
      </w:hyperlink>
      <w:r>
        <w:rPr>
          <w:rFonts w:ascii="Times New Roman;Times;serif" w:hAnsi="Times New Roman;Times;serif"/>
          <w:b w:val="false"/>
          <w:i w:val="false"/>
          <w:caps w:val="false"/>
          <w:smallCaps w:val="false"/>
          <w:color w:val="000000"/>
          <w:spacing w:val="4"/>
          <w:sz w:val="20"/>
        </w:rPr>
        <w:t xml:space="preserve">, </w:t>
      </w:r>
      <w:hyperlink r:id="rId23">
        <w:r>
          <w:rPr>
            <w:rStyle w:val="InternetLink"/>
          </w:rPr>
          <w:t>February 29, 2024</w:t>
        </w:r>
      </w:hyperlink>
      <w:r>
        <w:rPr>
          <w:rFonts w:ascii="Times New Roman;Times;serif" w:hAnsi="Times New Roman;Times;serif"/>
          <w:b w:val="false"/>
          <w:i w:val="false"/>
          <w:caps w:val="false"/>
          <w:smallCaps w:val="false"/>
          <w:color w:val="000000"/>
          <w:spacing w:val="4"/>
          <w:sz w:val="20"/>
        </w:rPr>
        <w:t xml:space="preserve">, </w:t>
      </w:r>
      <w:hyperlink r:id="rId24">
        <w:r>
          <w:rPr>
            <w:rStyle w:val="InternetLink"/>
          </w:rPr>
          <w:t>March 4, 2024</w:t>
        </w:r>
      </w:hyperlink>
      <w:r>
        <w:rPr>
          <w:rFonts w:ascii="Times New Roman;Times;serif" w:hAnsi="Times New Roman;Times;serif"/>
          <w:b w:val="false"/>
          <w:i w:val="false"/>
          <w:caps w:val="false"/>
          <w:smallCaps w:val="false"/>
          <w:color w:val="000000"/>
          <w:spacing w:val="4"/>
          <w:sz w:val="20"/>
        </w:rPr>
        <w:t xml:space="preserve">, </w:t>
      </w:r>
      <w:hyperlink r:id="rId25">
        <w:r>
          <w:rPr>
            <w:rStyle w:val="InternetLink"/>
          </w:rPr>
          <w:t>March 11, 2024</w:t>
        </w:r>
      </w:hyperlink>
      <w:r>
        <w:rPr>
          <w:rFonts w:ascii="Times New Roman;Times;serif" w:hAnsi="Times New Roman;Times;serif"/>
          <w:b w:val="false"/>
          <w:i w:val="false"/>
          <w:caps w:val="false"/>
          <w:smallCaps w:val="false"/>
          <w:color w:val="000000"/>
          <w:spacing w:val="4"/>
          <w:sz w:val="20"/>
        </w:rPr>
        <w:t xml:space="preserve">, </w:t>
      </w:r>
      <w:hyperlink r:id="rId26">
        <w:r>
          <w:rPr>
            <w:rStyle w:val="InternetLink"/>
          </w:rPr>
          <w:t>March 18, 2024</w:t>
        </w:r>
      </w:hyperlink>
      <w:r>
        <w:rPr>
          <w:rFonts w:ascii="Times New Roman;Times;serif" w:hAnsi="Times New Roman;Times;serif"/>
          <w:b w:val="false"/>
          <w:i w:val="false"/>
          <w:caps w:val="false"/>
          <w:smallCaps w:val="false"/>
          <w:color w:val="000000"/>
          <w:spacing w:val="4"/>
          <w:sz w:val="20"/>
        </w:rPr>
        <w:t xml:space="preserve"> and </w:t>
      </w:r>
      <w:hyperlink r:id="rId27">
        <w:r>
          <w:rPr>
            <w:rStyle w:val="InternetLink"/>
          </w:rPr>
          <w:t>March 21, 2024</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7493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47"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description of our capital stock contained in our registration statement on </w:t>
      </w:r>
      <w:hyperlink r:id="rId28">
        <w:r>
          <w:rPr>
            <w:rStyle w:val="InternetLink"/>
          </w:rPr>
          <w:t>Form 8-A (File No. 001-39830) filed on December 23, 2020</w:t>
        </w:r>
      </w:hyperlink>
      <w:r>
        <w:rPr>
          <w:rFonts w:ascii="Times New Roman;Times;serif" w:hAnsi="Times New Roman;Times;serif"/>
          <w:b w:val="false"/>
          <w:i w:val="false"/>
          <w:caps w:val="false"/>
          <w:smallCaps w:val="false"/>
          <w:color w:val="000000"/>
          <w:spacing w:val="4"/>
          <w:sz w:val="20"/>
        </w:rPr>
        <w:t xml:space="preserve">, and any amendments or reports filed for the purposes of </w:t>
      </w:r>
      <w:r>
        <mc:AlternateContent>
          <mc:Choice Requires="wps">
            <w:drawing>
              <wp:anchor behindDoc="0" distT="7493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48"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840"/>
        <w:ind w:left="1993" w:right="0" w:hanging="0"/>
        <w:jc w:val="left"/>
        <w:rPr/>
      </w:pPr>
      <w:r>
        <w:rPr>
          <w:rFonts w:ascii="Times New Roman;Times;serif" w:hAnsi="Times New Roman;Times;serif"/>
          <w:b w:val="false"/>
          <w:i w:val="false"/>
          <w:caps w:val="false"/>
          <w:smallCaps w:val="false"/>
          <w:color w:val="000000"/>
          <w:spacing w:val="4"/>
          <w:sz w:val="20"/>
        </w:rPr>
        <w:t xml:space="preserve">updating this description (including </w:t>
      </w:r>
      <w:hyperlink r:id="rId29">
        <w:r>
          <w:rPr>
            <w:rStyle w:val="InternetLink"/>
          </w:rPr>
          <w:t xml:space="preserve">Exhibit 4.1 to the Annual Report on Form 10-K for the year ended June 30, 2023). </w:t>
        </w:r>
      </w:hyperlink>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reports and other documents we subsequently file pursuant to Section 13(a), 13(c), 14 or 15(d) of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under the Exchange Act, will also be incorporated by reference into this prospectus and deemed to be part of this prospectus from the date of the filing of such reports and documents.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request a free copy of any of the documents incorporated by reference in this prospectus by writing or telephoning us at the following address: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Presto Automation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985 Industrial Road</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San Carlos, CA 94070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Telephone: (650) 817-9012</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Attention: Corporate Secretary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Exhibits to the filings will not be sent, however, unless those exhibits have specifically been incorporated by reference in this prospectus or any accompanying prospectus supplement.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56"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400" w:before="3616"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Presto Automation Inc.</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310" w:before="192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caps w:val="false"/>
          <w:smallCaps w:val="false"/>
          <w:color w:val="000000"/>
          <w:spacing w:val="-6"/>
          <w:sz w:val="28"/>
        </w:rPr>
        <w:t>Secondary Offering of</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103,757,492 Shares of Common Stock</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40" w:before="240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z w:val="20"/>
        </w:rPr>
        <w:t xml:space="preserve"> </w:t>
      </w:r>
    </w:p>
    <w:p>
      <w:pPr>
        <w:pStyle w:val="TextBody"/>
        <w:bidi w:val="0"/>
        <w:spacing w:before="461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56"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PART II</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NOT REQUIRED IN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14.   Other Expenses of Issuance and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the estimated expenses expected to be borne by us in connection with the securities being registered hereby, other than underwriting discounts and commissions. </w:t>
      </w:r>
    </w:p>
    <w:tbl>
      <w:tblPr>
        <w:tblW w:w="7477" w:type="dxa"/>
        <w:jc w:val="left"/>
        <w:tblInd w:w="1393" w:type="dxa"/>
        <w:tblLayout w:type="fixed"/>
        <w:tblCellMar>
          <w:top w:w="0" w:type="dxa"/>
          <w:left w:w="0" w:type="dxa"/>
          <w:bottom w:w="0" w:type="dxa"/>
          <w:right w:w="0" w:type="dxa"/>
        </w:tblCellMar>
      </w:tblPr>
      <w:tblGrid>
        <w:gridCol w:w="124"/>
        <w:gridCol w:w="5351"/>
        <w:gridCol w:w="109"/>
        <w:gridCol w:w="109"/>
        <w:gridCol w:w="109"/>
        <w:gridCol w:w="226"/>
        <w:gridCol w:w="1186"/>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5351" w:type="dxa"/>
            <w:tcBorders/>
            <w:shd w:fill="CCEEFF" w:val="clear"/>
            <w:vAlign w:val="center"/>
          </w:tcPr>
          <w:p>
            <w:pPr>
              <w:pStyle w:val="TableContents"/>
              <w:bidi w:val="0"/>
              <w:spacing w:before="0" w:after="0"/>
              <w:jc w:val="left"/>
              <w:rPr>
                <w:spacing w:val="4"/>
              </w:rPr>
            </w:pPr>
            <w:r>
              <w:rPr>
                <w:spacing w:val="4"/>
              </w:rPr>
              <w:t xml:space="preserve">Securities and Exchange Commission registration fee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186" w:type="dxa"/>
            <w:tcBorders/>
            <w:shd w:fill="CCEEFF" w:val="clear"/>
            <w:vAlign w:val="center"/>
          </w:tcPr>
          <w:p>
            <w:pPr>
              <w:pStyle w:val="TableContents"/>
              <w:bidi w:val="0"/>
              <w:spacing w:before="0" w:after="283"/>
              <w:jc w:val="right"/>
              <w:rPr/>
            </w:pPr>
            <w:r>
              <w:rPr/>
              <w:t xml:space="preserve">2,603.48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351" w:type="dxa"/>
            <w:tcBorders/>
            <w:vAlign w:val="center"/>
          </w:tcPr>
          <w:p>
            <w:pPr>
              <w:pStyle w:val="TableContents"/>
              <w:bidi w:val="0"/>
              <w:spacing w:before="0" w:after="0"/>
              <w:jc w:val="left"/>
              <w:rPr>
                <w:spacing w:val="4"/>
              </w:rPr>
            </w:pPr>
            <w:r>
              <w:rPr>
                <w:spacing w:val="4"/>
              </w:rPr>
              <w:t xml:space="preserve">Accounting fees and expenses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20,000</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351" w:type="dxa"/>
            <w:tcBorders/>
            <w:shd w:fill="CCEEFF" w:val="clear"/>
            <w:vAlign w:val="center"/>
          </w:tcPr>
          <w:p>
            <w:pPr>
              <w:pStyle w:val="TableContents"/>
              <w:bidi w:val="0"/>
              <w:spacing w:before="0" w:after="0"/>
              <w:jc w:val="left"/>
              <w:rPr>
                <w:spacing w:val="4"/>
              </w:rPr>
            </w:pPr>
            <w:r>
              <w:rPr>
                <w:spacing w:val="4"/>
              </w:rPr>
              <w:t xml:space="preserve">Legal fees and expenses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186" w:type="dxa"/>
            <w:tcBorders/>
            <w:shd w:fill="CCEEFF" w:val="clear"/>
            <w:vAlign w:val="center"/>
          </w:tcPr>
          <w:p>
            <w:pPr>
              <w:pStyle w:val="TableContents"/>
              <w:bidi w:val="0"/>
              <w:spacing w:before="0" w:after="283"/>
              <w:jc w:val="right"/>
              <w:rPr/>
            </w:pPr>
            <w:r>
              <w:rPr/>
              <w:t xml:space="preserve">75,000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351" w:type="dxa"/>
            <w:tcBorders/>
            <w:vAlign w:val="center"/>
          </w:tcPr>
          <w:p>
            <w:pPr>
              <w:pStyle w:val="TableContents"/>
              <w:bidi w:val="0"/>
              <w:spacing w:before="0" w:after="0"/>
              <w:jc w:val="left"/>
              <w:rPr>
                <w:spacing w:val="4"/>
              </w:rPr>
            </w:pPr>
            <w:r>
              <w:rPr>
                <w:spacing w:val="4"/>
              </w:rPr>
              <w:t xml:space="preserve">Financial printing and miscellaneous expenses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tcMar>
              <w:bottom w:w="50" w:type="dxa"/>
            </w:tcMar>
            <w:vAlign w:val="center"/>
          </w:tcPr>
          <w:p>
            <w:pPr>
              <w:pStyle w:val="TableContents"/>
              <w:bidi w:val="0"/>
              <w:spacing w:before="0" w:after="283"/>
              <w:jc w:val="right"/>
              <w:rPr/>
            </w:pPr>
            <w:r>
              <w:rPr/>
              <w:t>15,000</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351" w:type="dxa"/>
            <w:tcBorders/>
            <w:shd w:fill="CCEEFF" w:val="clear"/>
            <w:vAlign w:val="center"/>
          </w:tcPr>
          <w:p>
            <w:pPr>
              <w:pStyle w:val="TableContents"/>
              <w:bidi w:val="0"/>
              <w:spacing w:before="0" w:after="0"/>
              <w:jc w:val="left"/>
              <w:rPr>
                <w:spacing w:val="4"/>
              </w:rPr>
            </w:pPr>
            <w:r>
              <w:rPr>
                <w:spacing w:val="4"/>
              </w:rPr>
              <w:t xml:space="preserve">Total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shd w:fill="CCEEFF" w:val="clear"/>
            <w:tcMar>
              <w:bottom w:w="50" w:type="dxa"/>
            </w:tcMar>
            <w:vAlign w:val="center"/>
          </w:tcPr>
          <w:p>
            <w:pPr>
              <w:pStyle w:val="TableContents"/>
              <w:bidi w:val="0"/>
              <w:spacing w:before="0" w:after="283"/>
              <w:jc w:val="right"/>
              <w:rPr/>
            </w:pPr>
            <w:r>
              <w:rPr/>
              <w:t>112,603.48</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336"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15.   Indemnification of Directors and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Subsection (a) of Section 145 of the General Corporation Law of the State of Delaware (the “DGCL”) empowers a corporation to indemnify any person who was or is a party or who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Subsection (b) of Section 145 empowers a corporation to indemnify any person who was or is a party or is threatened to be made a party to any threatened, pending or completed action or suit by or in the right of the corporation to procure a judgment in its favor by reason of the fact that the person acted in any of the capacities set forth above,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145 further provides that to the extent a director or officer of a corporation has been successful on the merits or otherwise in the defense of any action, suit or proceeding referred to in subsections (a) and (b) of Section 145, or in defense of any claim, issue or matter therein, such person shall be indemnified against expenses (including attorneys’ fees) actually and reasonably incurred by such person in connection therewith; that indemnification provided for by Section 145 shall not be deemed exclusive of any other rights to which the indemnified party may be entitled; and the indemnification provided for by Section 145 shall, unless otherwise provided when authorized or ratified, continue as to a person who has ceased to be a director, officer, employee or agent and shall inure to the benefit of such person’s heirs, executors and administrators. Section 145 also empowers the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status as such, whether or not the corporation would have the power to indemnify such person against such liabilities under Section 145.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pacing w:val="4"/>
            <w:sz w:val="16"/>
            <w:u w:val="none"/>
            <w:effect w:val="none"/>
          </w:rPr>
          <w:t>TABLE OF CONTENTS</w:t>
        </w:r>
      </w:hyperlink>
      <w:r>
        <w:rPr>
          <w:rFonts w:ascii="calibri;arial;sans-serif" w:hAnsi="calibri;arial;sans-serif"/>
          <w:b w:val="false"/>
          <w:i w:val="false"/>
          <w:caps w:val="false"/>
          <w:smallCaps w:val="false"/>
          <w:color w:val="000000"/>
          <w:spacing w:val="4"/>
          <w:sz w:val="16"/>
        </w:rPr>
        <w:t xml:space="preserve"> </w:t>
      </w:r>
    </w:p>
    <w:p>
      <w:pPr>
        <w:pStyle w:val="TextBody"/>
        <w:bidi w:val="0"/>
        <w:spacing w:lineRule="atLeast" w:line="240" w:before="340" w:after="283"/>
        <w:ind w:left="1393" w:right="0" w:hanging="0"/>
        <w:jc w:val="left"/>
        <w:rPr>
          <w:caps w:val="false"/>
          <w:smallCaps w:val="false"/>
          <w:color w:val="000000"/>
          <w:spacing w:val="4"/>
        </w:rPr>
      </w:pPr>
      <w:r>
        <w:rPr>
          <w:caps w:val="false"/>
          <w:smallCaps w:val="false"/>
          <w:color w:val="000000"/>
          <w:spacing w:val="4"/>
        </w:rPr>
        <w:t xml:space="preserve">  </w:t>
      </w:r>
    </w:p>
    <w:p>
      <w:pPr>
        <w:pStyle w:val="TextBody"/>
        <w:bidi w:val="0"/>
        <w:spacing w:lineRule="atLeast" w:line="25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102(b)(7) of the DGCL provides that a corporation’s Certificate of Incorporation may contain a provision eliminating or limiting the personal liability of a director to the corporation or its stockholders 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our Certificate of Incorporation limits the liability of our directors to the fullest extent permitted by the DGCL, and our Bylaws provide that we will indemnify them to the fullest extent permitted by such law. We have entered into and expect to continue to enter into agreements to indemnify our directors, executive officers and other employees as determined by our board of directors. Under the terms of such indemnification agreements, we are required to indemnify each of our directors and officers, to the fullest extent permitted by the laws of the state of Delaware, if the basis of the indemnitee’s involvement was by reason of the fact that the indemnitee is or was our director or officer or was serving at our request in an official capacity for another entity. We must indemnify our officers and directors against all reasonable fees, expenses, charges and other costs of any type or nature whatsoever, including any and all expenses and obligations paid or incurred in connection with investigating, defending, being a witness in, participating in (including on appeal), or preparing to defend, be a witness or participate in any completed, actual, pending or threatened action, suit, claim or proceeding, whether civil, criminal, administrative or investigative, or establishing or enforcing a right to indemnification under the indemnification agreement. The indemnification agreements also require us, if so requested, to advance all reasonable fees, expenses, charges and other costs that such director or officer incurred, provided that such person will return any such advance if it is ultimately determined that such person is not entitled to indemnification by us. Any claims for indemnification by our directors and officers may reduce our available funds to satisfy successful third-party claims against us and may reduce the amount of money available to us. </w:t>
      </w:r>
    </w:p>
    <w:p>
      <w:pPr>
        <w:pStyle w:val="TextBody"/>
        <w:bidi w:val="0"/>
        <w:spacing w:lineRule="atLeast" w:line="240" w:before="240" w:after="283"/>
        <w:jc w:val="left"/>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Item 16.   Exhibits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Exhibits </w:t>
      </w:r>
      <w:r>
        <mc:AlternateContent>
          <mc:Choice Requires="wps">
            <w:drawing>
              <wp:anchor behindDoc="0" distT="101600" distB="0" distL="0" distR="0" simplePos="0" locked="0" layoutInCell="1" allowOverlap="1" relativeHeight="56">
                <wp:simplePos x="0" y="0"/>
                <wp:positionH relativeFrom="column">
                  <wp:align>left</wp:align>
                </wp:positionH>
                <wp:positionV relativeFrom="line">
                  <wp:align>top</wp:align>
                </wp:positionV>
                <wp:extent cx="254000" cy="350520"/>
                <wp:effectExtent l="0" t="0" r="0" b="0"/>
                <wp:wrapSquare wrapText="right"/>
                <wp:docPr id="49" name="Frame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spacing w:val="4"/>
        </w:rPr>
      </w:pPr>
      <w:r>
        <w:rPr>
          <w:caps w:val="false"/>
          <w:smallCaps w:val="false"/>
          <w:color w:val="000000"/>
          <w:spacing w:val="4"/>
        </w:rPr>
        <w:t>​</w:t>
      </w:r>
    </w:p>
    <w:tbl>
      <w:tblPr>
        <w:tblW w:w="8812" w:type="dxa"/>
        <w:jc w:val="left"/>
        <w:tblInd w:w="1393" w:type="dxa"/>
        <w:tblLayout w:type="fixed"/>
        <w:tblCellMar>
          <w:top w:w="0" w:type="dxa"/>
          <w:left w:w="0" w:type="dxa"/>
          <w:bottom w:w="28" w:type="dxa"/>
          <w:right w:w="0" w:type="dxa"/>
        </w:tblCellMar>
      </w:tblPr>
      <w:tblGrid>
        <w:gridCol w:w="124"/>
        <w:gridCol w:w="882"/>
        <w:gridCol w:w="109"/>
        <w:gridCol w:w="109"/>
        <w:gridCol w:w="7433"/>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882" w:type="dxa"/>
            <w:tcBorders>
              <w:bottom w:val="single" w:sz="2" w:space="0" w:color="000000"/>
            </w:tcBorders>
            <w:tcMar>
              <w:bottom w:w="43" w:type="dxa"/>
            </w:tcMar>
            <w:vAlign w:val="center"/>
          </w:tcPr>
          <w:p>
            <w:pPr>
              <w:pStyle w:val="TableContents"/>
              <w:bidi w:val="0"/>
              <w:spacing w:before="0" w:after="0"/>
              <w:jc w:val="center"/>
              <w:rPr/>
            </w:pPr>
            <w:r>
              <w:rPr>
                <w:spacing w:val="-3"/>
              </w:rPr>
              <w:t>Exhibit </w:t>
            </w:r>
            <w:r>
              <w:rPr/>
              <w:t xml:space="preserve"> </w:t>
              <w:br/>
            </w:r>
            <w:r>
              <w:rPr>
                <w:spacing w:val="-3"/>
              </w:rPr>
              <w:t xml:space="preserve">Number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433"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Exhibit Description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2" w:type="dxa"/>
            <w:tcBorders/>
            <w:tcMar>
              <w:bottom w:w="0" w:type="dxa"/>
            </w:tcMar>
            <w:vAlign w:val="center"/>
          </w:tcPr>
          <w:p>
            <w:pPr>
              <w:pStyle w:val="TableContents"/>
              <w:bidi w:val="0"/>
              <w:spacing w:before="0" w:after="283"/>
              <w:ind w:left="100" w:right="0" w:hanging="0"/>
              <w:jc w:val="left"/>
              <w:rPr>
                <w:spacing w:val="4"/>
              </w:rPr>
            </w:pPr>
            <w:r>
              <w:rPr>
                <w:spacing w:val="4"/>
              </w:rPr>
              <w:t xml:space="preserve">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3" w:type="dxa"/>
            <w:tcBorders/>
            <w:tcMar>
              <w:bottom w:w="0" w:type="dxa"/>
            </w:tcMar>
            <w:vAlign w:val="center"/>
          </w:tcPr>
          <w:p>
            <w:pPr>
              <w:pStyle w:val="TableContents"/>
              <w:bidi w:val="0"/>
              <w:spacing w:before="0" w:after="283"/>
              <w:jc w:val="left"/>
              <w:rPr/>
            </w:pPr>
            <w:hyperlink r:id="rId30">
              <w:r>
                <w:rPr>
                  <w:rStyle w:val="InternetLink"/>
                </w:rPr>
                <w:t>Merger Agreement, dated as of November 10, 2021, by and among VTAQ, Ventoux Merger Sub I, Ventoux Merger Sub II and Legacy Presto (incorporated by reference to Exhibit 2.1 to the Current Report on Form 8-K filed on November 10, 2021).</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2" w:type="dxa"/>
            <w:tcBorders/>
            <w:tcMar>
              <w:bottom w:w="0" w:type="dxa"/>
            </w:tcMar>
            <w:vAlign w:val="center"/>
          </w:tcPr>
          <w:p>
            <w:pPr>
              <w:pStyle w:val="TableContents"/>
              <w:bidi w:val="0"/>
              <w:spacing w:before="0" w:after="283"/>
              <w:ind w:left="100" w:right="0" w:hanging="0"/>
              <w:jc w:val="left"/>
              <w:rPr>
                <w:spacing w:val="4"/>
              </w:rPr>
            </w:pPr>
            <w:r>
              <w:rPr>
                <w:spacing w:val="4"/>
              </w:rPr>
              <w:t xml:space="preserve">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3" w:type="dxa"/>
            <w:tcBorders/>
            <w:tcMar>
              <w:bottom w:w="0" w:type="dxa"/>
            </w:tcMar>
            <w:vAlign w:val="center"/>
          </w:tcPr>
          <w:p>
            <w:pPr>
              <w:pStyle w:val="TableContents"/>
              <w:bidi w:val="0"/>
              <w:spacing w:before="0" w:after="283"/>
              <w:jc w:val="left"/>
              <w:rPr/>
            </w:pPr>
            <w:hyperlink r:id="rId31">
              <w:r>
                <w:rPr>
                  <w:rStyle w:val="InternetLink"/>
                </w:rPr>
                <w:t>Amendment No. 1 to Merger Agreement, dated as of April 1, 2022, by and among VTAQ, Ventoux Merger Sub I, Ventoux Merger Sub II and Presto (incorporated by reference to Exhibit 2.1 to the Current Report on Form 8-K filed on April 4, 2022).</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2" w:type="dxa"/>
            <w:tcBorders/>
            <w:tcMar>
              <w:bottom w:w="0" w:type="dxa"/>
            </w:tcMar>
            <w:vAlign w:val="center"/>
          </w:tcPr>
          <w:p>
            <w:pPr>
              <w:pStyle w:val="TableContents"/>
              <w:bidi w:val="0"/>
              <w:spacing w:before="0" w:after="283"/>
              <w:ind w:left="100" w:right="0" w:hanging="0"/>
              <w:jc w:val="left"/>
              <w:rPr>
                <w:spacing w:val="4"/>
              </w:rPr>
            </w:pPr>
            <w:r>
              <w:rPr>
                <w:spacing w:val="4"/>
              </w:rPr>
              <w:t xml:space="preserve">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3" w:type="dxa"/>
            <w:tcBorders/>
            <w:tcMar>
              <w:bottom w:w="0" w:type="dxa"/>
            </w:tcMar>
            <w:vAlign w:val="center"/>
          </w:tcPr>
          <w:p>
            <w:pPr>
              <w:pStyle w:val="TableContents"/>
              <w:bidi w:val="0"/>
              <w:spacing w:before="0" w:after="283"/>
              <w:jc w:val="left"/>
              <w:rPr/>
            </w:pPr>
            <w:hyperlink r:id="rId32">
              <w:r>
                <w:rPr>
                  <w:rStyle w:val="InternetLink"/>
                </w:rPr>
                <w:t>Amendment No. 2 to Merger Agreement, dated as of July 25, 2022, by and among VTAQ, Ventoux Merger Sub I, Ventoux Merger Sub II and Presto (incorporated by reference to Exhibit 2.1 to the Current Report on Form 8-K filed on July 26, 2022).</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2" w:type="dxa"/>
            <w:tcBorders/>
            <w:tcMar>
              <w:bottom w:w="0" w:type="dxa"/>
            </w:tcMar>
            <w:vAlign w:val="center"/>
          </w:tcPr>
          <w:p>
            <w:pPr>
              <w:pStyle w:val="TableContents"/>
              <w:bidi w:val="0"/>
              <w:spacing w:before="0" w:after="283"/>
              <w:ind w:left="100" w:right="0" w:hanging="0"/>
              <w:jc w:val="left"/>
              <w:rPr>
                <w:spacing w:val="4"/>
              </w:rPr>
            </w:pPr>
            <w:r>
              <w:rPr>
                <w:spacing w:val="4"/>
              </w:rPr>
              <w:t xml:space="preserve">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3" w:type="dxa"/>
            <w:tcBorders/>
            <w:tcMar>
              <w:bottom w:w="0" w:type="dxa"/>
            </w:tcMar>
            <w:vAlign w:val="center"/>
          </w:tcPr>
          <w:p>
            <w:pPr>
              <w:pStyle w:val="TableContents"/>
              <w:bidi w:val="0"/>
              <w:spacing w:before="0" w:after="283"/>
              <w:jc w:val="left"/>
              <w:rPr/>
            </w:pPr>
            <w:hyperlink r:id="rId33">
              <w:r>
                <w:rPr>
                  <w:rStyle w:val="InternetLink"/>
                </w:rPr>
                <w:t>Second Amended &amp; Restated Certificate of Incorporation (incorporated by reference to Exhibit 3.1 to the Current Report on Form 8-K filed on September 27, 2022).</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2" w:type="dxa"/>
            <w:tcBorders/>
            <w:tcMar>
              <w:bottom w:w="0" w:type="dxa"/>
            </w:tcMar>
            <w:vAlign w:val="center"/>
          </w:tcPr>
          <w:p>
            <w:pPr>
              <w:pStyle w:val="TableContents"/>
              <w:bidi w:val="0"/>
              <w:spacing w:before="0" w:after="283"/>
              <w:ind w:left="100" w:right="0" w:hanging="0"/>
              <w:jc w:val="left"/>
              <w:rPr>
                <w:spacing w:val="4"/>
              </w:rPr>
            </w:pPr>
            <w:r>
              <w:rPr>
                <w:spacing w:val="4"/>
              </w:rPr>
              <w:t xml:space="preserve">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3" w:type="dxa"/>
            <w:tcBorders/>
            <w:tcMar>
              <w:bottom w:w="0" w:type="dxa"/>
            </w:tcMar>
            <w:vAlign w:val="center"/>
          </w:tcPr>
          <w:p>
            <w:pPr>
              <w:pStyle w:val="TableContents"/>
              <w:bidi w:val="0"/>
              <w:spacing w:before="0" w:after="283"/>
              <w:jc w:val="left"/>
              <w:rPr/>
            </w:pPr>
            <w:hyperlink r:id="rId34">
              <w:r>
                <w:rPr>
                  <w:rStyle w:val="InternetLink"/>
                </w:rPr>
                <w:t>Bylaws of Presto Automation Inc. (incorporated by reference to Exhibit 3.2 to the Current Report on Form 8-K filed on September 27, 2022).</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2" w:type="dxa"/>
            <w:tcBorders/>
            <w:tcMar>
              <w:bottom w:w="0" w:type="dxa"/>
            </w:tcMar>
            <w:vAlign w:val="center"/>
          </w:tcPr>
          <w:p>
            <w:pPr>
              <w:pStyle w:val="TableContents"/>
              <w:bidi w:val="0"/>
              <w:spacing w:before="0" w:after="283"/>
              <w:ind w:left="100" w:right="0" w:hanging="0"/>
              <w:jc w:val="left"/>
              <w:rPr>
                <w:spacing w:val="4"/>
              </w:rPr>
            </w:pPr>
            <w:r>
              <w:rPr>
                <w:spacing w:val="4"/>
              </w:rPr>
              <w:t xml:space="preserve">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3" w:type="dxa"/>
            <w:tcBorders/>
            <w:tcMar>
              <w:bottom w:w="0" w:type="dxa"/>
            </w:tcMar>
            <w:vAlign w:val="center"/>
          </w:tcPr>
          <w:p>
            <w:pPr>
              <w:pStyle w:val="TableContents"/>
              <w:bidi w:val="0"/>
              <w:spacing w:before="0" w:after="283"/>
              <w:jc w:val="left"/>
              <w:rPr/>
            </w:pPr>
            <w:hyperlink r:id="rId35">
              <w:r>
                <w:rPr>
                  <w:rStyle w:val="InternetLink"/>
                </w:rPr>
                <w:t>Registration Rights Agreement, dated as of October 17, 2023, by and among Presto Automation Inc. and certain persons listed therein (incorporated by reference to Exhibit 4.36 to the Registration Statement on Form S-3 filed on October 20, 2023).</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2" w:type="dxa"/>
            <w:tcBorders/>
            <w:tcMar>
              <w:bottom w:w="0" w:type="dxa"/>
            </w:tcMar>
            <w:vAlign w:val="center"/>
          </w:tcPr>
          <w:p>
            <w:pPr>
              <w:pStyle w:val="TableContents"/>
              <w:bidi w:val="0"/>
              <w:spacing w:before="0" w:after="283"/>
              <w:ind w:left="100" w:right="0" w:hanging="0"/>
              <w:jc w:val="left"/>
              <w:rPr>
                <w:spacing w:val="4"/>
              </w:rPr>
            </w:pPr>
            <w:r>
              <w:rPr>
                <w:spacing w:val="4"/>
              </w:rPr>
              <w:t xml:space="preserve">4.2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3" w:type="dxa"/>
            <w:tcBorders/>
            <w:tcMar>
              <w:bottom w:w="0" w:type="dxa"/>
            </w:tcMar>
            <w:vAlign w:val="center"/>
          </w:tcPr>
          <w:p>
            <w:pPr>
              <w:pStyle w:val="TableContents"/>
              <w:bidi w:val="0"/>
              <w:spacing w:before="0" w:after="283"/>
              <w:jc w:val="left"/>
              <w:rPr/>
            </w:pPr>
            <w:hyperlink r:id="rId36">
              <w:r>
                <w:rPr>
                  <w:rStyle w:val="InternetLink"/>
                </w:rPr>
                <w:t>Amended and Restated Warrant to Purchase Common Stock, dated March 21, 2024, by and between Presto Automation Inc. and Metropolitan Levered Partners Fund VII, LP (originally issued October 16, 2023) (incorporated by reference to Exhibit 10.10 to the Current Report on Form 8-K filed on March 21, 2024).</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spacing w:val="4"/>
        </w:rPr>
      </w:pPr>
      <w:r>
        <w:rPr>
          <w:caps w:val="false"/>
          <w:smallCaps w:val="false"/>
          <w:color w:val="000000"/>
          <w:spacing w:val="4"/>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II-2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pacing w:val="4"/>
            <w:sz w:val="16"/>
            <w:u w:val="none"/>
            <w:effect w:val="none"/>
          </w:rPr>
          <w:t>TABLE OF CONTENTS</w:t>
        </w:r>
      </w:hyperlink>
      <w:r>
        <w:rPr>
          <w:rFonts w:ascii="calibri;arial;sans-serif" w:hAnsi="calibri;arial;sans-serif"/>
          <w:b w:val="false"/>
          <w:i w:val="false"/>
          <w:caps w:val="false"/>
          <w:smallCaps w:val="false"/>
          <w:color w:val="000000"/>
          <w:spacing w:val="4"/>
          <w:sz w:val="16"/>
        </w:rPr>
        <w:t xml:space="preserve"> </w:t>
      </w:r>
    </w:p>
    <w:p>
      <w:pPr>
        <w:pStyle w:val="TextBody"/>
        <w:bidi w:val="0"/>
        <w:spacing w:lineRule="atLeast" w:line="240" w:before="340" w:after="283"/>
        <w:ind w:left="1393" w:right="0" w:hanging="0"/>
        <w:jc w:val="left"/>
        <w:rPr>
          <w:caps w:val="false"/>
          <w:smallCaps w:val="false"/>
          <w:color w:val="000000"/>
          <w:spacing w:val="4"/>
        </w:rPr>
      </w:pPr>
      <w:r>
        <w:rPr>
          <w:caps w:val="false"/>
          <w:smallCaps w:val="false"/>
          <w:color w:val="000000"/>
          <w:spacing w:val="4"/>
        </w:rPr>
        <w:t xml:space="preserve">  </w:t>
      </w:r>
    </w:p>
    <w:tbl>
      <w:tblPr>
        <w:tblW w:w="8812" w:type="dxa"/>
        <w:jc w:val="left"/>
        <w:tblInd w:w="1393" w:type="dxa"/>
        <w:tblLayout w:type="fixed"/>
        <w:tblCellMar>
          <w:top w:w="0" w:type="dxa"/>
          <w:left w:w="0" w:type="dxa"/>
          <w:bottom w:w="28" w:type="dxa"/>
          <w:right w:w="0" w:type="dxa"/>
        </w:tblCellMar>
      </w:tblPr>
      <w:tblGrid>
        <w:gridCol w:w="124"/>
        <w:gridCol w:w="881"/>
        <w:gridCol w:w="109"/>
        <w:gridCol w:w="109"/>
        <w:gridCol w:w="7434"/>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881" w:type="dxa"/>
            <w:tcBorders>
              <w:bottom w:val="single" w:sz="2" w:space="0" w:color="000000"/>
            </w:tcBorders>
            <w:tcMar>
              <w:bottom w:w="43" w:type="dxa"/>
            </w:tcMar>
            <w:vAlign w:val="center"/>
          </w:tcPr>
          <w:p>
            <w:pPr>
              <w:pStyle w:val="TableContents"/>
              <w:bidi w:val="0"/>
              <w:spacing w:before="0" w:after="0"/>
              <w:jc w:val="center"/>
              <w:rPr/>
            </w:pPr>
            <w:r>
              <w:rPr>
                <w:spacing w:val="-3"/>
              </w:rPr>
              <w:t>Exhibit </w:t>
            </w:r>
            <w:r>
              <w:rPr/>
              <w:t xml:space="preserve"> </w:t>
              <w:br/>
            </w:r>
            <w:r>
              <w:rPr>
                <w:spacing w:val="-3"/>
              </w:rPr>
              <w:t xml:space="preserve">Number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434"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Exhibit Description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1" w:type="dxa"/>
            <w:tcBorders/>
            <w:tcMar>
              <w:bottom w:w="0" w:type="dxa"/>
            </w:tcMar>
            <w:vAlign w:val="center"/>
          </w:tcPr>
          <w:p>
            <w:pPr>
              <w:pStyle w:val="TableContents"/>
              <w:bidi w:val="0"/>
              <w:spacing w:before="0" w:after="283"/>
              <w:ind w:left="100" w:right="0" w:hanging="0"/>
              <w:jc w:val="left"/>
              <w:rPr>
                <w:spacing w:val="4"/>
              </w:rPr>
            </w:pPr>
            <w:r>
              <w:rPr>
                <w:spacing w:val="4"/>
              </w:rPr>
              <w:t xml:space="preserve">4.3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4" w:type="dxa"/>
            <w:tcBorders/>
            <w:tcMar>
              <w:bottom w:w="0" w:type="dxa"/>
            </w:tcMar>
            <w:vAlign w:val="center"/>
          </w:tcPr>
          <w:p>
            <w:pPr>
              <w:pStyle w:val="TableContents"/>
              <w:bidi w:val="0"/>
              <w:spacing w:before="0" w:after="283"/>
              <w:jc w:val="left"/>
              <w:rPr/>
            </w:pPr>
            <w:hyperlink r:id="rId37">
              <w:r>
                <w:rPr>
                  <w:rStyle w:val="InternetLink"/>
                </w:rPr>
                <w:t>Amended and Restated Warrant to Purchase Common Stock, dated March 21, 2024, by and between Presto Automation Inc. and Metropolitan Partners Fund VII, LP (originally issued October 16, 2023) (incorporated by reference to Exhibit 10.11 to the Current Report on Form 8-K filed on March 21, 2024).</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1" w:type="dxa"/>
            <w:tcBorders/>
            <w:tcMar>
              <w:bottom w:w="0" w:type="dxa"/>
            </w:tcMar>
            <w:vAlign w:val="center"/>
          </w:tcPr>
          <w:p>
            <w:pPr>
              <w:pStyle w:val="TableContents"/>
              <w:bidi w:val="0"/>
              <w:spacing w:before="0" w:after="283"/>
              <w:ind w:left="100" w:right="0" w:hanging="0"/>
              <w:jc w:val="left"/>
              <w:rPr>
                <w:spacing w:val="4"/>
              </w:rPr>
            </w:pPr>
            <w:r>
              <w:rPr>
                <w:spacing w:val="4"/>
              </w:rPr>
              <w:t xml:space="preserve">4.4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4" w:type="dxa"/>
            <w:tcBorders/>
            <w:tcMar>
              <w:bottom w:w="0" w:type="dxa"/>
            </w:tcMar>
            <w:vAlign w:val="center"/>
          </w:tcPr>
          <w:p>
            <w:pPr>
              <w:pStyle w:val="TableContents"/>
              <w:bidi w:val="0"/>
              <w:spacing w:before="0" w:after="283"/>
              <w:jc w:val="left"/>
              <w:rPr/>
            </w:pPr>
            <w:hyperlink r:id="rId38">
              <w:r>
                <w:rPr>
                  <w:rStyle w:val="InternetLink"/>
                </w:rPr>
                <w:t>Amended and Restated Warrant to Purchase Common Stock, dated March 21, 2024, by and between Presto Automation Inc. and Metropolitan Offshore Partners Fund VII, LP (originally issued October 16, 2023) (incorporated by reference to Exhibit 10.12 to the Current Report on Form 8-K filed on March 21, 2024).</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1" w:type="dxa"/>
            <w:tcBorders/>
            <w:tcMar>
              <w:bottom w:w="0" w:type="dxa"/>
            </w:tcMar>
            <w:vAlign w:val="center"/>
          </w:tcPr>
          <w:p>
            <w:pPr>
              <w:pStyle w:val="TableContents"/>
              <w:bidi w:val="0"/>
              <w:spacing w:before="0" w:after="283"/>
              <w:ind w:left="100" w:right="0" w:hanging="0"/>
              <w:jc w:val="left"/>
              <w:rPr>
                <w:spacing w:val="4"/>
              </w:rPr>
            </w:pPr>
            <w:r>
              <w:rPr>
                <w:spacing w:val="4"/>
              </w:rPr>
              <w:t xml:space="preserve">4.5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4" w:type="dxa"/>
            <w:tcBorders/>
            <w:tcMar>
              <w:bottom w:w="0" w:type="dxa"/>
            </w:tcMar>
            <w:vAlign w:val="center"/>
          </w:tcPr>
          <w:p>
            <w:pPr>
              <w:pStyle w:val="TableContents"/>
              <w:bidi w:val="0"/>
              <w:spacing w:before="0" w:after="283"/>
              <w:jc w:val="left"/>
              <w:rPr/>
            </w:pPr>
            <w:hyperlink r:id="rId39">
              <w:r>
                <w:rPr>
                  <w:rStyle w:val="InternetLink"/>
                </w:rPr>
                <w:t>Amended and Restated Warrant to Purchase Common Stock, dated January 30, 2024, by and between Presto Automation Inc. and CEOF Holdings, LP (originally issued October 16, 2023) (incorporated by reference to Exhibit 10.13 to the Current Report on Form 8-K filed on March 21, 2024).</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1" w:type="dxa"/>
            <w:tcBorders/>
            <w:tcMar>
              <w:bottom w:w="0" w:type="dxa"/>
            </w:tcMar>
            <w:vAlign w:val="center"/>
          </w:tcPr>
          <w:p>
            <w:pPr>
              <w:pStyle w:val="TableContents"/>
              <w:bidi w:val="0"/>
              <w:spacing w:before="0" w:after="283"/>
              <w:ind w:left="100" w:right="0" w:hanging="0"/>
              <w:jc w:val="left"/>
              <w:rPr>
                <w:spacing w:val="4"/>
              </w:rPr>
            </w:pPr>
            <w:r>
              <w:rPr>
                <w:spacing w:val="4"/>
              </w:rPr>
              <w:t xml:space="preserve">4.6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4" w:type="dxa"/>
            <w:tcBorders/>
            <w:tcMar>
              <w:bottom w:w="0" w:type="dxa"/>
            </w:tcMar>
            <w:vAlign w:val="center"/>
          </w:tcPr>
          <w:p>
            <w:pPr>
              <w:pStyle w:val="TableContents"/>
              <w:bidi w:val="0"/>
              <w:spacing w:before="0" w:after="283"/>
              <w:jc w:val="left"/>
              <w:rPr/>
            </w:pPr>
            <w:hyperlink r:id="rId40">
              <w:r>
                <w:rPr>
                  <w:rStyle w:val="InternetLink"/>
                </w:rPr>
                <w:t>Form of Subordinated Convertible Note, dated as of January 30, 2024 (incorporated by reference to Exhibit 10.2 to the Current Report on Form 8-K filed on February 2, 2024).</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1" w:type="dxa"/>
            <w:tcBorders/>
            <w:tcMar>
              <w:bottom w:w="0" w:type="dxa"/>
            </w:tcMar>
            <w:vAlign w:val="center"/>
          </w:tcPr>
          <w:p>
            <w:pPr>
              <w:pStyle w:val="TableContents"/>
              <w:bidi w:val="0"/>
              <w:spacing w:before="0" w:after="283"/>
              <w:ind w:left="100" w:right="0" w:hanging="0"/>
              <w:jc w:val="left"/>
              <w:rPr>
                <w:spacing w:val="4"/>
              </w:rPr>
            </w:pPr>
            <w:r>
              <w:rPr>
                <w:spacing w:val="4"/>
              </w:rPr>
              <w:t xml:space="preserve">4.7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4" w:type="dxa"/>
            <w:tcBorders/>
            <w:tcMar>
              <w:bottom w:w="0" w:type="dxa"/>
            </w:tcMar>
            <w:vAlign w:val="center"/>
          </w:tcPr>
          <w:p>
            <w:pPr>
              <w:pStyle w:val="TableContents"/>
              <w:bidi w:val="0"/>
              <w:spacing w:before="0" w:after="283"/>
              <w:jc w:val="left"/>
              <w:rPr/>
            </w:pPr>
            <w:hyperlink r:id="rId41">
              <w:r>
                <w:rPr>
                  <w:rStyle w:val="InternetLink"/>
                </w:rPr>
                <w:t>Form of Registration Rights Agreement, dated as of January 30, 2024, by and between Presto Automation Inc. and the holders thereto (incorporated by reference to Exhibit 10.3 to the Current Report on Form 8-K filed on February 2, 2024).</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1" w:type="dxa"/>
            <w:tcBorders/>
            <w:tcMar>
              <w:bottom w:w="0" w:type="dxa"/>
            </w:tcMar>
            <w:vAlign w:val="center"/>
          </w:tcPr>
          <w:p>
            <w:pPr>
              <w:pStyle w:val="TableContents"/>
              <w:bidi w:val="0"/>
              <w:spacing w:before="0" w:after="283"/>
              <w:ind w:left="100" w:right="0" w:hanging="0"/>
              <w:jc w:val="left"/>
              <w:rPr>
                <w:spacing w:val="4"/>
              </w:rPr>
            </w:pPr>
            <w:r>
              <w:rPr>
                <w:spacing w:val="4"/>
              </w:rPr>
              <w:t xml:space="preserve">4.8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4" w:type="dxa"/>
            <w:tcBorders/>
            <w:tcMar>
              <w:bottom w:w="0" w:type="dxa"/>
            </w:tcMar>
            <w:vAlign w:val="center"/>
          </w:tcPr>
          <w:p>
            <w:pPr>
              <w:pStyle w:val="TableContents"/>
              <w:bidi w:val="0"/>
              <w:spacing w:before="0" w:after="283"/>
              <w:jc w:val="left"/>
              <w:rPr/>
            </w:pPr>
            <w:hyperlink r:id="rId42">
              <w:r>
                <w:rPr>
                  <w:rStyle w:val="InternetLink"/>
                </w:rPr>
                <w:t>Amended and Restated Warrant to Purchase Common Stock, dated March 21, 2024, by and between Presto Automation Inc. and Metropolitan Levered Partners Fund VII, LP (originally issued on January 30, 2024) (incorporated by reference to Exhibit 10.6 to the Current Report on Form 8-K filed on March 21, 2024).</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1" w:type="dxa"/>
            <w:tcBorders/>
            <w:tcMar>
              <w:bottom w:w="0" w:type="dxa"/>
            </w:tcMar>
            <w:vAlign w:val="center"/>
          </w:tcPr>
          <w:p>
            <w:pPr>
              <w:pStyle w:val="TableContents"/>
              <w:bidi w:val="0"/>
              <w:spacing w:before="0" w:after="283"/>
              <w:ind w:left="100" w:right="0" w:hanging="0"/>
              <w:jc w:val="left"/>
              <w:rPr>
                <w:spacing w:val="4"/>
              </w:rPr>
            </w:pPr>
            <w:r>
              <w:rPr>
                <w:spacing w:val="4"/>
              </w:rPr>
              <w:t xml:space="preserve">4.9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4" w:type="dxa"/>
            <w:tcBorders/>
            <w:tcMar>
              <w:bottom w:w="0" w:type="dxa"/>
            </w:tcMar>
            <w:vAlign w:val="center"/>
          </w:tcPr>
          <w:p>
            <w:pPr>
              <w:pStyle w:val="TableContents"/>
              <w:bidi w:val="0"/>
              <w:spacing w:before="0" w:after="283"/>
              <w:jc w:val="left"/>
              <w:rPr/>
            </w:pPr>
            <w:hyperlink r:id="rId43">
              <w:r>
                <w:rPr>
                  <w:rStyle w:val="InternetLink"/>
                </w:rPr>
                <w:t>Amended and Restated Warrant to Purchase Common Stock, dated March 21, 2024, by and between Presto Automation Inc. and Metropolitan Partners Fund VII, LP (originally issued on January 30, 2024) (incorporated by reference to Exhibit 10.7 to the Current Report on Form 8-K filed on March 21, 2024).</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1" w:type="dxa"/>
            <w:tcBorders/>
            <w:tcMar>
              <w:bottom w:w="0" w:type="dxa"/>
            </w:tcMar>
            <w:vAlign w:val="center"/>
          </w:tcPr>
          <w:p>
            <w:pPr>
              <w:pStyle w:val="TableContents"/>
              <w:bidi w:val="0"/>
              <w:spacing w:before="0" w:after="283"/>
              <w:ind w:left="100" w:right="0" w:hanging="0"/>
              <w:jc w:val="left"/>
              <w:rPr>
                <w:spacing w:val="4"/>
              </w:rPr>
            </w:pPr>
            <w:r>
              <w:rPr>
                <w:spacing w:val="4"/>
              </w:rPr>
              <w:t xml:space="preserve">4.10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4" w:type="dxa"/>
            <w:tcBorders/>
            <w:tcMar>
              <w:bottom w:w="0" w:type="dxa"/>
            </w:tcMar>
            <w:vAlign w:val="center"/>
          </w:tcPr>
          <w:p>
            <w:pPr>
              <w:pStyle w:val="TableContents"/>
              <w:bidi w:val="0"/>
              <w:spacing w:before="0" w:after="283"/>
              <w:jc w:val="left"/>
              <w:rPr/>
            </w:pPr>
            <w:hyperlink r:id="rId44">
              <w:r>
                <w:rPr>
                  <w:rStyle w:val="InternetLink"/>
                </w:rPr>
                <w:t>Amended and Restated Warrant to Purchase Common Stock, dated March 21, 2024, by and between Presto Automation Inc. and Metropolitan Offshore Partners Fund VII, LP (originally issued on January 30, 2024) (incorporated by reference to Exhibit 10.8 to the Current Report on Form 8-K filed on March 21, 2024).</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1" w:type="dxa"/>
            <w:tcBorders/>
            <w:tcMar>
              <w:bottom w:w="0" w:type="dxa"/>
            </w:tcMar>
            <w:vAlign w:val="center"/>
          </w:tcPr>
          <w:p>
            <w:pPr>
              <w:pStyle w:val="TableContents"/>
              <w:bidi w:val="0"/>
              <w:spacing w:before="0" w:after="283"/>
              <w:ind w:left="100" w:right="0" w:hanging="0"/>
              <w:jc w:val="left"/>
              <w:rPr/>
            </w:pPr>
            <w:r>
              <w:rPr>
                <w:spacing w:val="4"/>
              </w:rPr>
              <w:t>4.11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4" w:type="dxa"/>
            <w:tcBorders/>
            <w:tcMar>
              <w:bottom w:w="0" w:type="dxa"/>
            </w:tcMar>
            <w:vAlign w:val="center"/>
          </w:tcPr>
          <w:p>
            <w:pPr>
              <w:pStyle w:val="TableContents"/>
              <w:bidi w:val="0"/>
              <w:spacing w:before="0" w:after="283"/>
              <w:jc w:val="left"/>
              <w:rPr/>
            </w:pPr>
            <w:hyperlink r:id="rId45">
              <w:r>
                <w:rPr>
                  <w:rStyle w:val="InternetLink"/>
                </w:rPr>
                <w:t>Amended and Restated Warrant to Purchase Common Stock, dated March 21, 2024, by and between Presto Automation Inc. and CEOF Holdings, LP (originally issued on January 30, 2024) (incorporated by reference to Exhibit 10.9 to the Current Report on Form 8-K filed on March 21, 2024).</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1" w:type="dxa"/>
            <w:tcBorders/>
            <w:tcMar>
              <w:bottom w:w="0" w:type="dxa"/>
            </w:tcMar>
            <w:vAlign w:val="center"/>
          </w:tcPr>
          <w:p>
            <w:pPr>
              <w:pStyle w:val="TableContents"/>
              <w:bidi w:val="0"/>
              <w:spacing w:before="0" w:after="283"/>
              <w:ind w:left="100" w:right="0" w:hanging="0"/>
              <w:jc w:val="left"/>
              <w:rPr/>
            </w:pPr>
            <w:r>
              <w:rPr>
                <w:spacing w:val="4"/>
              </w:rPr>
              <w:t>4.12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4" w:type="dxa"/>
            <w:tcBorders/>
            <w:tcMar>
              <w:bottom w:w="0" w:type="dxa"/>
            </w:tcMar>
            <w:vAlign w:val="center"/>
          </w:tcPr>
          <w:p>
            <w:pPr>
              <w:pStyle w:val="TableContents"/>
              <w:bidi w:val="0"/>
              <w:spacing w:before="0" w:after="283"/>
              <w:jc w:val="left"/>
              <w:rPr/>
            </w:pPr>
            <w:hyperlink r:id="rId46">
              <w:r>
                <w:rPr>
                  <w:rStyle w:val="InternetLink"/>
                </w:rPr>
                <w:t>Form of Subordinated Convertible Note, dated as of March 1, 2024 (incorporated by reference to Exhibit 10.2 to the Current Report on Form 8-K filed on March 4, 2024).</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1" w:type="dxa"/>
            <w:tcBorders/>
            <w:tcMar>
              <w:bottom w:w="0" w:type="dxa"/>
            </w:tcMar>
            <w:vAlign w:val="center"/>
          </w:tcPr>
          <w:p>
            <w:pPr>
              <w:pStyle w:val="TableContents"/>
              <w:bidi w:val="0"/>
              <w:spacing w:before="0" w:after="283"/>
              <w:ind w:left="100" w:right="0" w:hanging="0"/>
              <w:jc w:val="left"/>
              <w:rPr/>
            </w:pPr>
            <w:r>
              <w:rPr>
                <w:spacing w:val="4"/>
              </w:rPr>
              <w:t>4.13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4" w:type="dxa"/>
            <w:tcBorders/>
            <w:tcMar>
              <w:bottom w:w="0" w:type="dxa"/>
            </w:tcMar>
            <w:vAlign w:val="center"/>
          </w:tcPr>
          <w:p>
            <w:pPr>
              <w:pStyle w:val="TableContents"/>
              <w:bidi w:val="0"/>
              <w:spacing w:before="0" w:after="283"/>
              <w:jc w:val="left"/>
              <w:rPr/>
            </w:pPr>
            <w:hyperlink r:id="rId47">
              <w:r>
                <w:rPr>
                  <w:rStyle w:val="InternetLink"/>
                </w:rPr>
                <w:t>Form of Registration Rights Agreement, dated as of March 1, 2024 (incorporated by reference to Exhibit 10.4 to the Current Report on Form 8-K filed on March 4, 2024).</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1" w:type="dxa"/>
            <w:tcBorders/>
            <w:tcMar>
              <w:bottom w:w="0" w:type="dxa"/>
            </w:tcMar>
            <w:vAlign w:val="center"/>
          </w:tcPr>
          <w:p>
            <w:pPr>
              <w:pStyle w:val="TableContents"/>
              <w:bidi w:val="0"/>
              <w:spacing w:before="0" w:after="283"/>
              <w:ind w:left="100" w:right="0" w:hanging="0"/>
              <w:jc w:val="left"/>
              <w:rPr/>
            </w:pPr>
            <w:r>
              <w:rPr>
                <w:spacing w:val="4"/>
              </w:rPr>
              <w:t>4.14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4" w:type="dxa"/>
            <w:tcBorders/>
            <w:tcMar>
              <w:bottom w:w="0" w:type="dxa"/>
            </w:tcMar>
            <w:vAlign w:val="center"/>
          </w:tcPr>
          <w:p>
            <w:pPr>
              <w:pStyle w:val="TableContents"/>
              <w:bidi w:val="0"/>
              <w:spacing w:before="0" w:after="283"/>
              <w:jc w:val="left"/>
              <w:rPr/>
            </w:pPr>
            <w:hyperlink r:id="rId48">
              <w:r>
                <w:rPr>
                  <w:rStyle w:val="InternetLink"/>
                </w:rPr>
                <w:t>Waiver and Extension of Registration Rights, dated as of March 21, 2024, by and among Presto Automation Inc., Presto CA LLC, CEOF Holdings LP and certain entities affiliated with Metropolitan Partners Group Administration, LLC (incorporated by reference to Exhibit 10.14 to the Current Report on Form 8-K filed on March 21, 2024).</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1" w:type="dxa"/>
            <w:tcBorders/>
            <w:tcMar>
              <w:bottom w:w="0" w:type="dxa"/>
            </w:tcMar>
            <w:vAlign w:val="center"/>
          </w:tcPr>
          <w:p>
            <w:pPr>
              <w:pStyle w:val="TableContents"/>
              <w:bidi w:val="0"/>
              <w:spacing w:before="0" w:after="283"/>
              <w:jc w:val="left"/>
              <w:rPr/>
            </w:pPr>
            <w:r>
              <w:rPr>
                <w:spacing w:val="4"/>
              </w:rPr>
              <w:t>10.1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4" w:type="dxa"/>
            <w:tcBorders/>
            <w:tcMar>
              <w:bottom w:w="0" w:type="dxa"/>
            </w:tcMar>
            <w:vAlign w:val="center"/>
          </w:tcPr>
          <w:p>
            <w:pPr>
              <w:pStyle w:val="TableContents"/>
              <w:bidi w:val="0"/>
              <w:spacing w:before="0" w:after="283"/>
              <w:jc w:val="left"/>
              <w:rPr/>
            </w:pPr>
            <w:hyperlink r:id="rId49">
              <w:r>
                <w:rPr>
                  <w:rStyle w:val="InternetLink"/>
                </w:rPr>
                <w:t>Form of Common Stock Purchase Agreement (incorporated by reference to Exhibit 10.1 to the Current Report on Form 8-K filed on November 21, 2023).</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1" w:type="dxa"/>
            <w:tcBorders/>
            <w:tcMar>
              <w:bottom w:w="0" w:type="dxa"/>
            </w:tcMar>
            <w:vAlign w:val="center"/>
          </w:tcPr>
          <w:p>
            <w:pPr>
              <w:pStyle w:val="TableContents"/>
              <w:bidi w:val="0"/>
              <w:spacing w:before="0" w:after="283"/>
              <w:jc w:val="left"/>
              <w:rPr/>
            </w:pPr>
            <w:r>
              <w:rPr>
                <w:spacing w:val="4"/>
              </w:rPr>
              <w:t>10.2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4" w:type="dxa"/>
            <w:tcBorders/>
            <w:tcMar>
              <w:bottom w:w="0" w:type="dxa"/>
            </w:tcMar>
            <w:vAlign w:val="center"/>
          </w:tcPr>
          <w:p>
            <w:pPr>
              <w:pStyle w:val="TableContents"/>
              <w:bidi w:val="0"/>
              <w:spacing w:before="0" w:after="283"/>
              <w:jc w:val="left"/>
              <w:rPr/>
            </w:pPr>
            <w:hyperlink r:id="rId50">
              <w:r>
                <w:rPr>
                  <w:rStyle w:val="InternetLink"/>
                </w:rPr>
                <w:t>Form of Securities Purchase Agreement, dated as of January 30, 2024, by and between Presto Automation Inc. and the buyers thereto (incorporated by reference to Exhibit 10.1 to the Current Report on Form 8-K filed on February 2, 2024).</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spacing w:val="4"/>
        </w:rPr>
      </w:pPr>
      <w:r>
        <w:rPr>
          <w:caps w:val="false"/>
          <w:smallCaps w:val="false"/>
          <w:color w:val="000000"/>
          <w:spacing w:val="4"/>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II-3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882"/>
        <w:gridCol w:w="109"/>
        <w:gridCol w:w="109"/>
        <w:gridCol w:w="7433"/>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882" w:type="dxa"/>
            <w:tcBorders>
              <w:bottom w:val="single" w:sz="2" w:space="0" w:color="000000"/>
            </w:tcBorders>
            <w:tcMar>
              <w:bottom w:w="43" w:type="dxa"/>
            </w:tcMar>
            <w:vAlign w:val="center"/>
          </w:tcPr>
          <w:p>
            <w:pPr>
              <w:pStyle w:val="TableContents"/>
              <w:bidi w:val="0"/>
              <w:spacing w:before="0" w:after="0"/>
              <w:jc w:val="center"/>
              <w:rPr/>
            </w:pPr>
            <w:r>
              <w:rPr>
                <w:spacing w:val="-3"/>
              </w:rPr>
              <w:t>Exhibit </w:t>
            </w:r>
            <w:r>
              <w:rPr/>
              <w:t xml:space="preserve"> </w:t>
              <w:br/>
            </w:r>
            <w:r>
              <w:rPr>
                <w:spacing w:val="-3"/>
              </w:rPr>
              <w:t xml:space="preserve">Number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433"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Exhibit Description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2" w:type="dxa"/>
            <w:tcBorders/>
            <w:tcMar>
              <w:bottom w:w="0" w:type="dxa"/>
            </w:tcMar>
            <w:vAlign w:val="center"/>
          </w:tcPr>
          <w:p>
            <w:pPr>
              <w:pStyle w:val="TableContents"/>
              <w:bidi w:val="0"/>
              <w:spacing w:before="0" w:after="283"/>
              <w:jc w:val="left"/>
              <w:rPr/>
            </w:pPr>
            <w:r>
              <w:rPr>
                <w:spacing w:val="4"/>
              </w:rPr>
              <w:t>10.3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3" w:type="dxa"/>
            <w:tcBorders/>
            <w:tcMar>
              <w:bottom w:w="0" w:type="dxa"/>
            </w:tcMar>
            <w:vAlign w:val="center"/>
          </w:tcPr>
          <w:p>
            <w:pPr>
              <w:pStyle w:val="TableContents"/>
              <w:bidi w:val="0"/>
              <w:spacing w:before="0" w:after="0"/>
              <w:jc w:val="left"/>
              <w:rPr/>
            </w:pPr>
            <w:hyperlink r:id="rId51">
              <w:r>
                <w:rPr>
                  <w:rStyle w:val="InternetLink"/>
                  <w:spacing w:val="4"/>
                </w:rPr>
                <w:t>Fifth Amendment to Credit Agreement, dated as of January 31, 2024, by and among Presto Automation LLC, Presto Automation Inc., the lenders party thereto and Metropolitan Partners Group Administration, LLC (incorporated by reference to Exhibit 10.4 to the Current Report on Form 8-K filed on February 2, 2024).</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2" w:type="dxa"/>
            <w:tcBorders/>
            <w:tcMar>
              <w:bottom w:w="0" w:type="dxa"/>
            </w:tcMar>
            <w:vAlign w:val="center"/>
          </w:tcPr>
          <w:p>
            <w:pPr>
              <w:pStyle w:val="TableContents"/>
              <w:bidi w:val="0"/>
              <w:spacing w:before="0" w:after="283"/>
              <w:ind w:left="100" w:right="0" w:hanging="0"/>
              <w:jc w:val="left"/>
              <w:rPr>
                <w:spacing w:val="4"/>
              </w:rPr>
            </w:pPr>
            <w:r>
              <w:rPr>
                <w:spacing w:val="4"/>
              </w:rPr>
              <w:t xml:space="preserve">5.1+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3" w:type="dxa"/>
            <w:tcBorders/>
            <w:tcMar>
              <w:bottom w:w="0" w:type="dxa"/>
            </w:tcMar>
            <w:vAlign w:val="center"/>
          </w:tcPr>
          <w:p>
            <w:pPr>
              <w:pStyle w:val="TableContents"/>
              <w:bidi w:val="0"/>
              <w:spacing w:before="0" w:after="0"/>
              <w:jc w:val="left"/>
              <w:rPr/>
            </w:pPr>
            <w:hyperlink w:anchor="tm246736d4_ex5-1.htm">
              <w:r>
                <w:rPr>
                  <w:rStyle w:val="InternetLink"/>
                  <w:spacing w:val="4"/>
                </w:rPr>
                <w:t>Opinion of Paul Hastings LLP.</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2" w:type="dxa"/>
            <w:tcBorders/>
            <w:tcMar>
              <w:bottom w:w="0" w:type="dxa"/>
            </w:tcMar>
            <w:vAlign w:val="center"/>
          </w:tcPr>
          <w:p>
            <w:pPr>
              <w:pStyle w:val="TableContents"/>
              <w:bidi w:val="0"/>
              <w:spacing w:before="0" w:after="283"/>
              <w:jc w:val="left"/>
              <w:rPr>
                <w:spacing w:val="4"/>
              </w:rPr>
            </w:pPr>
            <w:r>
              <w:rPr>
                <w:spacing w:val="4"/>
              </w:rPr>
              <w:t xml:space="preserve">23.1+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3" w:type="dxa"/>
            <w:tcBorders/>
            <w:tcMar>
              <w:bottom w:w="0" w:type="dxa"/>
            </w:tcMar>
            <w:vAlign w:val="center"/>
          </w:tcPr>
          <w:p>
            <w:pPr>
              <w:pStyle w:val="TableContents"/>
              <w:bidi w:val="0"/>
              <w:spacing w:before="0" w:after="0"/>
              <w:jc w:val="left"/>
              <w:rPr/>
            </w:pPr>
            <w:hyperlink w:anchor="tm246736d4_ex23-1.htm">
              <w:r>
                <w:rPr>
                  <w:rStyle w:val="InternetLink"/>
                  <w:spacing w:val="4"/>
                </w:rPr>
                <w:t>Consent of Moss Adams LLP.</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2" w:type="dxa"/>
            <w:tcBorders/>
            <w:tcMar>
              <w:bottom w:w="0" w:type="dxa"/>
            </w:tcMar>
            <w:vAlign w:val="center"/>
          </w:tcPr>
          <w:p>
            <w:pPr>
              <w:pStyle w:val="TableContents"/>
              <w:bidi w:val="0"/>
              <w:spacing w:before="0" w:after="283"/>
              <w:jc w:val="left"/>
              <w:rPr>
                <w:spacing w:val="4"/>
              </w:rPr>
            </w:pPr>
            <w:r>
              <w:rPr>
                <w:spacing w:val="4"/>
              </w:rPr>
              <w:t xml:space="preserve">23.2+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3" w:type="dxa"/>
            <w:tcBorders/>
            <w:tcMar>
              <w:bottom w:w="0" w:type="dxa"/>
            </w:tcMar>
            <w:vAlign w:val="center"/>
          </w:tcPr>
          <w:p>
            <w:pPr>
              <w:pStyle w:val="TableContents"/>
              <w:bidi w:val="0"/>
              <w:spacing w:before="0" w:after="0"/>
              <w:jc w:val="left"/>
              <w:rPr/>
            </w:pPr>
            <w:hyperlink w:anchor="tm246736d4_ex5-1.htm">
              <w:r>
                <w:rPr>
                  <w:rStyle w:val="InternetLink"/>
                  <w:spacing w:val="4"/>
                </w:rPr>
                <w:t>Consent of Paul Hastings LLP (included in Exhibit 5.1).</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2" w:type="dxa"/>
            <w:tcBorders/>
            <w:tcMar>
              <w:bottom w:w="0" w:type="dxa"/>
            </w:tcMar>
            <w:vAlign w:val="center"/>
          </w:tcPr>
          <w:p>
            <w:pPr>
              <w:pStyle w:val="TableContents"/>
              <w:bidi w:val="0"/>
              <w:spacing w:before="0" w:after="283"/>
              <w:jc w:val="left"/>
              <w:rPr>
                <w:spacing w:val="4"/>
              </w:rPr>
            </w:pPr>
            <w:r>
              <w:rPr>
                <w:spacing w:val="4"/>
              </w:rPr>
              <w:t xml:space="preserve">24.1+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3" w:type="dxa"/>
            <w:tcBorders/>
            <w:tcMar>
              <w:bottom w:w="0" w:type="dxa"/>
            </w:tcMar>
            <w:vAlign w:val="center"/>
          </w:tcPr>
          <w:p>
            <w:pPr>
              <w:pStyle w:val="TableContents"/>
              <w:bidi w:val="0"/>
              <w:spacing w:before="0" w:after="0"/>
              <w:jc w:val="left"/>
              <w:rPr/>
            </w:pPr>
            <w:hyperlink w:anchor="tPOA">
              <w:r>
                <w:rPr>
                  <w:rStyle w:val="InternetLink"/>
                  <w:spacing w:val="4"/>
                </w:rPr>
                <w:t>Power of Attorney (included on signature page hereto).</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2" w:type="dxa"/>
            <w:tcBorders/>
            <w:tcMar>
              <w:bottom w:w="0" w:type="dxa"/>
            </w:tcMar>
            <w:vAlign w:val="center"/>
          </w:tcPr>
          <w:p>
            <w:pPr>
              <w:pStyle w:val="TableContents"/>
              <w:bidi w:val="0"/>
              <w:spacing w:before="0" w:after="283"/>
              <w:jc w:val="left"/>
              <w:rPr>
                <w:spacing w:val="4"/>
              </w:rPr>
            </w:pPr>
            <w:r>
              <w:rPr>
                <w:spacing w:val="4"/>
              </w:rPr>
              <w:t xml:space="preserve">107+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3" w:type="dxa"/>
            <w:tcBorders/>
            <w:tcMar>
              <w:bottom w:w="0" w:type="dxa"/>
            </w:tcMar>
            <w:vAlign w:val="center"/>
          </w:tcPr>
          <w:p>
            <w:pPr>
              <w:pStyle w:val="TableContents"/>
              <w:bidi w:val="0"/>
              <w:spacing w:before="0" w:after="0"/>
              <w:jc w:val="left"/>
              <w:rPr/>
            </w:pPr>
            <w:hyperlink w:anchor="tm246736d4_ex-filingfees.htm">
              <w:r>
                <w:rPr>
                  <w:rStyle w:val="InternetLink"/>
                  <w:spacing w:val="4"/>
                </w:rPr>
                <w:t>Filing Fee Table.</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herewith. </w:t>
      </w:r>
      <w:r>
        <mc:AlternateContent>
          <mc:Choice Requires="wps">
            <w:drawing>
              <wp:anchor behindDoc="0" distT="106680" distB="0" distL="0" distR="0" simplePos="0" locked="0" layoutInCell="1" allowOverlap="1" relativeHeight="57">
                <wp:simplePos x="0" y="0"/>
                <wp:positionH relativeFrom="column">
                  <wp:align>left</wp:align>
                </wp:positionH>
                <wp:positionV relativeFrom="line">
                  <wp:align>top</wp:align>
                </wp:positionV>
                <wp:extent cx="254000" cy="350520"/>
                <wp:effectExtent l="0" t="0" r="0" b="0"/>
                <wp:wrapSquare wrapText="right"/>
                <wp:docPr id="50" name="Frame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4pt;mso-wrap-distance-bottom:0pt;margin-top:8.4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17.   Undertakings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registrant hereby undertakes: </w:t>
      </w:r>
      <w:r>
        <mc:AlternateContent>
          <mc:Choice Requires="wps">
            <w:drawing>
              <wp:anchor behindDoc="0" distT="101600" distB="0" distL="254000" distR="0" simplePos="0" locked="0" layoutInCell="1" allowOverlap="1" relativeHeight="58">
                <wp:simplePos x="0" y="0"/>
                <wp:positionH relativeFrom="column">
                  <wp:align>left</wp:align>
                </wp:positionH>
                <wp:positionV relativeFrom="line">
                  <wp:align>top</wp:align>
                </wp:positionV>
                <wp:extent cx="254000" cy="350520"/>
                <wp:effectExtent l="0" t="0" r="0" b="0"/>
                <wp:wrapSquare wrapText="right"/>
                <wp:docPr id="51" name="Frame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6"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file, during any period in which offers or sales are being made, a post-effective amendment to this registration statement: </w:t>
      </w:r>
      <w:r>
        <mc:AlternateContent>
          <mc:Choice Requires="wps">
            <w:drawing>
              <wp:anchor behindDoc="0" distT="105410" distB="0" distL="508000" distR="0" simplePos="0" locked="0" layoutInCell="1" allowOverlap="1" relativeHeight="59">
                <wp:simplePos x="0" y="0"/>
                <wp:positionH relativeFrom="column">
                  <wp:align>left</wp:align>
                </wp:positionH>
                <wp:positionV relativeFrom="line">
                  <wp:align>top</wp:align>
                </wp:positionV>
                <wp:extent cx="254000" cy="350520"/>
                <wp:effectExtent l="0" t="0" r="0" b="0"/>
                <wp:wrapSquare wrapText="right"/>
                <wp:docPr id="52" name="Frame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3pt;mso-wrap-distance-bottom:0pt;margin-top:8.3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6"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include any prospectus required by Section 10(a)(3) of the Securities Act of 1933; </w:t>
      </w:r>
      <w:r>
        <mc:AlternateContent>
          <mc:Choice Requires="wps">
            <w:drawing>
              <wp:anchor behindDoc="0" distT="105410" distB="0" distL="762000" distR="0" simplePos="0" locked="0" layoutInCell="1" allowOverlap="1" relativeHeight="60">
                <wp:simplePos x="0" y="0"/>
                <wp:positionH relativeFrom="column">
                  <wp:align>left</wp:align>
                </wp:positionH>
                <wp:positionV relativeFrom="line">
                  <wp:align>top</wp:align>
                </wp:positionV>
                <wp:extent cx="254000" cy="350520"/>
                <wp:effectExtent l="0" t="0" r="0" b="0"/>
                <wp:wrapSquare wrapText="right"/>
                <wp:docPr id="53" name="Frame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8.3pt;mso-wrap-distance-bottom:0pt;margin-top:8.3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6"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w:t>
      </w:r>
      <w:r>
        <mc:AlternateContent>
          <mc:Choice Requires="wps">
            <w:drawing>
              <wp:anchor behindDoc="0" distT="105410" distB="0" distL="762000" distR="0" simplePos="0" locked="0" layoutInCell="1" allowOverlap="1" relativeHeight="61">
                <wp:simplePos x="0" y="0"/>
                <wp:positionH relativeFrom="column">
                  <wp:align>left</wp:align>
                </wp:positionH>
                <wp:positionV relativeFrom="line">
                  <wp:align>top</wp:align>
                </wp:positionV>
                <wp:extent cx="254000" cy="350520"/>
                <wp:effectExtent l="0" t="0" r="0" b="0"/>
                <wp:wrapSquare wrapText="right"/>
                <wp:docPr id="54" name="Frame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8.3pt;mso-wrap-distance-bottom:0pt;margin-top:8.3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include any material information with respect to the plan of distribution not previously disclosed in the registration statement or any material change to such information in the registration statement; </w:t>
      </w:r>
      <w:r>
        <mc:AlternateContent>
          <mc:Choice Requires="wps">
            <w:drawing>
              <wp:anchor behindDoc="0" distT="104140" distB="0" distL="762000" distR="0" simplePos="0" locked="0" layoutInCell="1" allowOverlap="1" relativeHeight="62">
                <wp:simplePos x="0" y="0"/>
                <wp:positionH relativeFrom="column">
                  <wp:align>left</wp:align>
                </wp:positionH>
                <wp:positionV relativeFrom="line">
                  <wp:align>top</wp:align>
                </wp:positionV>
                <wp:extent cx="254000" cy="525780"/>
                <wp:effectExtent l="0" t="0" r="0" b="0"/>
                <wp:wrapSquare wrapText="right"/>
                <wp:docPr id="55" name="Frame5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60pt;mso-wrap-distance-right:0pt;mso-wrap-distance-top:8.2pt;mso-wrap-distance-bottom:0pt;margin-top:8.2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however</w:t>
      </w:r>
      <w:r>
        <w:rPr>
          <w:rFonts w:ascii="Times New Roman;Times;serif" w:hAnsi="Times New Roman;Times;serif"/>
          <w:b w:val="false"/>
          <w:i w:val="false"/>
          <w:caps w:val="false"/>
          <w:smallCaps w:val="false"/>
          <w:color w:val="000000"/>
          <w:spacing w:val="4"/>
          <w:sz w:val="20"/>
        </w:rPr>
        <w:t xml:space="preserve">, that paragraphs (a)(1)(i), (a)(1)(ii), and (a)(1)(iii) above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a part of the registration statement. </w:t>
      </w:r>
    </w:p>
    <w:p>
      <w:pPr>
        <w:pStyle w:val="TextBody"/>
        <w:bidi w:val="0"/>
        <w:spacing w:lineRule="atLeast" w:line="240" w:before="164"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w:t>
      </w:r>
      <w:r>
        <mc:AlternateContent>
          <mc:Choice Requires="wps">
            <w:drawing>
              <wp:anchor behindDoc="0" distT="104140" distB="0" distL="508000" distR="0" simplePos="0" locked="0" layoutInCell="1" allowOverlap="1" relativeHeight="63">
                <wp:simplePos x="0" y="0"/>
                <wp:positionH relativeFrom="column">
                  <wp:align>left</wp:align>
                </wp:positionH>
                <wp:positionV relativeFrom="line">
                  <wp:align>top</wp:align>
                </wp:positionV>
                <wp:extent cx="254000" cy="350520"/>
                <wp:effectExtent l="0" t="0" r="0" b="0"/>
                <wp:wrapSquare wrapText="right"/>
                <wp:docPr id="56" name="Frame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2pt;mso-wrap-distance-bottom:0pt;margin-top:8.2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remove from registration by means of a post-effective amendment any of the securities being registered which remain unsold at the termination of the offering. </w:t>
      </w:r>
      <w:r>
        <mc:AlternateContent>
          <mc:Choice Requires="wps">
            <w:drawing>
              <wp:anchor behindDoc="0" distT="104140" distB="0" distL="508000" distR="0" simplePos="0" locked="0" layoutInCell="1" allowOverlap="1" relativeHeight="64">
                <wp:simplePos x="0" y="0"/>
                <wp:positionH relativeFrom="column">
                  <wp:align>left</wp:align>
                </wp:positionH>
                <wp:positionV relativeFrom="line">
                  <wp:align>top</wp:align>
                </wp:positionV>
                <wp:extent cx="254000" cy="350520"/>
                <wp:effectExtent l="0" t="0" r="0" b="0"/>
                <wp:wrapSquare wrapText="right"/>
                <wp:docPr id="57" name="Frame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2pt;mso-wrap-distance-bottom:0pt;margin-top:8.2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for the purpose of determining liability under the Securities Act of 1933 to any purchaser: </w:t>
      </w:r>
      <w:r>
        <mc:AlternateContent>
          <mc:Choice Requires="wps">
            <w:drawing>
              <wp:anchor behindDoc="0" distT="104140" distB="0" distL="508000" distR="0" simplePos="0" locked="0" layoutInCell="1" allowOverlap="1" relativeHeight="65">
                <wp:simplePos x="0" y="0"/>
                <wp:positionH relativeFrom="column">
                  <wp:align>left</wp:align>
                </wp:positionH>
                <wp:positionV relativeFrom="line">
                  <wp:align>top</wp:align>
                </wp:positionV>
                <wp:extent cx="254000" cy="350520"/>
                <wp:effectExtent l="0" t="0" r="0" b="0"/>
                <wp:wrapSquare wrapText="right"/>
                <wp:docPr id="58" name="Frame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2pt;mso-wrap-distance-bottom:0pt;margin-top:8.2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72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prospectus filed by the registrant pursuant to Rule 424(b)(3) shall be deemed to be part of the registration statement as of the date the filed prospectus was deemed part of and included in the registration statement; and </w:t>
      </w:r>
      <w:r>
        <mc:AlternateContent>
          <mc:Choice Requires="wps">
            <w:drawing>
              <wp:anchor behindDoc="0" distT="0" distB="0" distL="762000" distR="0" simplePos="0" locked="0" layoutInCell="1" allowOverlap="1" relativeHeight="66">
                <wp:simplePos x="0" y="0"/>
                <wp:positionH relativeFrom="column">
                  <wp:align>left</wp:align>
                </wp:positionH>
                <wp:positionV relativeFrom="line">
                  <wp:posOffset>635</wp:posOffset>
                </wp:positionV>
                <wp:extent cx="254000" cy="350520"/>
                <wp:effectExtent l="0" t="0" r="0" b="0"/>
                <wp:wrapSquare wrapText="right"/>
                <wp:docPr id="59" name="Frame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0pt;mso-wrap-distance-bottom:0pt;margin-top:0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r>
        <mc:AlternateContent>
          <mc:Choice Requires="wps">
            <w:drawing>
              <wp:anchor behindDoc="0" distT="101600" distB="0" distL="762000" distR="0" simplePos="0" locked="0" layoutInCell="1" allowOverlap="1" relativeHeight="67">
                <wp:simplePos x="0" y="0"/>
                <wp:positionH relativeFrom="column">
                  <wp:align>left</wp:align>
                </wp:positionH>
                <wp:positionV relativeFrom="line">
                  <wp:align>top</wp:align>
                </wp:positionV>
                <wp:extent cx="254000" cy="350520"/>
                <wp:effectExtent l="0" t="0" r="0" b="0"/>
                <wp:wrapSquare wrapText="right"/>
                <wp:docPr id="60" name="Frame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8pt;mso-wrap-distance-bottom:0pt;margin-top:8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 </w:t>
      </w:r>
      <w:r>
        <mc:AlternateContent>
          <mc:Choice Requires="wps">
            <w:drawing>
              <wp:anchor behindDoc="0" distT="101600" distB="0" distL="254000" distR="0" simplePos="0" locked="0" layoutInCell="1" allowOverlap="1" relativeHeight="68">
                <wp:simplePos x="0" y="0"/>
                <wp:positionH relativeFrom="column">
                  <wp:align>left</wp:align>
                </wp:positionH>
                <wp:positionV relativeFrom="line">
                  <wp:align>top</wp:align>
                </wp:positionV>
                <wp:extent cx="254000" cy="350520"/>
                <wp:effectExtent l="0" t="0" r="0" b="0"/>
                <wp:wrapSquare wrapText="right"/>
                <wp:docPr id="61" name="Frame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254000" distR="0" simplePos="0" locked="0" layoutInCell="1" allowOverlap="1" relativeHeight="69">
                <wp:simplePos x="0" y="0"/>
                <wp:positionH relativeFrom="column">
                  <wp:align>left</wp:align>
                </wp:positionH>
                <wp:positionV relativeFrom="line">
                  <wp:align>top</wp:align>
                </wp:positionV>
                <wp:extent cx="254000" cy="350520"/>
                <wp:effectExtent l="0" t="0" r="0" b="0"/>
                <wp:wrapSquare wrapText="right"/>
                <wp:docPr id="62" name="Frame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SIGN"/>
      <w:bookmarkEnd w:id="15"/>
      <w:r>
        <w:rPr>
          <w:rFonts w:ascii="calibri;arial;sans-serif" w:hAnsi="calibri;arial;sans-serif"/>
          <w:b w:val="false"/>
          <w:i w:val="false"/>
          <w:caps w:val="false"/>
          <w:smallCaps w:val="false"/>
          <w:color w:val="000000"/>
          <w:sz w:val="16"/>
        </w:rPr>
        <w:t>​</w:t>
      </w:r>
      <w:bookmarkStart w:id="16" w:name="tPOA"/>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SIGNATURES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San Carlos, State of California, on April 4, 2024. </w:t>
      </w:r>
    </w:p>
    <w:p>
      <w:pPr>
        <w:pStyle w:val="TextBody"/>
        <w:bidi w:val="0"/>
        <w:spacing w:lineRule="atLeast" w:line="240" w:before="24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PRESTO AUTOMATION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Guillaume Lefevre</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2794000" distR="0" simplePos="0" locked="0" layoutInCell="1" allowOverlap="1" relativeHeight="70">
                <wp:simplePos x="0" y="0"/>
                <wp:positionH relativeFrom="column">
                  <wp:align>left</wp:align>
                </wp:positionH>
                <wp:positionV relativeFrom="line">
                  <wp:align>top</wp:align>
                </wp:positionV>
                <wp:extent cx="254000" cy="525780"/>
                <wp:effectExtent l="0" t="0" r="0" b="0"/>
                <wp:wrapSquare wrapText="right"/>
                <wp:docPr id="63" name="Frame6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8pt;mso-wrap-distance-bottom:0pt;margin-top:8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30" w:before="36" w:after="283"/>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Guillaume Lefevre</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Interim Chief Executive Officer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POWER OF ATTORNEY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KNOW ALL PERSONS BY THESE PRESENTS, that each person whose signature appears below constitutes and appoints Susan Shinoff and Stanley Mbugua, or either of them, as his or her true and lawful attorneys-in-fact and agents, with full power of substitution and resubstitution, for him or her and in his or her name, place and stead, in any and all capacities, to file and sign any and all amendments (including pre-effective and post-effective amendments), supplements and additions to this registration statement and any registration statement for the same offering filed pursuant to Rule 462 under the Securities Act of 1933, as amended,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their substitute or substitutes may lawfully do or cause to be done by virtue hereof.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of 1933, this registration statement has been signed by the following persons in the capacities and on the dates indicated. </w:t>
      </w:r>
    </w:p>
    <w:tbl>
      <w:tblPr>
        <w:tblW w:w="8812" w:type="dxa"/>
        <w:jc w:val="left"/>
        <w:tblInd w:w="1393" w:type="dxa"/>
        <w:tblLayout w:type="fixed"/>
        <w:tblCellMar>
          <w:top w:w="0" w:type="dxa"/>
          <w:left w:w="0" w:type="dxa"/>
          <w:bottom w:w="28" w:type="dxa"/>
          <w:right w:w="0" w:type="dxa"/>
        </w:tblCellMar>
      </w:tblPr>
      <w:tblGrid>
        <w:gridCol w:w="124"/>
        <w:gridCol w:w="1963"/>
        <w:gridCol w:w="109"/>
        <w:gridCol w:w="109"/>
        <w:gridCol w:w="4899"/>
        <w:gridCol w:w="109"/>
        <w:gridCol w:w="109"/>
        <w:gridCol w:w="1235"/>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963"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Signature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899"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Title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35"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Date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63" w:type="dxa"/>
            <w:tcBorders/>
            <w:tcMar>
              <w:bottom w:w="0" w:type="dxa"/>
            </w:tcMar>
            <w:vAlign w:val="center"/>
          </w:tcPr>
          <w:p>
            <w:pPr>
              <w:pStyle w:val="TableContents"/>
              <w:bidi w:val="0"/>
              <w:spacing w:before="0" w:after="0"/>
              <w:jc w:val="center"/>
              <w:rPr>
                <w:spacing w:val="4"/>
              </w:rPr>
            </w:pPr>
            <w:r>
              <w:rPr>
                <w:spacing w:val="4"/>
              </w:rPr>
              <w:t xml:space="preserve">/s/ Guillaume Lefevre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Guillaume Lefevre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899" w:type="dxa"/>
            <w:tcBorders/>
            <w:tcMar>
              <w:bottom w:w="0" w:type="dxa"/>
            </w:tcMar>
            <w:vAlign w:val="center"/>
          </w:tcPr>
          <w:p>
            <w:pPr>
              <w:pStyle w:val="TableContents"/>
              <w:bidi w:val="0"/>
              <w:spacing w:before="0" w:after="0"/>
              <w:jc w:val="center"/>
              <w:rPr/>
            </w:pPr>
            <w:r>
              <w:rPr>
                <w:spacing w:val="4"/>
              </w:rPr>
              <w:t xml:space="preserve">Interim Chief Executive Officer </w:t>
            </w:r>
            <w:r>
              <w:rPr/>
              <w:br/>
            </w:r>
            <w:r>
              <w:rPr>
                <w:spacing w:val="4"/>
              </w:rPr>
              <w:t>(</w:t>
            </w:r>
            <w:r>
              <w:rPr>
                <w:i/>
                <w:spacing w:val="4"/>
              </w:rPr>
              <w:t>Principal Executive Officer</w:t>
            </w: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5" w:type="dxa"/>
            <w:tcBorders/>
            <w:tcMar>
              <w:bottom w:w="0" w:type="dxa"/>
            </w:tcMar>
            <w:vAlign w:val="center"/>
          </w:tcPr>
          <w:p>
            <w:pPr>
              <w:pStyle w:val="TableContents"/>
              <w:bidi w:val="0"/>
              <w:spacing w:before="0" w:after="0"/>
              <w:jc w:val="center"/>
              <w:rPr>
                <w:spacing w:val="4"/>
              </w:rPr>
            </w:pPr>
            <w:r>
              <w:rPr>
                <w:spacing w:val="4"/>
              </w:rPr>
              <w:t xml:space="preserve">April 4, 2024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63" w:type="dxa"/>
            <w:tcBorders/>
            <w:tcMar>
              <w:bottom w:w="0" w:type="dxa"/>
            </w:tcMar>
            <w:vAlign w:val="center"/>
          </w:tcPr>
          <w:p>
            <w:pPr>
              <w:pStyle w:val="TableContents"/>
              <w:bidi w:val="0"/>
              <w:spacing w:before="0" w:after="0"/>
              <w:jc w:val="center"/>
              <w:rPr>
                <w:spacing w:val="4"/>
              </w:rPr>
            </w:pPr>
            <w:r>
              <w:rPr>
                <w:spacing w:val="4"/>
              </w:rPr>
              <w:t xml:space="preserve">/s/ Stanley Mbugua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Stanley Mbugua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899" w:type="dxa"/>
            <w:tcBorders/>
            <w:tcMar>
              <w:bottom w:w="0" w:type="dxa"/>
            </w:tcMar>
            <w:vAlign w:val="center"/>
          </w:tcPr>
          <w:p>
            <w:pPr>
              <w:pStyle w:val="TableContents"/>
              <w:bidi w:val="0"/>
              <w:spacing w:before="0" w:after="0"/>
              <w:jc w:val="center"/>
              <w:rPr/>
            </w:pPr>
            <w:r>
              <w:rPr>
                <w:spacing w:val="4"/>
              </w:rPr>
              <w:t xml:space="preserve">Interim Chief Financial Officer </w:t>
            </w:r>
            <w:r>
              <w:rPr/>
              <w:br/>
            </w:r>
            <w:r>
              <w:rPr>
                <w:spacing w:val="4"/>
              </w:rPr>
              <w:t>(</w:t>
            </w:r>
            <w:r>
              <w:rPr>
                <w:i/>
                <w:spacing w:val="4"/>
              </w:rPr>
              <w:t>Principal Financial Officer and Principal Accounting Officer</w:t>
            </w: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5" w:type="dxa"/>
            <w:tcBorders/>
            <w:tcMar>
              <w:bottom w:w="0" w:type="dxa"/>
            </w:tcMar>
            <w:vAlign w:val="center"/>
          </w:tcPr>
          <w:p>
            <w:pPr>
              <w:pStyle w:val="TableContents"/>
              <w:bidi w:val="0"/>
              <w:spacing w:before="0" w:after="0"/>
              <w:jc w:val="center"/>
              <w:rPr>
                <w:spacing w:val="4"/>
              </w:rPr>
            </w:pPr>
            <w:r>
              <w:rPr>
                <w:spacing w:val="4"/>
              </w:rPr>
              <w:t xml:space="preserve">April 4, 2024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63" w:type="dxa"/>
            <w:tcBorders/>
            <w:tcMar>
              <w:bottom w:w="0" w:type="dxa"/>
            </w:tcMar>
            <w:vAlign w:val="center"/>
          </w:tcPr>
          <w:p>
            <w:pPr>
              <w:pStyle w:val="TableContents"/>
              <w:bidi w:val="0"/>
              <w:spacing w:before="0" w:after="0"/>
              <w:jc w:val="center"/>
              <w:rPr/>
            </w:pPr>
            <w:r>
              <w:rPr>
                <w:spacing w:val="4"/>
              </w:rPr>
              <w:t>/s/ Edward Scheetz</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pPr>
            <w:r>
              <w:rPr>
                <w:spacing w:val="4"/>
              </w:rPr>
              <w:t>Edward Scheetz</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899" w:type="dxa"/>
            <w:tcBorders/>
            <w:tcMar>
              <w:bottom w:w="0" w:type="dxa"/>
            </w:tcMar>
            <w:vAlign w:val="center"/>
          </w:tcPr>
          <w:p>
            <w:pPr>
              <w:pStyle w:val="TableContents"/>
              <w:bidi w:val="0"/>
              <w:spacing w:before="0" w:after="0"/>
              <w:jc w:val="center"/>
              <w:rPr>
                <w:spacing w:val="4"/>
              </w:rPr>
            </w:pPr>
            <w:r>
              <w:rPr>
                <w:spacing w:val="4"/>
              </w:rPr>
              <w:t xml:space="preserve">Chairman of the Board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5" w:type="dxa"/>
            <w:tcBorders/>
            <w:tcMar>
              <w:bottom w:w="0" w:type="dxa"/>
            </w:tcMar>
            <w:vAlign w:val="center"/>
          </w:tcPr>
          <w:p>
            <w:pPr>
              <w:pStyle w:val="TableContents"/>
              <w:bidi w:val="0"/>
              <w:spacing w:before="0" w:after="0"/>
              <w:jc w:val="center"/>
              <w:rPr>
                <w:spacing w:val="4"/>
              </w:rPr>
            </w:pPr>
            <w:r>
              <w:rPr>
                <w:spacing w:val="4"/>
              </w:rPr>
              <w:t xml:space="preserve">April 4, 2024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63" w:type="dxa"/>
            <w:tcBorders/>
            <w:tcMar>
              <w:bottom w:w="0" w:type="dxa"/>
            </w:tcMar>
            <w:vAlign w:val="center"/>
          </w:tcPr>
          <w:p>
            <w:pPr>
              <w:pStyle w:val="TableContents"/>
              <w:bidi w:val="0"/>
              <w:spacing w:before="0" w:after="0"/>
              <w:jc w:val="center"/>
              <w:rPr>
                <w:spacing w:val="4"/>
              </w:rPr>
            </w:pPr>
            <w:r>
              <w:rPr>
                <w:spacing w:val="4"/>
              </w:rPr>
              <w:t xml:space="preserve">/s/ Tewfik Cassis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Tewfik Cassis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899"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5" w:type="dxa"/>
            <w:tcBorders/>
            <w:tcMar>
              <w:bottom w:w="0" w:type="dxa"/>
            </w:tcMar>
            <w:vAlign w:val="center"/>
          </w:tcPr>
          <w:p>
            <w:pPr>
              <w:pStyle w:val="TableContents"/>
              <w:bidi w:val="0"/>
              <w:spacing w:before="0" w:after="0"/>
              <w:jc w:val="center"/>
              <w:rPr>
                <w:spacing w:val="4"/>
              </w:rPr>
            </w:pPr>
            <w:r>
              <w:rPr>
                <w:spacing w:val="4"/>
              </w:rPr>
              <w:t xml:space="preserve">April 4, 2024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63" w:type="dxa"/>
            <w:tcBorders/>
            <w:tcMar>
              <w:bottom w:w="0" w:type="dxa"/>
            </w:tcMar>
            <w:vAlign w:val="center"/>
          </w:tcPr>
          <w:p>
            <w:pPr>
              <w:pStyle w:val="TableContents"/>
              <w:bidi w:val="0"/>
              <w:spacing w:before="0" w:after="0"/>
              <w:jc w:val="center"/>
              <w:rPr/>
            </w:pPr>
            <w:r>
              <w:rPr>
                <w:spacing w:val="4"/>
              </w:rPr>
              <w:t>/s/ Krishna Gupta</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pPr>
            <w:r>
              <w:rPr>
                <w:spacing w:val="4"/>
              </w:rPr>
              <w:t>Krishna Gupta</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899"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5" w:type="dxa"/>
            <w:tcBorders/>
            <w:tcMar>
              <w:bottom w:w="0" w:type="dxa"/>
            </w:tcMar>
            <w:vAlign w:val="center"/>
          </w:tcPr>
          <w:p>
            <w:pPr>
              <w:pStyle w:val="TableContents"/>
              <w:bidi w:val="0"/>
              <w:spacing w:before="0" w:after="0"/>
              <w:jc w:val="center"/>
              <w:rPr>
                <w:spacing w:val="4"/>
              </w:rPr>
            </w:pPr>
            <w:r>
              <w:rPr>
                <w:spacing w:val="4"/>
              </w:rPr>
              <w:t xml:space="preserve">April 4, 2024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63" w:type="dxa"/>
            <w:tcBorders/>
            <w:tcMar>
              <w:bottom w:w="0" w:type="dxa"/>
            </w:tcMar>
            <w:vAlign w:val="center"/>
          </w:tcPr>
          <w:p>
            <w:pPr>
              <w:pStyle w:val="TableContents"/>
              <w:bidi w:val="0"/>
              <w:spacing w:before="0" w:after="0"/>
              <w:jc w:val="center"/>
              <w:rPr/>
            </w:pPr>
            <w:r>
              <w:rPr>
                <w:spacing w:val="4"/>
              </w:rPr>
              <w:t>/s/ Stephen Herbert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pPr>
            <w:r>
              <w:rPr>
                <w:spacing w:val="4"/>
              </w:rPr>
              <w:t>Stephen Herbert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899"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5" w:type="dxa"/>
            <w:tcBorders/>
            <w:tcMar>
              <w:bottom w:w="0" w:type="dxa"/>
            </w:tcMar>
            <w:vAlign w:val="center"/>
          </w:tcPr>
          <w:p>
            <w:pPr>
              <w:pStyle w:val="TableContents"/>
              <w:bidi w:val="0"/>
              <w:spacing w:before="0" w:after="0"/>
              <w:jc w:val="center"/>
              <w:rPr>
                <w:spacing w:val="4"/>
              </w:rPr>
            </w:pPr>
            <w:r>
              <w:rPr>
                <w:spacing w:val="4"/>
              </w:rPr>
              <w:t xml:space="preserve">April 4, 2024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63" w:type="dxa"/>
            <w:tcBorders/>
            <w:tcMar>
              <w:bottom w:w="0" w:type="dxa"/>
            </w:tcMar>
            <w:vAlign w:val="center"/>
          </w:tcPr>
          <w:p>
            <w:pPr>
              <w:pStyle w:val="TableContents"/>
              <w:bidi w:val="0"/>
              <w:spacing w:before="0" w:after="0"/>
              <w:jc w:val="center"/>
              <w:rPr>
                <w:spacing w:val="4"/>
              </w:rPr>
            </w:pPr>
            <w:r>
              <w:rPr>
                <w:spacing w:val="4"/>
              </w:rPr>
              <w:t xml:space="preserve">/s/ Keith Kravcik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Keith Kravcik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899"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5" w:type="dxa"/>
            <w:tcBorders/>
            <w:tcMar>
              <w:bottom w:w="0" w:type="dxa"/>
            </w:tcMar>
            <w:vAlign w:val="center"/>
          </w:tcPr>
          <w:p>
            <w:pPr>
              <w:pStyle w:val="TableContents"/>
              <w:bidi w:val="0"/>
              <w:spacing w:before="0" w:after="0"/>
              <w:jc w:val="center"/>
              <w:rPr>
                <w:spacing w:val="4"/>
              </w:rPr>
            </w:pPr>
            <w:r>
              <w:rPr>
                <w:spacing w:val="4"/>
              </w:rPr>
              <w:t xml:space="preserve">April 4, 2024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5686" w:type="dxa"/>
        <w:jc w:val="left"/>
        <w:tblInd w:w="1393" w:type="dxa"/>
        <w:tblLayout w:type="fixed"/>
        <w:tblCellMar>
          <w:top w:w="0" w:type="dxa"/>
          <w:left w:w="0" w:type="dxa"/>
          <w:bottom w:w="28" w:type="dxa"/>
          <w:right w:w="0" w:type="dxa"/>
        </w:tblCellMar>
      </w:tblPr>
      <w:tblGrid>
        <w:gridCol w:w="124"/>
        <w:gridCol w:w="2525"/>
        <w:gridCol w:w="109"/>
        <w:gridCol w:w="109"/>
        <w:gridCol w:w="974"/>
        <w:gridCol w:w="109"/>
        <w:gridCol w:w="109"/>
        <w:gridCol w:w="1473"/>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525"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Signature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4"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Title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73"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Date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25" w:type="dxa"/>
            <w:tcBorders/>
            <w:tcMar>
              <w:bottom w:w="0" w:type="dxa"/>
            </w:tcMar>
            <w:vAlign w:val="center"/>
          </w:tcPr>
          <w:p>
            <w:pPr>
              <w:pStyle w:val="TableContents"/>
              <w:bidi w:val="0"/>
              <w:spacing w:before="0" w:after="0"/>
              <w:jc w:val="center"/>
              <w:rPr>
                <w:spacing w:val="4"/>
              </w:rPr>
            </w:pPr>
            <w:r>
              <w:rPr>
                <w:spacing w:val="4"/>
              </w:rPr>
              <w:t xml:space="preserve">/s/ Matthew MacDonald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Matthew MacDonald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73" w:type="dxa"/>
            <w:tcBorders/>
            <w:tcMar>
              <w:bottom w:w="0" w:type="dxa"/>
            </w:tcMar>
            <w:vAlign w:val="center"/>
          </w:tcPr>
          <w:p>
            <w:pPr>
              <w:pStyle w:val="TableContents"/>
              <w:bidi w:val="0"/>
              <w:spacing w:before="0" w:after="0"/>
              <w:jc w:val="center"/>
              <w:rPr>
                <w:spacing w:val="4"/>
              </w:rPr>
            </w:pPr>
            <w:r>
              <w:rPr>
                <w:spacing w:val="4"/>
              </w:rPr>
              <w:t xml:space="preserve">April 4, 2024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25" w:type="dxa"/>
            <w:tcBorders/>
            <w:tcMar>
              <w:bottom w:w="0" w:type="dxa"/>
            </w:tcMar>
            <w:vAlign w:val="center"/>
          </w:tcPr>
          <w:p>
            <w:pPr>
              <w:pStyle w:val="TableContents"/>
              <w:bidi w:val="0"/>
              <w:spacing w:before="0" w:after="0"/>
              <w:jc w:val="center"/>
              <w:rPr/>
            </w:pPr>
            <w:r>
              <w:rPr>
                <w:spacing w:val="4"/>
              </w:rPr>
              <w:t>/s/ Gail Zauder</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pPr>
            <w:r>
              <w:rPr>
                <w:spacing w:val="4"/>
              </w:rPr>
              <w:t>Gail Zauder</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73" w:type="dxa"/>
            <w:tcBorders/>
            <w:tcMar>
              <w:bottom w:w="0" w:type="dxa"/>
            </w:tcMar>
            <w:vAlign w:val="center"/>
          </w:tcPr>
          <w:p>
            <w:pPr>
              <w:pStyle w:val="TableContents"/>
              <w:bidi w:val="0"/>
              <w:spacing w:before="0" w:after="0"/>
              <w:jc w:val="center"/>
              <w:rPr/>
            </w:pPr>
            <w:r>
              <w:rPr>
                <w:spacing w:val="4"/>
              </w:rPr>
              <w:t>April 4, 2024</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bookmarkStart w:id="17" w:name="tm246736d4_ex5-1.htm"/>
      <w:bookmarkStart w:id="18" w:name="kstm246736d4_ex51"/>
      <w:bookmarkEnd w:id="17"/>
      <w:bookmarkEnd w:id="1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964565" cy="306070"/>
            <wp:effectExtent l="0" t="0" r="0" b="0"/>
            <wp:docPr id="6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1" descr=""/>
                    <pic:cNvPicPr>
                      <a:picLocks noChangeAspect="1" noChangeArrowheads="1"/>
                    </pic:cNvPicPr>
                  </pic:nvPicPr>
                  <pic:blipFill>
                    <a:blip r:embed="rId52"/>
                    <a:stretch>
                      <a:fillRect/>
                    </a:stretch>
                  </pic:blipFill>
                  <pic:spPr bwMode="auto">
                    <a:xfrm>
                      <a:off x="0" y="0"/>
                      <a:ext cx="964565" cy="30607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4, 2024</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Presto Automation Inc.</w:t>
        <w:br/>
        <w:t>985 Industrial Road</w:t>
        <w:br/>
        <w:t>San Carlos, CA 94070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w:t>
        <w:tab/>
        <w:t>     Presto Automation Inc. Registration Statement on Form S-3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Presto Automation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in connection with the preparation and filing with the U.S. Securities and Exchange Commission (the “</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pursuant to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of the Registration Statement on Form S-3 of the Company (the “</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including a related prospectus filed with the Registration Statement (the “</w:t>
      </w:r>
      <w:r>
        <w:rPr>
          <w:rFonts w:ascii="Times New Roman;Times;Serif" w:hAnsi="Times New Roman;Times;Serif"/>
          <w:b/>
          <w:i/>
          <w:caps w:val="false"/>
          <w:smallCaps w:val="false"/>
          <w:sz w:val="20"/>
        </w:rPr>
        <w:t>Prospectus</w:t>
      </w:r>
      <w:r>
        <w:rPr>
          <w:rFonts w:ascii="Times New Roman;Times;Serif" w:hAnsi="Times New Roman;Times;Serif"/>
          <w:b w:val="false"/>
          <w:i w:val="false"/>
          <w:caps w:val="false"/>
          <w:smallCaps w:val="false"/>
          <w:sz w:val="20"/>
        </w:rPr>
        <w:t>”), relating to the resale of up to 102,673,474 shares (the “</w:t>
      </w:r>
      <w:r>
        <w:rPr>
          <w:rFonts w:ascii="Times New Roman;Times;Serif" w:hAnsi="Times New Roman;Times;Serif"/>
          <w:b/>
          <w:i/>
          <w:caps w:val="false"/>
          <w:smallCaps w:val="false"/>
          <w:sz w:val="20"/>
        </w:rPr>
        <w:t>Resale Shares</w:t>
      </w:r>
      <w:r>
        <w:rPr>
          <w:rFonts w:ascii="Times New Roman;Times;Serif" w:hAnsi="Times New Roman;Times;Serif"/>
          <w:b w:val="false"/>
          <w:i w:val="false"/>
          <w:caps w:val="false"/>
          <w:smallCaps w:val="false"/>
          <w:sz w:val="20"/>
        </w:rPr>
        <w:t>”) of the Company’s common stock, par value $0.0001 per share (the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which consists of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9"/>
        <w:gridCol w:w="9988"/>
      </w:tblGrid>
      <w:tr>
        <w:trPr/>
        <w:tc>
          <w:tcPr>
            <w:tcW w:w="3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pPr>
            <w:r>
              <w:rPr/>
              <w:t>(i)</w:t>
            </w:r>
          </w:p>
        </w:tc>
        <w:tc>
          <w:tcPr>
            <w:tcW w:w="9988" w:type="dxa"/>
            <w:tcBorders/>
            <w:vAlign w:val="center"/>
          </w:tcPr>
          <w:p>
            <w:pPr>
              <w:pStyle w:val="TableContents"/>
              <w:bidi w:val="0"/>
              <w:spacing w:before="0" w:after="283"/>
              <w:jc w:val="left"/>
              <w:rPr/>
            </w:pPr>
            <w:r>
              <w:rPr/>
              <w:t>36,000,000 shares of Common Stock issuable upon the conversion of the Company’s subordinated notes (the “January 2024 Notes”) issued pursuant to securities purchase agreements, dated January 30, 2024, between the Company and the buyers thereto (the “January 2024 Notes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3"/>
        <w:gridCol w:w="9924"/>
      </w:tblGrid>
      <w:tr>
        <w:trPr/>
        <w:tc>
          <w:tcPr>
            <w:tcW w:w="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(ii)</w:t>
            </w:r>
          </w:p>
        </w:tc>
        <w:tc>
          <w:tcPr>
            <w:tcW w:w="9924" w:type="dxa"/>
            <w:tcBorders/>
            <w:vAlign w:val="center"/>
          </w:tcPr>
          <w:p>
            <w:pPr>
              <w:pStyle w:val="TableContents"/>
              <w:bidi w:val="0"/>
              <w:spacing w:before="0" w:after="283"/>
              <w:jc w:val="left"/>
              <w:rPr/>
            </w:pPr>
            <w:r>
              <w:rPr/>
              <w:t>up to 10,799,549 shares of Common Stock that may become issuable upon conversion of capitalized pay-in-kind interest (the “PIK Interest”) that may accrue through the maturity date of the January 2024 Notes (the “January 2024 Notes PIK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7"/>
        <w:gridCol w:w="9860"/>
      </w:tblGrid>
      <w:tr>
        <w:trPr/>
        <w:tc>
          <w:tcPr>
            <w:tcW w:w="3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pPr>
            <w:r>
              <w:rPr/>
              <w:t>(iii)</w:t>
            </w:r>
          </w:p>
        </w:tc>
        <w:tc>
          <w:tcPr>
            <w:tcW w:w="9860" w:type="dxa"/>
            <w:tcBorders/>
            <w:vAlign w:val="center"/>
          </w:tcPr>
          <w:p>
            <w:pPr>
              <w:pStyle w:val="TableContents"/>
              <w:bidi w:val="0"/>
              <w:spacing w:before="0" w:after="283"/>
              <w:jc w:val="left"/>
              <w:rPr>
                <w:shd w:fill="FFFFFF" w:val="clear"/>
              </w:rPr>
            </w:pPr>
            <w:r>
              <w:rPr>
                <w:shd w:fill="FFFFFF" w:val="clear"/>
              </w:rPr>
              <w:t>3,840,000 shares of Common Stock issuable upon the conversion of the Company’s subordinated convertible note (the “Remus Note”) issued to Remus Capital Series B II, L.P. on March 1, 2024 (the “Remus Note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7"/>
        <w:gridCol w:w="9870"/>
      </w:tblGrid>
      <w:tr>
        <w:trPr/>
        <w:tc>
          <w:tcPr>
            <w:tcW w:w="3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pPr>
            <w:r>
              <w:rPr/>
              <w:t>(iv)</w:t>
            </w:r>
          </w:p>
        </w:tc>
        <w:tc>
          <w:tcPr>
            <w:tcW w:w="9870" w:type="dxa"/>
            <w:tcBorders/>
            <w:vAlign w:val="center"/>
          </w:tcPr>
          <w:p>
            <w:pPr>
              <w:pStyle w:val="TableContents"/>
              <w:bidi w:val="0"/>
              <w:spacing w:before="0" w:after="283"/>
              <w:jc w:val="left"/>
              <w:rPr>
                <w:shd w:fill="FFFFFF" w:val="clear"/>
              </w:rPr>
            </w:pPr>
            <w:r>
              <w:rPr>
                <w:shd w:fill="FFFFFF" w:val="clear"/>
              </w:rPr>
              <w:t>up to 1,100,665 shares of Common Stock that may become issuable upon conversion of capitalized PIK Interest that may accrue through the maturity date of the Remus Note (collectively with the January 2024 Notes Shares, the January 2024 Notes PIK Shares and the Remus Note Shares, the “Notes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(v)</w:t>
            </w:r>
          </w:p>
        </w:tc>
        <w:tc>
          <w:tcPr>
            <w:tcW w:w="9945" w:type="dxa"/>
            <w:tcBorders/>
            <w:vAlign w:val="center"/>
          </w:tcPr>
          <w:p>
            <w:pPr>
              <w:pStyle w:val="TableContents"/>
              <w:bidi w:val="0"/>
              <w:spacing w:before="0" w:after="283"/>
              <w:jc w:val="left"/>
              <w:rPr/>
            </w:pPr>
            <w:r>
              <w:rPr>
                <w:shd w:fill="FFFFFF" w:val="clear"/>
              </w:rPr>
              <w:t xml:space="preserve">8,517,278 shares of Common Stock </w:t>
            </w:r>
            <w:r>
              <w:rPr/>
              <w:t>issuable upon the exercise of warrants (the “Fifth Amendment Warrants”), with an exercise price of $0.01 per share, subject to adjustment, held by Metropolitan Partners Group Administration, LLC, the administrative, payment and collateral agent for Metropolitan Levered Partners Fund VII, LP, Metropolitan Partners Fund VII, LP, Metropolitan Offshore Partners Fund VII, LP, and CEOF Holdings LP, pursuant to that certain Credit Agreement entered into initially on September 21, 2022, as subsequently amended (the “Credit Agreement”), such warrants being issued in consideration of the conversion of interest into principal and in respect of amendments to the Credit Agreement, including shares to be issued pursuant to the anti-dilution adjustment provisions in such warrants (the “Fifth Amendment Warrant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5"/>
        <w:gridCol w:w="9872"/>
      </w:tblGrid>
      <w:tr>
        <w:trPr/>
        <w:tc>
          <w:tcPr>
            <w:tcW w:w="3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pPr>
            <w:r>
              <w:rPr/>
              <w:t>(vi)</w:t>
            </w:r>
          </w:p>
        </w:tc>
        <w:tc>
          <w:tcPr>
            <w:tcW w:w="9872" w:type="dxa"/>
            <w:tcBorders/>
            <w:vAlign w:val="center"/>
          </w:tcPr>
          <w:p>
            <w:pPr>
              <w:pStyle w:val="TableContents"/>
              <w:bidi w:val="0"/>
              <w:spacing w:before="0" w:after="283"/>
              <w:jc w:val="left"/>
              <w:rPr/>
            </w:pPr>
            <w:r>
              <w:rPr>
                <w:shd w:fill="FFFFFF" w:val="clear"/>
              </w:rPr>
              <w:t xml:space="preserve">21,000,000 shares of Common Stock </w:t>
            </w:r>
            <w:r>
              <w:rPr/>
              <w:t>issuable upon the exercise of warrants (together with the Fifth Amendment Warrants, the “Warrants”), with an exercise price of $0.01 per share, issued pursuant to the anti-dilution adjustment provisions in such warrants (together with the Fifth Amendment Warrant Shares, the “Warrant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997710" cy="128270"/>
            <wp:effectExtent l="0" t="0" r="0" b="0"/>
            <wp:docPr id="6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2" descr=""/>
                    <pic:cNvPicPr>
                      <a:picLocks noChangeAspect="1" noChangeArrowheads="1"/>
                    </pic:cNvPicPr>
                  </pic:nvPicPr>
                  <pic:blipFill>
                    <a:blip r:embed="rId53"/>
                    <a:stretch>
                      <a:fillRect/>
                    </a:stretch>
                  </pic:blipFill>
                  <pic:spPr bwMode="auto">
                    <a:xfrm>
                      <a:off x="0" y="0"/>
                      <a:ext cx="1997710" cy="12827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964565" cy="306070"/>
            <wp:effectExtent l="0" t="0" r="0" b="0"/>
            <wp:docPr id="6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3" descr=""/>
                    <pic:cNvPicPr>
                      <a:picLocks noChangeAspect="1" noChangeArrowheads="1"/>
                    </pic:cNvPicPr>
                  </pic:nvPicPr>
                  <pic:blipFill>
                    <a:blip r:embed="rId54"/>
                    <a:stretch>
                      <a:fillRect/>
                    </a:stretch>
                  </pic:blipFill>
                  <pic:spPr bwMode="auto">
                    <a:xfrm>
                      <a:off x="0" y="0"/>
                      <a:ext cx="964565" cy="30607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Presto Automation Inc. </w:t>
        <w:br/>
        <w:t xml:space="preserve">April 4, 2024 </w:t>
        <w:br/>
        <w:t>Page 2</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60"/>
        <w:gridCol w:w="9807"/>
      </w:tblGrid>
      <w:tr>
        <w:trPr/>
        <w:tc>
          <w:tcPr>
            <w:tcW w:w="3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pPr>
            <w:r>
              <w:rPr/>
              <w:t>(vii)</w:t>
            </w:r>
          </w:p>
        </w:tc>
        <w:tc>
          <w:tcPr>
            <w:tcW w:w="9807" w:type="dxa"/>
            <w:tcBorders/>
            <w:vAlign w:val="center"/>
          </w:tcPr>
          <w:p>
            <w:pPr>
              <w:pStyle w:val="TableContents"/>
              <w:bidi w:val="0"/>
              <w:spacing w:before="0" w:after="283"/>
              <w:jc w:val="left"/>
              <w:rPr>
                <w:shd w:fill="FFFFFF" w:val="clear"/>
              </w:rPr>
            </w:pPr>
            <w:r>
              <w:rPr>
                <w:shd w:fill="FFFFFF" w:val="clear"/>
              </w:rPr>
              <w:t>10,500,000 shares of Common Stock that were issued or will be issued pursuant to the anti-dilution adjustment provisions in the securities purchase agreement, dated as of October 10, 2023, between the Company and Presto CA LLC (the “Presto CA Anti-Dilution Shares”);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16"/>
        <w:gridCol w:w="9751"/>
      </w:tblGrid>
      <w:tr>
        <w:trPr/>
        <w:tc>
          <w:tcPr>
            <w:tcW w:w="38"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pPr>
            <w:r>
              <w:rPr/>
              <w:t>(viii)</w:t>
            </w:r>
          </w:p>
        </w:tc>
        <w:tc>
          <w:tcPr>
            <w:tcW w:w="9751" w:type="dxa"/>
            <w:tcBorders/>
            <w:vAlign w:val="center"/>
          </w:tcPr>
          <w:p>
            <w:pPr>
              <w:pStyle w:val="TableContents"/>
              <w:bidi w:val="0"/>
              <w:spacing w:before="0" w:after="283"/>
              <w:jc w:val="left"/>
              <w:rPr/>
            </w:pPr>
            <w:r>
              <w:rPr/>
              <w:t xml:space="preserve">12,000,000 shares of Common Stock that were issued or will be issued pursuant to the anti-dilution adjustment provisions in the common stock purchase agreements, dated as of </w:t>
            </w:r>
            <w:r>
              <w:rPr>
                <w:shd w:fill="FFFFFF" w:val="clear"/>
              </w:rPr>
              <w:t>November 17, 2023, between the Company and the purchasers thereto (together with the Presto CA Anti-Dilution Shares, the “Anti-Dilution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13,500,000 of the Anti-Dilution Shares have been issued as of the date of this opinion letter. Issuance of the remaining 9,000,000 Anti-Dilution Shares are subject to shareholder approval due to Nasdaq Listing Rule 5635(d) (the “Remaining Anti-Dilution Shares”). The Company expects to hold a special meeting and file a preliminary proxy statement in order to, among other things, obtain shareholder approval for the issuances of the Remaining Anti-Dilution Shares. The Registration Statement assumes that the Remaining Anti-Dilution Shares are issued and outstanding, as further described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is being furnished in accordance with the requirements of Item 601(b)(5) of Regulation S-K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such counsel and for purposes of our opinions set forth herein, we have examined and relied upon originals or copies, certified or otherwise identified to our satisfaction, of such documents, resolutions, certificates of public officials and other instruments of the Company and corporate records furnished to us by the Company, and have reviewed certificates of public officials, statutes, records and such other instruments and documents as we have deemed necessary or appropriate as a basis for the opinions set forth below, including, without limitation: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6"/>
        <w:gridCol w:w="827"/>
        <w:gridCol w:w="9242"/>
      </w:tblGrid>
      <w:tr>
        <w:trPr/>
        <w:tc>
          <w:tcPr>
            <w:tcW w:w="13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pPr>
            <w:r>
              <w:rPr/>
              <w:t>(i)</w:t>
            </w:r>
          </w:p>
        </w:tc>
        <w:tc>
          <w:tcPr>
            <w:tcW w:w="9242" w:type="dxa"/>
            <w:tcBorders/>
            <w:vAlign w:val="center"/>
          </w:tcPr>
          <w:p>
            <w:pPr>
              <w:pStyle w:val="TableContents"/>
              <w:bidi w:val="0"/>
              <w:spacing w:before="0" w:after="283"/>
              <w:jc w:val="both"/>
              <w:rPr>
                <w:shd w:fill="FFFFFF" w:val="clear"/>
              </w:rPr>
            </w:pPr>
            <w:r>
              <w:rPr>
                <w:shd w:fill="FFFFFF" w:val="clear"/>
              </w:rPr>
              <w:t>the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6"/>
        <w:gridCol w:w="1655"/>
        <w:gridCol w:w="8334"/>
      </w:tblGrid>
      <w:tr>
        <w:trPr/>
        <w:tc>
          <w:tcPr>
            <w:tcW w:w="216"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pPr>
            <w:r>
              <w:rPr/>
              <w:t>(ii)</w:t>
            </w:r>
          </w:p>
        </w:tc>
        <w:tc>
          <w:tcPr>
            <w:tcW w:w="8334" w:type="dxa"/>
            <w:tcBorders/>
            <w:vAlign w:val="center"/>
          </w:tcPr>
          <w:p>
            <w:pPr>
              <w:pStyle w:val="TableContents"/>
              <w:bidi w:val="0"/>
              <w:spacing w:before="0" w:after="283"/>
              <w:jc w:val="both"/>
              <w:rPr/>
            </w:pPr>
            <w:r>
              <w:rPr/>
              <w:t>the Prospectus;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2"/>
        <w:gridCol w:w="9866"/>
      </w:tblGrid>
      <w:tr>
        <w:trPr/>
        <w:tc>
          <w:tcPr>
            <w:tcW w:w="3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pPr>
            <w:r>
              <w:rPr/>
              <w:t>(iii)</w:t>
            </w:r>
          </w:p>
        </w:tc>
        <w:tc>
          <w:tcPr>
            <w:tcW w:w="9866" w:type="dxa"/>
            <w:tcBorders/>
            <w:vAlign w:val="center"/>
          </w:tcPr>
          <w:p>
            <w:pPr>
              <w:pStyle w:val="TableContents"/>
              <w:bidi w:val="0"/>
              <w:spacing w:before="0" w:after="283"/>
              <w:jc w:val="left"/>
              <w:rPr/>
            </w:pPr>
            <w:r>
              <w:rPr/>
              <w:t>the Company’s Second Amended and Restated Certificate of Incorporation, certified as of April 3, 2024 (the “</w:t>
            </w:r>
            <w:r>
              <w:rPr>
                <w:b/>
                <w:i/>
              </w:rPr>
              <w:t>Certificate of Incorporation</w:t>
            </w:r>
            <w:r>
              <w:rPr/>
              <w:t>”), by the Secretary of State of the State of Delaware and certified by an officer of the Company as of the date hereof,</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6"/>
        <w:gridCol w:w="9842"/>
      </w:tblGrid>
      <w:tr>
        <w:trPr/>
        <w:tc>
          <w:tcPr>
            <w:tcW w:w="3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pPr>
            <w:r>
              <w:rPr/>
              <w:t>(iv)</w:t>
            </w:r>
          </w:p>
        </w:tc>
        <w:tc>
          <w:tcPr>
            <w:tcW w:w="9842" w:type="dxa"/>
            <w:tcBorders/>
            <w:vAlign w:val="center"/>
          </w:tcPr>
          <w:p>
            <w:pPr>
              <w:pStyle w:val="TableContents"/>
              <w:bidi w:val="0"/>
              <w:spacing w:before="0" w:after="283"/>
              <w:jc w:val="left"/>
              <w:rPr/>
            </w:pPr>
            <w:r>
              <w:rPr/>
              <w:t>the Company’s Amended and Restated Bylaws (the “</w:t>
            </w:r>
            <w:r>
              <w:rPr>
                <w:b/>
                <w:i/>
              </w:rPr>
              <w:t>Bylaws</w:t>
            </w:r>
            <w:r>
              <w:rPr/>
              <w:t>”) as presently in effect, certified by an officer of the Company as of the date hereof;</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7"/>
        <w:gridCol w:w="9891"/>
      </w:tblGrid>
      <w:tr>
        <w:trPr/>
        <w:tc>
          <w:tcPr>
            <w:tcW w:w="3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pPr>
            <w:r>
              <w:rPr/>
              <w:t>(v)</w:t>
            </w:r>
          </w:p>
        </w:tc>
        <w:tc>
          <w:tcPr>
            <w:tcW w:w="9891" w:type="dxa"/>
            <w:tcBorders/>
            <w:vAlign w:val="center"/>
          </w:tcPr>
          <w:p>
            <w:pPr>
              <w:pStyle w:val="TableContents"/>
              <w:bidi w:val="0"/>
              <w:spacing w:before="0" w:after="283"/>
              <w:jc w:val="both"/>
              <w:rPr/>
            </w:pPr>
            <w:r>
              <w:rPr/>
              <w:t>Securities Purchase Agreements, each dated as of January 30, 2024, by and between the Company and the buyers thereto;</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2"/>
        <w:gridCol w:w="1314"/>
        <w:gridCol w:w="8749"/>
      </w:tblGrid>
      <w:tr>
        <w:trPr/>
        <w:tc>
          <w:tcPr>
            <w:tcW w:w="142"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pPr>
            <w:r>
              <w:rPr/>
              <w:t>(vi)</w:t>
            </w:r>
          </w:p>
        </w:tc>
        <w:tc>
          <w:tcPr>
            <w:tcW w:w="8749" w:type="dxa"/>
            <w:tcBorders/>
            <w:vAlign w:val="center"/>
          </w:tcPr>
          <w:p>
            <w:pPr>
              <w:pStyle w:val="TableContents"/>
              <w:bidi w:val="0"/>
              <w:spacing w:before="0" w:after="283"/>
              <w:jc w:val="both"/>
              <w:rPr/>
            </w:pPr>
            <w:r>
              <w:rPr/>
              <w:t>the January 2024 Notes;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00"/>
        <w:gridCol w:w="9768"/>
      </w:tblGrid>
      <w:tr>
        <w:trPr/>
        <w:tc>
          <w:tcPr>
            <w:tcW w:w="37"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pPr>
            <w:r>
              <w:rPr/>
              <w:t>(vii)</w:t>
            </w:r>
          </w:p>
        </w:tc>
        <w:tc>
          <w:tcPr>
            <w:tcW w:w="9768" w:type="dxa"/>
            <w:tcBorders/>
            <w:vAlign w:val="center"/>
          </w:tcPr>
          <w:p>
            <w:pPr>
              <w:pStyle w:val="TableContents"/>
              <w:bidi w:val="0"/>
              <w:spacing w:before="0" w:after="283"/>
              <w:jc w:val="both"/>
              <w:rPr/>
            </w:pPr>
            <w:r>
              <w:rPr/>
              <w:t>Registration Rights Agreement, dated as of January 30, 2024, by and between the Company and the holders thereto;</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29"/>
        <w:gridCol w:w="9739"/>
      </w:tblGrid>
      <w:tr>
        <w:trPr/>
        <w:tc>
          <w:tcPr>
            <w:tcW w:w="3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pPr>
            <w:r>
              <w:rPr/>
              <w:t>(viii)</w:t>
            </w:r>
          </w:p>
        </w:tc>
        <w:tc>
          <w:tcPr>
            <w:tcW w:w="9739" w:type="dxa"/>
            <w:tcBorders/>
            <w:vAlign w:val="center"/>
          </w:tcPr>
          <w:p>
            <w:pPr>
              <w:pStyle w:val="TableContents"/>
              <w:bidi w:val="0"/>
              <w:spacing w:before="0" w:after="283"/>
              <w:jc w:val="left"/>
              <w:rPr/>
            </w:pPr>
            <w:r>
              <w:rPr/>
              <w:t>Fifth Amendment to Credit Agreement, dated as of January 31, 2024, by and among Presto Automation LLC, the Company, the lenders party thereto and Metropolitan Partners Group Administration,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964565" cy="306070"/>
            <wp:effectExtent l="0" t="0" r="0" b="0"/>
            <wp:docPr id="6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4" descr=""/>
                    <pic:cNvPicPr>
                      <a:picLocks noChangeAspect="1" noChangeArrowheads="1"/>
                    </pic:cNvPicPr>
                  </pic:nvPicPr>
                  <pic:blipFill>
                    <a:blip r:embed="rId55"/>
                    <a:stretch>
                      <a:fillRect/>
                    </a:stretch>
                  </pic:blipFill>
                  <pic:spPr bwMode="auto">
                    <a:xfrm>
                      <a:off x="0" y="0"/>
                      <a:ext cx="964565" cy="30607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Presto Automation Inc.</w:t>
        <w:br/>
        <w:t>April 4, 2024</w:t>
        <w:br/>
        <w:t>Page 3</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1"/>
        <w:gridCol w:w="9857"/>
      </w:tblGrid>
      <w:tr>
        <w:trPr/>
        <w:tc>
          <w:tcPr>
            <w:tcW w:w="3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pPr>
            <w:r>
              <w:rPr/>
              <w:t>(ix)</w:t>
            </w:r>
          </w:p>
        </w:tc>
        <w:tc>
          <w:tcPr>
            <w:tcW w:w="9857" w:type="dxa"/>
            <w:tcBorders/>
            <w:vAlign w:val="center"/>
          </w:tcPr>
          <w:p>
            <w:pPr>
              <w:pStyle w:val="TableContents"/>
              <w:bidi w:val="0"/>
              <w:spacing w:before="0" w:after="283"/>
              <w:jc w:val="left"/>
              <w:rPr/>
            </w:pPr>
            <w:r>
              <w:rPr/>
              <w:t>Amended and Restated Warrant to Purchase Common Stock, dated March 21, 2024, by and between the Company and Metropolitan Levered Partners Fund VII, LP (originally issued October 16, 2023);</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3"/>
        <w:gridCol w:w="9915"/>
      </w:tblGrid>
      <w:tr>
        <w:trPr/>
        <w:tc>
          <w:tcPr>
            <w:tcW w:w="3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(x)</w:t>
            </w:r>
          </w:p>
        </w:tc>
        <w:tc>
          <w:tcPr>
            <w:tcW w:w="9915" w:type="dxa"/>
            <w:tcBorders/>
            <w:vAlign w:val="center"/>
          </w:tcPr>
          <w:p>
            <w:pPr>
              <w:pStyle w:val="TableContents"/>
              <w:bidi w:val="0"/>
              <w:spacing w:before="0" w:after="283"/>
              <w:jc w:val="left"/>
              <w:rPr/>
            </w:pPr>
            <w:r>
              <w:rPr/>
              <w:t>Amended and Restated Warrant to Purchase Common Stock, dated March 21, 2024, by and between the Company and Metropolitan Partners Fund VII, LP (originally issued October 16, 2023);</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0"/>
        <w:gridCol w:w="9858"/>
      </w:tblGrid>
      <w:tr>
        <w:trPr/>
        <w:tc>
          <w:tcPr>
            <w:tcW w:w="37"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pPr>
            <w:r>
              <w:rPr/>
              <w:t>(xi)</w:t>
            </w:r>
          </w:p>
        </w:tc>
        <w:tc>
          <w:tcPr>
            <w:tcW w:w="9858" w:type="dxa"/>
            <w:tcBorders/>
            <w:vAlign w:val="center"/>
          </w:tcPr>
          <w:p>
            <w:pPr>
              <w:pStyle w:val="TableContents"/>
              <w:bidi w:val="0"/>
              <w:spacing w:before="0" w:after="283"/>
              <w:jc w:val="left"/>
              <w:rPr/>
            </w:pPr>
            <w:r>
              <w:rPr/>
              <w:t>Amended and Restated Warrant to Purchase Common Stock, dated March 21, 2024, by and between the Company and Metropolitan Offshore Partners Fund VII, LP (originally issued October 16, 2023);</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76"/>
        <w:gridCol w:w="9792"/>
      </w:tblGrid>
      <w:tr>
        <w:trPr/>
        <w:tc>
          <w:tcPr>
            <w:tcW w:w="37"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pPr>
            <w:r>
              <w:rPr/>
              <w:t>(xii)</w:t>
            </w:r>
          </w:p>
        </w:tc>
        <w:tc>
          <w:tcPr>
            <w:tcW w:w="9792" w:type="dxa"/>
            <w:tcBorders/>
            <w:vAlign w:val="center"/>
          </w:tcPr>
          <w:p>
            <w:pPr>
              <w:pStyle w:val="TableContents"/>
              <w:bidi w:val="0"/>
              <w:spacing w:before="0" w:after="283"/>
              <w:jc w:val="left"/>
              <w:rPr/>
            </w:pPr>
            <w:r>
              <w:rPr/>
              <w:t>Amended and Restated Warrant to Purchase Common Stock, dated March 21, 2024, by and between the Company and CEOF Holdings, LP (originally issued October 16, 2023);</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30"/>
        <w:gridCol w:w="9738"/>
      </w:tblGrid>
      <w:tr>
        <w:trPr/>
        <w:tc>
          <w:tcPr>
            <w:tcW w:w="37"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pPr>
            <w:r>
              <w:rPr/>
              <w:t>(xiii)</w:t>
            </w:r>
          </w:p>
        </w:tc>
        <w:tc>
          <w:tcPr>
            <w:tcW w:w="9738" w:type="dxa"/>
            <w:tcBorders/>
            <w:vAlign w:val="center"/>
          </w:tcPr>
          <w:p>
            <w:pPr>
              <w:pStyle w:val="TableContents"/>
              <w:bidi w:val="0"/>
              <w:spacing w:before="0" w:after="283"/>
              <w:jc w:val="left"/>
              <w:rPr/>
            </w:pPr>
            <w:r>
              <w:rPr/>
              <w:t>Amended and Restated Warrant to Purchase Common Stock, dated March 21, 2024, by and between the Company and Metropolitan Levered Partners Fund VII, LP (originally issued January 30, 2024);</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32"/>
        <w:gridCol w:w="9736"/>
      </w:tblGrid>
      <w:tr>
        <w:trPr/>
        <w:tc>
          <w:tcPr>
            <w:tcW w:w="37"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pPr>
            <w:r>
              <w:rPr/>
              <w:t>(xiv)</w:t>
            </w:r>
          </w:p>
        </w:tc>
        <w:tc>
          <w:tcPr>
            <w:tcW w:w="9736" w:type="dxa"/>
            <w:tcBorders/>
            <w:vAlign w:val="center"/>
          </w:tcPr>
          <w:p>
            <w:pPr>
              <w:pStyle w:val="TableContents"/>
              <w:bidi w:val="0"/>
              <w:spacing w:before="0" w:after="283"/>
              <w:jc w:val="left"/>
              <w:rPr/>
            </w:pPr>
            <w:r>
              <w:rPr/>
              <w:t>Amended and Restated Warrant to Purchase Common Stock, dated March 21, 2024, by and between the Company and Metropolitan Partners Fund VII, LP (originally issued January 30, 2024);</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70"/>
        <w:gridCol w:w="9798"/>
      </w:tblGrid>
      <w:tr>
        <w:trPr/>
        <w:tc>
          <w:tcPr>
            <w:tcW w:w="3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pPr>
            <w:r>
              <w:rPr/>
              <w:t>(xv)</w:t>
            </w:r>
          </w:p>
        </w:tc>
        <w:tc>
          <w:tcPr>
            <w:tcW w:w="9798" w:type="dxa"/>
            <w:tcBorders/>
            <w:vAlign w:val="center"/>
          </w:tcPr>
          <w:p>
            <w:pPr>
              <w:pStyle w:val="TableContents"/>
              <w:bidi w:val="0"/>
              <w:spacing w:before="0" w:after="283"/>
              <w:jc w:val="left"/>
              <w:rPr/>
            </w:pPr>
            <w:r>
              <w:rPr/>
              <w:t>Amended and Restated Warrant to Purchase Common Stock, dated March 21, 2024, by and between the Company and Metropolitan Offshore Partners Fund VII, LP (originally issued January 30, 2024);</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35"/>
        <w:gridCol w:w="9733"/>
      </w:tblGrid>
      <w:tr>
        <w:trPr/>
        <w:tc>
          <w:tcPr>
            <w:tcW w:w="37"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pPr>
            <w:r>
              <w:rPr/>
              <w:t>(xvi)</w:t>
            </w:r>
          </w:p>
        </w:tc>
        <w:tc>
          <w:tcPr>
            <w:tcW w:w="9733" w:type="dxa"/>
            <w:tcBorders/>
            <w:vAlign w:val="center"/>
          </w:tcPr>
          <w:p>
            <w:pPr>
              <w:pStyle w:val="TableContents"/>
              <w:bidi w:val="0"/>
              <w:spacing w:before="0" w:after="283"/>
              <w:jc w:val="left"/>
              <w:rPr/>
            </w:pPr>
            <w:r>
              <w:rPr/>
              <w:t>Amended and Restated Warrant to Purchase Common Stock, dated March 21, 2024, by and between the Company and CEOF Holdings, LP (originally issued January 30, 2024);</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15"/>
        <w:gridCol w:w="9653"/>
      </w:tblGrid>
      <w:tr>
        <w:trPr/>
        <w:tc>
          <w:tcPr>
            <w:tcW w:w="3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pPr>
            <w:r>
              <w:rPr/>
              <w:t>(xvii)</w:t>
            </w:r>
          </w:p>
        </w:tc>
        <w:tc>
          <w:tcPr>
            <w:tcW w:w="9653" w:type="dxa"/>
            <w:tcBorders/>
            <w:vAlign w:val="center"/>
          </w:tcPr>
          <w:p>
            <w:pPr>
              <w:pStyle w:val="TableContents"/>
              <w:bidi w:val="0"/>
              <w:spacing w:before="0" w:after="283"/>
              <w:jc w:val="both"/>
              <w:rPr/>
            </w:pPr>
            <w:r>
              <w:rPr/>
              <w:t>Registration Rights Agreement, dated as of March 31, 2023, by and among the Company and certain persons listed therein;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85"/>
        <w:gridCol w:w="9583"/>
      </w:tblGrid>
      <w:tr>
        <w:trPr/>
        <w:tc>
          <w:tcPr>
            <w:tcW w:w="37"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pPr>
            <w:r>
              <w:rPr/>
              <w:t>(xviii)</w:t>
            </w:r>
          </w:p>
        </w:tc>
        <w:tc>
          <w:tcPr>
            <w:tcW w:w="9583" w:type="dxa"/>
            <w:tcBorders/>
            <w:vAlign w:val="center"/>
          </w:tcPr>
          <w:p>
            <w:pPr>
              <w:pStyle w:val="TableContents"/>
              <w:bidi w:val="0"/>
              <w:spacing w:before="0" w:after="283"/>
              <w:jc w:val="both"/>
              <w:rPr/>
            </w:pPr>
            <w:r>
              <w:rPr/>
              <w:t>Securities Purchase Agreement, dated as of October 10, 2023, between the Company and Presto CA LLC;</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59"/>
        <w:gridCol w:w="9709"/>
      </w:tblGrid>
      <w:tr>
        <w:trPr/>
        <w:tc>
          <w:tcPr>
            <w:tcW w:w="3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pPr>
            <w:r>
              <w:rPr/>
              <w:t>(xix)</w:t>
            </w:r>
          </w:p>
        </w:tc>
        <w:tc>
          <w:tcPr>
            <w:tcW w:w="9709" w:type="dxa"/>
            <w:tcBorders/>
            <w:vAlign w:val="center"/>
          </w:tcPr>
          <w:p>
            <w:pPr>
              <w:pStyle w:val="TableContents"/>
              <w:bidi w:val="0"/>
              <w:spacing w:before="0" w:after="283"/>
              <w:jc w:val="both"/>
              <w:rPr/>
            </w:pPr>
            <w:r>
              <w:rPr/>
              <w:t>Common Stock Purchase Agreement, dated as of November 17, 2023, between the Company and the buyers thereto;</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7"/>
        <w:gridCol w:w="2018"/>
        <w:gridCol w:w="8000"/>
      </w:tblGrid>
      <w:tr>
        <w:trPr/>
        <w:tc>
          <w:tcPr>
            <w:tcW w:w="187" w:type="dxa"/>
            <w:tcBorders/>
            <w:vAlign w:val="center"/>
          </w:tcPr>
          <w:p>
            <w:pPr>
              <w:pStyle w:val="TableContents"/>
              <w:bidi w:val="0"/>
              <w:spacing w:before="0" w:after="283"/>
              <w:jc w:val="left"/>
              <w:rPr>
                <w:sz w:val="4"/>
                <w:szCs w:val="4"/>
              </w:rPr>
            </w:pPr>
            <w:r>
              <w:rPr>
                <w:sz w:val="4"/>
                <w:szCs w:val="4"/>
              </w:rPr>
            </w:r>
          </w:p>
        </w:tc>
        <w:tc>
          <w:tcPr>
            <w:tcW w:w="2018" w:type="dxa"/>
            <w:tcBorders/>
            <w:vAlign w:val="center"/>
          </w:tcPr>
          <w:p>
            <w:pPr>
              <w:pStyle w:val="TableContents"/>
              <w:bidi w:val="0"/>
              <w:spacing w:before="0" w:after="283"/>
              <w:jc w:val="left"/>
              <w:rPr/>
            </w:pPr>
            <w:r>
              <w:rPr/>
              <w:t>(xx)</w:t>
            </w:r>
          </w:p>
        </w:tc>
        <w:tc>
          <w:tcPr>
            <w:tcW w:w="8000" w:type="dxa"/>
            <w:tcBorders/>
            <w:vAlign w:val="center"/>
          </w:tcPr>
          <w:p>
            <w:pPr>
              <w:pStyle w:val="TableContents"/>
              <w:bidi w:val="0"/>
              <w:spacing w:before="0" w:after="283"/>
              <w:jc w:val="both"/>
              <w:rPr/>
            </w:pPr>
            <w:r>
              <w:rPr/>
              <w:t>the Remus Note;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54"/>
        <w:gridCol w:w="9714"/>
      </w:tblGrid>
      <w:tr>
        <w:trPr/>
        <w:tc>
          <w:tcPr>
            <w:tcW w:w="37"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pPr>
            <w:r>
              <w:rPr/>
              <w:t>(xxi)</w:t>
            </w:r>
          </w:p>
        </w:tc>
        <w:tc>
          <w:tcPr>
            <w:tcW w:w="9714" w:type="dxa"/>
            <w:tcBorders/>
            <w:vAlign w:val="center"/>
          </w:tcPr>
          <w:p>
            <w:pPr>
              <w:pStyle w:val="TableContents"/>
              <w:bidi w:val="0"/>
              <w:spacing w:before="0" w:after="283"/>
              <w:jc w:val="both"/>
              <w:rPr/>
            </w:pPr>
            <w:r>
              <w:rPr/>
              <w:t xml:space="preserve">Registration Rights Agreement, dated as of March 1, 2024, by and among the Company and </w:t>
            </w:r>
            <w:r>
              <w:rPr>
                <w:shd w:fill="FFFFFF" w:val="clear"/>
              </w:rPr>
              <w:t>Remus Capital Series B II, L.P.</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86"/>
        <w:gridCol w:w="9682"/>
      </w:tblGrid>
      <w:tr>
        <w:trPr/>
        <w:tc>
          <w:tcPr>
            <w:tcW w:w="37"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pPr>
            <w:r>
              <w:rPr/>
              <w:t>(xxii)</w:t>
            </w:r>
          </w:p>
        </w:tc>
        <w:tc>
          <w:tcPr>
            <w:tcW w:w="9682" w:type="dxa"/>
            <w:tcBorders/>
            <w:vAlign w:val="center"/>
          </w:tcPr>
          <w:p>
            <w:pPr>
              <w:pStyle w:val="TableContents"/>
              <w:bidi w:val="0"/>
              <w:spacing w:before="0" w:after="283"/>
              <w:jc w:val="left"/>
              <w:rPr/>
            </w:pPr>
            <w:r>
              <w:rPr/>
              <w:t>a certificate of the Secretary of State of the State of Delaware, certifying as to the existence and good standing of the Company under the laws of the State of Delaware as of April 3, 2024 (the “</w:t>
            </w:r>
            <w:r>
              <w:rPr>
                <w:b/>
                <w:i/>
              </w:rPr>
              <w:t>Good Standing Certificate</w:t>
            </w:r>
            <w:r>
              <w:rPr/>
              <w: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75"/>
        <w:gridCol w:w="9593"/>
      </w:tblGrid>
      <w:tr>
        <w:trPr/>
        <w:tc>
          <w:tcPr>
            <w:tcW w:w="37"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pPr>
            <w:r>
              <w:rPr/>
              <w:t>(xxiii)</w:t>
            </w:r>
          </w:p>
        </w:tc>
        <w:tc>
          <w:tcPr>
            <w:tcW w:w="9593" w:type="dxa"/>
            <w:tcBorders/>
            <w:vAlign w:val="center"/>
          </w:tcPr>
          <w:p>
            <w:pPr>
              <w:pStyle w:val="TableContents"/>
              <w:bidi w:val="0"/>
              <w:spacing w:before="0" w:after="283"/>
              <w:jc w:val="both"/>
              <w:rPr/>
            </w:pPr>
            <w:r>
              <w:rPr/>
              <w:t>resolutions adopted by the board of directors and/or shareholders of the Company, certified by an officer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foregoing, we have made such investigations of law as we have deemed necessary or appropriate as a basis for the opinions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964565" cy="306070"/>
            <wp:effectExtent l="0" t="0" r="0" b="0"/>
            <wp:docPr id="6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5" descr=""/>
                    <pic:cNvPicPr>
                      <a:picLocks noChangeAspect="1" noChangeArrowheads="1"/>
                    </pic:cNvPicPr>
                  </pic:nvPicPr>
                  <pic:blipFill>
                    <a:blip r:embed="rId56"/>
                    <a:stretch>
                      <a:fillRect/>
                    </a:stretch>
                  </pic:blipFill>
                  <pic:spPr bwMode="auto">
                    <a:xfrm>
                      <a:off x="0" y="0"/>
                      <a:ext cx="964565" cy="30607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Presto Automation Inc. </w:t>
        <w:br/>
        <w:t xml:space="preserve">April 4, 2024 </w:t>
        <w:br/>
        <w:t>Page 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such examination and in rendering the opinions expressed below, we have assumed, without independent investigation or verification: (i) the genuineness of all signatures on all agreements, instruments, corporate records, certificates and other documents submitted to us; (ii) the legal capacity, competency and authority of all persons or entities (other than the Company) executing all agreements, instruments, corporate records, certificates and other documents submitted to us; (iii) the authenticity and completeness of all agreements, instruments, corporate records, certificates and other documents submitted to us as originals; (iv) that all agreements, instruments, corporate records, certificates and other documents submitted to us as certified, electronic, facsimile, conformed, photostatic or other copies conform to the originals thereof, and that such originals are authentic and complete; (v) the due authorization, execution and delivery of all agreements, instruments, corporate records, certificates and other documents by all parties thereto (other than the Company); (vi) that no documents submitted to us have been amended or terminated orally or in writing, except as has been disclosed to us in writing; (vii) that the statements contained in the certificates and comparable documents of public officials, officers and representatives of the Company and other persons on which we have relied for the purposes of this opinion letter are true and correct on and as of the date hereof; (viii) that there has not been nor will there be any change in the good standing status of the Company from that which was reported in the Good Standing Certificate; (ix) that each of the officers and directors of the Company has properly exercised his or her fiduciary duties; and (x) that the Notes Shares and the Warrant Shares will not be issued or transferred in violation of any restriction contained in the Certificate of Incorporation. As to all questions of fact material to this opinion letter and as to the materiality of any fact or other matter referred to herein, we have relied (without independent investigation or verification) upon representations and certificates or comparable documents of officers and representatives of the Company. Our knowledge of the Company and its legal and other affairs is limited by the scope of our engagement, which scope includes the delivery of this opinion letter. We do not represent the Company with respect to all legal matters or issues. The Company may employ other independent counsel and, to our knowledge, handles certain legal matters and issues without the assistance of independent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Shares and the Warrant Shares, we express no opinion to the extent that, notwithstanding the Company’s current reservation of shares of Common Stock, future issuances of securities of the Company, including the Notes Shares and the Warrant Shares and/or anti-dilution adjustments to outstanding securities of the Company, including the January 2024 Notes, the Remus Note and the Warrants, may cause the January 2024 Notes, the PIK Interest thereon, the Remus Note, the PIK Interest thereon and/or the Warrants to be exercisable for more shares of Common Stock than the number that then remain authorized but unissued. Further, we have assumed that the exercise price of the Warrants will not be adjusted to an amount below the par value per share of the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and in reliance thereon, and subject to the assumptions, limitations, qualifications and exceptions set forth herein, it is our opinion that: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4"/>
        <w:gridCol w:w="10014"/>
      </w:tblGrid>
      <w:tr>
        <w:trPr/>
        <w:tc>
          <w:tcPr>
            <w:tcW w:w="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pPr>
            <w:r>
              <w:rPr/>
              <w:t>1.</w:t>
            </w:r>
          </w:p>
        </w:tc>
        <w:tc>
          <w:tcPr>
            <w:tcW w:w="10014" w:type="dxa"/>
            <w:tcBorders/>
            <w:vAlign w:val="center"/>
          </w:tcPr>
          <w:p>
            <w:pPr>
              <w:pStyle w:val="TableContents"/>
              <w:bidi w:val="0"/>
              <w:spacing w:before="0" w:after="283"/>
              <w:jc w:val="left"/>
              <w:rPr/>
            </w:pPr>
            <w:r>
              <w:rPr/>
              <w:t>The Notes Shares have been duly authorized by all necessary corporate action on the part of the Company and, when and if issued upon conversion of the January 2024 Notes or the PIK Interest thereon in accordance with the terms of the January 2024 Notes or upon conversion of the Remus Note or the PIK Interest thereon, as applicable, will be validly issued, fully paid and nonassessable.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1"/>
        <w:gridCol w:w="10007"/>
      </w:tblGrid>
      <w:tr>
        <w:trPr/>
        <w:tc>
          <w:tcPr>
            <w:tcW w:w="3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2.</w:t>
            </w:r>
          </w:p>
        </w:tc>
        <w:tc>
          <w:tcPr>
            <w:tcW w:w="10007" w:type="dxa"/>
            <w:tcBorders/>
            <w:vAlign w:val="center"/>
          </w:tcPr>
          <w:p>
            <w:pPr>
              <w:pStyle w:val="TableContents"/>
              <w:bidi w:val="0"/>
              <w:spacing w:before="0" w:after="283"/>
              <w:jc w:val="left"/>
              <w:rPr/>
            </w:pPr>
            <w:r>
              <w:rPr/>
              <w:t>The Warrant Shares have been duly authorized by all necessary corporate action on the part of the Company and, when and if issued upon exercise of the Warrants in accordance with the terms of the respective Warrants, will be validly issued, fully paid and nonassessable.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964565" cy="306070"/>
            <wp:effectExtent l="0" t="0" r="0" b="0"/>
            <wp:docPr id="6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 descr=""/>
                    <pic:cNvPicPr>
                      <a:picLocks noChangeAspect="1" noChangeArrowheads="1"/>
                    </pic:cNvPicPr>
                  </pic:nvPicPr>
                  <pic:blipFill>
                    <a:blip r:embed="rId57"/>
                    <a:stretch>
                      <a:fillRect/>
                    </a:stretch>
                  </pic:blipFill>
                  <pic:spPr bwMode="auto">
                    <a:xfrm>
                      <a:off x="0" y="0"/>
                      <a:ext cx="964565" cy="30607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Presto Automation Inc. </w:t>
        <w:br/>
        <w:t xml:space="preserve">April 4, 2024 </w:t>
        <w:br/>
        <w:t>Page 5</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3"/>
        <w:gridCol w:w="10005"/>
      </w:tblGrid>
      <w:tr>
        <w:trPr/>
        <w:tc>
          <w:tcPr>
            <w:tcW w:w="3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pPr>
            <w:r>
              <w:rPr/>
              <w:t>3.</w:t>
            </w:r>
          </w:p>
        </w:tc>
        <w:tc>
          <w:tcPr>
            <w:tcW w:w="10005" w:type="dxa"/>
            <w:tcBorders/>
            <w:vAlign w:val="center"/>
          </w:tcPr>
          <w:p>
            <w:pPr>
              <w:pStyle w:val="TableContents"/>
              <w:bidi w:val="0"/>
              <w:spacing w:before="0" w:after="283"/>
              <w:jc w:val="left"/>
              <w:rPr/>
            </w:pPr>
            <w:r>
              <w:rPr/>
              <w:t>The Resale Shares (other than the Notes Shares, the Warrant Shares and the Remaining Anti-Dilution Shares) have been duly authorized by all necessary corporate action on the part of the Company, and are validly issued, fully paid and nonassessable.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5"/>
        <w:gridCol w:w="10003"/>
      </w:tblGrid>
      <w:tr>
        <w:trPr/>
        <w:tc>
          <w:tcPr>
            <w:tcW w:w="3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pPr>
            <w:r>
              <w:rPr/>
              <w:t>4.</w:t>
            </w:r>
          </w:p>
        </w:tc>
        <w:tc>
          <w:tcPr>
            <w:tcW w:w="10003" w:type="dxa"/>
            <w:tcBorders/>
            <w:vAlign w:val="center"/>
          </w:tcPr>
          <w:p>
            <w:pPr>
              <w:pStyle w:val="TableContents"/>
              <w:bidi w:val="0"/>
              <w:spacing w:before="0" w:after="283"/>
              <w:jc w:val="left"/>
              <w:rPr/>
            </w:pPr>
            <w:r>
              <w:rPr/>
              <w:t>The Remaining Anti-Dilution Shares have been duly authorized by all necessary corporate action on the part of the Company and, when and if issued upon shareholder approval, will be validly issued, fully paid and nonassessable.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limiting any of the other limitations, exceptions, assumptions and qualifications stated elsewhere herein, we express no opinion with regard to the applicability or effect of the laws of any jurisdiction other than the laws of the State of New York and the General Corporation Law of the State of Delaware as in effect on the date hereof. We are not rendering any opinion as to compliance with any federal or state antifraud law, rule or regulation relating to securities, or to the sale or issuance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deals only with the specified legal issues expressly addressed herein, and you should not infer any opinion that is not explicitly stated herein from any matter addressed in this opinion letter. This opinion letter is rendered solely in connection with the Registration Statement and may be relied upon by you and by persons entitled to rely upon it pursuant to the applicable provisions of the Securities Act solely for such purpose. This opinion letter is rendered as of the date hereof, and we assume no obligation to advise you or any other person with regard to any change after the date hereof in the circumstances or the law that may bear on the matters set forth herein even if the change may affect the legal analysis or a legal conclusion or other matters in this opinion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letter as Exhibit 5.1 to the Registration Statement and to the reference to our firm in the Prospectus under the heading “Legal Matters.” In giving such consent, we do not hereby admit that we are within the category of persons whose consent is required under Section 7 of the Securities Act or the rules or regulations of the Commission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Paul Hastings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9" w:name="tm246736d4_ex23-1.htm"/>
      <w:bookmarkStart w:id="20" w:name="kstm246736d4_ex231"/>
      <w:bookmarkEnd w:id="19"/>
      <w:bookmarkEnd w:id="20"/>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on Form S-3 of Presto Automation Inc. of our report dated October 10, 2023, relating to the consolidated financial statements of Presto Automation Inc. (the “Company”) (which report expresses an unqualified opinion and includes explanatory paragraphs relating to a going concern uncertainty and the adoption of a new accounting standard), appearing in the Annual Report on Form 10-K of the Company for the year ended June 30, 2023, filed with the Securities and Exchange Commission. We also consent to the reference to us under the heading “Experts” in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Moss Adams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Campbell, California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4,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ind w:left="0" w:right="0" w:hanging="0"/>
        <w:jc w:val="left"/>
        <w:rPr/>
      </w:pPr>
      <w:bookmarkStart w:id="21" w:name="tm246736d4_ex-filingfees.htm"/>
      <w:bookmarkStart w:id="22" w:name="kstm246736d4_exfilingfees"/>
      <w:bookmarkEnd w:id="21"/>
      <w:bookmarkEnd w:id="22"/>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Calculation of Filing Fee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Type)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Presto Automation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1 – Newly Registered Securities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118" w:type="dxa"/>
          <w:bottom w:w="28" w:type="dxa"/>
          <w:right w:w="118" w:type="dxa"/>
        </w:tblCellMar>
      </w:tblPr>
      <w:tblGrid>
        <w:gridCol w:w="544"/>
        <w:gridCol w:w="725"/>
        <w:gridCol w:w="2587"/>
        <w:gridCol w:w="1010"/>
        <w:gridCol w:w="1027"/>
        <w:gridCol w:w="905"/>
        <w:gridCol w:w="1310"/>
        <w:gridCol w:w="1010"/>
        <w:gridCol w:w="1087"/>
      </w:tblGrid>
      <w:tr>
        <w:trPr/>
        <w:tc>
          <w:tcPr>
            <w:tcW w:w="54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w:t>
            </w:r>
          </w:p>
        </w:tc>
        <w:tc>
          <w:tcPr>
            <w:tcW w:w="72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Security</w:t>
              <w:br/>
              <w:t>Type</w:t>
            </w:r>
          </w:p>
        </w:tc>
        <w:tc>
          <w:tcPr>
            <w:tcW w:w="2587"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Security Class Title</w:t>
            </w:r>
          </w:p>
        </w:tc>
        <w:tc>
          <w:tcPr>
            <w:tcW w:w="101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Fee</w:t>
              <w:br/>
              <w:t>Calculation</w:t>
              <w:br/>
              <w:t>or Carry</w:t>
              <w:br/>
              <w:t>Forward</w:t>
              <w:br/>
              <w:t>Rule</w:t>
            </w:r>
          </w:p>
        </w:tc>
        <w:tc>
          <w:tcPr>
            <w:tcW w:w="1027"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rFonts w:ascii="Times New Roman;Times;Serif" w:hAnsi="Times New Roman;Times;Serif"/>
                <w:b/>
                <w:sz w:val="20"/>
              </w:rPr>
              <w:t>Amount</w:t>
              <w:br/>
              <w:t>Registered</w:t>
            </w:r>
            <w:r>
              <w:rPr>
                <w:b/>
              </w:rPr>
              <w:t>(1)</w:t>
            </w:r>
          </w:p>
        </w:tc>
        <w:tc>
          <w:tcPr>
            <w:tcW w:w="90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Proposed</w:t>
              <w:br/>
              <w:t>Maximum</w:t>
              <w:br/>
              <w:t>Offering</w:t>
              <w:br/>
              <w:t>Price Per</w:t>
              <w:br/>
              <w:t>Unit(2)</w:t>
            </w:r>
          </w:p>
        </w:tc>
        <w:tc>
          <w:tcPr>
            <w:tcW w:w="131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Maximum</w:t>
              <w:br/>
              <w:t>Aggregate</w:t>
              <w:br/>
              <w:t>Offering Price</w:t>
            </w:r>
          </w:p>
        </w:tc>
        <w:tc>
          <w:tcPr>
            <w:tcW w:w="101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Fee Rate</w:t>
            </w:r>
          </w:p>
        </w:tc>
        <w:tc>
          <w:tcPr>
            <w:tcW w:w="1087"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 of</w:t>
              <w:br/>
              <w:t>Registration</w:t>
              <w:br/>
              <w:t>Fee</w:t>
            </w:r>
          </w:p>
        </w:tc>
      </w:tr>
      <w:tr>
        <w:trPr/>
        <w:tc>
          <w:tcPr>
            <w:tcW w:w="54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Fees to Be Paid</w:t>
            </w:r>
          </w:p>
        </w:tc>
        <w:tc>
          <w:tcPr>
            <w:tcW w:w="7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Equity</w:t>
            </w:r>
          </w:p>
        </w:tc>
        <w:tc>
          <w:tcPr>
            <w:tcW w:w="258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Common Stock, par value $0.0001 per share (“Common Stock”), issuable upon the conversion of the January 2024 Notes</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457(c)</w:t>
            </w:r>
          </w:p>
        </w:tc>
        <w:tc>
          <w:tcPr>
            <w:tcW w:w="102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36,000,000</w:t>
            </w:r>
          </w:p>
        </w:tc>
        <w:tc>
          <w:tcPr>
            <w:tcW w:w="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$0.17</w:t>
            </w:r>
          </w:p>
        </w:tc>
        <w:tc>
          <w:tcPr>
            <w:tcW w:w="1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$6,120,000.00</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0.00014760</w:t>
            </w:r>
          </w:p>
        </w:tc>
        <w:tc>
          <w:tcPr>
            <w:tcW w:w="108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$903.31</w:t>
            </w:r>
          </w:p>
        </w:tc>
      </w:tr>
      <w:tr>
        <w:trPr/>
        <w:tc>
          <w:tcPr>
            <w:tcW w:w="54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Fees to Be Paid</w:t>
            </w:r>
          </w:p>
        </w:tc>
        <w:tc>
          <w:tcPr>
            <w:tcW w:w="7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Equity</w:t>
            </w:r>
          </w:p>
        </w:tc>
        <w:tc>
          <w:tcPr>
            <w:tcW w:w="258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Common Stock, issuable upon the conversion of capitalized pay-in-kind interest on the January 2024 Notes</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457(c)</w:t>
            </w:r>
          </w:p>
        </w:tc>
        <w:tc>
          <w:tcPr>
            <w:tcW w:w="102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10,799,549</w:t>
            </w:r>
          </w:p>
        </w:tc>
        <w:tc>
          <w:tcPr>
            <w:tcW w:w="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$0.17</w:t>
            </w:r>
          </w:p>
        </w:tc>
        <w:tc>
          <w:tcPr>
            <w:tcW w:w="1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$1,835,923.33</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0.00014760</w:t>
            </w:r>
          </w:p>
        </w:tc>
        <w:tc>
          <w:tcPr>
            <w:tcW w:w="108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$270.98</w:t>
            </w:r>
          </w:p>
        </w:tc>
      </w:tr>
      <w:tr>
        <w:trPr/>
        <w:tc>
          <w:tcPr>
            <w:tcW w:w="54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Fees to Be Paid</w:t>
            </w:r>
          </w:p>
        </w:tc>
        <w:tc>
          <w:tcPr>
            <w:tcW w:w="7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Equity</w:t>
            </w:r>
          </w:p>
        </w:tc>
        <w:tc>
          <w:tcPr>
            <w:tcW w:w="258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Common Stock issuable upon the conversion of the Remus Note</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457(c)</w:t>
            </w:r>
          </w:p>
        </w:tc>
        <w:tc>
          <w:tcPr>
            <w:tcW w:w="102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3,840,000</w:t>
            </w:r>
          </w:p>
        </w:tc>
        <w:tc>
          <w:tcPr>
            <w:tcW w:w="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$0.17</w:t>
            </w:r>
          </w:p>
        </w:tc>
        <w:tc>
          <w:tcPr>
            <w:tcW w:w="1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$652,800.00</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0.00014760</w:t>
            </w:r>
          </w:p>
        </w:tc>
        <w:tc>
          <w:tcPr>
            <w:tcW w:w="108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$96.35</w:t>
            </w:r>
          </w:p>
        </w:tc>
      </w:tr>
      <w:tr>
        <w:trPr/>
        <w:tc>
          <w:tcPr>
            <w:tcW w:w="54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Fees to Be Paid</w:t>
            </w:r>
          </w:p>
        </w:tc>
        <w:tc>
          <w:tcPr>
            <w:tcW w:w="7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Equity</w:t>
            </w:r>
          </w:p>
        </w:tc>
        <w:tc>
          <w:tcPr>
            <w:tcW w:w="258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Common Stock, issuable upon the conversion of capitalized pay-in-kind interest on the Remus Note</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457(c)</w:t>
            </w:r>
          </w:p>
        </w:tc>
        <w:tc>
          <w:tcPr>
            <w:tcW w:w="102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1,100,665</w:t>
            </w:r>
          </w:p>
        </w:tc>
        <w:tc>
          <w:tcPr>
            <w:tcW w:w="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$0.17</w:t>
            </w:r>
          </w:p>
        </w:tc>
        <w:tc>
          <w:tcPr>
            <w:tcW w:w="1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$187,113.05</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0.00014760</w:t>
            </w:r>
          </w:p>
        </w:tc>
        <w:tc>
          <w:tcPr>
            <w:tcW w:w="108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$27.62</w:t>
            </w:r>
          </w:p>
        </w:tc>
      </w:tr>
      <w:tr>
        <w:trPr/>
        <w:tc>
          <w:tcPr>
            <w:tcW w:w="54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Fees to Be Paid</w:t>
            </w:r>
          </w:p>
        </w:tc>
        <w:tc>
          <w:tcPr>
            <w:tcW w:w="7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Equity</w:t>
            </w:r>
          </w:p>
        </w:tc>
        <w:tc>
          <w:tcPr>
            <w:tcW w:w="258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Common Stock, issuable upon the exercise of warrants  </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457(c)</w:t>
            </w:r>
          </w:p>
        </w:tc>
        <w:tc>
          <w:tcPr>
            <w:tcW w:w="102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8,517,278</w:t>
            </w:r>
          </w:p>
        </w:tc>
        <w:tc>
          <w:tcPr>
            <w:tcW w:w="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$0.17</w:t>
            </w:r>
          </w:p>
        </w:tc>
        <w:tc>
          <w:tcPr>
            <w:tcW w:w="1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$1,447,937.26</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0.00014760</w:t>
            </w:r>
          </w:p>
        </w:tc>
        <w:tc>
          <w:tcPr>
            <w:tcW w:w="108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$213.72</w:t>
            </w:r>
          </w:p>
        </w:tc>
      </w:tr>
      <w:tr>
        <w:trPr/>
        <w:tc>
          <w:tcPr>
            <w:tcW w:w="54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Fees to Be Paid</w:t>
            </w:r>
          </w:p>
        </w:tc>
        <w:tc>
          <w:tcPr>
            <w:tcW w:w="7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Equity</w:t>
            </w:r>
          </w:p>
        </w:tc>
        <w:tc>
          <w:tcPr>
            <w:tcW w:w="258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Common Stock, issuable upon the exercise of warrants  </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457(c)</w:t>
            </w:r>
          </w:p>
        </w:tc>
        <w:tc>
          <w:tcPr>
            <w:tcW w:w="102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21,000,000</w:t>
            </w:r>
          </w:p>
        </w:tc>
        <w:tc>
          <w:tcPr>
            <w:tcW w:w="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$0.17</w:t>
            </w:r>
          </w:p>
        </w:tc>
        <w:tc>
          <w:tcPr>
            <w:tcW w:w="1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$3,570,000.00</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0.00014760</w:t>
            </w:r>
          </w:p>
        </w:tc>
        <w:tc>
          <w:tcPr>
            <w:tcW w:w="108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$526.93</w:t>
            </w:r>
          </w:p>
        </w:tc>
      </w:tr>
      <w:tr>
        <w:trPr/>
        <w:tc>
          <w:tcPr>
            <w:tcW w:w="54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Fees to Be Paid</w:t>
            </w:r>
          </w:p>
        </w:tc>
        <w:tc>
          <w:tcPr>
            <w:tcW w:w="7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Equity</w:t>
            </w:r>
          </w:p>
        </w:tc>
        <w:tc>
          <w:tcPr>
            <w:tcW w:w="258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Common Stock</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457(c)</w:t>
            </w:r>
          </w:p>
        </w:tc>
        <w:tc>
          <w:tcPr>
            <w:tcW w:w="102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10,500,000</w:t>
            </w:r>
          </w:p>
        </w:tc>
        <w:tc>
          <w:tcPr>
            <w:tcW w:w="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$0.17</w:t>
            </w:r>
          </w:p>
        </w:tc>
        <w:tc>
          <w:tcPr>
            <w:tcW w:w="1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$1,785,000.00</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0.00014760</w:t>
            </w:r>
          </w:p>
        </w:tc>
        <w:tc>
          <w:tcPr>
            <w:tcW w:w="108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$263.47</w:t>
            </w:r>
          </w:p>
        </w:tc>
      </w:tr>
      <w:tr>
        <w:trPr/>
        <w:tc>
          <w:tcPr>
            <w:tcW w:w="54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Fees to Be Paid</w:t>
            </w:r>
          </w:p>
        </w:tc>
        <w:tc>
          <w:tcPr>
            <w:tcW w:w="7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Equity</w:t>
            </w:r>
          </w:p>
        </w:tc>
        <w:tc>
          <w:tcPr>
            <w:tcW w:w="258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Common Stock</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457(c)</w:t>
            </w:r>
          </w:p>
        </w:tc>
        <w:tc>
          <w:tcPr>
            <w:tcW w:w="102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12,000,000</w:t>
            </w:r>
          </w:p>
        </w:tc>
        <w:tc>
          <w:tcPr>
            <w:tcW w:w="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$0.17</w:t>
            </w:r>
          </w:p>
        </w:tc>
        <w:tc>
          <w:tcPr>
            <w:tcW w:w="1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$2,040,000.00</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0.00014760</w:t>
            </w:r>
          </w:p>
        </w:tc>
        <w:tc>
          <w:tcPr>
            <w:tcW w:w="108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$301.10</w:t>
            </w:r>
          </w:p>
        </w:tc>
      </w:tr>
      <w:tr>
        <w:trPr/>
        <w:tc>
          <w:tcPr>
            <w:tcW w:w="54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6254" w:type="dxa"/>
            <w:gridSpan w:val="5"/>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Offering Amounts</w:t>
            </w:r>
          </w:p>
        </w:tc>
        <w:tc>
          <w:tcPr>
            <w:tcW w:w="1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$17,638,773.64</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w:t>
            </w:r>
          </w:p>
        </w:tc>
        <w:tc>
          <w:tcPr>
            <w:tcW w:w="108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$2,603.48</w:t>
            </w:r>
          </w:p>
        </w:tc>
      </w:tr>
      <w:tr>
        <w:trPr/>
        <w:tc>
          <w:tcPr>
            <w:tcW w:w="54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6254" w:type="dxa"/>
            <w:gridSpan w:val="5"/>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Fees Previously Paid</w:t>
            </w:r>
          </w:p>
        </w:tc>
        <w:tc>
          <w:tcPr>
            <w:tcW w:w="1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w:t>
            </w:r>
          </w:p>
        </w:tc>
        <w:tc>
          <w:tcPr>
            <w:tcW w:w="108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w:t>
            </w:r>
          </w:p>
        </w:tc>
      </w:tr>
      <w:tr>
        <w:trPr/>
        <w:tc>
          <w:tcPr>
            <w:tcW w:w="54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6254" w:type="dxa"/>
            <w:gridSpan w:val="5"/>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Fee Offsets</w:t>
            </w:r>
          </w:p>
        </w:tc>
        <w:tc>
          <w:tcPr>
            <w:tcW w:w="1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w:t>
            </w:r>
          </w:p>
        </w:tc>
        <w:tc>
          <w:tcPr>
            <w:tcW w:w="108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w:t>
            </w:r>
          </w:p>
        </w:tc>
      </w:tr>
      <w:tr>
        <w:trPr/>
        <w:tc>
          <w:tcPr>
            <w:tcW w:w="54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6254" w:type="dxa"/>
            <w:gridSpan w:val="5"/>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Net Fee Due</w:t>
            </w:r>
          </w:p>
        </w:tc>
        <w:tc>
          <w:tcPr>
            <w:tcW w:w="1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w:t>
            </w:r>
          </w:p>
        </w:tc>
        <w:tc>
          <w:tcPr>
            <w:tcW w:w="108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$2,603.48</w:t>
            </w:r>
          </w:p>
        </w:tc>
      </w:tr>
    </w:tbl>
    <w:p>
      <w:pPr>
        <w:pStyle w:val="TextBody"/>
        <w:bidi w:val="0"/>
        <w:spacing w:before="0" w:after="0"/>
        <w:ind w:left="0" w:right="0"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6"/>
        <w:gridCol w:w="9972"/>
      </w:tblGrid>
      <w:tr>
        <w:trPr/>
        <w:tc>
          <w:tcPr>
            <w:tcW w:w="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72" w:type="dxa"/>
            <w:tcBorders/>
            <w:vAlign w:val="center"/>
          </w:tcPr>
          <w:p>
            <w:pPr>
              <w:pStyle w:val="TableContents"/>
              <w:bidi w:val="0"/>
              <w:spacing w:before="0" w:after="283"/>
              <w:jc w:val="left"/>
              <w:rPr/>
            </w:pPr>
            <w:r>
              <w:rPr>
                <w:rFonts w:ascii="Times New Roman;Times;Serif" w:hAnsi="Times New Roman;Times;Serif"/>
                <w:sz w:val="20"/>
                <w:shd w:fill="FFFFFF" w:val="clear"/>
              </w:rPr>
              <w:t xml:space="preserve">Consists of a maximum of </w:t>
            </w:r>
            <w:r>
              <w:rPr/>
              <w:t xml:space="preserve">102,673,474 </w:t>
            </w:r>
            <w:r>
              <w:rPr>
                <w:shd w:fill="FFFFFF" w:val="clear"/>
              </w:rPr>
              <w:t>shares of Common Stock to be sold by the selling stockholders. Pursuant to Rule 416(a) of the Securities Act of 1933, as amended (the “Securities Act”), this Registration Statement shall also cover any additional shares of the Registrant’s Common Stock in connection with any stock dividend, stock split, recapitalization or other similar transaction effected without receipt of consideration that increases the number of outstanding shares of Common Stock.</w:t>
            </w:r>
          </w:p>
        </w:tc>
      </w:tr>
    </w:tbl>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(2)</w:t>
            </w:r>
          </w:p>
        </w:tc>
        <w:tc>
          <w:tcPr>
            <w:tcW w:w="9936" w:type="dxa"/>
            <w:tcBorders/>
            <w:vAlign w:val="center"/>
          </w:tcPr>
          <w:p>
            <w:pPr>
              <w:pStyle w:val="TableContents"/>
              <w:bidi w:val="0"/>
              <w:spacing w:before="0" w:after="283"/>
              <w:jc w:val="left"/>
              <w:rPr/>
            </w:pPr>
            <w:r>
              <w:rPr/>
              <w:t>Estimated solely for the purpose of calculating the registration fee pursuant to Rules 457(c) of the Securities Act. The proposed maximum offering price per share and the proposed maximum aggregate offering price with respect to the shares are calculated based on $0.17 per share, the average of the high and low prices of the Common Stock, as reported on the Nasdaq Global Market on March 28,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Helvetica">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ix?doc=/Archives/edgar/data/1822145/000155837023016336/prst-20230630x10k.htm" TargetMode="External"/><Relationship Id="rId3" Type="http://schemas.openxmlformats.org/officeDocument/2006/relationships/hyperlink" Target="http://www.sec.gov/ix?doc=/Archives/edgar/data/1822145/000155837023016336/prst-20230630x10k.htm" TargetMode="External"/><Relationship Id="rId4" Type="http://schemas.openxmlformats.org/officeDocument/2006/relationships/hyperlink" Target="http://www.sec.gov/ix?doc=/Archives/edgar/data/1822145/000155837023016336/prst-20230630x10k.htm" TargetMode="External"/><Relationship Id="rId5" Type="http://schemas.openxmlformats.org/officeDocument/2006/relationships/hyperlink" Target="http://www.sec.gov/ix?doc=/Archives/edgar/data/1822145/000155837023016408/prst-20230630x10ka.htm" TargetMode="External"/><Relationship Id="rId6" Type="http://schemas.openxmlformats.org/officeDocument/2006/relationships/hyperlink" Target="http://www.sec.gov/ix?doc=/Archives/edgar/data/1822145/000155837023019254/prst-20230930x10q.htm" TargetMode="External"/><Relationship Id="rId7" Type="http://schemas.openxmlformats.org/officeDocument/2006/relationships/hyperlink" Target="https://www.sec.gov/ix?doc=/Archives/edgar/data/1822145/000155837024001375/prst-20231231x10q.htm" TargetMode="External"/><Relationship Id="rId8" Type="http://schemas.openxmlformats.org/officeDocument/2006/relationships/hyperlink" Target="http://www.sec.gov/ix?doc=/Archives/edgar/data/1822145/000110465923086535/tm2322640d1_8k.htm" TargetMode="External"/><Relationship Id="rId9" Type="http://schemas.openxmlformats.org/officeDocument/2006/relationships/hyperlink" Target="http://www.sec.gov/ix?doc=/Archives/edgar/data/1822145/000110465923097311/tm2325309d1_8k.htm" TargetMode="External"/><Relationship Id="rId10" Type="http://schemas.openxmlformats.org/officeDocument/2006/relationships/hyperlink" Target="http://www.sec.gov/ix?doc=/Archives/edgar/data/1822145/000101376223002979/ea186564-8k_prestoauto.htm" TargetMode="External"/><Relationship Id="rId11" Type="http://schemas.openxmlformats.org/officeDocument/2006/relationships/hyperlink" Target="http://www.sec.gov/ix?doc=/Archives/edgar/data/1822145/000101376223005246/ea187043-8k_prestoauto.htm" TargetMode="External"/><Relationship Id="rId12" Type="http://schemas.openxmlformats.org/officeDocument/2006/relationships/hyperlink" Target="http://www.sec.gov/ix?doc=/Archives/edgar/data/1822145/000121390023089293/ea188717-8k_presto.htm" TargetMode="External"/><Relationship Id="rId13" Type="http://schemas.openxmlformats.org/officeDocument/2006/relationships/hyperlink" Target="http://www.sec.gov/ix?doc=/Archives/edgar/data/1822145/000155837023019477/prst-20231129x8k.htm" TargetMode="External"/><Relationship Id="rId14" Type="http://schemas.openxmlformats.org/officeDocument/2006/relationships/hyperlink" Target="http://www.sec.gov/ix?doc=/Archives/edgar/data/1822145/000155837023019744/prst-20231206x8k.htm" TargetMode="External"/><Relationship Id="rId15" Type="http://schemas.openxmlformats.org/officeDocument/2006/relationships/hyperlink" Target="http://www.sec.gov/ix?doc=/Archives/edgar/data/1822145/000121390023095635/ea190049-8k_presto.htm" TargetMode="External"/><Relationship Id="rId16" Type="http://schemas.openxmlformats.org/officeDocument/2006/relationships/hyperlink" Target="http://www.sec.gov/ix?doc=/Archives/edgar/data/1822145/000121390023098185/ea190594-8k_presto.htm" TargetMode="External"/><Relationship Id="rId17" Type="http://schemas.openxmlformats.org/officeDocument/2006/relationships/hyperlink" Target="http://www.sec.gov/ix?doc=/Archives/edgar/data/1822145/000155837024000064/prst-20231228x8k.htm" TargetMode="External"/><Relationship Id="rId18" Type="http://schemas.openxmlformats.org/officeDocument/2006/relationships/hyperlink" Target="http://www.sec.gov/ix?doc=/Archives/edgar/data/1822145/000110465924005627/tm243773d1_8k.htm" TargetMode="External"/><Relationship Id="rId19" Type="http://schemas.openxmlformats.org/officeDocument/2006/relationships/hyperlink" Target="http://www.sec.gov/ix?doc=/Archives/edgar/data/1822145/000121390024009098/ea192676-8k_presto.htm" TargetMode="External"/><Relationship Id="rId20" Type="http://schemas.openxmlformats.org/officeDocument/2006/relationships/hyperlink" Target="http://www.sec.gov/ix?doc=/Archives/edgar/data/1822145/000110465924010183/tm244871d1_8k.htm" TargetMode="External"/><Relationship Id="rId21" Type="http://schemas.openxmlformats.org/officeDocument/2006/relationships/hyperlink" Target="http://www.sec.gov/ix?doc=/Archives/edgar/data/1822145/000110465924025618/tm246736d1_8ka.htm" TargetMode="External"/><Relationship Id="rId22" Type="http://schemas.openxmlformats.org/officeDocument/2006/relationships/hyperlink" Target="http://www.sec.gov/ix?doc=/Archives/edgar/data/1822145/000110465924012313/tm245632d1_8k.htm" TargetMode="External"/><Relationship Id="rId23" Type="http://schemas.openxmlformats.org/officeDocument/2006/relationships/hyperlink" Target="https://www.sec.gov/ix?doc=/Archives/edgar/data/1822145/000110465924029415/tm247433d1_8k.htm" TargetMode="External"/><Relationship Id="rId24" Type="http://schemas.openxmlformats.org/officeDocument/2006/relationships/hyperlink" Target="https://www.sec.gov/ix?doc=/Archives/edgar/data/1822145/000110465924030518/tm246736d5_8k.htm" TargetMode="External"/><Relationship Id="rId25" Type="http://schemas.openxmlformats.org/officeDocument/2006/relationships/hyperlink" Target="https://www.sec.gov/ix?doc=/Archives/edgar/data/1822145/000110465924032703/tm248423d1_8k.htm" TargetMode="External"/><Relationship Id="rId26" Type="http://schemas.openxmlformats.org/officeDocument/2006/relationships/hyperlink" Target="https://www.sec.gov/ix?doc=/Archives/edgar/data/1822145/000110465924035601/tm249131d1_8k.htm" TargetMode="External"/><Relationship Id="rId27" Type="http://schemas.openxmlformats.org/officeDocument/2006/relationships/hyperlink" Target="https://www.sec.gov/ix?doc=/Archives/edgar/data/1822145/000110465924037407/tm249250d1_8k.htm" TargetMode="External"/><Relationship Id="rId28" Type="http://schemas.openxmlformats.org/officeDocument/2006/relationships/hyperlink" Target="http://www.sec.gov/Archives/edgar/data/1822145/000121390020044238/ea131985-8a12b_ventouxccm.htm" TargetMode="External"/><Relationship Id="rId29" Type="http://schemas.openxmlformats.org/officeDocument/2006/relationships/hyperlink" Target="http://www.sec.gov/Archives/edgar/data/1822145/000155837023016336/prst-20230630xex4d1.htm" TargetMode="External"/><Relationship Id="rId30" Type="http://schemas.openxmlformats.org/officeDocument/2006/relationships/hyperlink" Target="http://www.sec.gov/Archives/edgar/data/1822145/000121390021058217/ea150262ex2-1_ventouxccm.htm" TargetMode="External"/><Relationship Id="rId31" Type="http://schemas.openxmlformats.org/officeDocument/2006/relationships/hyperlink" Target="http://www.sec.gov/Archives/edgar/data/1822145/000121390022017828/ea157923ex2-1_ventoux.htm" TargetMode="External"/><Relationship Id="rId32" Type="http://schemas.openxmlformats.org/officeDocument/2006/relationships/hyperlink" Target="http://www.sec.gov/Archives/edgar/data/1822145/000121390022041523/ea163294ex2-1_ventoux.htm" TargetMode="External"/><Relationship Id="rId33" Type="http://schemas.openxmlformats.org/officeDocument/2006/relationships/hyperlink" Target="http://www.sec.gov/Archives/edgar/data/1822145/000121390022059478/ea166244ex3-1_prestoauto.htm" TargetMode="External"/><Relationship Id="rId34" Type="http://schemas.openxmlformats.org/officeDocument/2006/relationships/hyperlink" Target="http://www.sec.gov/Archives/edgar/data/1822145/000121390022059478/ea166244ex3-2_prestoauto.htm" TargetMode="External"/><Relationship Id="rId35" Type="http://schemas.openxmlformats.org/officeDocument/2006/relationships/hyperlink" Target="https://www.sec.gov/Archives/edgar/data/1822145/000101376223005445/ea186966ex4-36_prestoauto.htm" TargetMode="External"/><Relationship Id="rId36" Type="http://schemas.openxmlformats.org/officeDocument/2006/relationships/hyperlink" Target="https://www.sec.gov/Archives/edgar/data/1822145/000110465924037407/tm249250d1_ex10-10.htm" TargetMode="External"/><Relationship Id="rId37" Type="http://schemas.openxmlformats.org/officeDocument/2006/relationships/hyperlink" Target="https://www.sec.gov/Archives/edgar/data/1822145/000110465924037407/tm249250d1_ex10-11.htm" TargetMode="External"/><Relationship Id="rId38" Type="http://schemas.openxmlformats.org/officeDocument/2006/relationships/hyperlink" Target="https://www.sec.gov/Archives/edgar/data/1822145/000110465924037407/tm249250d1_ex10-12.htm" TargetMode="External"/><Relationship Id="rId39" Type="http://schemas.openxmlformats.org/officeDocument/2006/relationships/hyperlink" Target="https://www.sec.gov/Archives/edgar/data/1822145/000110465924037407/tm249250d1_ex10-13.htm" TargetMode="External"/><Relationship Id="rId40" Type="http://schemas.openxmlformats.org/officeDocument/2006/relationships/hyperlink" Target="https://www.sec.gov/Archives/edgar/data/1822145/000110465924010183/tm244871d1_ex10-2.htm" TargetMode="External"/><Relationship Id="rId41" Type="http://schemas.openxmlformats.org/officeDocument/2006/relationships/hyperlink" Target="https://www.sec.gov/Archives/edgar/data/1822145/000110465924010183/tm244871d1_ex10-3.htm" TargetMode="External"/><Relationship Id="rId42" Type="http://schemas.openxmlformats.org/officeDocument/2006/relationships/hyperlink" Target="https://www.sec.gov/Archives/edgar/data/1822145/000110465924037407/tm249250d1_ex10-6.htm" TargetMode="External"/><Relationship Id="rId43" Type="http://schemas.openxmlformats.org/officeDocument/2006/relationships/hyperlink" Target="https://www.sec.gov/Archives/edgar/data/1822145/000110465924037407/tm249250d1_ex10-7.htm" TargetMode="External"/><Relationship Id="rId44" Type="http://schemas.openxmlformats.org/officeDocument/2006/relationships/hyperlink" Target="https://www.sec.gov/Archives/edgar/data/1822145/000110465924037407/tm249250d1_ex10-8.htm" TargetMode="External"/><Relationship Id="rId45" Type="http://schemas.openxmlformats.org/officeDocument/2006/relationships/hyperlink" Target="https://www.sec.gov/Archives/edgar/data/1822145/000110465924037407/tm249250d1_ex10-9.htm" TargetMode="External"/><Relationship Id="rId46" Type="http://schemas.openxmlformats.org/officeDocument/2006/relationships/hyperlink" Target="https://www.sec.gov/Archives/edgar/data/1822145/000110465924030518/tm246736d5_ex10-2.htm" TargetMode="External"/><Relationship Id="rId47" Type="http://schemas.openxmlformats.org/officeDocument/2006/relationships/hyperlink" Target="https://www.sec.gov/Archives/edgar/data/1822145/000110465924030518/tm246736d5_ex10-4.htm" TargetMode="External"/><Relationship Id="rId48" Type="http://schemas.openxmlformats.org/officeDocument/2006/relationships/hyperlink" Target="https://www.sec.gov/Archives/edgar/data/1822145/000110465924037407/tm249250d1_ex10-14.htm" TargetMode="External"/><Relationship Id="rId49" Type="http://schemas.openxmlformats.org/officeDocument/2006/relationships/hyperlink" Target="https://www.sec.gov/Archives/edgar/data/1822145/000121390023089293/ea188717ex10-1_presto.htm" TargetMode="External"/><Relationship Id="rId50" Type="http://schemas.openxmlformats.org/officeDocument/2006/relationships/hyperlink" Target="https://www.sec.gov/Archives/edgar/data/1822145/000110465924010183/tm244871d1_ex10-1.htm" TargetMode="External"/><Relationship Id="rId51" Type="http://schemas.openxmlformats.org/officeDocument/2006/relationships/hyperlink" Target="https://www.sec.gov/Archives/edgar/data/1822145/000110465924010183/tm244871d1_ex10-4.htm" TargetMode="External"/><Relationship Id="rId52" Type="http://schemas.openxmlformats.org/officeDocument/2006/relationships/image" Target="media/image1.jpeg"/><Relationship Id="rId53" Type="http://schemas.openxmlformats.org/officeDocument/2006/relationships/image" Target="media/image2.jpeg"/><Relationship Id="rId54" Type="http://schemas.openxmlformats.org/officeDocument/2006/relationships/image" Target="media/image1.jpeg"/><Relationship Id="rId55" Type="http://schemas.openxmlformats.org/officeDocument/2006/relationships/image" Target="media/image1.jpeg"/><Relationship Id="rId56" Type="http://schemas.openxmlformats.org/officeDocument/2006/relationships/image" Target="media/image1.jpeg"/><Relationship Id="rId57" Type="http://schemas.openxmlformats.org/officeDocument/2006/relationships/image" Target="media/image1.jpeg"/><Relationship Id="rId58" Type="http://schemas.openxmlformats.org/officeDocument/2006/relationships/fontTable" Target="fontTable.xml"/><Relationship Id="rId5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14997</Words>
  <Characters>80563</Characters>
  <CharactersWithSpaces>96525</CharactersWithSpaces>
  <Paragraphs>1771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