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700" w:type="dxa"/>
        <w:tblCellMar>
          <w:top w:w="0" w:type="dxa"/>
          <w:left w:w="0" w:type="dxa"/>
          <w:bottom w:w="0" w:type="dxa"/>
          <w:right w:w="0" w:type="dxa"/>
        </w:tblCellMar>
      </w:tblPr>
      <w:tr>
        <w:trPr>
          <w:trHeight w:val="232"/>
        </w:trPr>
        <w:tc>
          <w:tcPr>
            <w:tcW w:w="6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160" w:type="dxa"/>
            <w:vAlign w:val="bottom"/>
          </w:tcPr>
          <w:p>
            <w:pPr>
              <w:jc w:val="center"/>
              <w:ind w:right="1590"/>
              <w:spacing w:after="0" w:line="194"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340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SEC FILE NUMBER</w:t>
            </w:r>
          </w:p>
        </w:tc>
        <w:tc>
          <w:tcPr>
            <w:tcW w:w="0" w:type="dxa"/>
            <w:vAlign w:val="bottom"/>
          </w:tcPr>
          <w:p>
            <w:pPr>
              <w:spacing w:after="0"/>
              <w:rPr>
                <w:sz w:val="1"/>
                <w:szCs w:val="1"/>
                <w:color w:val="auto"/>
              </w:rPr>
            </w:pPr>
          </w:p>
        </w:tc>
      </w:tr>
      <w:tr>
        <w:trPr>
          <w:trHeight w:val="245"/>
        </w:trPr>
        <w:tc>
          <w:tcPr>
            <w:tcW w:w="6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400" w:type="dxa"/>
            <w:vAlign w:val="bottom"/>
            <w:tcBorders>
              <w:left w:val="single" w:sz="8" w:color="auto"/>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0" w:type="dxa"/>
            <w:vAlign w:val="bottom"/>
          </w:tcPr>
          <w:p>
            <w:pPr>
              <w:spacing w:after="0"/>
              <w:rPr>
                <w:sz w:val="1"/>
                <w:szCs w:val="1"/>
                <w:color w:val="auto"/>
              </w:rPr>
            </w:pPr>
          </w:p>
        </w:tc>
      </w:tr>
      <w:tr>
        <w:trPr>
          <w:trHeight w:val="223"/>
        </w:trPr>
        <w:tc>
          <w:tcPr>
            <w:tcW w:w="616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3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60" w:type="dxa"/>
            <w:vAlign w:val="bottom"/>
            <w:vMerge w:val="continue"/>
          </w:tcPr>
          <w:p>
            <w:pPr>
              <w:spacing w:after="0"/>
              <w:rPr>
                <w:sz w:val="17"/>
                <w:szCs w:val="17"/>
                <w:color w:val="auto"/>
              </w:rPr>
            </w:pPr>
          </w:p>
        </w:tc>
        <w:tc>
          <w:tcPr>
            <w:tcW w:w="340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41"/>
        </w:trPr>
        <w:tc>
          <w:tcPr>
            <w:tcW w:w="616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74113T105</w:t>
            </w:r>
          </w:p>
        </w:tc>
        <w:tc>
          <w:tcPr>
            <w:tcW w:w="0" w:type="dxa"/>
            <w:vAlign w:val="bottom"/>
          </w:tcPr>
          <w:p>
            <w:pPr>
              <w:spacing w:after="0"/>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61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
        <w:spacing w:after="0" w:line="207" w:lineRule="exact"/>
        <w:tabs>
          <w:tab w:leader="none" w:pos="168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p>
    <w:p>
      <w:pPr>
        <w:spacing w:after="0" w:line="63" w:lineRule="exact"/>
        <w:rPr>
          <w:sz w:val="24"/>
          <w:szCs w:val="24"/>
          <w:color w:val="auto"/>
        </w:rPr>
      </w:pPr>
    </w:p>
    <w:p>
      <w:pPr>
        <w:ind w:left="1900" w:hanging="205"/>
        <w:spacing w:after="0" w:line="207" w:lineRule="exact"/>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22" w:lineRule="exact"/>
        <w:rPr>
          <w:sz w:val="24"/>
          <w:szCs w:val="24"/>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700" w:right="7020" w:hanging="5"/>
        <w:spacing w:after="0" w:line="288" w:lineRule="auto"/>
        <w:tabs>
          <w:tab w:leader="none" w:pos="19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7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5" w:lineRule="exact"/>
        <w:rPr>
          <w:sz w:val="20"/>
          <w:szCs w:val="20"/>
          <w:color w:val="auto"/>
        </w:rPr>
      </w:pPr>
    </w:p>
    <w:p>
      <w:pPr>
        <w:ind w:left="920" w:hanging="418"/>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90" w:lineRule="exact"/>
        <w:rPr>
          <w:rFonts w:ascii="Times New Roman" w:cs="Times New Roman" w:eastAsia="Times New Roman" w:hAnsi="Times New Roman"/>
          <w:sz w:val="18"/>
          <w:szCs w:val="18"/>
          <w:color w:val="auto"/>
        </w:rPr>
      </w:pPr>
    </w:p>
    <w:p>
      <w:pPr>
        <w:ind w:left="920" w:hanging="423"/>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920" w:right="400" w:hanging="806"/>
        <w:spacing w:after="0" w:line="200" w:lineRule="auto"/>
        <w:tabs>
          <w:tab w:leader="none" w:pos="92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65" w:lineRule="exact"/>
        <w:rPr>
          <w:rFonts w:ascii="MS PGothic" w:cs="MS PGothic" w:eastAsia="MS PGothic" w:hAnsi="MS PGothic"/>
          <w:sz w:val="36"/>
          <w:szCs w:val="36"/>
          <w:color w:val="auto"/>
          <w:vertAlign w:val="subscript"/>
        </w:rPr>
      </w:pPr>
    </w:p>
    <w:p>
      <w:pPr>
        <w:ind w:left="920" w:hanging="418"/>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Presto Automation Inc. (“Presto” or the “Company”) has determined that it will not be able to file its Quarterly Report on Form 10-Q for the quarterly period ended December 31, 2023 (the “Quarterly Report”) within the prescribed time period as (1) it is still finalizing its financial results and preparing the according disclosures, and (2) it is seeking to appoint an interim chief executive officer following the resignation on February 4, 2024 of the Company’s previous chief executive officer, and will need the time from the extension to seek to do so with respect to both items (1) and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file the Quarterly Report within the five-day extension period provided for under Rule 12b-25.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Stanley Mbugua</w:t>
            </w:r>
          </w:p>
        </w:tc>
        <w:tc>
          <w:tcPr>
            <w:tcW w:w="358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817-9012</w:t>
            </w:r>
          </w:p>
        </w:tc>
      </w:tr>
      <w:tr>
        <w:trPr>
          <w:trHeight w:val="234"/>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6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340" w:hanging="332"/>
        <w:spacing w:after="0" w:line="232"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40" w:hanging="332"/>
        <w:spacing w:after="0" w:line="239"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revenue for the three months ended December 31, 2023 is expected to be $4.9 million, as compared to $7.4 million for the three months ended December 31, 2022. Platform revenue for the three months ended December 31, 2023 is expected to be $2.2 million, as compared to $4.1 million for the three months ended December 31, 2022. Transaction revenue for the three months ended December 31, 2023 is expected to be $2.7 million, as compared to $3.2 million for the three months ended December 31, 2022.</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Total revenue for the six months ended December 31, 2023 is expected to be $9.8 million, as compared to $14.7 million for the six months ended December 31, 2022. Platform revenue for the six months ended December 31, 2023 is expected to be $4.2 million, as compared to $8.5 million for the six months ended December 31, 2022. Transaction revenue for the six months ended December 31, 2023 is expected to be $5.5 million, as compared to $6.2 million for the six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financial results are preliminary, have not been reviewed or audited, and are subject to change in connection with the completion of the reporting process and preparation of the Company’s financial statements. Actual results could vary significantly from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Form 12b-25 may be considered forward-looking statements, including statements with respect to the Company’s expectations with respect to the results of operations for the three and six months ended December 31, 2023 and the Company’s pursuit of an interim Chief Executive Officer. Forward-looking statements generally relate to future events and can be identified by terminology such as “may,” “should,” “could,” “might,” “plan,” “possible,” “strive,” “budget,” “expect,” “intend,” “will,” “estimate,” “believe,” “predict,” “potential,” “pursue,” “aim,” “goal,” “mission,” “anticipate”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actual results may differ materially from those anticipated in these forward-looking statements as a result of certain risks and other factors, which could include the risks and uncertainties set forth in the sections entitled “Risk Factors” and “Cautionary Statement Regarding Forward-Looking Statements and Risk Factor Summary” in the Company’s Annual Report on Form 10-K for the fiscal year ended June 30, 2023, and other documents filed by the Company from time to time with the SEC.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2024</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Stanley Mbugua</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Stanley Mbugua</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2024-02-15T16:09:42Z</dcterms:created>
  <dcterms:modified xsi:type="dcterms:W3CDTF">2024-02-15T16:09:42Z</dcterms:modified>
</cp:coreProperties>
</file>