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15, 2022</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1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001-39830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84-2968594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gridSpan w:val="3"/>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1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San Carlos, CA 94070</w:t>
            </w: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34"/>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r>
      <w:tr>
        <w:trPr>
          <w:trHeight w:val="432"/>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r>
              <w:rPr>
                <w:rFonts w:ascii="Times New Roman" w:cs="Times New Roman" w:eastAsia="Times New Roman" w:hAnsi="Times New Roman"/>
                <w:sz w:val="18"/>
                <w:szCs w:val="18"/>
                <w:b w:val="1"/>
                <w:bCs w:val="1"/>
                <w:color w:val="auto"/>
                <w:w w:val="99"/>
              </w:rPr>
              <w:t>: (650) 817-9012</w:t>
            </w: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432"/>
        </w:trPr>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1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94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PRST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98"/>
        </w:trPr>
        <w:tc>
          <w:tcPr>
            <w:tcW w:w="4180" w:type="dxa"/>
            <w:vAlign w:val="bottom"/>
            <w:gridSpan w:val="4"/>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260" w:type="dxa"/>
            <w:vAlign w:val="bottom"/>
            <w:gridSpan w:val="3"/>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PRSTW</w:t>
            </w:r>
          </w:p>
        </w:tc>
        <w:tc>
          <w:tcPr>
            <w:tcW w:w="200" w:type="dxa"/>
            <w:vAlign w:val="bottom"/>
          </w:tcPr>
          <w:p>
            <w:pPr>
              <w:spacing w:after="0"/>
              <w:rPr>
                <w:sz w:val="17"/>
                <w:szCs w:val="17"/>
                <w:color w:val="auto"/>
              </w:rPr>
            </w:pPr>
          </w:p>
        </w:tc>
        <w:tc>
          <w:tcPr>
            <w:tcW w:w="3600" w:type="dxa"/>
            <w:vAlign w:val="bottom"/>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1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share of common stock</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15, 2022, Presto Automation Inc. (the “Company”) issued a press release announcing the Company’s financial results for the quarter ended September 30, 2022.</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copy of the Company’s press release is attached hereto as Exhibit 99.1 and is hereby incorporated by reference in this Item 2.02. The information and exhibit contained in this Item 2.02 is being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15, 2022</w:t>
      </w:r>
    </w:p>
    <w:p>
      <w:pPr>
        <w:spacing w:after="0" w:line="27" w:lineRule="exact"/>
        <w:rPr>
          <w:sz w:val="20"/>
          <w:szCs w:val="20"/>
          <w:color w:val="auto"/>
        </w:rPr>
      </w:pPr>
    </w:p>
    <w:p>
      <w:pPr>
        <w:ind w:left="5580" w:right="446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Ashish Gupta</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 Announces First Quarter Fiscal 2023 Financial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Total Revenue of $7.8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ARR of $31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$59.2 Million in Cash and Cash Equivalents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CARLOS, Calif – November 15, 2022 - </w:t>
      </w:r>
      <w:r>
        <w:rPr>
          <w:rFonts w:ascii="Times New Roman" w:cs="Times New Roman" w:eastAsia="Times New Roman" w:hAnsi="Times New Roman"/>
          <w:sz w:val="18"/>
          <w:szCs w:val="18"/>
          <w:color w:val="auto"/>
        </w:rPr>
        <w:t>Presto Automation Inc. (“Presto” or the “Company”) (NASDAQ: PRST), one of the largest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automation technology providers in the hospitality industry, today announced financial results for the first quarter of fiscal 2023.</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delighted to report our first earnings as a public company and to share our business momentum and technical progress with the financial community,” said Rajat Suri, founder and CEO of Presto Automation. “We are experiencing a significant amount of interest in our labor automation solutions, particularly as the macroeconomic environment remains favorable for our business. Our pioneering Voice AI rollout with Checkers has progressed well as we are now installed in over 200 stores, which is the largest footprint of drive-thru Voice AI in the industry. As a result of our recent public offering, Presto is will continue to pursue further expansion, develop our technologies solutions and take advantage of the positive trends fueling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2023 Financial 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Total revenue was $7.8 million, an increase of 8% as compared to $7.2 million for the first quarter of 2022.</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ARR: </w:t>
      </w:r>
      <w:r>
        <w:rPr>
          <w:rFonts w:ascii="Times New Roman" w:cs="Times New Roman" w:eastAsia="Times New Roman" w:hAnsi="Times New Roman"/>
          <w:sz w:val="18"/>
          <w:szCs w:val="18"/>
          <w:color w:val="auto"/>
        </w:rPr>
        <w:t>ARR reached $31.1 million, an increase of 8% year-over-year.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(Loss): </w:t>
      </w:r>
      <w:r>
        <w:rPr>
          <w:rFonts w:ascii="Times New Roman" w:cs="Times New Roman" w:eastAsia="Times New Roman" w:hAnsi="Times New Roman"/>
          <w:sz w:val="18"/>
          <w:szCs w:val="18"/>
          <w:color w:val="auto"/>
        </w:rPr>
        <w:t>Net income was $28.7 million for the first quarter of 2023, compared to a net loss $(19.5) million for the first quarter of 2022.</w:t>
      </w:r>
    </w:p>
    <w:p>
      <w:pPr>
        <w:spacing w:after="0" w:line="25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The Adjusted EBITDA loss was ($8.9) million for the first quarter of 2023, compared to a loss of ($5.4) million for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2022.</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“Non-GAAP financial Measures and Definition of Key Metric” below for how we define ARR and Adjusted EBITDA and the financial tables that accompany this release for a reconciliation of Adjusted EBITDA to its closest comparable GAAP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Listing Transaction Highlights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commenced on the Nasdaq on September 22, 2022 under the ticker “PRST”.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approximately $120 million in gross proceeds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by prominent restaurant and technology strategic investors including Cleveland Avenue Capital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New Credit Agreement and repaid outstanding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ending June 30, 2023:</w:t>
      </w:r>
    </w:p>
    <w:p>
      <w:pPr>
        <w:spacing w:after="0" w:line="252"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revenue to be between $33 and $35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2023 Conference Call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Presto Automation will host a conference call today at 4:30 PM ET to review the Company’s financial results for the quarter ended September 30, 2022. The call will be accessible by telephone at 877-407-0792 (domestic) or 201-689-8555 (international) using passcode 13733666. The call will also be available live via webcast on the Company’s investor relations website here or directly here. A telephone replay of the conference will be available at 844-512-2921 with access code 13733666 and will be available until 11:59 PM ET on Tuesday, November 29, 2022. An archive of the webcast will also be available shortly after the call and will remain available for 90 days.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Definition of Key Metric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includes Adjusted EBITDA, which is a financial measure that is not calculated in accordance with Generally Accepted Accounting Principles in the United States (“GAAP”). We believe Adjusted EBITDA is useful for comparing our financial performance to other companies and from period to period by excluding the impact of certain items that do not reflect our core operating performance, thereby providing consistency and direct comparability with our past financial performance and between fiscal periods.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defined as net loss, adjusted to exclude interest, other income (expense), net loss on debt extinguishment, income taxes, depreciation and amortization expense, stock-based compensation expense, fair value adjustments on warrant liabilities and convertible promissory notes, merger related ancillary costs, and hardware repair expenses related to COVID and COVID-related expenses due to damage from liquid ingress.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include this non-GAAP measure because it used by management to evaluate our core operating performance and trends and to make strategic decisions regarding the allocation of capital and new investments. A reconciliation of Adjusted EBITDA to its most comparable GAAP financial measure is included below under “Reconciliation from GAAP to Non-GAAP Results” at the end of this release.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use Annual Revenue Run-Rate, or ARR, as a key business metric to evaluate our business, identify trends, formulate business plans and make strategic decisions. We calculate ARR by annualizing quarterly revenue at the end of the fiscal quarter. Our calculation of ARR may differ from similarly titled metrics presented by other companies, and the amount of revenue we recognize over any 12-month period may differ significantly from the ARR at the beginning of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Presto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Presto overlays next-gen digital solutions onto the physical world. Our enterprise-grade voice, vision, and touch technologies help hospitality businesses thrive while delighting guests. With over 250,000 systems shipped, we are one of the largest labor automation technology providers in the industry. Founded at M.I.T. in 2008, Presto is headquartered in Silicon Valley, Calif. with customers including many of the top 20 restaurant chains in the U.S.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Section 27A of the Securities Act of 1933, as amended (the “Securities Act”), and Section 21E of the Securities Exchange Act of 1934, as amended (the “Exchange Act”). Statements that refer to projections ,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Except as otherwise required by applicable law, Presto disclaims any duty to update any forward-looking statements, all of which are expressly qualified by the statements in this section, to reflect events or circumstances after the date of this press release. Presto cautions you that these forward-looking statements are subject to numerous risks and uncertainties, most of which are difficult to predict and many of which are beyond the control of Presto. In addition, Presto cautions you that the forward-looking statements contained in this press release are subject to the following risks and uncertainties: our ability to manage our growth effectively, to sustain our recent revenue growth or attract new customers; the limited operating history with our new Vision and Voice products in a new and developing market; our ability to achieve revenue growth while our expenses increase; continued adverse impacts from COVID-19 (including as a result of global supply chain shortages); the loss of any of our three largest customers or a reduction in their business with us; our ability to improve and enhance the functionality, performance, reliability, design, security, or scalability of our platform to respond to customers’ evolving needs; our ability to protect the security of our customers’’ information; changing privacy laws, regulations and standards, and our ability to comply with contractual obligations and laws related to data privacy and security; unfavorable conditions in the restaurant industry or the global economy, including with respect to food, labor, and occupancy costs; the availability of capital or financing on acceptable terms, if at all; financial covenants and other restrictions on our actions contained in our financing agreements that may limit our operational flexibility; the length and unpredictability of our sales cycles and the amount of investments required in sales efforts; material weaknesses in our internal control over financial reporting and, our ability to remediate these deficiencies; our ability to continue as a going concern; our ability to receive additional financing in a timely manner; shortages, price increases, changes, delays or discontinuations of hardware; our ability to maintain relationships with our payment processors; our relies on computer hardware, licensed software and services rendered by third parties; U.S. laws and regulations (including with respect to payment transaction processing), many of which are unsettled and still developing, and our or our customers’ ability to comply with such laws and regulations; significant changes in U.S. and international trade policies that restrict imports or increase tariffs; any requirements to collect additional sales taxes or be subject to other tax liabilities that may increase the costs to our customers; our ability to adequately protect our intellectual property rights; claims by third parties of intellectual property infringement; our use of open-source software in our platform; and other economic, business, competitive and/or regulatory factors affecting Presto’s </w:t>
      </w:r>
      <w:r>
        <w:rPr>
          <w:rFonts w:ascii="Times New Roman" w:cs="Times New Roman" w:eastAsia="Times New Roman" w:hAnsi="Times New Roman"/>
          <w:sz w:val="18"/>
          <w:szCs w:val="18"/>
          <w:color w:val="auto"/>
          <w:highlight w:val="white"/>
        </w:rPr>
        <w:t>business generally as set forth in our filings with the Securities and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603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per share amounts)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Platform</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4,820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4,537</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w:t>
            </w:r>
          </w:p>
        </w:tc>
        <w:tc>
          <w:tcPr>
            <w:tcW w:w="240" w:type="dxa"/>
            <w:vAlign w:val="bottom"/>
          </w:tcPr>
          <w:p>
            <w:pPr>
              <w:spacing w:after="0"/>
              <w:rPr>
                <w:sz w:val="20"/>
                <w:szCs w:val="20"/>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2,959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2,692</w:t>
            </w:r>
          </w:p>
        </w:tc>
      </w:tr>
      <w:tr>
        <w:trPr>
          <w:trHeight w:val="22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7,779</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100" w:type="dxa"/>
            <w:vAlign w:val="bottom"/>
            <w:tcBorders>
              <w:top w:val="single" w:sz="8" w:color="CCEEFF"/>
            </w:tcBorders>
            <w:shd w:val="clear" w:color="auto" w:fill="CCEEFF"/>
          </w:tcPr>
          <w:p>
            <w:pPr>
              <w:spacing w:after="0"/>
              <w:rPr>
                <w:sz w:val="19"/>
                <w:szCs w:val="19"/>
                <w:color w:val="auto"/>
              </w:rPr>
            </w:pPr>
          </w:p>
        </w:tc>
      </w:tr>
      <w:tr>
        <w:trPr>
          <w:trHeight w:val="23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Platform</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4,292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4,022</w:t>
            </w: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w:t>
            </w:r>
          </w:p>
        </w:tc>
        <w:tc>
          <w:tcPr>
            <w:tcW w:w="240" w:type="dxa"/>
            <w:vAlign w:val="bottom"/>
          </w:tcPr>
          <w:p>
            <w:pPr>
              <w:spacing w:after="0"/>
              <w:rPr>
                <w:sz w:val="21"/>
                <w:szCs w:val="21"/>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2,644</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2,334</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cost of revenue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w w:val="93"/>
              </w:rPr>
              <w:t>7,227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6,822</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552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ind w:left="180"/>
        <w:spacing w:after="0" w:line="208" w:lineRule="auto"/>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left="180"/>
        <w:spacing w:after="0" w:line="204" w:lineRule="auto"/>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180"/>
        <w:spacing w:after="0" w:line="204" w:lineRule="auto"/>
        <w:rPr>
          <w:sz w:val="20"/>
          <w:szCs w:val="20"/>
          <w:color w:val="auto"/>
        </w:rPr>
      </w:pPr>
      <w:r>
        <w:rPr>
          <w:rFonts w:ascii="Times New Roman" w:cs="Times New Roman" w:eastAsia="Times New Roman" w:hAnsi="Times New Roman"/>
          <w:sz w:val="18"/>
          <w:szCs w:val="18"/>
          <w:color w:val="auto"/>
        </w:rPr>
        <w:t xml:space="preserve">General and administration </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infrequent product repairs</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40" w:lineRule="exact"/>
        <w:rPr>
          <w:sz w:val="20"/>
          <w:szCs w:val="20"/>
          <w:color w:val="auto"/>
        </w:rPr>
      </w:pPr>
    </w:p>
    <w:p>
      <w:pPr>
        <w:ind w:left="180" w:right="3600"/>
        <w:spacing w:after="0" w:line="281" w:lineRule="auto"/>
        <w:rPr>
          <w:sz w:val="20"/>
          <w:szCs w:val="20"/>
          <w:color w:val="auto"/>
        </w:rPr>
      </w:pPr>
      <w:r>
        <w:rPr>
          <w:rFonts w:ascii="Times New Roman" w:cs="Times New Roman" w:eastAsia="Times New Roman" w:hAnsi="Times New Roman"/>
          <w:sz w:val="18"/>
          <w:szCs w:val="18"/>
          <w:color w:val="auto"/>
        </w:rPr>
        <w:t>Change in fair value of warrants and convertible promissory notes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financing and financial instrument (costs) income, net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8,021</w:t>
      </w:r>
      <w:r>
        <w:rPr>
          <w:sz w:val="20"/>
          <w:szCs w:val="20"/>
          <w:color w:val="auto"/>
        </w:rPr>
        <w:tab/>
      </w:r>
      <w:r>
        <w:rPr>
          <w:rFonts w:ascii="Times New Roman" w:cs="Times New Roman" w:eastAsia="Times New Roman" w:hAnsi="Times New Roman"/>
          <w:sz w:val="18"/>
          <w:szCs w:val="18"/>
          <w:color w:val="auto"/>
        </w:rPr>
        <w:t>4,001</w:t>
      </w:r>
    </w:p>
    <w:p>
      <w:pPr>
        <w:spacing w:after="0" w:line="77"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3,077</w:t>
      </w:r>
      <w:r>
        <w:rPr>
          <w:sz w:val="20"/>
          <w:szCs w:val="20"/>
          <w:color w:val="auto"/>
        </w:rPr>
        <w:tab/>
      </w:r>
      <w:r>
        <w:rPr>
          <w:rFonts w:ascii="Times New Roman" w:cs="Times New Roman" w:eastAsia="Times New Roman" w:hAnsi="Times New Roman"/>
          <w:sz w:val="18"/>
          <w:szCs w:val="18"/>
          <w:color w:val="auto"/>
        </w:rPr>
        <w:t>1,174</w:t>
      </w:r>
    </w:p>
    <w:p>
      <w:pPr>
        <w:spacing w:after="0" w:line="77"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9,685</w:t>
      </w:r>
      <w:r>
        <w:rPr>
          <w:sz w:val="20"/>
          <w:szCs w:val="20"/>
          <w:color w:val="auto"/>
        </w:rPr>
        <w:tab/>
      </w:r>
      <w:r>
        <w:rPr>
          <w:rFonts w:ascii="Times New Roman" w:cs="Times New Roman" w:eastAsia="Times New Roman" w:hAnsi="Times New Roman"/>
          <w:sz w:val="18"/>
          <w:szCs w:val="18"/>
          <w:color w:val="auto"/>
        </w:rPr>
        <w:t>1,974</w:t>
      </w:r>
    </w:p>
    <w:p>
      <w:pPr>
        <w:spacing w:after="0" w:line="27" w:lineRule="exact"/>
        <w:rPr>
          <w:sz w:val="20"/>
          <w:szCs w:val="20"/>
          <w:color w:val="auto"/>
        </w:rPr>
      </w:pPr>
    </w:p>
    <w:p>
      <w:pPr>
        <w:ind w:left="1600" w:hanging="1111"/>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w:t>
      </w:r>
    </w:p>
    <w:p>
      <w:pPr>
        <w:spacing w:after="0" w:line="3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20,7837,584</w:t>
      </w:r>
    </w:p>
    <w:p>
      <w:pPr>
        <w:spacing w:after="0" w:line="2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(20,231)</w:t>
      </w:r>
      <w:r>
        <w:rPr>
          <w:sz w:val="20"/>
          <w:szCs w:val="20"/>
          <w:color w:val="auto"/>
        </w:rPr>
        <w:tab/>
      </w:r>
      <w:r>
        <w:rPr>
          <w:rFonts w:ascii="Times New Roman" w:cs="Times New Roman" w:eastAsia="Times New Roman" w:hAnsi="Times New Roman"/>
          <w:sz w:val="18"/>
          <w:szCs w:val="18"/>
          <w:color w:val="auto"/>
        </w:rPr>
        <w:t>(7,177)</w:t>
      </w:r>
    </w:p>
    <w:p>
      <w:pPr>
        <w:spacing w:after="0" w:line="50" w:lineRule="exact"/>
        <w:rPr>
          <w:sz w:val="20"/>
          <w:szCs w:val="20"/>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18"/>
          <w:szCs w:val="18"/>
          <w:color w:val="auto"/>
        </w:rPr>
        <w:t>59,822</w:t>
      </w:r>
      <w:r>
        <w:rPr>
          <w:sz w:val="20"/>
          <w:szCs w:val="20"/>
          <w:color w:val="auto"/>
        </w:rPr>
        <w:tab/>
      </w:r>
      <w:r>
        <w:rPr>
          <w:rFonts w:ascii="Times New Roman" w:cs="Times New Roman" w:eastAsia="Times New Roman" w:hAnsi="Times New Roman"/>
          <w:sz w:val="18"/>
          <w:szCs w:val="18"/>
          <w:color w:val="auto"/>
        </w:rPr>
        <w:t>(13,574)</w:t>
      </w:r>
    </w:p>
    <w:p>
      <w:pPr>
        <w:spacing w:after="0" w:line="36" w:lineRule="exact"/>
        <w:rPr>
          <w:sz w:val="20"/>
          <w:szCs w:val="20"/>
          <w:color w:val="auto"/>
        </w:rPr>
      </w:pPr>
    </w:p>
    <w:p>
      <w:pPr>
        <w:ind w:left="80"/>
        <w:spacing w:after="0"/>
        <w:tabs>
          <w:tab w:leader="none" w:pos="1380" w:val="left"/>
        </w:tabs>
        <w:rPr>
          <w:sz w:val="20"/>
          <w:szCs w:val="20"/>
          <w:color w:val="auto"/>
        </w:rPr>
      </w:pPr>
      <w:r>
        <w:rPr>
          <w:rFonts w:ascii="Times New Roman" w:cs="Times New Roman" w:eastAsia="Times New Roman" w:hAnsi="Times New Roman"/>
          <w:sz w:val="18"/>
          <w:szCs w:val="18"/>
          <w:color w:val="auto"/>
        </w:rPr>
        <w:t>(3,376)</w:t>
      </w:r>
      <w:r>
        <w:rPr>
          <w:sz w:val="20"/>
          <w:szCs w:val="20"/>
          <w:color w:val="auto"/>
        </w:rPr>
        <w:tab/>
      </w:r>
      <w:r>
        <w:rPr>
          <w:rFonts w:ascii="Times New Roman" w:cs="Times New Roman" w:eastAsia="Times New Roman" w:hAnsi="Times New Roman"/>
          <w:sz w:val="18"/>
          <w:szCs w:val="18"/>
          <w:color w:val="auto"/>
        </w:rPr>
        <w:t>(1,388)</w:t>
      </w:r>
    </w:p>
    <w:p>
      <w:pPr>
        <w:spacing w:after="0" w:line="36" w:lineRule="exact"/>
        <w:rPr>
          <w:sz w:val="20"/>
          <w:szCs w:val="20"/>
          <w:color w:val="auto"/>
        </w:rPr>
      </w:pPr>
    </w:p>
    <w:p>
      <w:pPr>
        <w:ind w:left="80"/>
        <w:spacing w:after="0"/>
        <w:tabs>
          <w:tab w:leader="none" w:pos="1800" w:val="left"/>
        </w:tabs>
        <w:rPr>
          <w:sz w:val="20"/>
          <w:szCs w:val="20"/>
          <w:color w:val="auto"/>
        </w:rPr>
      </w:pPr>
      <w:r>
        <w:rPr>
          <w:rFonts w:ascii="Times New Roman" w:cs="Times New Roman" w:eastAsia="Times New Roman" w:hAnsi="Times New Roman"/>
          <w:sz w:val="18"/>
          <w:szCs w:val="18"/>
          <w:color w:val="auto"/>
        </w:rPr>
        <w:t>(7,758)</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80"/>
        <w:spacing w:after="0"/>
        <w:tabs>
          <w:tab w:leader="none" w:pos="1800" w:val="left"/>
        </w:tabs>
        <w:rPr>
          <w:sz w:val="20"/>
          <w:szCs w:val="20"/>
          <w:color w:val="auto"/>
        </w:rPr>
      </w:pPr>
      <w:r>
        <w:rPr>
          <w:rFonts w:ascii="Times New Roman" w:cs="Times New Roman" w:eastAsia="Times New Roman" w:hAnsi="Times New Roman"/>
          <w:sz w:val="18"/>
          <w:szCs w:val="18"/>
          <w:color w:val="auto"/>
        </w:rPr>
        <w:t>(1,768)</w:t>
      </w:r>
      <w:r>
        <w:rPr>
          <w:sz w:val="20"/>
          <w:szCs w:val="20"/>
          <w:color w:val="auto"/>
        </w:rPr>
        <w:tab/>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ectPr>
          <w:pgSz w:w="11900" w:h="16838" w:orient="portrait"/>
          <w:cols w:equalWidth="0" w:num="2">
            <w:col w:w="8540" w:space="720"/>
            <w:col w:w="198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48,948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(12,332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and comprehensive income (loss)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(0.72</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(loss) per share attributable to common stockholders, basic</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29,521,505</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27,137,792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 attributable to common stockholders, diluted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40,397,934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27,137,792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(1) Includes stock-based compensation expense as follows (in thousands)</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5,818</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8,425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2022, such amount reflects $6,250 of stock compensation expense related to earn out shares attributable to option and RSU holders.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2603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36" w:lineRule="exact"/>
        <w:rPr>
          <w:sz w:val="20"/>
          <w:szCs w:val="20"/>
          <w:color w:val="auto"/>
        </w:rPr>
      </w:pPr>
    </w:p>
    <w:p>
      <w:pPr>
        <w:ind w:left="180" w:right="700"/>
        <w:spacing w:after="0" w:line="298" w:lineRule="auto"/>
        <w:rPr>
          <w:sz w:val="20"/>
          <w:szCs w:val="20"/>
          <w:color w:val="auto"/>
        </w:rPr>
      </w:pPr>
      <w:r>
        <w:rPr>
          <w:rFonts w:ascii="Times New Roman" w:cs="Times New Roman" w:eastAsia="Times New Roman" w:hAnsi="Times New Roman"/>
          <w:sz w:val="17"/>
          <w:szCs w:val="17"/>
          <w:color w:val="auto"/>
        </w:rPr>
        <w:t>Cash and cash equivalents Accounts receivable, net Inventories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cost, current</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Deferred cost, net of current portion</w:t>
      </w:r>
    </w:p>
    <w:p>
      <w:pPr>
        <w:spacing w:after="0" w:line="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transaction costs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 asset, net</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-246380</wp:posOffset>
            </wp:positionV>
            <wp:extent cx="3429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128905"/>
                    </a:xfrm>
                    <a:prstGeom prst="rect">
                      <a:avLst/>
                    </a:prstGeom>
                    <a:noFill/>
                  </pic:spPr>
                </pic:pic>
              </a:graphicData>
            </a:graphic>
          </wp:anchor>
        </w:drawing>
      </w:r>
    </w:p>
    <w:p>
      <w:pPr>
        <w:spacing w:after="0" w:line="23"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w:t>
      </w:r>
    </w:p>
    <w:p>
      <w:pPr>
        <w:spacing w:after="0" w:line="203" w:lineRule="exact"/>
        <w:rPr>
          <w:sz w:val="20"/>
          <w:szCs w:val="20"/>
          <w:color w:val="auto"/>
        </w:rPr>
      </w:pPr>
    </w:p>
    <w:tbl>
      <w:tblPr>
        <w:tblLayout w:type="fixed"/>
        <w:tblInd w:w="5200" w:type="dxa"/>
        <w:tblCellMar>
          <w:top w:w="0" w:type="dxa"/>
          <w:left w:w="0" w:type="dxa"/>
          <w:bottom w:w="0" w:type="dxa"/>
          <w:right w:w="0" w:type="dxa"/>
        </w:tblCellMar>
      </w:tblPr>
      <w:tr>
        <w:trPr>
          <w:trHeight w:val="229"/>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71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2,063</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38"/>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r>
      <w:tr>
        <w:trPr>
          <w:trHeight w:val="241"/>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34"/>
        </w:trPr>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14,554</w:t>
            </w:r>
          </w:p>
        </w:tc>
      </w:tr>
      <w:tr>
        <w:trPr>
          <w:trHeight w:val="481"/>
        </w:trPr>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1,691</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5,630</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r>
      <w:tr>
        <w:trPr>
          <w:trHeight w:val="238"/>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1,156</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r>
        <w:trPr>
          <w:trHeight w:val="25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79,859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30,536</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-2211070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-1902460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-1593850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-1285240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-976630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-668020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-359410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60" w:space="720"/>
            <w:col w:w="776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7,282</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obligations, current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7,216</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loans, current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promissory notes and embedded warrants, current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6,640</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25,750</w:t>
            </w: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146,609</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loans, noncurrent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49,424</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 loans</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1,999</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78,692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value–1,500,000 shares authorized as of September 30, 2022 and June 30, 2022,</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no shares issued and outstanding as of September 30, 2022 and June 30, 2022, respectively</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value–180,000,000 shares authorized as of September 30, 2022 and June 30, 2022,</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50,639,837 and 27,574,417 shares issued and outstanding as of September 30, 2022 and June 30,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respectively</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173,228</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(172,066)</w:t>
            </w:r>
          </w:p>
        </w:tc>
        <w:tc>
          <w:tcPr>
            <w:tcW w:w="28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(200,783)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(122,459</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79,859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8" w:name="page9"/>
    <w:bookmarkEnd w:id="8"/>
    <w:p>
      <w:pPr>
        <w:spacing w:after="0" w:line="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ectPr>
          <w:pgSz w:w="11900" w:h="16904" w:orient="portrait"/>
          <w:cols w:equalWidth="0" w:num="1">
            <w:col w:w="11200"/>
          </w:cols>
          <w:pgMar w:left="320" w:top="900" w:right="379" w:bottom="0" w:gutter="0" w:footer="0" w:header="0"/>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Depreciation, amortization and impairment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Earn-out share stock-based compensation expense to option and RSU holders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Noncash expense attributable to fairvalue liabilities assumed in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Change in fair value of liability classified warrants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Paid-in-kind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right="2840"/>
        <w:spacing w:after="0" w:line="281" w:lineRule="auto"/>
        <w:rPr>
          <w:sz w:val="20"/>
          <w:szCs w:val="20"/>
          <w:color w:val="auto"/>
        </w:rPr>
      </w:pPr>
      <w:r>
        <w:rPr>
          <w:rFonts w:ascii="Times New Roman" w:cs="Times New Roman" w:eastAsia="Times New Roman" w:hAnsi="Times New Roman"/>
          <w:sz w:val="18"/>
          <w:szCs w:val="18"/>
          <w:color w:val="auto"/>
        </w:rPr>
        <w:t>Share and warrant cost on termination of convertible note agreement Forgiveness of PPP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Change in fair value of earnout liability</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Noncash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costs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Vendor financing facility</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4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28,717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(19,509)</w:t>
            </w:r>
          </w:p>
        </w:tc>
      </w:tr>
      <w:tr>
        <w:trPr>
          <w:trHeight w:val="414"/>
        </w:trPr>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w:t>
            </w:r>
          </w:p>
        </w:tc>
        <w:tc>
          <w:tcPr>
            <w:tcW w:w="4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6,250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(11,551)</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1,457</w:t>
            </w:r>
          </w:p>
        </w:tc>
        <w:tc>
          <w:tcPr>
            <w:tcW w:w="40" w:type="dxa"/>
            <w:vAlign w:val="bottom"/>
          </w:tcPr>
          <w:p>
            <w:pPr>
              <w:spacing w:after="0"/>
              <w:rPr>
                <w:sz w:val="21"/>
                <w:szCs w:val="21"/>
                <w:color w:val="auto"/>
              </w:rPr>
            </w:pPr>
          </w:p>
        </w:tc>
      </w:tr>
      <w:tr>
        <w:trPr>
          <w:trHeight w:val="261"/>
        </w:trPr>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(48,271)</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12,117</w:t>
            </w:r>
          </w:p>
        </w:tc>
        <w:tc>
          <w:tcPr>
            <w:tcW w:w="40" w:type="dxa"/>
            <w:vAlign w:val="bottom"/>
          </w:tcPr>
          <w:p>
            <w:pPr>
              <w:spacing w:after="0"/>
              <w:rPr>
                <w:sz w:val="22"/>
                <w:szCs w:val="22"/>
                <w:color w:val="auto"/>
              </w:rPr>
            </w:pP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1,371</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21"/>
                <w:szCs w:val="21"/>
                <w:color w:val="auto"/>
              </w:rPr>
            </w:pP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7,759</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25"/>
        </w:trPr>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2,412</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61"/>
        </w:trPr>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(1,175)</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486"/>
        </w:trPr>
        <w:tc>
          <w:tcPr>
            <w:tcW w:w="240" w:type="dxa"/>
            <w:vAlign w:val="bottom"/>
          </w:tcPr>
          <w:p>
            <w:pPr>
              <w:spacing w:after="0"/>
              <w:rPr>
                <w:sz w:val="24"/>
                <w:szCs w:val="24"/>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tcPr>
          <w:p>
            <w:pPr>
              <w:spacing w:after="0"/>
              <w:rPr>
                <w:sz w:val="21"/>
                <w:szCs w:val="21"/>
                <w:color w:val="auto"/>
              </w:rPr>
            </w:pP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3,466</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2,828</w:t>
            </w:r>
          </w:p>
        </w:tc>
        <w:tc>
          <w:tcPr>
            <w:tcW w:w="40" w:type="dxa"/>
            <w:vAlign w:val="bottom"/>
          </w:tcPr>
          <w:p>
            <w:pPr>
              <w:spacing w:after="0"/>
              <w:rPr>
                <w:sz w:val="21"/>
                <w:szCs w:val="21"/>
                <w:color w:val="auto"/>
              </w:rPr>
            </w:pPr>
          </w:p>
        </w:tc>
      </w:tr>
      <w:tr>
        <w:trPr>
          <w:trHeight w:val="225"/>
        </w:trPr>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c>
          <w:tcPr>
            <w:tcW w:w="40" w:type="dxa"/>
            <w:vAlign w:val="bottom"/>
          </w:tcPr>
          <w:p>
            <w:pPr>
              <w:spacing w:after="0"/>
              <w:rPr>
                <w:sz w:val="19"/>
                <w:szCs w:val="19"/>
                <w:color w:val="auto"/>
              </w:rPr>
            </w:pP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1,678</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(2,363)</w:t>
            </w: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55"/>
        </w:trPr>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(3,430)</w:t>
            </w:r>
          </w:p>
        </w:tc>
        <w:tc>
          <w:tcPr>
            <w:tcW w:w="24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(3,139)</w:t>
            </w:r>
          </w:p>
        </w:tc>
      </w:tr>
      <w:tr>
        <w:trPr>
          <w:trHeight w:val="216"/>
        </w:trPr>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(15,414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904" w:orient="portrait"/>
          <w:cols w:equalWidth="0" w:num="2">
            <w:col w:w="7960" w:space="720"/>
            <w:col w:w="2520"/>
          </w:cols>
          <w:pgMar w:left="320" w:top="900" w:right="37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Payments relating to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right"/>
        <w:spacing w:after="0"/>
        <w:tabs>
          <w:tab w:leader="none" w:pos="28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(76)</w:t>
      </w:r>
    </w:p>
    <w:p>
      <w:pPr>
        <w:spacing w:after="0" w:line="5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(1,327)</w:t>
      </w:r>
      <w:r>
        <w:rPr>
          <w:sz w:val="20"/>
          <w:szCs w:val="20"/>
          <w:color w:val="auto"/>
        </w:rPr>
        <w:tab/>
      </w:r>
      <w:r>
        <w:rPr>
          <w:rFonts w:ascii="Times New Roman" w:cs="Times New Roman" w:eastAsia="Times New Roman" w:hAnsi="Times New Roman"/>
          <w:sz w:val="18"/>
          <w:szCs w:val="18"/>
          <w:color w:val="auto"/>
        </w:rPr>
        <w:t>(373)</w:t>
      </w:r>
    </w:p>
    <w:p>
      <w:pPr>
        <w:spacing w:after="0" w:line="2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(1,374)</w:t>
      </w:r>
      <w:r>
        <w:rPr>
          <w:sz w:val="20"/>
          <w:szCs w:val="20"/>
          <w:color w:val="auto"/>
        </w:rPr>
        <w:tab/>
      </w:r>
      <w:r>
        <w:rPr>
          <w:rFonts w:ascii="Times New Roman" w:cs="Times New Roman" w:eastAsia="Times New Roman" w:hAnsi="Times New Roman"/>
          <w:sz w:val="18"/>
          <w:szCs w:val="18"/>
          <w:color w:val="auto"/>
        </w:rPr>
        <w:t>(449)</w:t>
      </w:r>
    </w:p>
    <w:p>
      <w:pPr>
        <w:spacing w:after="0" w:line="200" w:lineRule="exact"/>
        <w:rPr>
          <w:sz w:val="20"/>
          <w:szCs w:val="20"/>
          <w:color w:val="auto"/>
        </w:rPr>
      </w:pPr>
    </w:p>
    <w:p>
      <w:pPr>
        <w:sectPr>
          <w:pgSz w:w="11900" w:h="16904" w:orient="portrait"/>
          <w:cols w:equalWidth="0" w:num="2">
            <w:col w:w="8620" w:space="720"/>
            <w:col w:w="1860"/>
          </w:cols>
          <w:pgMar w:left="320" w:top="900" w:right="37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the issuance of term loans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Repayment of term loans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 of penalties and other costs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promissory notes and embedded warrants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Principal payments of financing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p>
      <w:pPr>
        <w:spacing w:after="0" w:line="36" w:lineRule="exact"/>
        <w:rPr>
          <w:sz w:val="20"/>
          <w:szCs w:val="20"/>
          <w:color w:val="auto"/>
        </w:rPr>
      </w:pPr>
    </w:p>
    <w:p>
      <w:pPr>
        <w:ind w:left="180" w:right="1200"/>
        <w:spacing w:after="0" w:line="281" w:lineRule="auto"/>
        <w:rPr>
          <w:sz w:val="20"/>
          <w:szCs w:val="20"/>
          <w:color w:val="auto"/>
        </w:rPr>
      </w:pPr>
      <w:r>
        <w:rPr>
          <w:rFonts w:ascii="Times New Roman" w:cs="Times New Roman" w:eastAsia="Times New Roman" w:hAnsi="Times New Roman"/>
          <w:sz w:val="18"/>
          <w:szCs w:val="18"/>
          <w:color w:val="auto"/>
        </w:rPr>
        <w:t>Contributions from Merger and PIPE financing, net of transaction costs and other payments Payment of deferred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(32,980)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1"/>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5"/>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Pr>
          <w:p>
            <w:pPr>
              <w:spacing w:after="0"/>
              <w:rPr>
                <w:sz w:val="19"/>
                <w:szCs w:val="19"/>
                <w:color w:val="auto"/>
              </w:rPr>
            </w:pPr>
          </w:p>
        </w:tc>
      </w:tr>
      <w:tr>
        <w:trPr>
          <w:trHeight w:val="261"/>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5"/>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5"/>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68,762</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198" w:lineRule="exact"/>
        <w:rPr>
          <w:sz w:val="20"/>
          <w:szCs w:val="20"/>
          <w:color w:val="auto"/>
        </w:rPr>
      </w:pPr>
    </w:p>
    <w:p>
      <w:pPr>
        <w:sectPr>
          <w:pgSz w:w="11900" w:h="16904" w:orient="portrait"/>
          <w:cols w:equalWidth="0" w:num="2">
            <w:col w:w="7960" w:space="720"/>
            <w:col w:w="2520"/>
          </w:cols>
          <w:pgMar w:left="320" w:top="900" w:right="379" w:bottom="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p>
      <w:pPr>
        <w:spacing w:after="0" w:line="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56,232</w:t>
            </w:r>
          </w:p>
        </w:tc>
        <w:tc>
          <w:tcPr>
            <w:tcW w:w="3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(15,530)</w:t>
            </w:r>
          </w:p>
        </w:tc>
      </w:tr>
      <w:tr>
        <w:trPr>
          <w:trHeight w:val="234"/>
        </w:trPr>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3,017</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36,909</w:t>
            </w:r>
          </w:p>
        </w:tc>
        <w:tc>
          <w:tcPr>
            <w:tcW w:w="60" w:type="dxa"/>
            <w:vAlign w:val="bottom"/>
          </w:tcPr>
          <w:p>
            <w:pPr>
              <w:spacing w:after="0"/>
              <w:rPr>
                <w:sz w:val="20"/>
                <w:szCs w:val="20"/>
                <w:color w:val="auto"/>
              </w:rPr>
            </w:pPr>
          </w:p>
        </w:tc>
      </w:tr>
      <w:tr>
        <w:trPr>
          <w:trHeight w:val="27"/>
        </w:trPr>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59,249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21,379</w:t>
            </w:r>
          </w:p>
        </w:tc>
        <w:tc>
          <w:tcPr>
            <w:tcW w:w="60" w:type="dxa"/>
            <w:vAlign w:val="bottom"/>
          </w:tcPr>
          <w:p>
            <w:pPr>
              <w:spacing w:after="0"/>
              <w:rPr>
                <w:sz w:val="21"/>
                <w:szCs w:val="21"/>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904" w:orient="portrait"/>
          <w:cols w:equalWidth="0" w:num="2">
            <w:col w:w="7960" w:space="720"/>
            <w:col w:w="2520"/>
          </w:cols>
          <w:pgMar w:left="320" w:top="900" w:right="379" w:bottom="0" w:gutter="0" w:footer="0" w:header="0"/>
          <w:type w:val="continuous"/>
        </w:sectPr>
      </w:pPr>
    </w:p>
    <w:p>
      <w:pPr>
        <w:jc w:val="both"/>
        <w:ind w:left="180" w:right="2280" w:hanging="161"/>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Supplemental Disclosure of Non-Cash Investing and Financing Activities </w:t>
      </w:r>
      <w:r>
        <w:rPr>
          <w:rFonts w:ascii="Times New Roman" w:cs="Times New Roman" w:eastAsia="Times New Roman" w:hAnsi="Times New Roman"/>
          <w:sz w:val="18"/>
          <w:szCs w:val="18"/>
          <w:color w:val="auto"/>
        </w:rPr>
        <w:t>Capitalization of stock-based compensation expense to capitalized software Capital contribution from shareholder in conjunction with Credit Agreement Issuance of warrants in conjunction with Senior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Issuance of warrants in conjunction with Lago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Convertible note conversion to common stock</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Reclassification of warrants from liabilities to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Recognition of liability classified warrants upon Merger</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2,779</w:t>
            </w: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2,076</w:t>
            </w:r>
          </w:p>
        </w:tc>
        <w:tc>
          <w:tcPr>
            <w:tcW w:w="6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843</w:t>
            </w:r>
          </w:p>
        </w:tc>
        <w:tc>
          <w:tcPr>
            <w:tcW w:w="6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41,392</w:t>
            </w:r>
          </w:p>
        </w:tc>
        <w:tc>
          <w:tcPr>
            <w:tcW w:w="6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w:t>
            </w:r>
          </w:p>
        </w:tc>
        <w:tc>
          <w:tcPr>
            <w:tcW w:w="6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9,388</w:t>
            </w:r>
          </w:p>
        </w:tc>
        <w:tc>
          <w:tcPr>
            <w:tcW w:w="6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904" w:orient="portrait"/>
          <w:cols w:equalWidth="0" w:num="2">
            <w:col w:w="7960" w:space="720"/>
            <w:col w:w="2520"/>
          </w:cols>
          <w:pgMar w:left="320" w:top="900" w:right="379"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Recognition of Unvested Founder Shares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-119380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Forgiveness of PPP Loan</w:t>
      </w:r>
    </w:p>
    <w:p>
      <w:pPr>
        <w:spacing w:after="0" w:line="36" w:lineRule="exact"/>
        <w:rPr>
          <w:sz w:val="20"/>
          <w:szCs w:val="20"/>
          <w:color w:val="auto"/>
        </w:rPr>
      </w:pPr>
    </w:p>
    <w:p>
      <w:pPr>
        <w:ind w:right="3440"/>
        <w:spacing w:after="0" w:line="313" w:lineRule="auto"/>
        <w:rPr>
          <w:sz w:val="20"/>
          <w:szCs w:val="20"/>
          <w:color w:val="auto"/>
        </w:rPr>
      </w:pPr>
      <w:r>
        <w:rPr>
          <w:rFonts w:ascii="Times New Roman" w:cs="Times New Roman" w:eastAsia="Times New Roman" w:hAnsi="Times New Roman"/>
          <w:sz w:val="18"/>
          <w:szCs w:val="18"/>
          <w:color w:val="auto"/>
        </w:rPr>
        <w:t>Transaction costs recorded in accounts payable and accrued liabilities Right of use asset in exchange for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-330835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9" w:lineRule="exact"/>
        <w:rPr>
          <w:sz w:val="20"/>
          <w:szCs w:val="20"/>
          <w:color w:val="auto"/>
        </w:rPr>
      </w:pPr>
    </w:p>
    <w:p>
      <w:pPr>
        <w:jc w:val="right"/>
        <w:ind w:right="29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1,588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5"/>
              </w:rPr>
              <w:t>(2,000)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r>
    </w:tbl>
    <w:p>
      <w:pPr>
        <w:spacing w:after="0" w:line="9" w:lineRule="exact"/>
        <w:rPr>
          <w:sz w:val="20"/>
          <w:szCs w:val="20"/>
          <w:color w:val="auto"/>
        </w:rPr>
      </w:pPr>
    </w:p>
    <w:p>
      <w:pPr>
        <w:ind w:left="1520" w:hanging="1321"/>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551</w:t>
      </w:r>
    </w:p>
    <w:p>
      <w:pPr>
        <w:spacing w:after="0" w:line="36" w:lineRule="exact"/>
        <w:rPr>
          <w:rFonts w:ascii="Times New Roman" w:cs="Times New Roman" w:eastAsia="Times New Roman" w:hAnsi="Times New Roman"/>
          <w:sz w:val="18"/>
          <w:szCs w:val="18"/>
          <w:color w:val="auto"/>
        </w:rPr>
      </w:pPr>
    </w:p>
    <w:p>
      <w:pPr>
        <w:ind w:left="1740" w:hanging="1541"/>
        <w:spacing w:after="0"/>
        <w:tabs>
          <w:tab w:leader="none" w:pos="1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2">
            <w:col w:w="8440" w:space="720"/>
            <w:col w:w="1860"/>
          </w:cols>
          <w:pgMar w:left="500" w:top="121" w:right="3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868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Reconciliation from GAAP to Non-GAAP Results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
        </w:trPr>
        <w:tc>
          <w:tcPr>
            <w:tcW w:w="8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28,717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(19,509)</w:t>
            </w: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3,376</w:t>
            </w: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tcPr>
          <w:p>
            <w:pPr>
              <w:spacing w:after="0"/>
              <w:rPr>
                <w:sz w:val="21"/>
                <w:szCs w:val="2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(2,630)</w:t>
            </w: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2,175</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stock-based compensation expense</w:t>
            </w:r>
          </w:p>
        </w:tc>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6,250</w:t>
            </w: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(59,822)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13,574</w:t>
            </w: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7,758</w:t>
            </w: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financing and financial instrument (costs) income,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1,768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and bonuses earned upon closing of the Merger</w:t>
            </w:r>
          </w:p>
        </w:tc>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2,232</w:t>
            </w: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relations fee due upon closing of the Merger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infrequent product repairs</w:t>
            </w:r>
          </w:p>
        </w:tc>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Hardware repair expense related to COVID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4"/>
              </w:rPr>
              <w:t>(8,891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Whitcomb, 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investor@presto.com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Cast &amp; Brian Ruby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media@presto.com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220"/>
    </w:lvl>
  </w:abstractNum>
  <w:abstractNum w:abstractNumId="9">
    <w:nsid w:val="4DB127F8"/>
    <w:multiLevelType w:val="hybridMultilevel"/>
    <w:lvl w:ilvl="0">
      <w:lvlJc w:val="left"/>
      <w:lvlText w:val="%1"/>
      <w:numFmt w:val="decimal"/>
      <w:start w:val="3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2022-11-15T15:31:51Z</dcterms:created>
  <dcterms:modified xsi:type="dcterms:W3CDTF">2022-11-15T15:31:51Z</dcterms:modified>
</cp:coreProperties>
</file>