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80" w:right="940" w:hanging="2932"/>
        <w:spacing w:after="0" w:line="476"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001-39830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84-2968594</w:t>
            </w:r>
          </w:p>
        </w:tc>
      </w:tr>
      <w:tr>
        <w:trPr>
          <w:trHeight w:val="202"/>
        </w:trPr>
        <w:tc>
          <w:tcPr>
            <w:tcW w:w="4180" w:type="dxa"/>
            <w:vAlign w:val="bottom"/>
            <w:gridSpan w:val="2"/>
          </w:tcPr>
          <w:p>
            <w:pPr>
              <w:jc w:val="center"/>
              <w:ind w:left="12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ind w:left="70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180" w:type="dxa"/>
            <w:vAlign w:val="bottom"/>
            <w:gridSpan w:val="2"/>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Identification No.)</w:t>
            </w: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1 East Putnam Avenue, Floor 4</w:t>
            </w:r>
          </w:p>
        </w:tc>
        <w:tc>
          <w:tcPr>
            <w:tcW w:w="4060" w:type="dxa"/>
            <w:vAlign w:val="bottom"/>
          </w:tcPr>
          <w:p>
            <w:pPr>
              <w:spacing w:after="0"/>
              <w:rPr>
                <w:sz w:val="24"/>
                <w:szCs w:val="24"/>
                <w:color w:val="auto"/>
              </w:rPr>
            </w:pPr>
          </w:p>
        </w:tc>
      </w:tr>
      <w:tr>
        <w:trPr>
          <w:trHeight w:val="220"/>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Greenwich, CT</w:t>
            </w:r>
          </w:p>
        </w:tc>
        <w:tc>
          <w:tcPr>
            <w:tcW w:w="406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spacing w:after="0"/>
              <w:rPr>
                <w:sz w:val="20"/>
                <w:szCs w:val="20"/>
                <w:color w:val="auto"/>
              </w:rPr>
            </w:pPr>
          </w:p>
        </w:tc>
      </w:tr>
      <w:tr>
        <w:trPr>
          <w:trHeight w:val="418"/>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(646) 465-9000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(Registrant’s telephone number)</w:t>
            </w:r>
          </w:p>
        </w:tc>
        <w:tc>
          <w:tcPr>
            <w:tcW w:w="406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39"/>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4"/>
                <w:szCs w:val="24"/>
                <w:color w:val="auto"/>
              </w:rPr>
            </w:pPr>
          </w:p>
        </w:tc>
        <w:tc>
          <w:tcPr>
            <w:tcW w:w="29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Trading Symbol(s)</w:t>
            </w:r>
          </w:p>
        </w:tc>
        <w:tc>
          <w:tcPr>
            <w:tcW w:w="4060" w:type="dxa"/>
            <w:vAlign w:val="bottom"/>
          </w:tcPr>
          <w:p>
            <w:pPr>
              <w:ind w:left="1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The Nasdaq Stock Market LLC</w:t>
            </w:r>
          </w:p>
        </w:tc>
      </w:tr>
      <w:tr>
        <w:trPr>
          <w:trHeight w:val="216"/>
        </w:trPr>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100" w:type="dxa"/>
            <w:vAlign w:val="bottom"/>
          </w:tcPr>
          <w:p>
            <w:pPr>
              <w:spacing w:after="0"/>
              <w:rPr>
                <w:sz w:val="18"/>
                <w:szCs w:val="18"/>
                <w:color w:val="auto"/>
              </w:rPr>
            </w:pPr>
          </w:p>
        </w:tc>
        <w:tc>
          <w:tcPr>
            <w:tcW w:w="2900" w:type="dxa"/>
            <w:vAlign w:val="bottom"/>
            <w:gridSpan w:val="5"/>
          </w:tcPr>
          <w:p>
            <w:pPr>
              <w:jc w:val="center"/>
              <w:ind w:right="640"/>
              <w:spacing w:after="0"/>
              <w:rPr>
                <w:sz w:val="20"/>
                <w:szCs w:val="20"/>
                <w:color w:val="auto"/>
              </w:rPr>
            </w:pPr>
            <w:r>
              <w:rPr>
                <w:rFonts w:ascii="Arial" w:cs="Arial" w:eastAsia="Arial" w:hAnsi="Arial"/>
                <w:sz w:val="18"/>
                <w:szCs w:val="18"/>
                <w:color w:val="auto"/>
                <w:w w:val="99"/>
              </w:rPr>
              <w:t>VTAQW</w:t>
            </w:r>
          </w:p>
        </w:tc>
        <w:tc>
          <w:tcPr>
            <w:tcW w:w="4060" w:type="dxa"/>
            <w:vAlign w:val="bottom"/>
          </w:tcPr>
          <w:p>
            <w:pPr>
              <w:ind w:left="680"/>
              <w:spacing w:after="0"/>
              <w:rPr>
                <w:sz w:val="20"/>
                <w:szCs w:val="20"/>
                <w:color w:val="auto"/>
              </w:rPr>
            </w:pPr>
            <w:r>
              <w:rPr>
                <w:rFonts w:ascii="Arial" w:cs="Arial" w:eastAsia="Arial" w:hAnsi="Arial"/>
                <w:sz w:val="18"/>
                <w:szCs w:val="18"/>
                <w:color w:val="auto"/>
              </w:rPr>
              <w:t>The Nasdaq Stock Market LLC</w:t>
            </w:r>
          </w:p>
        </w:tc>
      </w:tr>
      <w:tr>
        <w:trPr>
          <w:trHeight w:val="216"/>
        </w:trPr>
        <w:tc>
          <w:tcPr>
            <w:tcW w:w="4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Rights</w:t>
            </w:r>
          </w:p>
        </w:tc>
        <w:tc>
          <w:tcPr>
            <w:tcW w:w="100" w:type="dxa"/>
            <w:vAlign w:val="bottom"/>
            <w:shd w:val="clear" w:color="auto" w:fill="CCEEFF"/>
          </w:tcPr>
          <w:p>
            <w:pPr>
              <w:spacing w:after="0"/>
              <w:rPr>
                <w:sz w:val="18"/>
                <w:szCs w:val="18"/>
                <w:color w:val="auto"/>
              </w:rPr>
            </w:pPr>
          </w:p>
        </w:tc>
        <w:tc>
          <w:tcPr>
            <w:tcW w:w="2900" w:type="dxa"/>
            <w:vAlign w:val="bottom"/>
            <w:gridSpan w:val="5"/>
            <w:shd w:val="clear" w:color="auto" w:fill="CCEEFF"/>
          </w:tcPr>
          <w:p>
            <w:pPr>
              <w:jc w:val="center"/>
              <w:ind w:right="620"/>
              <w:spacing w:after="0"/>
              <w:rPr>
                <w:sz w:val="20"/>
                <w:szCs w:val="20"/>
                <w:color w:val="auto"/>
              </w:rPr>
            </w:pPr>
            <w:r>
              <w:rPr>
                <w:rFonts w:ascii="Arial" w:cs="Arial" w:eastAsia="Arial" w:hAnsi="Arial"/>
                <w:sz w:val="18"/>
                <w:szCs w:val="18"/>
                <w:color w:val="auto"/>
                <w:w w:val="96"/>
              </w:rPr>
              <w:t>VTAQR</w:t>
            </w:r>
          </w:p>
        </w:tc>
        <w:tc>
          <w:tcPr>
            <w:tcW w:w="4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The Nasdaq Stock Market LLC</w:t>
            </w:r>
          </w:p>
        </w:tc>
      </w:tr>
      <w:tr>
        <w:trPr>
          <w:trHeight w:val="230"/>
        </w:trPr>
        <w:tc>
          <w:tcPr>
            <w:tcW w:w="4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Units</w:t>
            </w:r>
          </w:p>
        </w:tc>
        <w:tc>
          <w:tcPr>
            <w:tcW w:w="100" w:type="dxa"/>
            <w:vAlign w:val="bottom"/>
          </w:tcPr>
          <w:p>
            <w:pPr>
              <w:spacing w:after="0"/>
              <w:rPr>
                <w:sz w:val="20"/>
                <w:szCs w:val="20"/>
                <w:color w:val="auto"/>
              </w:rPr>
            </w:pPr>
          </w:p>
        </w:tc>
        <w:tc>
          <w:tcPr>
            <w:tcW w:w="2900" w:type="dxa"/>
            <w:vAlign w:val="bottom"/>
            <w:gridSpan w:val="5"/>
          </w:tcPr>
          <w:p>
            <w:pPr>
              <w:jc w:val="center"/>
              <w:ind w:right="640"/>
              <w:spacing w:after="0"/>
              <w:rPr>
                <w:sz w:val="20"/>
                <w:szCs w:val="20"/>
                <w:color w:val="auto"/>
              </w:rPr>
            </w:pPr>
            <w:r>
              <w:rPr>
                <w:rFonts w:ascii="Arial" w:cs="Arial" w:eastAsia="Arial" w:hAnsi="Arial"/>
                <w:sz w:val="18"/>
                <w:szCs w:val="18"/>
                <w:color w:val="auto"/>
                <w:w w:val="99"/>
              </w:rPr>
              <w:t>VTAQU</w:t>
            </w:r>
          </w:p>
        </w:tc>
        <w:tc>
          <w:tcPr>
            <w:tcW w:w="4060" w:type="dxa"/>
            <w:vAlign w:val="bottom"/>
          </w:tcPr>
          <w:p>
            <w:pPr>
              <w:ind w:left="680"/>
              <w:spacing w:after="0"/>
              <w:rPr>
                <w:sz w:val="20"/>
                <w:szCs w:val="20"/>
                <w:color w:val="auto"/>
              </w:rPr>
            </w:pPr>
            <w:r>
              <w:rPr>
                <w:rFonts w:ascii="Arial" w:cs="Arial" w:eastAsia="Arial" w:hAnsi="Arial"/>
                <w:sz w:val="18"/>
                <w:szCs w:val="18"/>
                <w:color w:val="auto"/>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8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12, 2021, there were 21,562,500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0" w:type="dxa"/>
            <w:vAlign w:val="bottom"/>
            <w:gridSpan w:val="9"/>
          </w:tcPr>
          <w:p>
            <w:pPr>
              <w:jc w:val="center"/>
              <w:ind w:right="204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w w:val="97"/>
              </w:rPr>
              <w:t>FORM 10-Q FOR THE QUARTER ENDED JUNE 30, 2021</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2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62"/>
        </w:trPr>
        <w:tc>
          <w:tcPr>
            <w:tcW w:w="10240" w:type="dxa"/>
            <w:vAlign w:val="bottom"/>
            <w:gridSpan w:val="21"/>
            <w:shd w:val="clear" w:color="auto" w:fill="CCEEFF"/>
          </w:tcPr>
          <w:p>
            <w:pPr>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000" w:type="dxa"/>
            <w:vAlign w:val="bottom"/>
            <w:shd w:val="clear" w:color="auto" w:fill="CCEEFF"/>
          </w:tcPr>
          <w:p>
            <w:pPr>
              <w:spacing w:after="0"/>
              <w:rPr>
                <w:sz w:val="14"/>
                <w:szCs w:val="14"/>
                <w:color w:val="auto"/>
              </w:rPr>
            </w:pP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Interim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June 30, 2021 (Unaudited) and December 31, 2020</w:t>
              </w:r>
            </w:hyperlink>
          </w:p>
        </w:tc>
        <w:tc>
          <w:tcPr>
            <w:tcW w:w="38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40" w:type="dxa"/>
            <w:vAlign w:val="bottom"/>
            <w:gridSpan w:val="19"/>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Operations for the three and six months ended June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3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Changes in Stockholders’ Equity for the three and six months ended June 30, 2021 and 2020</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40" w:type="dxa"/>
            <w:vAlign w:val="bottom"/>
            <w:gridSpan w:val="19"/>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 for the six months ended June 30,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Financial Statements (Unaudited)</w:t>
              </w:r>
            </w:hyperlink>
          </w:p>
        </w:tc>
        <w:tc>
          <w:tcPr>
            <w:tcW w:w="602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160" w:type="dxa"/>
            <w:vAlign w:val="bottom"/>
          </w:tcPr>
          <w:p>
            <w:pPr>
              <w:spacing w:after="0"/>
              <w:rPr>
                <w:sz w:val="15"/>
                <w:szCs w:val="15"/>
                <w:color w:val="auto"/>
              </w:rPr>
            </w:pPr>
          </w:p>
        </w:tc>
        <w:tc>
          <w:tcPr>
            <w:tcW w:w="10080" w:type="dxa"/>
            <w:vAlign w:val="bottom"/>
            <w:gridSpan w:val="20"/>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Regarding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160" w:type="dxa"/>
            <w:vAlign w:val="bottom"/>
            <w:tcBorders>
              <w:top w:val="single" w:sz="8" w:color="CCEEFF"/>
            </w:tcBorders>
          </w:tcPr>
          <w:p>
            <w:pPr>
              <w:spacing w:after="0"/>
              <w:rPr>
                <w:sz w:val="15"/>
                <w:szCs w:val="15"/>
                <w:color w:val="auto"/>
              </w:rPr>
            </w:pPr>
          </w:p>
        </w:tc>
        <w:tc>
          <w:tcPr>
            <w:tcW w:w="52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488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100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60" w:type="dxa"/>
            <w:vAlign w:val="bottom"/>
            <w:tcBorders>
              <w:top w:val="single" w:sz="8" w:color="CCEEFF"/>
            </w:tcBorders>
          </w:tcPr>
          <w:p>
            <w:pPr>
              <w:spacing w:after="0"/>
              <w:rPr>
                <w:sz w:val="15"/>
                <w:szCs w:val="15"/>
                <w:color w:val="auto"/>
              </w:rPr>
            </w:pPr>
          </w:p>
        </w:tc>
        <w:tc>
          <w:tcPr>
            <w:tcW w:w="188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820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518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60" w:type="dxa"/>
            <w:vAlign w:val="bottom"/>
          </w:tcPr>
          <w:p>
            <w:pPr>
              <w:spacing w:after="0"/>
              <w:rPr>
                <w:sz w:val="15"/>
                <w:szCs w:val="15"/>
                <w:color w:val="auto"/>
              </w:rPr>
            </w:pPr>
          </w:p>
        </w:tc>
        <w:tc>
          <w:tcPr>
            <w:tcW w:w="10080" w:type="dxa"/>
            <w:vAlign w:val="bottom"/>
            <w:gridSpan w:val="2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 Mine Safety Disclosures</w:t>
              </w:r>
            </w:hyperlink>
          </w:p>
        </w:tc>
        <w:tc>
          <w:tcPr>
            <w:tcW w:w="776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60" w:type="dxa"/>
            <w:vAlign w:val="bottom"/>
          </w:tcPr>
          <w:p>
            <w:pPr>
              <w:spacing w:after="0"/>
              <w:rPr>
                <w:sz w:val="15"/>
                <w:szCs w:val="15"/>
                <w:color w:val="auto"/>
              </w:rPr>
            </w:pPr>
          </w:p>
        </w:tc>
        <w:tc>
          <w:tcPr>
            <w:tcW w:w="10080" w:type="dxa"/>
            <w:vAlign w:val="bottom"/>
            <w:gridSpan w:val="2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 Other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III. 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Interim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VENTOUX CCM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1,071,253</w:t>
            </w:r>
          </w:p>
        </w:tc>
        <w:tc>
          <w:tcPr>
            <w:tcW w:w="0" w:type="dxa"/>
            <w:vAlign w:val="bottom"/>
          </w:tcPr>
          <w:p>
            <w:pPr>
              <w:spacing w:after="0"/>
              <w:rPr>
                <w:sz w:val="1"/>
                <w:szCs w:val="1"/>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173,316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174,259,906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174,969,216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197,686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60"/>
              <w:spacing w:after="0"/>
              <w:rPr>
                <w:sz w:val="20"/>
                <w:szCs w:val="20"/>
                <w:color w:val="auto"/>
              </w:rPr>
            </w:pPr>
            <w:r>
              <w:rPr>
                <w:rFonts w:ascii="Arial" w:cs="Arial" w:eastAsia="Arial" w:hAnsi="Arial"/>
                <w:sz w:val="18"/>
                <w:szCs w:val="18"/>
                <w:color w:val="auto"/>
              </w:rPr>
              <w:t>Advance from related party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2,872,028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7,458,128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subject to possible redemption 16,544,275 and 13,875,477 shares at $10.10 per share redemption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as of June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167,097,180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140,142,318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50,000,000 shares authorized; 5,018,225 and 5,437,023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outstanding (excluding 16,544,275 and 13,875,477 shares subject to possible redemption) as of June 30, 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1,459,154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6,363,974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3,540,352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(1,364,511)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174,969,216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233,725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450,701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(233,725)</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(450,701)</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1,668,750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5,487,000</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Loss on initial issuance of private warrants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(162,000)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8,731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34,906</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1,677,481</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5,359,906</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1,443,756</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4,909,205</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(4,342)</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1,443,756</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4,904,863</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17,250,000</w:t>
            </w:r>
          </w:p>
        </w:tc>
        <w:tc>
          <w:tcPr>
            <w:tcW w:w="28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17,200,000</w:t>
            </w:r>
          </w:p>
        </w:tc>
        <w:tc>
          <w:tcPr>
            <w:tcW w:w="30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non-redeemable common stock</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4,312,500</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3,750,000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4,312,500</w:t>
            </w:r>
          </w:p>
        </w:tc>
        <w:tc>
          <w:tcPr>
            <w:tcW w:w="3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3,750,000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4"/>
              </w:rPr>
              <w:t>Basic and diluted net income per share of non-redeemable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5,437,023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6,363,974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(1,364,511)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2,250,000 Units, net of underwriting discounts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22,049,775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(2,525,852)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(25,510,852)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(25,511,105)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3,461,107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3,461,107</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5,161,171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2,902,897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2,096,596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(142,946)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(1,443,743)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(1,443,757)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1,443,756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1,443,756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5,018,225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1,459,154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3,540,352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5,000,008</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9"/>
          </w:tcPr>
          <w:p>
            <w:pPr>
              <w:ind w:left="3560"/>
              <w:spacing w:after="0"/>
              <w:rPr>
                <w:sz w:val="20"/>
                <w:szCs w:val="20"/>
                <w:color w:val="auto"/>
              </w:rPr>
            </w:pPr>
            <w:r>
              <w:rPr>
                <w:rFonts w:ascii="Arial" w:cs="Arial" w:eastAsia="Arial" w:hAnsi="Arial"/>
                <w:sz w:val="18"/>
                <w:szCs w:val="18"/>
                <w:b w:val="1"/>
                <w:bCs w:val="1"/>
                <w:color w:val="auto"/>
              </w:rPr>
              <w:t>THREE AND SIX MONTHS ENDED JUNE 30, 2020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(1,535</w:t>
            </w:r>
            <w:r>
              <w:rPr>
                <w:rFonts w:ascii="Arial" w:cs="Arial" w:eastAsia="Arial" w:hAnsi="Arial"/>
                <w:sz w:val="29"/>
                <w:szCs w:val="29"/>
                <w:b w:val="1"/>
                <w:bCs w:val="1"/>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23,465</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left="32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Loss on initial issuance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3360"/>
        <w:spacing w:after="0" w:line="250" w:lineRule="auto"/>
        <w:rPr>
          <w:sz w:val="20"/>
          <w:szCs w:val="20"/>
          <w:color w:val="auto"/>
        </w:rPr>
      </w:pPr>
      <w:r>
        <w:rPr>
          <w:rFonts w:ascii="Arial" w:cs="Arial" w:eastAsia="Arial" w:hAnsi="Arial"/>
          <w:sz w:val="18"/>
          <w:szCs w:val="18"/>
          <w:color w:val="auto"/>
        </w:rPr>
        <w:t>Interest earned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Advances from related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Repayment of advances from related parties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1500"/>
        <w:spacing w:after="0" w:line="339" w:lineRule="auto"/>
        <w:rPr>
          <w:sz w:val="20"/>
          <w:szCs w:val="20"/>
          <w:color w:val="auto"/>
        </w:rPr>
      </w:pPr>
      <w:r>
        <w:rPr>
          <w:rFonts w:ascii="Arial" w:cs="Arial" w:eastAsia="Arial" w:hAnsi="Arial"/>
          <w:sz w:val="18"/>
          <w:szCs w:val="18"/>
          <w:color w:val="auto"/>
        </w:rPr>
        <w:t>Initial classification of common stock subject to possible redemption from over-allotment Change in value of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4,904,863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8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(5,487,000)</w:t>
            </w:r>
          </w:p>
        </w:tc>
        <w:tc>
          <w:tcPr>
            <w:tcW w:w="36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162,000</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(34,906)</w:t>
            </w:r>
          </w:p>
        </w:tc>
        <w:tc>
          <w:tcPr>
            <w:tcW w:w="36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418"/>
        </w:trPr>
        <w:tc>
          <w:tcPr>
            <w:tcW w:w="18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(144,116)</w:t>
            </w:r>
          </w:p>
        </w:tc>
        <w:tc>
          <w:tcPr>
            <w:tcW w:w="36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179,563</w:t>
            </w:r>
          </w:p>
        </w:tc>
        <w:tc>
          <w:tcPr>
            <w:tcW w:w="3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(450)</w:t>
            </w:r>
          </w:p>
        </w:tc>
      </w:tr>
      <w:tr>
        <w:trPr>
          <w:trHeight w:val="237"/>
        </w:trPr>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4,342</w:t>
            </w:r>
          </w:p>
        </w:tc>
        <w:tc>
          <w:tcPr>
            <w:tcW w:w="36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(415,254</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(535</w:t>
            </w:r>
          </w:p>
        </w:tc>
        <w:tc>
          <w:tcPr>
            <w:tcW w:w="4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668"/>
        </w:trPr>
        <w:tc>
          <w:tcPr>
            <w:tcW w:w="18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(22,725,000)</w:t>
            </w:r>
          </w:p>
        </w:tc>
        <w:tc>
          <w:tcPr>
            <w:tcW w:w="36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(22,725,000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19"/>
                <w:szCs w:val="19"/>
                <w:color w:val="auto"/>
              </w:rPr>
            </w:pPr>
          </w:p>
        </w:tc>
      </w:tr>
      <w:tr>
        <w:trPr>
          <w:trHeight w:val="634"/>
        </w:trPr>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22,050,000</w:t>
            </w:r>
          </w:p>
        </w:tc>
        <w:tc>
          <w:tcPr>
            <w:tcW w:w="36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675,000</w:t>
            </w:r>
          </w:p>
        </w:tc>
        <w:tc>
          <w:tcPr>
            <w:tcW w:w="3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525,000</w:t>
            </w:r>
          </w:p>
        </w:tc>
        <w:tc>
          <w:tcPr>
            <w:tcW w:w="3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51"/>
        </w:trPr>
        <w:tc>
          <w:tcPr>
            <w:tcW w:w="1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(645,005)</w:t>
            </w:r>
          </w:p>
        </w:tc>
        <w:tc>
          <w:tcPr>
            <w:tcW w:w="36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22,604,995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19"/>
                <w:szCs w:val="19"/>
                <w:color w:val="auto"/>
              </w:rPr>
            </w:pPr>
          </w:p>
        </w:tc>
      </w:tr>
      <w:tr>
        <w:trPr>
          <w:trHeight w:val="431"/>
        </w:trPr>
        <w:tc>
          <w:tcPr>
            <w:tcW w:w="18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(535,259)</w:t>
            </w:r>
          </w:p>
        </w:tc>
        <w:tc>
          <w:tcPr>
            <w:tcW w:w="36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(535)</w:t>
            </w:r>
          </w:p>
        </w:tc>
      </w:tr>
      <w:tr>
        <w:trPr>
          <w:trHeight w:val="230"/>
        </w:trPr>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1,071,253</w:t>
            </w:r>
          </w:p>
        </w:tc>
        <w:tc>
          <w:tcPr>
            <w:tcW w:w="360" w:type="dxa"/>
            <w:vAlign w:val="bottom"/>
          </w:tcPr>
          <w:p>
            <w:pPr>
              <w:spacing w:after="0"/>
              <w:rPr>
                <w:sz w:val="20"/>
                <w:szCs w:val="20"/>
                <w:color w:val="auto"/>
              </w:rPr>
            </w:pPr>
          </w:p>
        </w:tc>
        <w:tc>
          <w:tcPr>
            <w:tcW w:w="800" w:type="dxa"/>
            <w:vAlign w:val="bottom"/>
            <w:gridSpan w:val="3"/>
          </w:tcPr>
          <w:p>
            <w:pPr>
              <w:jc w:val="right"/>
              <w:ind w:right="1"/>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0"/>
                <w:szCs w:val="20"/>
                <w:color w:val="auto"/>
              </w:rPr>
            </w:pPr>
          </w:p>
        </w:tc>
      </w:tr>
      <w:tr>
        <w:trPr>
          <w:trHeight w:val="27"/>
        </w:trPr>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535,994</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24,465</w:t>
            </w:r>
          </w:p>
        </w:tc>
        <w:tc>
          <w:tcPr>
            <w:tcW w:w="20" w:type="dxa"/>
            <w:vAlign w:val="bottom"/>
          </w:tcPr>
          <w:p>
            <w:pPr>
              <w:spacing w:after="0"/>
              <w:rPr>
                <w:sz w:val="21"/>
                <w:szCs w:val="2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5"/>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22,219,813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4,735,049</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20"/>
          </w:cols>
          <w:pgMar w:left="320" w:top="877" w:right="37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condensed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Ventoux CCM Acquisition Corp. (formerly known as Chardan Global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2021 the Company had not commenced any operations. All activity through June 30,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5) are no longer subject to forfeiture.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2" w:lineRule="exact"/>
        <w:rPr>
          <w:sz w:val="20"/>
          <w:szCs w:val="20"/>
          <w:color w:val="auto"/>
        </w:rPr>
      </w:pPr>
    </w:p>
    <w:p>
      <w:pPr>
        <w:jc w:val="both"/>
        <w:ind w:firstLine="8"/>
        <w:spacing w:after="0" w:line="253"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the Company had $535,994 in its operating bank accounts, $174,259,906 in securities held in the Trust Account to be used for a Business Combination or to repurchase or redeem its common stock in connection therewith and working capital of $507,282. As of June 30, 2021, $34,906 of the amount on deposit in the Trust Account represented interest income, which is available to pay the Company’s tax obligations.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10-K/A for the year ended December 31, 2020 as filed with the SEC on June 22, 2021. The interim results for the three and six months ended June 30, 2021 are not necessarily indicative of the results to be expected for the year ending December 31, 2021 or for any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June 30,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June 30, 2021 and December 31, 2020, common stock subject to possible redemption is presented as temporary equity, outside of the stockholders’ equity section of the Company’s condensed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w:t>
      </w:r>
      <w:r>
        <w:rPr>
          <w:rFonts w:ascii="Arial" w:cs="Arial" w:eastAsia="Arial" w:hAnsi="Arial"/>
          <w:sz w:val="17"/>
          <w:szCs w:val="17"/>
          <w:i w:val="1"/>
          <w:iCs w:val="1"/>
          <w:color w:val="auto"/>
        </w:rPr>
        <w:t>Derivatives and Hedging — Contracts in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w:t>
      </w:r>
      <w:r>
        <w:rPr>
          <w:rFonts w:ascii="Arial" w:cs="Arial" w:eastAsia="Arial" w:hAnsi="Arial"/>
          <w:sz w:val="17"/>
          <w:szCs w:val="17"/>
          <w:color w:val="auto"/>
        </w:rPr>
        <w:t>under which the Private Warrants do not meet the criteria for equity treatment and must be recorded as liabilities. Accordingly,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statements of operations. The Private Warrants are valued using a Modified Black-Scholes Option 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2021 and December 31, 2020, the Company had deferred tax assets with a full valuation allowance recorded against them.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current taxable income primarily consists of interest earned on the Trust Account. The Company’s general and administrative costs are generally considered start-up costs and are not currently deductible. During the three and six months ended June 30, 2021, the Company recorded income tax expense of $4,342. The Company’s effective tax rate for three and six months ended June 30, 2021 differs from the expected income tax rate mainly due to change in fair value of warrants and the full valuation allowance on the Company’s deferred tax assets.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As of June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per share is computed by dividing net income by the weighted-average number of shares of common stock outstanding during the period, excluding shares of common stock subject to forfeiture. The Company has not considered the effect of the warrants sold in the Initial Public Offering and private placement to purchase an aggregate of 15,300,000 shares in the calculation of diluted loss per share, since the exercise of the warrants are contingent upon the occurrence of future events.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statements of operations include a presentation of income per share for common shares subject to possible redemption in a manner similar to the two-class method of income per share. Net income (loss) per common share, basic and diluted, for redeemable common stock is calculated by dividing the proportionate share of income or loss on marketable securities held by the Trust Account, net of applicable franchise and income taxes, by the weighted average number of redeemable common stock outstanding since original issuance.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adjusted for income or loss on marketable securities attributable to Common stock subject to possible redemption, by the weighted average number of non-redeemable common stock outstanding for the periods.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Non-redeemable common stock includes Founder Shares and non-redeemable shares of common stock as these shares do not have any redemption features.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Redeemable Common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Numerator: Earnings allocable to Redeemable Common 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8,731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300"/>
              <w:spacing w:after="0"/>
              <w:rPr>
                <w:sz w:val="20"/>
                <w:szCs w:val="20"/>
                <w:color w:val="auto"/>
              </w:rPr>
            </w:pPr>
            <w:r>
              <w:rPr>
                <w:rFonts w:ascii="Arial" w:cs="Arial" w:eastAsia="Arial" w:hAnsi="Arial"/>
                <w:sz w:val="18"/>
                <w:szCs w:val="18"/>
                <w:color w:val="auto"/>
              </w:rPr>
              <w:t>Less; Income available to pay income and franchise taxes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(8,731)</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(34,906)</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Redeemable Net Earnings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Denominator: Weighted Average Redeemable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Common Stock,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17,250,000</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17,200,000</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Earnings/Basic and Diluted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Net Income minus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1,443,756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4,904,863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Redeemable Net Earnings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440"/>
              <w:spacing w:after="0"/>
              <w:rPr>
                <w:sz w:val="20"/>
                <w:szCs w:val="20"/>
                <w:color w:val="auto"/>
              </w:rPr>
            </w:pPr>
            <w:r>
              <w:rPr>
                <w:rFonts w:ascii="Arial" w:cs="Arial" w:eastAsia="Arial" w:hAnsi="Arial"/>
                <w:sz w:val="18"/>
                <w:szCs w:val="18"/>
                <w:color w:val="auto"/>
              </w:rPr>
              <w:t>Non-Redeemable Net Income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1,443,756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4,904,863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Denominator: Weighted Average Non-Redeemable Common Stock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300"/>
              <w:spacing w:after="0"/>
              <w:rPr>
                <w:sz w:val="20"/>
                <w:szCs w:val="20"/>
                <w:color w:val="auto"/>
              </w:rPr>
            </w:pPr>
            <w:r>
              <w:rPr>
                <w:rFonts w:ascii="Arial" w:cs="Arial" w:eastAsia="Arial" w:hAnsi="Arial"/>
                <w:sz w:val="18"/>
                <w:szCs w:val="18"/>
                <w:color w:val="auto"/>
              </w:rPr>
              <w:t>Non-Redeemable Common Stock, Basic and Diluted</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4,312,500</w:t>
            </w:r>
          </w:p>
        </w:tc>
        <w:tc>
          <w:tcPr>
            <w:tcW w:w="280" w:type="dxa"/>
            <w:vAlign w:val="bottom"/>
          </w:tcPr>
          <w:p>
            <w:pPr>
              <w:spacing w:after="0"/>
              <w:rPr>
                <w:sz w:val="24"/>
                <w:szCs w:val="24"/>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3,750,000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4,312,500</w:t>
            </w:r>
          </w:p>
        </w:tc>
        <w:tc>
          <w:tcPr>
            <w:tcW w:w="280" w:type="dxa"/>
            <w:vAlign w:val="bottom"/>
          </w:tcPr>
          <w:p>
            <w:pPr>
              <w:spacing w:after="0"/>
              <w:rPr>
                <w:sz w:val="24"/>
                <w:szCs w:val="24"/>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3,750,000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Earnings/Basic and Diluted Non-Redeemable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and six months ended June 30, 2021, basic and diluted shares are the same as there are no non-redeemable securities that are dilutive to the Company’s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condensed balance sheets, primarily due to their short-term nature, except for the Private Warrants (see Note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and six months ended June 30, 2021, the Company incurred $30,000 and $60,000 in fees for these services, of which $60,000 is included in accounts payable and accrued expenses in the accompanying unaudited condensed balance sheets as of June 30, 2021. As of December 31, 2020, there were no amounts accrued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June 30, 2021 and December 31, 2020, no Working Capital Loans were outstanding.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Related parties advanced the Company approximately $2,520,000 to pay for certain offering costs in connection with the Initial Public Offering. At June 30, 2021, the full balance of advances was repaid. At December 31, 2020, $120,005 was owed to some of these related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the Company’s Amended and Restated Certificate of Incorporation, the Company is authorized to issue up to 1,000,000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As of June 30, 2021 and December 31, 2020, there were no shares of preferred stock issued or outstanding.</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As of June 30, 2021 and December 31, 2020, there were 5,018,225 and 5,437,023 shares of common stock issued and outstanding, excluding 16,554,275 and 13,875,477 shares of common stock subject to possible redemption, respectively.</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The Public Warrants will become exercisable at any time commencing on the later of one year after the closing of the Initial Public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Public Warrants are accounted for as equity on the condensed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Warrants are identical to the Public Warrants (Note 7)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Private Warrants are accounted for as liabilities on the condensed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its investment in money market funds on the balance sheet at fair value at the end of each reporting period. Gains and losses resulting from the change in fair value of these securities is included in interest income in the accompanying statements of operations. The estimated fair values of investments held in the trust account are determined using available market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assets held in the Trust Account was comprised of $260,623 in money market funds which are invested primarily in U.S. Treasury Securities and $173,999,283 in U.S. Treasury securities. During the three and six months ended June 30, 2021, the Company did not withdraw any interest income from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assets held in the Trust Account were comprised of $151,500,000 in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June 30, 2021 and December 31, 2020 and indicates the fair value hierarchy of the valuation inputs the Company utilized to determine such fair value. The gross holding gain and fair value of held-to-maturity securities at June 30, 2021 and December 31,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Holding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20" w:type="dxa"/>
            <w:vAlign w:val="bottom"/>
            <w:gridSpan w:val="2"/>
          </w:tcPr>
          <w:p>
            <w:pPr>
              <w:ind w:left="1600"/>
              <w:spacing w:after="0"/>
              <w:rPr>
                <w:sz w:val="20"/>
                <w:szCs w:val="20"/>
                <w:color w:val="auto"/>
              </w:rPr>
            </w:pPr>
            <w:r>
              <w:rPr>
                <w:rFonts w:ascii="Arial" w:cs="Arial" w:eastAsia="Arial" w:hAnsi="Arial"/>
                <w:sz w:val="18"/>
                <w:szCs w:val="18"/>
                <w:b w:val="1"/>
                <w:bCs w:val="1"/>
                <w:color w:val="auto"/>
              </w:rPr>
              <w:t>Held-To-Maturity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Gain (Loss)</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Marketable securities held in Trust Account – U.S.:</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June 30, 2021</w:t>
            </w:r>
          </w:p>
        </w:tc>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Treasury Securities Money Market Fund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260,621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June 30, 2021</w:t>
            </w: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U.S. Treasury Securities (Mature on 7/15/2021)</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3"/>
              </w:rPr>
              <w:t>$  173,999,283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173,996,520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June 30, 2021 and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2,670,000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7,320,000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 The warrant liabilities are measured at fair value at inception and on a recurring basis, with changes in fair value presented in the statements of operations.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Warrants were initially and subsequently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7"/>
          </w:tcPr>
          <w:p>
            <w:pPr>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(Over-</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allotment)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Stock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p>
      <w:pPr>
        <w:spacing w:after="0" w:line="221"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Private</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measurement on January 5, 2021 (Over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June 30,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95"/>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7,320,000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837,000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(5,487,000)</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2,670,000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in or out of Level 3 from other levels in the fair value hierarchy during the three and six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(the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formed under the laws of the State of Delaware on July 10, 2019 for the purpose of effecting a merger, share exchange, asset acquisition, stock purchase, recapitalization, reorganization or other similar business transaction with one or more businesses or entities that the Company has not yet identified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may pursue a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 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 Business Combination with the ultimate goal of pursuing attractive returns for our stockholders.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effectuate our Business Combination using cash from the proceeds of the Initial Public Offering and the sale of the Private Warrants, our capital stock, debt or a combination of cash, stock and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June 30, 2021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June 30, 2021, we had a net income of $1,443,756, which consists of change in fair value of warrant liabilities of $1,668,750 and interest earned on marketable securities held in our Trust Account of $8,731, offset by general and administrative expenses of $233,725.</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we had a net income of $4,904,863, which consists of change in fair value of warrant liabilities of $5,487,000 and interest earned on marketable securities held in our Trust Account of $34,906, offset by general and administrative expenses of $450,701, loss on initial issuance of private warrants of $162,000 and provision for income taxes of $4,342.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2020, we had a net loss of $85 which consists of formation and operational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5, 2021, in connection with the underwriters’ exercise of their over-allotment option in full, we completed the sale of an additional 2,250,000 Units, at $10.00 per Unit, generating gross proceeds of $22,500,000. Simultaneously with the closing of the over-allotment we completed a sale of an additional 675,000 Private Warrants, at $1.00 per Private Warrant, generating total proceeds of $675,000.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cash used in operating activities was $415,254. Net income of $4,904,863 was affected by interest earned on marketable securities held in the Trust Account of $34,906, change in fair value of warrant liabilities of $5,487,000 and loss on initial issuance of private warrants of $162,000. Changes in operating assets and liabilities used $39,789 of cash for operating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For the six months ended June 30, 2020, cash used in operating activities was $535. Net loss of $85 was affected by changes in operating assets and liabilities of $450.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cash and marketable securities held in the Trust Account of $174,259,906 (including approximately $34,906 of interest income and unrealized gains, net of unrealized losses of $2,763) consisting of U.S. Treasury Bills with a maturity of 183 days or less. Interest income on the balance in the Trust Account may be used by us to pay taxes. Through June 30, 2021, we have not withdrawn any interest earned from the Trust Account.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cash of $535,994.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the co-sponsors, or certain of our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2021 and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unaudited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June 30, 2021 and December 31, 2020, common stock subject to possible redemption is presented as temporary equity, outside of the stockholders’ equity section of the Company’s condensed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common share, basic and diluted for and non-redeemable common stock is calculated by dividing net loss less income attributable to common stock subject to possible redemption, by the weighted average number of shares of non-redeemable common stock outstanding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unaudited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fiscal quarter ended June 30, 2021, as such term is defined in Rules 13a-15(e) and 15d-15(e) under the Exchange Act. Based on this evaluation, our principal executive officer and principal financial and accounting officer have concluded that, solely due to the events that led to the Company’s restatement of its financial statements to reclassify the Company’s derivative instruments as liabilities (which are described in the Company’s Amendment No. 1 to its Annual Report on Form 10-K/A filed on June 22, 2021) (the “Restatement”), during the period covered by this report, a material weakness existed and our disclosure controls and procedures were not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was no change in our internal control over financial reporting that occurred during the three months ended June 30, 2021 covered by this Quarterly Report on Form 10-Q that has materially affected, or is reasonably likely to materially affect, our internal control over financial reporting, other than the remediation steps taken in response to the material weakness in our internal control over financial reporting described in “Management's Report on Internal Control over Financial Reporting” included in our Annual Report on Form 10K/A as filed with the SEC on June 22, 2021, specifically, we enhanced the supervisory review of accounting procedures in this financial reporting area and expanded and improved our review process for complex securities and related accounting standards. As of June 30, 2021, the Company was still evaluating the effectiveness of the aforementioned remediation steps that have been implemented.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on December 23, 2020, we consummated the Initial Public Offering of 15,000,000 units (the “Units”). Each Unit consists of one share of common stock, $0.0001 par value (“Common Stock”), one right entitling the holder thereof to receive one-twentieth (1/20) of one share of Common Stock upon the consummation of a Business Combination, and one warrant entitling the holder thereof to purchase one-half (1/2) of one share of Common Stock at a price of $11.50 per whole share. The Units were sold at an offering price of $10.00 per Unit, generating gross proceeds of $150,000,000. Chardan Capital Markets, LLC acted as sole-book running manager. The securities in the offering were registered under the Securities Act on a registration statement on Form S-1 (No. 333-251048). The Securities and Exchange Commission declared the registration statement effective on December 23,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Simultaneously with the closing of the Initial Public Offering, we consummated the private placement with initial stockholders of the Company of 6,000,000 warrants (the “Private Warrants”), generating total proceeds of $6,000,000. The Private Warrants are identical to the warrants sold as part of the public Units in the Initial Public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 The Private Warrants were issued pursuant to the exemption from registration contained in Section 4(a)(2) of the Securities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2021, we consummated the closing of the issuance and sale of additional Units (the “Over-Allotment Option Units”) upon exercise by the underwriters of their over-allotment option in full.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the exemption from registration contained in Section 4(a)(2) of the Securities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$174,225,000 of the net proceeds from the sale of the Units in the Initial Public Offering (including the Over-Allotment Option Units) and the private placements on December 30, 2020 and January 5, 2021, were deposited in a trust account established for the benefit of the Company’s public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$3,993,017 in offering costs, consisting of $3,450,000 ($450,000 related to the underwriters’ exercise of their over-allotment option) in underwriting fees and $543,017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0000EE"/>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20" w:type="dxa"/>
            <w:vAlign w:val="bottom"/>
            <w:tcBorders>
              <w:top w:val="single" w:sz="8" w:color="0000EE"/>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08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jc w:val="both"/>
        <w:ind w:left="240" w:right="20" w:hanging="232"/>
        <w:spacing w:after="0" w:line="255"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92"/>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 August 12, 2021</w:t>
            </w:r>
          </w:p>
        </w:tc>
        <w:tc>
          <w:tcPr>
            <w:tcW w:w="3740" w:type="dxa"/>
            <w:vAlign w:val="bottom"/>
          </w:tcPr>
          <w:p>
            <w:pPr>
              <w:ind w:left="3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3580" w:type="dxa"/>
            <w:vAlign w:val="bottom"/>
          </w:tcPr>
          <w:p>
            <w:pPr>
              <w:spacing w:after="0"/>
              <w:rPr>
                <w:sz w:val="17"/>
                <w:szCs w:val="17"/>
                <w:color w:val="auto"/>
              </w:rPr>
            </w:pPr>
          </w:p>
        </w:tc>
        <w:tc>
          <w:tcPr>
            <w:tcW w:w="374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 August 12, 2021</w:t>
            </w:r>
          </w:p>
        </w:tc>
        <w:tc>
          <w:tcPr>
            <w:tcW w:w="3740" w:type="dxa"/>
            <w:vAlign w:val="bottom"/>
          </w:tcPr>
          <w:p>
            <w:pPr>
              <w:ind w:left="3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MacDonald</w:t>
            </w:r>
          </w:p>
        </w:tc>
      </w:tr>
      <w:tr>
        <w:trPr>
          <w:trHeight w:val="202"/>
        </w:trPr>
        <w:tc>
          <w:tcPr>
            <w:tcW w:w="3580" w:type="dxa"/>
            <w:vAlign w:val="bottom"/>
          </w:tcPr>
          <w:p>
            <w:pPr>
              <w:spacing w:after="0"/>
              <w:rPr>
                <w:sz w:val="17"/>
                <w:szCs w:val="17"/>
                <w:color w:val="auto"/>
              </w:rPr>
            </w:pPr>
          </w:p>
        </w:tc>
        <w:tc>
          <w:tcPr>
            <w:tcW w:w="374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Matthew MacDonald</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27</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June 30, 2021, as filed with the Securities and Exchange Commission (the “Report”), I, Edward Scheetz, Chief Executive Officer of the Company, certify, pursuant to 18 U.S.C. §1350, as adopted pursuant to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June 30, 2021, as filed with the Securities and Exchange Commission (the “Report”), I, Matthew MacDonald, Chief Financial Officer of the Company, certify, pursuant to 18 U.S.C. §1350, as adopted pursuant to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lowerRoman"/>
      <w:start w:val="3"/>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2021-08-12T14:40:48Z</dcterms:created>
  <dcterms:modified xsi:type="dcterms:W3CDTF">2021-08-12T14:40:48Z</dcterms:modified>
</cp:coreProperties>
</file>