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3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CURRENT REPORT</w:t>
      </w:r>
    </w:p>
    <w:p>
      <w:pPr>
        <w:spacing w:after="0" w:line="24"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PURSUANT TO SECTION 13 OR 15(d)</w:t>
      </w: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Date of Report (Date of earliest event reported): January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400"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Ventoux CCM Acquisition Corp.</w:t>
      </w:r>
    </w:p>
    <w:p>
      <w:pPr>
        <w:spacing w:after="0" w:line="33"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80" w:lineRule="exact"/>
        <w:rPr>
          <w:sz w:val="24"/>
          <w:szCs w:val="24"/>
          <w:color w:val="auto"/>
        </w:rPr>
      </w:pPr>
    </w:p>
    <w:tbl>
      <w:tblPr>
        <w:tblLayout w:type="fixed"/>
        <w:tblInd w:w="4" w:type="dxa"/>
        <w:tblCellMar>
          <w:top w:w="0" w:type="dxa"/>
          <w:left w:w="0" w:type="dxa"/>
          <w:bottom w:w="0" w:type="dxa"/>
          <w:right w:w="0" w:type="dxa"/>
        </w:tblCellMar>
      </w:tblPr>
      <w:tr>
        <w:trPr>
          <w:trHeight w:val="224"/>
        </w:trPr>
        <w:tc>
          <w:tcPr>
            <w:tcW w:w="3040" w:type="dxa"/>
            <w:vAlign w:val="bottom"/>
          </w:tcPr>
          <w:p>
            <w:pPr>
              <w:jc w:val="center"/>
              <w:ind w:left="480"/>
              <w:spacing w:after="0"/>
              <w:rPr>
                <w:sz w:val="20"/>
                <w:szCs w:val="20"/>
                <w:color w:val="auto"/>
              </w:rPr>
            </w:pPr>
            <w:r>
              <w:rPr>
                <w:rFonts w:ascii="Arial" w:cs="Arial" w:eastAsia="Arial" w:hAnsi="Arial"/>
                <w:sz w:val="16"/>
                <w:szCs w:val="16"/>
                <w:b w:val="1"/>
                <w:bCs w:val="1"/>
                <w:color w:val="auto"/>
                <w:w w:val="91"/>
              </w:rPr>
              <w:t>Delaware</w:t>
            </w:r>
          </w:p>
        </w:tc>
        <w:tc>
          <w:tcPr>
            <w:tcW w:w="4400" w:type="dxa"/>
            <w:vAlign w:val="bottom"/>
            <w:gridSpan w:val="3"/>
          </w:tcPr>
          <w:p>
            <w:pPr>
              <w:jc w:val="center"/>
              <w:ind w:left="720"/>
              <w:spacing w:after="0"/>
              <w:rPr>
                <w:sz w:val="20"/>
                <w:szCs w:val="20"/>
                <w:color w:val="auto"/>
              </w:rPr>
            </w:pPr>
            <w:r>
              <w:rPr>
                <w:rFonts w:ascii="Arial" w:cs="Arial" w:eastAsia="Arial" w:hAnsi="Arial"/>
                <w:sz w:val="16"/>
                <w:szCs w:val="16"/>
                <w:b w:val="1"/>
                <w:bCs w:val="1"/>
                <w:color w:val="auto"/>
                <w:w w:val="88"/>
              </w:rPr>
              <w:t>001-39830</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80" w:type="dxa"/>
            <w:vAlign w:val="bottom"/>
          </w:tcPr>
          <w:p>
            <w:pPr>
              <w:jc w:val="center"/>
              <w:ind w:right="660"/>
              <w:spacing w:after="0"/>
              <w:rPr>
                <w:sz w:val="20"/>
                <w:szCs w:val="20"/>
                <w:color w:val="auto"/>
              </w:rPr>
            </w:pPr>
            <w:r>
              <w:rPr>
                <w:rFonts w:ascii="Arial" w:cs="Arial" w:eastAsia="Arial" w:hAnsi="Arial"/>
                <w:sz w:val="16"/>
                <w:szCs w:val="16"/>
                <w:b w:val="1"/>
                <w:bCs w:val="1"/>
                <w:color w:val="auto"/>
                <w:w w:val="91"/>
              </w:rPr>
              <w:t>84-2968594</w:t>
            </w:r>
          </w:p>
        </w:tc>
      </w:tr>
      <w:tr>
        <w:trPr>
          <w:trHeight w:val="175"/>
        </w:trPr>
        <w:tc>
          <w:tcPr>
            <w:tcW w:w="3040" w:type="dxa"/>
            <w:vAlign w:val="bottom"/>
            <w:tcBorders>
              <w:top w:val="single" w:sz="8" w:color="auto"/>
            </w:tcBorders>
          </w:tcPr>
          <w:p>
            <w:pPr>
              <w:jc w:val="center"/>
              <w:ind w:left="480"/>
              <w:spacing w:after="0" w:line="175" w:lineRule="exact"/>
              <w:rPr>
                <w:sz w:val="20"/>
                <w:szCs w:val="20"/>
                <w:color w:val="auto"/>
              </w:rPr>
            </w:pPr>
            <w:r>
              <w:rPr>
                <w:rFonts w:ascii="Arial" w:cs="Arial" w:eastAsia="Arial" w:hAnsi="Arial"/>
                <w:sz w:val="16"/>
                <w:szCs w:val="16"/>
                <w:b w:val="1"/>
                <w:bCs w:val="1"/>
                <w:color w:val="auto"/>
                <w:w w:val="90"/>
              </w:rPr>
              <w:t>(State or Other Jurisdiction</w:t>
            </w:r>
          </w:p>
        </w:tc>
        <w:tc>
          <w:tcPr>
            <w:tcW w:w="5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0"/>
              </w:rPr>
              <w:t>(Commission File Number)</w:t>
            </w:r>
          </w:p>
        </w:tc>
        <w:tc>
          <w:tcPr>
            <w:tcW w:w="2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tcPr>
          <w:p>
            <w:pPr>
              <w:jc w:val="center"/>
              <w:ind w:right="660"/>
              <w:spacing w:after="0" w:line="175" w:lineRule="exact"/>
              <w:rPr>
                <w:sz w:val="20"/>
                <w:szCs w:val="20"/>
                <w:color w:val="auto"/>
              </w:rPr>
            </w:pPr>
            <w:r>
              <w:rPr>
                <w:rFonts w:ascii="Arial" w:cs="Arial" w:eastAsia="Arial" w:hAnsi="Arial"/>
                <w:sz w:val="16"/>
                <w:szCs w:val="16"/>
                <w:b w:val="1"/>
                <w:bCs w:val="1"/>
                <w:color w:val="auto"/>
                <w:w w:val="93"/>
              </w:rPr>
              <w:t>(IRS Employer</w:t>
            </w:r>
          </w:p>
        </w:tc>
      </w:tr>
      <w:tr>
        <w:trPr>
          <w:trHeight w:val="208"/>
        </w:trPr>
        <w:tc>
          <w:tcPr>
            <w:tcW w:w="3040" w:type="dxa"/>
            <w:vAlign w:val="bottom"/>
          </w:tcPr>
          <w:p>
            <w:pPr>
              <w:jc w:val="center"/>
              <w:ind w:left="480"/>
              <w:spacing w:after="0"/>
              <w:rPr>
                <w:sz w:val="20"/>
                <w:szCs w:val="20"/>
                <w:color w:val="auto"/>
              </w:rPr>
            </w:pPr>
            <w:r>
              <w:rPr>
                <w:rFonts w:ascii="Arial" w:cs="Arial" w:eastAsia="Arial" w:hAnsi="Arial"/>
                <w:sz w:val="16"/>
                <w:szCs w:val="16"/>
                <w:b w:val="1"/>
                <w:bCs w:val="1"/>
                <w:color w:val="auto"/>
                <w:w w:val="93"/>
              </w:rPr>
              <w:t>of Incorporation)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jc w:val="center"/>
              <w:ind w:right="640"/>
              <w:spacing w:after="0"/>
              <w:rPr>
                <w:sz w:val="20"/>
                <w:szCs w:val="20"/>
                <w:color w:val="auto"/>
              </w:rPr>
            </w:pPr>
            <w:r>
              <w:rPr>
                <w:rFonts w:ascii="Arial" w:cs="Arial" w:eastAsia="Arial" w:hAnsi="Arial"/>
                <w:sz w:val="16"/>
                <w:szCs w:val="16"/>
                <w:b w:val="1"/>
                <w:bCs w:val="1"/>
                <w:color w:val="auto"/>
                <w:w w:val="91"/>
              </w:rPr>
              <w:t>Identification No.)</w:t>
            </w:r>
          </w:p>
        </w:tc>
      </w:tr>
      <w:tr>
        <w:trPr>
          <w:trHeight w:val="366"/>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6"/>
                <w:szCs w:val="16"/>
                <w:b w:val="1"/>
                <w:bCs w:val="1"/>
                <w:color w:val="auto"/>
                <w:w w:val="90"/>
              </w:rPr>
              <w:t>1 East Putnam Avenue, Floor 4</w:t>
            </w:r>
          </w:p>
        </w:tc>
        <w:tc>
          <w:tcPr>
            <w:tcW w:w="2880" w:type="dxa"/>
            <w:vAlign w:val="bottom"/>
          </w:tcPr>
          <w:p>
            <w:pPr>
              <w:spacing w:after="0"/>
              <w:rPr>
                <w:sz w:val="24"/>
                <w:szCs w:val="24"/>
                <w:color w:val="auto"/>
              </w:rPr>
            </w:pPr>
          </w:p>
        </w:tc>
      </w:tr>
      <w:tr>
        <w:trPr>
          <w:trHeight w:val="191"/>
        </w:trPr>
        <w:tc>
          <w:tcPr>
            <w:tcW w:w="3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6"/>
                <w:szCs w:val="16"/>
                <w:b w:val="1"/>
                <w:bCs w:val="1"/>
                <w:color w:val="auto"/>
                <w:w w:val="91"/>
              </w:rPr>
              <w:t>Greenwich, CT 06830</w:t>
            </w:r>
          </w:p>
        </w:tc>
        <w:tc>
          <w:tcPr>
            <w:tcW w:w="2880" w:type="dxa"/>
            <w:vAlign w:val="bottom"/>
          </w:tcPr>
          <w:p>
            <w:pPr>
              <w:spacing w:after="0"/>
              <w:rPr>
                <w:sz w:val="16"/>
                <w:szCs w:val="16"/>
                <w:color w:val="auto"/>
              </w:rPr>
            </w:pPr>
          </w:p>
        </w:tc>
      </w:tr>
      <w:tr>
        <w:trPr>
          <w:trHeight w:val="208"/>
        </w:trPr>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6"/>
                <w:szCs w:val="16"/>
                <w:b w:val="1"/>
                <w:bCs w:val="1"/>
                <w:color w:val="auto"/>
                <w:w w:val="88"/>
              </w:rPr>
              <w:t>(Address of principal executive office) (zip code)</w:t>
            </w:r>
          </w:p>
        </w:tc>
        <w:tc>
          <w:tcPr>
            <w:tcW w:w="2880" w:type="dxa"/>
            <w:vAlign w:val="bottom"/>
          </w:tcPr>
          <w:p>
            <w:pPr>
              <w:spacing w:after="0"/>
              <w:rPr>
                <w:sz w:val="18"/>
                <w:szCs w:val="18"/>
                <w:color w:val="auto"/>
              </w:rPr>
            </w:pPr>
          </w:p>
        </w:tc>
      </w:tr>
      <w:tr>
        <w:trPr>
          <w:trHeight w:val="382"/>
        </w:trPr>
        <w:tc>
          <w:tcPr>
            <w:tcW w:w="3040" w:type="dxa"/>
            <w:vAlign w:val="bottom"/>
          </w:tcPr>
          <w:p>
            <w:pPr>
              <w:spacing w:after="0"/>
              <w:rPr>
                <w:sz w:val="24"/>
                <w:szCs w:val="24"/>
                <w:color w:val="auto"/>
              </w:rPr>
            </w:pPr>
          </w:p>
        </w:tc>
        <w:tc>
          <w:tcPr>
            <w:tcW w:w="534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89"/>
              </w:rPr>
              <w:t>Registrant’s telephone number, including area code: (646) 465-9000</w:t>
            </w:r>
          </w:p>
        </w:tc>
        <w:tc>
          <w:tcPr>
            <w:tcW w:w="2880" w:type="dxa"/>
            <w:vAlign w:val="bottom"/>
          </w:tcPr>
          <w:p>
            <w:pPr>
              <w:spacing w:after="0"/>
              <w:rPr>
                <w:sz w:val="24"/>
                <w:szCs w:val="24"/>
                <w:color w:val="auto"/>
              </w:rPr>
            </w:pPr>
          </w:p>
        </w:tc>
      </w:tr>
      <w:tr>
        <w:trPr>
          <w:trHeight w:val="366"/>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6"/>
                <w:szCs w:val="16"/>
                <w:b w:val="1"/>
                <w:bCs w:val="1"/>
                <w:color w:val="auto"/>
              </w:rPr>
              <w:t>N/A</w:t>
            </w:r>
          </w:p>
        </w:tc>
        <w:tc>
          <w:tcPr>
            <w:tcW w:w="2880" w:type="dxa"/>
            <w:vAlign w:val="bottom"/>
          </w:tcPr>
          <w:p>
            <w:pPr>
              <w:spacing w:after="0"/>
              <w:rPr>
                <w:sz w:val="24"/>
                <w:szCs w:val="24"/>
                <w:color w:val="auto"/>
              </w:rPr>
            </w:pPr>
          </w:p>
        </w:tc>
      </w:tr>
      <w:tr>
        <w:trPr>
          <w:trHeight w:val="208"/>
        </w:trPr>
        <w:tc>
          <w:tcPr>
            <w:tcW w:w="3040" w:type="dxa"/>
            <w:vAlign w:val="bottom"/>
          </w:tcPr>
          <w:p>
            <w:pPr>
              <w:spacing w:after="0"/>
              <w:rPr>
                <w:sz w:val="18"/>
                <w:szCs w:val="18"/>
                <w:color w:val="auto"/>
              </w:rPr>
            </w:pPr>
          </w:p>
        </w:tc>
        <w:tc>
          <w:tcPr>
            <w:tcW w:w="534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9"/>
              </w:rPr>
              <w:t>(Former name or former address, if changed since last report)</w:t>
            </w:r>
          </w:p>
        </w:tc>
        <w:tc>
          <w:tcPr>
            <w:tcW w:w="2880" w:type="dxa"/>
            <w:vAlign w:val="bottom"/>
          </w:tcPr>
          <w:p>
            <w:pPr>
              <w:spacing w:after="0"/>
              <w:rPr>
                <w:sz w:val="18"/>
                <w:szCs w:val="18"/>
                <w:color w:val="auto"/>
              </w:rPr>
            </w:pPr>
          </w:p>
        </w:tc>
      </w:tr>
    </w:tbl>
    <w:p>
      <w:pPr>
        <w:spacing w:after="0" w:line="178"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1"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 A.2. below):</w:t>
      </w:r>
    </w:p>
    <w:p>
      <w:pPr>
        <w:spacing w:after="0" w:line="186"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8" w:lineRule="exact"/>
        <w:rPr>
          <w:sz w:val="24"/>
          <w:szCs w:val="24"/>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860" w:hanging="4"/>
        <w:spacing w:after="0" w:line="496" w:lineRule="auto"/>
        <w:tabs>
          <w:tab w:leader="none" w:pos="29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91"/>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87"/>
              </w:rPr>
              <w:t>Name of each exchange on which</w:t>
            </w:r>
          </w:p>
        </w:tc>
      </w:tr>
      <w:tr>
        <w:trPr>
          <w:trHeight w:val="212"/>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240" w:type="dxa"/>
            <w:vAlign w:val="bottom"/>
          </w:tcPr>
          <w:p>
            <w:pPr>
              <w:spacing w:after="0"/>
              <w:rPr>
                <w:sz w:val="18"/>
                <w:szCs w:val="18"/>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Trading Symbol(s)</w:t>
            </w:r>
          </w:p>
        </w:tc>
        <w:tc>
          <w:tcPr>
            <w:tcW w:w="220" w:type="dxa"/>
            <w:vAlign w:val="bottom"/>
          </w:tcPr>
          <w:p>
            <w:pPr>
              <w:spacing w:after="0"/>
              <w:rPr>
                <w:sz w:val="18"/>
                <w:szCs w:val="18"/>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registered</w:t>
            </w:r>
          </w:p>
        </w:tc>
      </w:tr>
      <w:tr>
        <w:trPr>
          <w:trHeight w:val="191"/>
        </w:trPr>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Common Stock</w:t>
            </w:r>
          </w:p>
        </w:tc>
        <w:tc>
          <w:tcPr>
            <w:tcW w:w="240" w:type="dxa"/>
            <w:vAlign w:val="bottom"/>
            <w:shd w:val="clear" w:color="auto" w:fill="CCEEFF"/>
          </w:tcPr>
          <w:p>
            <w:pPr>
              <w:spacing w:after="0"/>
              <w:rPr>
                <w:sz w:val="16"/>
                <w:szCs w:val="16"/>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VTAQ</w:t>
            </w:r>
          </w:p>
        </w:tc>
        <w:tc>
          <w:tcPr>
            <w:tcW w:w="220" w:type="dxa"/>
            <w:vAlign w:val="bottom"/>
            <w:shd w:val="clear" w:color="auto" w:fill="CCEEFF"/>
          </w:tcPr>
          <w:p>
            <w:pPr>
              <w:spacing w:after="0"/>
              <w:rPr>
                <w:sz w:val="16"/>
                <w:szCs w:val="16"/>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The Nasdaq Stock Market LLC</w:t>
            </w:r>
          </w:p>
        </w:tc>
      </w:tr>
      <w:tr>
        <w:trPr>
          <w:trHeight w:val="191"/>
        </w:trPr>
        <w:tc>
          <w:tcPr>
            <w:tcW w:w="3600" w:type="dxa"/>
            <w:vAlign w:val="bottom"/>
          </w:tcPr>
          <w:p>
            <w:pPr>
              <w:jc w:val="center"/>
              <w:spacing w:after="0"/>
              <w:rPr>
                <w:sz w:val="20"/>
                <w:szCs w:val="20"/>
                <w:color w:val="auto"/>
              </w:rPr>
            </w:pPr>
            <w:r>
              <w:rPr>
                <w:rFonts w:ascii="Arial" w:cs="Arial" w:eastAsia="Arial" w:hAnsi="Arial"/>
                <w:sz w:val="16"/>
                <w:szCs w:val="16"/>
                <w:color w:val="auto"/>
                <w:w w:val="86"/>
              </w:rPr>
              <w:t>Warrants</w:t>
            </w:r>
          </w:p>
        </w:tc>
        <w:tc>
          <w:tcPr>
            <w:tcW w:w="24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8"/>
              </w:rPr>
              <w:t>VTAQW</w:t>
            </w:r>
          </w:p>
        </w:tc>
        <w:tc>
          <w:tcPr>
            <w:tcW w:w="2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1"/>
              </w:rPr>
              <w:t>The Nasdaq Stock Market LLC</w:t>
            </w:r>
          </w:p>
        </w:tc>
      </w:tr>
      <w:tr>
        <w:trPr>
          <w:trHeight w:val="191"/>
        </w:trPr>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Rights</w:t>
            </w:r>
          </w:p>
        </w:tc>
        <w:tc>
          <w:tcPr>
            <w:tcW w:w="240" w:type="dxa"/>
            <w:vAlign w:val="bottom"/>
            <w:shd w:val="clear" w:color="auto" w:fill="CCEEFF"/>
          </w:tcPr>
          <w:p>
            <w:pPr>
              <w:spacing w:after="0"/>
              <w:rPr>
                <w:sz w:val="16"/>
                <w:szCs w:val="16"/>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VTAQR</w:t>
            </w:r>
          </w:p>
        </w:tc>
        <w:tc>
          <w:tcPr>
            <w:tcW w:w="220" w:type="dxa"/>
            <w:vAlign w:val="bottom"/>
            <w:shd w:val="clear" w:color="auto" w:fill="CCEEFF"/>
          </w:tcPr>
          <w:p>
            <w:pPr>
              <w:spacing w:after="0"/>
              <w:rPr>
                <w:sz w:val="16"/>
                <w:szCs w:val="16"/>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The Nasdaq Stock Market LLC</w:t>
            </w:r>
          </w:p>
        </w:tc>
      </w:tr>
      <w:tr>
        <w:trPr>
          <w:trHeight w:val="204"/>
        </w:trPr>
        <w:tc>
          <w:tcPr>
            <w:tcW w:w="3600" w:type="dxa"/>
            <w:vAlign w:val="bottom"/>
          </w:tcPr>
          <w:p>
            <w:pPr>
              <w:jc w:val="center"/>
              <w:spacing w:after="0"/>
              <w:rPr>
                <w:sz w:val="20"/>
                <w:szCs w:val="20"/>
                <w:color w:val="auto"/>
              </w:rPr>
            </w:pPr>
            <w:r>
              <w:rPr>
                <w:rFonts w:ascii="Arial" w:cs="Arial" w:eastAsia="Arial" w:hAnsi="Arial"/>
                <w:sz w:val="16"/>
                <w:szCs w:val="16"/>
                <w:color w:val="auto"/>
                <w:w w:val="98"/>
              </w:rPr>
              <w:t>Units</w:t>
            </w:r>
          </w:p>
        </w:tc>
        <w:tc>
          <w:tcPr>
            <w:tcW w:w="24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7"/>
              </w:rPr>
              <w:t>VTAQU</w:t>
            </w:r>
          </w:p>
        </w:tc>
        <w:tc>
          <w:tcPr>
            <w:tcW w:w="22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1"/>
              </w:rPr>
              <w:t>The Nasdaq Stock Market LLC</w:t>
            </w:r>
          </w:p>
        </w:tc>
      </w:tr>
    </w:tbl>
    <w:p>
      <w:pPr>
        <w:spacing w:after="0" w:line="166" w:lineRule="exact"/>
        <w:rPr>
          <w:sz w:val="24"/>
          <w:szCs w:val="24"/>
          <w:color w:val="auto"/>
        </w:rPr>
      </w:pPr>
    </w:p>
    <w:p>
      <w:pPr>
        <w:jc w:val="both"/>
        <w:ind w:left="4"/>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jc w:val="both"/>
        <w:ind w:left="4"/>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1481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7148195"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528320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65"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Attached as Exhibit 99.1 hereto and incorporated herein by reference is an updated investor presentation dated January 12, 2022.</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the filings of VTAQ under the Securities Act or the Exchange Act, regardless of any general incorporation language in such filings. This Current Report on Form 8-K will not be deemed an admission as to the materiality of any information of the information in this Item 7.01, including Exhibit 99.1.</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Participants in Solicitation</w:t>
      </w:r>
    </w:p>
    <w:p>
      <w:pPr>
        <w:spacing w:after="0" w:line="198"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This Current Report on Form 8-K is not a solicitation of a proxy from any investor or security holder. However, VTAQ, Presto, and certain of their directors and executive officers may be deemed to be participants in the solicitation of proxies in connection with the proposed business combination under the rules of the SEC. Information about VTAQ’s directors and executive officers and their ownership of VTAQ’s securities is set forth in filings with the SEC, including VTAQ’s Annual Report on Form 10-K filed with the SEC on March 30, 2021 and amended on June 22, 2021 and December 3, 2021. To the extent that holdings of VTAQ’s securities have changed since the amounts included in VTAQ’s Annual Report on Form 10-K, such changes have been or will be reflected on Statements of Changes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Forward-Looking Statements</w:t>
      </w:r>
    </w:p>
    <w:p>
      <w:pPr>
        <w:spacing w:after="0" w:line="198" w:lineRule="exact"/>
        <w:rPr>
          <w:sz w:val="20"/>
          <w:szCs w:val="20"/>
          <w:color w:val="auto"/>
        </w:rPr>
      </w:pPr>
    </w:p>
    <w:p>
      <w:pPr>
        <w:jc w:val="both"/>
        <w:ind w:right="20" w:firstLine="574"/>
        <w:spacing w:after="0" w:line="271" w:lineRule="auto"/>
        <w:rPr>
          <w:sz w:val="20"/>
          <w:szCs w:val="20"/>
          <w:color w:val="auto"/>
        </w:rPr>
      </w:pPr>
      <w:r>
        <w:rPr>
          <w:rFonts w:ascii="Arial" w:cs="Arial" w:eastAsia="Arial" w:hAnsi="Arial"/>
          <w:sz w:val="15"/>
          <w:szCs w:val="15"/>
          <w:color w:val="auto"/>
        </w:rPr>
        <w:t>This Current Report on Form 8-K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Presto’s industry and market sizes, future opportunities for VTAQ, Presto and New Presto, VTAQ’s and Presto’s estimated future results and the proposed business combination, the expected transaction and ownership structure and the likelihood and ability of the parties to successfully consummate the proposed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 w:name="page3"/>
    <w:bookmarkEnd w:id="2"/>
    <w:p>
      <w:pPr>
        <w:jc w:val="both"/>
        <w:ind w:left="4" w:firstLine="574"/>
        <w:spacing w:after="0" w:line="288" w:lineRule="auto"/>
        <w:rPr>
          <w:sz w:val="20"/>
          <w:szCs w:val="20"/>
          <w:color w:val="auto"/>
        </w:rPr>
      </w:pPr>
      <w:r>
        <w:rPr>
          <w:rFonts w:ascii="Arial" w:cs="Arial" w:eastAsia="Arial" w:hAnsi="Arial"/>
          <w:sz w:val="14"/>
          <w:szCs w:val="14"/>
          <w:color w:val="auto"/>
        </w:rPr>
        <w:t>In addition to factors previously disclosed or that will be disclosed in VTAQ’s reports filed with the SEC and those identified elsewhere in this Current Report on Form 8-K,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VTAQ, Presto, VTAQ or others following the announcement of the Business Combination and any definitive agreements with respect thereto; (3) the inability to complete the Business Combination due to the failure to obtain approval of the stockholders of VTAQ or Presto; (4) the inability of Presto to satisfy other conditions to closing; (5) changes to the proposed structure of the Business Combination that may be required or appropriate as a result of applicable laws or regulations or as a condition to obtaining regulatory approval of the Business Combination; (6) the ability to meet stock exchange listing standards in connection with and following the consummation of the Business Combination; (7) the risk that the Business Combination disrupts current plans and operations of Presto as a result of the announcement and consummation of the Business Combination; (8) the ability to recognize the anticipated benefits of the Business Combination, which may be affected by, among other things, competition, the ability of VTAQ to grow and manage growth profitably, grow its customer base, maintain relationships with customers and suppliers and retain its management and key employees; (9) the impact of the COVID-19 pandemic on the business of Presto and VTAQ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the Business Combination; (13) changes in applicable laws or regulations; (14) the possibility that Presto or VTAQ may be adversely affected by other economic, business, regulatory, and/or competitive factors; (15) 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w:t>
      </w:r>
    </w:p>
    <w:p>
      <w:pPr>
        <w:spacing w:after="0" w:line="348" w:lineRule="exact"/>
        <w:rPr>
          <w:sz w:val="20"/>
          <w:szCs w:val="20"/>
          <w:color w:val="auto"/>
        </w:rPr>
      </w:pPr>
    </w:p>
    <w:p>
      <w:pPr>
        <w:jc w:val="both"/>
        <w:ind w:left="4" w:firstLine="574"/>
        <w:spacing w:after="0" w:line="271" w:lineRule="auto"/>
        <w:rPr>
          <w:sz w:val="20"/>
          <w:szCs w:val="20"/>
          <w:color w:val="auto"/>
        </w:rPr>
      </w:pPr>
      <w:r>
        <w:rPr>
          <w:rFonts w:ascii="Arial" w:cs="Arial" w:eastAsia="Arial" w:hAnsi="Arial"/>
          <w:sz w:val="15"/>
          <w:szCs w:val="15"/>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VTAQ and Presto or the date of such information in the case of information from persons other than VTAQ and Presto, and we disclaim any intention or obligation to update any forward-looking statements as a result of developments occurring after the date of this Current Report on Form 8-K.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No Offer or Solicitation</w:t>
      </w:r>
    </w:p>
    <w:p>
      <w:pPr>
        <w:spacing w:after="0" w:line="198" w:lineRule="exact"/>
        <w:rPr>
          <w:sz w:val="20"/>
          <w:szCs w:val="20"/>
          <w:color w:val="auto"/>
        </w:rPr>
      </w:pPr>
    </w:p>
    <w:p>
      <w:pPr>
        <w:jc w:val="both"/>
        <w:ind w:left="4" w:firstLine="574"/>
        <w:spacing w:after="0" w:line="258" w:lineRule="auto"/>
        <w:rPr>
          <w:sz w:val="20"/>
          <w:szCs w:val="20"/>
          <w:color w:val="auto"/>
        </w:rPr>
      </w:pPr>
      <w:r>
        <w:rPr>
          <w:rFonts w:ascii="Arial" w:cs="Arial" w:eastAsia="Arial" w:hAnsi="Arial"/>
          <w:sz w:val="16"/>
          <w:szCs w:val="16"/>
          <w:color w:val="auto"/>
        </w:rPr>
        <w:t>This Current Report on Form 8-K is not intended to and shall not constitute a proxy statement or the solicitation of a proxy, consent or authorization with respect to any securities in respect of the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2" w:lineRule="exact"/>
        <w:rPr>
          <w:sz w:val="20"/>
          <w:szCs w:val="20"/>
          <w:color w:val="auto"/>
        </w:rPr>
      </w:pPr>
    </w:p>
    <w:p>
      <w:pPr>
        <w:ind w:left="224" w:hanging="224"/>
        <w:spacing w:after="0"/>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Exhibits</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following exhibit is furnished with this report.</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Exhibit No.</w:t>
            </w:r>
          </w:p>
        </w:tc>
        <w:tc>
          <w:tcPr>
            <w:tcW w:w="220" w:type="dxa"/>
            <w:vAlign w:val="bottom"/>
            <w:tcBorders>
              <w:bottom w:val="single" w:sz="8" w:color="CCEEFF"/>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7040" w:type="dxa"/>
            <w:vAlign w:val="bottom"/>
            <w:tcBorders>
              <w:bottom w:val="single" w:sz="8" w:color="auto"/>
            </w:tcBorders>
          </w:tcPr>
          <w:p>
            <w:pPr>
              <w:jc w:val="right"/>
              <w:ind w:right="4480"/>
              <w:spacing w:after="0"/>
              <w:rPr>
                <w:sz w:val="20"/>
                <w:szCs w:val="20"/>
                <w:color w:val="auto"/>
              </w:rPr>
            </w:pPr>
            <w:r>
              <w:rPr>
                <w:rFonts w:ascii="Arial" w:cs="Arial" w:eastAsia="Arial" w:hAnsi="Arial"/>
                <w:sz w:val="16"/>
                <w:szCs w:val="16"/>
                <w:b w:val="1"/>
                <w:bCs w:val="1"/>
                <w:color w:val="auto"/>
              </w:rPr>
              <w:t>Description</w:t>
            </w:r>
          </w:p>
        </w:tc>
      </w:tr>
      <w:tr>
        <w:trPr>
          <w:trHeight w:val="155"/>
        </w:trPr>
        <w:tc>
          <w:tcPr>
            <w:tcW w:w="1140" w:type="dxa"/>
            <w:vAlign w:val="bottom"/>
            <w:shd w:val="clear" w:color="auto" w:fill="CCEEFF"/>
          </w:tcPr>
          <w:p>
            <w:pPr>
              <w:jc w:val="right"/>
              <w:ind w:right="360"/>
              <w:spacing w:after="0" w:line="155" w:lineRule="exact"/>
              <w:rPr>
                <w:sz w:val="20"/>
                <w:szCs w:val="20"/>
                <w:color w:val="auto"/>
              </w:rPr>
            </w:pPr>
            <w:r>
              <w:rPr>
                <w:rFonts w:ascii="Arial" w:cs="Arial" w:eastAsia="Arial" w:hAnsi="Arial"/>
                <w:sz w:val="16"/>
                <w:szCs w:val="16"/>
                <w:color w:val="auto"/>
              </w:rPr>
              <w:t>99.1</w:t>
            </w:r>
          </w:p>
        </w:tc>
        <w:tc>
          <w:tcPr>
            <w:tcW w:w="220" w:type="dxa"/>
            <w:vAlign w:val="bottom"/>
            <w:shd w:val="clear" w:color="auto" w:fill="CCEEFF"/>
          </w:tcPr>
          <w:p>
            <w:pPr>
              <w:spacing w:after="0"/>
              <w:rPr>
                <w:sz w:val="13"/>
                <w:szCs w:val="13"/>
                <w:color w:val="auto"/>
              </w:rPr>
            </w:pPr>
          </w:p>
        </w:tc>
        <w:tc>
          <w:tcPr>
            <w:tcW w:w="9900" w:type="dxa"/>
            <w:vAlign w:val="bottom"/>
            <w:gridSpan w:val="2"/>
            <w:shd w:val="clear" w:color="auto" w:fill="CCEEFF"/>
          </w:tcPr>
          <w:p>
            <w:pPr>
              <w:spacing w:after="0" w:line="155" w:lineRule="exact"/>
              <w:rPr>
                <w:rFonts w:ascii="Arial" w:cs="Arial" w:eastAsia="Arial" w:hAnsi="Arial"/>
                <w:sz w:val="16"/>
                <w:szCs w:val="16"/>
                <w:color w:val="0000EE"/>
              </w:rPr>
            </w:pPr>
            <w:hyperlink w:anchor="page5">
              <w:r>
                <w:rPr>
                  <w:rFonts w:ascii="Arial" w:cs="Arial" w:eastAsia="Arial" w:hAnsi="Arial"/>
                  <w:sz w:val="16"/>
                  <w:szCs w:val="16"/>
                  <w:color w:val="0000EE"/>
                </w:rPr>
                <w:t>Investor Presentation dated January 12, 2022</w:t>
              </w:r>
            </w:hyperlink>
          </w:p>
        </w:tc>
      </w:tr>
      <w:tr>
        <w:trPr>
          <w:trHeight w:val="36"/>
        </w:trPr>
        <w:tc>
          <w:tcPr>
            <w:tcW w:w="1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860" w:type="dxa"/>
            <w:vAlign w:val="bottom"/>
            <w:shd w:val="clear" w:color="auto" w:fill="0000EE"/>
          </w:tcPr>
          <w:p>
            <w:pPr>
              <w:spacing w:after="0"/>
              <w:rPr>
                <w:sz w:val="3"/>
                <w:szCs w:val="3"/>
                <w:color w:val="auto"/>
              </w:rPr>
            </w:pPr>
          </w:p>
        </w:tc>
        <w:tc>
          <w:tcPr>
            <w:tcW w:w="7040" w:type="dxa"/>
            <w:vAlign w:val="bottom"/>
            <w:shd w:val="clear" w:color="auto" w:fill="CCEEFF"/>
          </w:tcPr>
          <w:p>
            <w:pPr>
              <w:spacing w:after="0"/>
              <w:rPr>
                <w:sz w:val="3"/>
                <w:szCs w:val="3"/>
                <w:color w:val="auto"/>
              </w:rPr>
            </w:pPr>
          </w:p>
        </w:tc>
      </w:tr>
      <w:tr>
        <w:trPr>
          <w:trHeight w:val="204"/>
        </w:trPr>
        <w:tc>
          <w:tcPr>
            <w:tcW w:w="1140" w:type="dxa"/>
            <w:vAlign w:val="bottom"/>
          </w:tcPr>
          <w:p>
            <w:pPr>
              <w:jc w:val="right"/>
              <w:ind w:right="380"/>
              <w:spacing w:after="0"/>
              <w:rPr>
                <w:sz w:val="20"/>
                <w:szCs w:val="20"/>
                <w:color w:val="auto"/>
              </w:rPr>
            </w:pPr>
            <w:r>
              <w:rPr>
                <w:rFonts w:ascii="Arial" w:cs="Arial" w:eastAsia="Arial" w:hAnsi="Arial"/>
                <w:sz w:val="16"/>
                <w:szCs w:val="16"/>
                <w:color w:val="auto"/>
              </w:rPr>
              <w:t>104</w:t>
            </w:r>
          </w:p>
        </w:tc>
        <w:tc>
          <w:tcPr>
            <w:tcW w:w="10120" w:type="dxa"/>
            <w:vAlign w:val="bottom"/>
            <w:gridSpan w:val="3"/>
          </w:tcPr>
          <w:p>
            <w:pPr>
              <w:ind w:left="220"/>
              <w:spacing w:after="0"/>
              <w:rPr>
                <w:sz w:val="20"/>
                <w:szCs w:val="20"/>
                <w:color w:val="auto"/>
              </w:rPr>
            </w:pPr>
            <w:r>
              <w:rPr>
                <w:rFonts w:ascii="Arial" w:cs="Arial" w:eastAsia="Arial" w:hAnsi="Arial"/>
                <w:sz w:val="16"/>
                <w:szCs w:val="16"/>
                <w:color w:val="auto"/>
              </w:rPr>
              <w:t>Cover Page Interactive Data File (embedded within the Inline XBRL document)</w:t>
            </w:r>
          </w:p>
        </w:tc>
      </w:tr>
      <w:tr>
        <w:trPr>
          <w:trHeight w:val="589"/>
        </w:trPr>
        <w:tc>
          <w:tcPr>
            <w:tcW w:w="114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gridSpan w:val="3"/>
          </w:tcPr>
          <w:p>
            <w:pPr>
              <w:jc w:val="right"/>
              <w:ind w:right="5500"/>
              <w:spacing w:after="0"/>
              <w:rPr>
                <w:sz w:val="20"/>
                <w:szCs w:val="20"/>
                <w:color w:val="auto"/>
              </w:rPr>
            </w:pPr>
            <w:r>
              <w:rPr>
                <w:rFonts w:ascii="Arial" w:cs="Arial" w:eastAsia="Arial" w:hAnsi="Arial"/>
                <w:sz w:val="19"/>
                <w:szCs w:val="19"/>
                <w:color w:val="auto"/>
              </w:rPr>
              <w:t>2</w:t>
            </w:r>
          </w:p>
        </w:tc>
      </w:tr>
    </w:tbl>
    <w:p>
      <w:pPr>
        <w:sectPr>
          <w:pgSz w:w="11900" w:h="16838" w:orient="portrait"/>
          <w:cols w:equalWidth="0" w:num="1">
            <w:col w:w="11264"/>
          </w:cols>
          <w:pgMar w:left="316" w:top="820"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Pursuant to the requirements of the Securities Exchange Act of 1934, Ventoux CCM Acquisition Corp. has duly caused this report to be signed on its behalf by the undersigned hereunto duly authorized.</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VENTOUX CCM ACQUISITION CORP.</w:t>
      </w:r>
    </w:p>
    <w:p>
      <w:pPr>
        <w:spacing w:after="0" w:line="202"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6"/>
          <w:szCs w:val="16"/>
          <w:color w:val="auto"/>
        </w:rPr>
        <w:t>Date: January 12,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Edward Scheetz</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Chief Executive Officer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4" w:name="page5"/>
    <w:bookmarkEnd w:id="4"/>
    <w:p>
      <w:pPr>
        <w:ind w:left="930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143510</wp:posOffset>
            </wp:positionV>
            <wp:extent cx="7203440" cy="4310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431038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80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31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80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431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73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4317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180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43180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2022-01-12T09:35:14Z</dcterms:created>
  <dcterms:modified xsi:type="dcterms:W3CDTF">2022-01-12T09:35:14Z</dcterms:modified>
</cp:coreProperties>
</file>