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23, 2020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Ventoux CCM Acquisition Corp.</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40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gridSpan w:val="3"/>
          </w:tcPr>
          <w:p>
            <w:pPr>
              <w:jc w:val="right"/>
              <w:ind w:right="1400"/>
              <w:spacing w:after="0"/>
              <w:rPr>
                <w:sz w:val="20"/>
                <w:szCs w:val="20"/>
                <w:color w:val="auto"/>
              </w:rPr>
            </w:pPr>
            <w:r>
              <w:rPr>
                <w:rFonts w:ascii="Times New Roman" w:cs="Times New Roman" w:eastAsia="Times New Roman" w:hAnsi="Times New Roman"/>
                <w:sz w:val="18"/>
                <w:szCs w:val="18"/>
                <w:b w:val="1"/>
                <w:bCs w:val="1"/>
                <w:color w:val="auto"/>
              </w:rPr>
              <w:t>001-39830</w:t>
            </w:r>
          </w:p>
        </w:tc>
        <w:tc>
          <w:tcPr>
            <w:tcW w:w="38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84-2968594</w:t>
            </w:r>
          </w:p>
        </w:tc>
        <w:tc>
          <w:tcPr>
            <w:tcW w:w="20" w:type="dxa"/>
            <w:vAlign w:val="bottom"/>
          </w:tcPr>
          <w:p>
            <w:pPr>
              <w:spacing w:after="0"/>
              <w:rPr>
                <w:sz w:val="21"/>
                <w:szCs w:val="21"/>
                <w:color w:val="auto"/>
              </w:rPr>
            </w:pPr>
          </w:p>
        </w:tc>
      </w:tr>
      <w:tr>
        <w:trPr>
          <w:trHeight w:val="211"/>
        </w:trPr>
        <w:tc>
          <w:tcPr>
            <w:tcW w:w="20" w:type="dxa"/>
            <w:vAlign w:val="bottom"/>
          </w:tcPr>
          <w:p>
            <w:pPr>
              <w:spacing w:after="0"/>
              <w:rPr>
                <w:sz w:val="18"/>
                <w:szCs w:val="18"/>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0" w:type="dxa"/>
            <w:vAlign w:val="bottom"/>
            <w:tcBorders>
              <w:top w:val="single" w:sz="8" w:color="auto"/>
            </w:tcBorders>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40" w:type="dxa"/>
            <w:vAlign w:val="bottom"/>
          </w:tcPr>
          <w:p>
            <w:pPr>
              <w:spacing w:after="0"/>
              <w:rPr>
                <w:sz w:val="18"/>
                <w:szCs w:val="18"/>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c>
          <w:tcPr>
            <w:tcW w:w="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40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20" w:type="dxa"/>
            <w:vAlign w:val="bottom"/>
          </w:tcPr>
          <w:p>
            <w:pPr>
              <w:spacing w:after="0"/>
              <w:rPr>
                <w:sz w:val="20"/>
                <w:szCs w:val="20"/>
                <w:color w:val="auto"/>
              </w:rPr>
            </w:pPr>
          </w:p>
        </w:tc>
      </w:tr>
      <w:tr>
        <w:trPr>
          <w:trHeight w:val="423"/>
        </w:trPr>
        <w:tc>
          <w:tcPr>
            <w:tcW w:w="20" w:type="dxa"/>
            <w:vAlign w:val="bottom"/>
          </w:tcPr>
          <w:p>
            <w:pPr>
              <w:spacing w:after="0"/>
              <w:rPr>
                <w:sz w:val="24"/>
                <w:szCs w:val="24"/>
                <w:color w:val="auto"/>
              </w:rPr>
            </w:pPr>
          </w:p>
        </w:tc>
        <w:tc>
          <w:tcPr>
            <w:tcW w:w="440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1 East Putnam Avenue, Floor 4</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5"/>
        </w:trPr>
        <w:tc>
          <w:tcPr>
            <w:tcW w:w="20" w:type="dxa"/>
            <w:vAlign w:val="bottom"/>
            <w:tcBorders>
              <w:bottom w:val="single" w:sz="8" w:color="auto"/>
            </w:tcBorders>
          </w:tcPr>
          <w:p>
            <w:pPr>
              <w:spacing w:after="0"/>
              <w:rPr>
                <w:sz w:val="21"/>
                <w:szCs w:val="21"/>
                <w:color w:val="auto"/>
              </w:rPr>
            </w:pPr>
          </w:p>
        </w:tc>
        <w:tc>
          <w:tcPr>
            <w:tcW w:w="440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Greenwich, CT</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3800" w:type="dxa"/>
            <w:vAlign w:val="bottom"/>
            <w:tcBorders>
              <w:bottom w:val="single" w:sz="8" w:color="auto"/>
            </w:tcBorders>
            <w:gridSpan w:val="2"/>
          </w:tcPr>
          <w:p>
            <w:pPr>
              <w:jc w:val="right"/>
              <w:ind w:right="2410"/>
              <w:spacing w:after="0"/>
              <w:rPr>
                <w:sz w:val="20"/>
                <w:szCs w:val="20"/>
                <w:color w:val="auto"/>
              </w:rPr>
            </w:pPr>
            <w:r>
              <w:rPr>
                <w:rFonts w:ascii="Times New Roman" w:cs="Times New Roman" w:eastAsia="Times New Roman" w:hAnsi="Times New Roman"/>
                <w:sz w:val="18"/>
                <w:szCs w:val="18"/>
                <w:b w:val="1"/>
                <w:bCs w:val="1"/>
                <w:color w:val="auto"/>
              </w:rPr>
              <w:t>06830</w:t>
            </w:r>
          </w:p>
        </w:tc>
        <w:tc>
          <w:tcPr>
            <w:tcW w:w="20" w:type="dxa"/>
            <w:vAlign w:val="bottom"/>
            <w:tcBorders>
              <w:bottom w:val="single" w:sz="8" w:color="auto"/>
            </w:tcBorders>
          </w:tcPr>
          <w:p>
            <w:pPr>
              <w:spacing w:after="0"/>
              <w:rPr>
                <w:sz w:val="21"/>
                <w:szCs w:val="21"/>
                <w:color w:val="auto"/>
              </w:rPr>
            </w:pPr>
          </w:p>
        </w:tc>
      </w:tr>
      <w:tr>
        <w:trPr>
          <w:trHeight w:val="234"/>
        </w:trPr>
        <w:tc>
          <w:tcPr>
            <w:tcW w:w="20" w:type="dxa"/>
            <w:vAlign w:val="bottom"/>
          </w:tcPr>
          <w:p>
            <w:pPr>
              <w:spacing w:after="0"/>
              <w:rPr>
                <w:sz w:val="20"/>
                <w:szCs w:val="20"/>
                <w:color w:val="auto"/>
              </w:rPr>
            </w:pPr>
          </w:p>
        </w:tc>
        <w:tc>
          <w:tcPr>
            <w:tcW w:w="4400" w:type="dxa"/>
            <w:vAlign w:val="bottom"/>
            <w:gridSpan w:val="3"/>
          </w:tcPr>
          <w:p>
            <w:pPr>
              <w:jc w:val="center"/>
              <w:ind w:left="9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Pr>
          <w:p>
            <w:pPr>
              <w:spacing w:after="0"/>
              <w:rPr>
                <w:sz w:val="20"/>
                <w:szCs w:val="20"/>
                <w:color w:val="auto"/>
              </w:rPr>
            </w:pP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465-9000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w:t>
      </w:r>
    </w:p>
    <w:p>
      <w:pPr>
        <w:spacing w:after="0" w:line="225" w:lineRule="exact"/>
        <w:rPr>
          <w:rFonts w:ascii="MS PGothic" w:cs="MS PGothic" w:eastAsia="MS PGothic" w:hAnsi="MS PGothic"/>
          <w:sz w:val="18"/>
          <w:szCs w:val="18"/>
          <w:color w:val="auto"/>
        </w:rPr>
      </w:pPr>
    </w:p>
    <w:p>
      <w:pPr>
        <w:ind w:right="45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Securities registered pursuant to Section 12(b) of the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45"/>
        </w:trPr>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230"/>
        </w:trPr>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2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VTAQ</w:t>
            </w:r>
          </w:p>
        </w:tc>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9"/>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VTAQW</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20"/>
        </w:trPr>
        <w:tc>
          <w:tcPr>
            <w:tcW w:w="3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Rights</w:t>
            </w:r>
          </w:p>
        </w:tc>
        <w:tc>
          <w:tcPr>
            <w:tcW w:w="20" w:type="dxa"/>
            <w:vAlign w:val="bottom"/>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VTAQR</w:t>
            </w:r>
          </w:p>
        </w:tc>
        <w:tc>
          <w:tcPr>
            <w:tcW w:w="20" w:type="dxa"/>
            <w:vAlign w:val="bottom"/>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Units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VTAQU</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06"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23, 2020, the registration statement (File No. 333-251048) (the “Registration Statement”) relating to the initial public offering (“IPO”) of Ventoux CCM Acquisition Corp. (the “Company”) was declared effective by the Securities and Exchange Commission. In connection therewith, the Company entered into the following agreements previously filed as exhibits to the Registration Statement:</w:t>
      </w:r>
    </w:p>
    <w:p>
      <w:pPr>
        <w:spacing w:after="0" w:line="176"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Underwriting Agreement, dated December 23, 2020, by and between the Company and Chardan Capital Markets, LLC (“Chardan”), as representative of the underwriters;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Warrant Agreement, dated December 23, 2020, by and between the Company and Continental Stock Transfer &amp; Trust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Rights Agreement, dated December 23, 2020, by and between the Company and Continental Stock Transfer &amp; Trust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Agreements, dated December 23, 2020, by the Company’s officers, directors and initial stockholders;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Management Trust Agreement, dated December 23, 2020, by and between the Company and Continental Stock Transfer &amp; Trust Company;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Escrow Agreement, dated December 23, 2020, by and among the Company, Continental Stock Transfer &amp; Trust Company and each of the initial stockholders of the Company;</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Registration Rights Agreement, dated December 23, 2020, by and among the Company and the initial stockholders of the Company;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 Agreements, dated December 23, 2020, by and between the Company and the directors and officers of the Company;</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Subscription Agreement, dated December 23, 2020, by and between the Company and Ventoux Acquisition Holdings LLC;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Subscription Agreement, dated December 23, 2020, by and between the Company and Chardan International Investments, LLC;</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Combination Marketing Agreement, dated December 23, 2020, by and between the Company and Chardan;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Administrative Services Agreement, dated December 23, 2020, by and between the Company and Chardan.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30, 2020, the Company consummated the IPO of 15,000,000 units (the “Units”). Each Unit consists of one share of common stock, $0.0001 par value (“Common Stock”), one right entitling the holder thereof to receive one-twentieth (1/20) of one share of Common Stock upon the consummation of an initial business combination, and one warrant entitling the holder thereof to purchase one-half (1/2) of one share of Common Stock at a price of $11.50 per whole share. The Units were sold at an offering price of $10.00 per Unit, generating gross proceeds of $150,000,000. The Company granted the underwriters a 45-day option to purchase up to 2,250,000 additional Units to cover over-allotments, if any. On December 29, 2020, the underwriters exercised their over-allotment option in full. The closing of the over-allotment option is expected to take place on January 5, 2021.</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30, 2020, a total of $151,500,000 of the net proceeds from the IPO and the Private Placement (as defined below) were deposited in a trust account established for the benefit of the Company’s public stockholders. An audited balance sheet as of December 30, 2020 reflecting receipt of the proceeds upon consummation of the IPO and the Private Placement will be filed within 4 business days of the consummation of the IPO.</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Simultaneously with the closing of the IPO, the Company consummated the private placement (the “Private Placement”) with initial stockholders of the Company of 6,000,000 warrants (the “Private Warrants”), generating total proceeds of $6,000,000.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Warrants are identical to the warrants sold as part of the public Units in this offering except that (i) each Private Warrant is exercisable for one share of Common Stock at an exercise price of $11.50 per share, and (ii) the Private Warrants will be non-redeemable and may be exercised on a cashless basis, in each case so long as they continue to be held by the initial purchasers or their permitted transferees, as further described in the Registration Statement. Such initial purchasers were granted certain demand and piggyback registration rights in connection with the purchase of the Private Warrants.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Private Warrants were issued pursuant to Section 4(a)(2) of the Securities Act of 1933, as amended, as the transactions did not involve a public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Certificate of Incorporation or Bylaws; Change in Fiscal Year.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23, 2020, in connection with the IPO, the Company filed its Amended and Restated Certificate of Incorporation with the Delaware Secretary of State. The terms of the Amended and Restated Certificate of Incorporation are set forth in the Registration Statement and are incorporated herein by reference.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66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Underwriting Agreement, dated December 23, 2020, by and between the Company and Chardan Capital Markets, LLC.</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rFonts w:ascii="Times New Roman" w:cs="Times New Roman" w:eastAsia="Times New Roman" w:hAnsi="Times New Roman"/>
                <w:sz w:val="18"/>
                <w:szCs w:val="18"/>
                <w:u w:val="single" w:color="auto"/>
                <w:color w:val="0000EE"/>
              </w:rPr>
            </w:pPr>
            <w:hyperlink w:anchor="page50">
              <w:r>
                <w:rPr>
                  <w:rFonts w:ascii="Times New Roman" w:cs="Times New Roman" w:eastAsia="Times New Roman" w:hAnsi="Times New Roman"/>
                  <w:sz w:val="18"/>
                  <w:szCs w:val="18"/>
                  <w:u w:val="single" w:color="auto"/>
                  <w:color w:val="0000EE"/>
                </w:rPr>
                <w:t>Amended and Restated Certificate of Incorporation.</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rFonts w:ascii="Times New Roman" w:cs="Times New Roman" w:eastAsia="Times New Roman" w:hAnsi="Times New Roman"/>
                <w:sz w:val="18"/>
                <w:szCs w:val="18"/>
                <w:u w:val="single" w:color="auto"/>
                <w:color w:val="0000EE"/>
              </w:rPr>
            </w:pPr>
            <w:hyperlink w:anchor="page57">
              <w:r>
                <w:rPr>
                  <w:rFonts w:ascii="Times New Roman" w:cs="Times New Roman" w:eastAsia="Times New Roman" w:hAnsi="Times New Roman"/>
                  <w:sz w:val="18"/>
                  <w:szCs w:val="18"/>
                  <w:u w:val="single" w:color="auto"/>
                  <w:color w:val="0000EE"/>
                </w:rPr>
                <w:t>Warrant Agreement, dated December 23, 2020, by and between the Company and Continental Stock Transfer &amp; Trust Company.</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rFonts w:ascii="Times New Roman" w:cs="Times New Roman" w:eastAsia="Times New Roman" w:hAnsi="Times New Roman"/>
                <w:sz w:val="18"/>
                <w:szCs w:val="18"/>
                <w:u w:val="single" w:color="auto"/>
                <w:color w:val="0000EE"/>
              </w:rPr>
            </w:pPr>
            <w:hyperlink w:anchor="page74">
              <w:r>
                <w:rPr>
                  <w:rFonts w:ascii="Times New Roman" w:cs="Times New Roman" w:eastAsia="Times New Roman" w:hAnsi="Times New Roman"/>
                  <w:sz w:val="18"/>
                  <w:szCs w:val="18"/>
                  <w:u w:val="single" w:color="auto"/>
                  <w:color w:val="0000EE"/>
                </w:rPr>
                <w:t>Rights Agreement, dated December 23, 2020, by and between the Company and Continental Stock Transfer &amp; Trust Company.</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rFonts w:ascii="Times New Roman" w:cs="Times New Roman" w:eastAsia="Times New Roman" w:hAnsi="Times New Roman"/>
                <w:sz w:val="18"/>
                <w:szCs w:val="18"/>
                <w:u w:val="single" w:color="auto"/>
                <w:color w:val="0000EE"/>
              </w:rPr>
            </w:pPr>
            <w:hyperlink w:anchor="page83">
              <w:r>
                <w:rPr>
                  <w:rFonts w:ascii="Times New Roman" w:cs="Times New Roman" w:eastAsia="Times New Roman" w:hAnsi="Times New Roman"/>
                  <w:sz w:val="18"/>
                  <w:szCs w:val="18"/>
                  <w:u w:val="single" w:color="auto"/>
                  <w:color w:val="0000EE"/>
                </w:rPr>
                <w:t>Letter Agreements, dated December 23, 2020, by the Company’s officers, directors and initial stockholders.</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9700" w:type="dxa"/>
            <w:vAlign w:val="bottom"/>
            <w:tcBorders>
              <w:bottom w:val="single" w:sz="8" w:color="0000EE"/>
            </w:tcBorders>
            <w:gridSpan w:val="3"/>
            <w:shd w:val="clear" w:color="auto" w:fill="CCEEFF"/>
          </w:tcPr>
          <w:p>
            <w:pPr>
              <w:spacing w:after="0" w:line="176" w:lineRule="exact"/>
              <w:rPr>
                <w:rFonts w:ascii="Times New Roman" w:cs="Times New Roman" w:eastAsia="Times New Roman" w:hAnsi="Times New Roman"/>
                <w:sz w:val="18"/>
                <w:szCs w:val="18"/>
                <w:color w:val="0000EE"/>
                <w:w w:val="99"/>
              </w:rPr>
            </w:pPr>
            <w:hyperlink w:anchor="page161">
              <w:r>
                <w:rPr>
                  <w:rFonts w:ascii="Times New Roman" w:cs="Times New Roman" w:eastAsia="Times New Roman" w:hAnsi="Times New Roman"/>
                  <w:sz w:val="18"/>
                  <w:szCs w:val="18"/>
                  <w:color w:val="0000EE"/>
                  <w:w w:val="99"/>
                </w:rPr>
                <w:t>Investment Management Trust Agreement, dated December 23, 2020, by and between the Company and Continental Stock Transfer &amp;</w:t>
              </w:r>
            </w:hyperlink>
          </w:p>
        </w:tc>
        <w:tc>
          <w:tcPr>
            <w:tcW w:w="400" w:type="dxa"/>
            <w:vAlign w:val="bottom"/>
            <w:tcBorders>
              <w:bottom w:val="single" w:sz="8" w:color="CCEEFF"/>
            </w:tcBorders>
            <w:gridSpan w:val="2"/>
            <w:shd w:val="clear" w:color="auto" w:fill="CCEEFF"/>
          </w:tcPr>
          <w:p>
            <w:pPr>
              <w:spacing w:after="0"/>
              <w:rPr>
                <w:sz w:val="15"/>
                <w:szCs w:val="15"/>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line="196" w:lineRule="exact"/>
              <w:rPr>
                <w:rFonts w:ascii="Times New Roman" w:cs="Times New Roman" w:eastAsia="Times New Roman" w:hAnsi="Times New Roman"/>
                <w:sz w:val="18"/>
                <w:szCs w:val="18"/>
                <w:color w:val="0000EE"/>
              </w:rPr>
            </w:pPr>
            <w:hyperlink w:anchor="page161">
              <w:r>
                <w:rPr>
                  <w:rFonts w:ascii="Times New Roman" w:cs="Times New Roman" w:eastAsia="Times New Roman" w:hAnsi="Times New Roman"/>
                  <w:sz w:val="18"/>
                  <w:szCs w:val="18"/>
                  <w:color w:val="0000EE"/>
                </w:rPr>
                <w:t>Trust Company.</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5"/>
                <w:szCs w:val="15"/>
                <w:color w:val="auto"/>
              </w:rPr>
            </w:pPr>
          </w:p>
        </w:tc>
        <w:tc>
          <w:tcPr>
            <w:tcW w:w="10100" w:type="dxa"/>
            <w:vAlign w:val="bottom"/>
            <w:gridSpan w:val="5"/>
            <w:shd w:val="clear" w:color="auto" w:fill="CCEEFF"/>
          </w:tcPr>
          <w:p>
            <w:pPr>
              <w:spacing w:after="0" w:line="176" w:lineRule="exact"/>
              <w:rPr>
                <w:rFonts w:ascii="Times New Roman" w:cs="Times New Roman" w:eastAsia="Times New Roman" w:hAnsi="Times New Roman"/>
                <w:sz w:val="18"/>
                <w:szCs w:val="18"/>
                <w:color w:val="0000EE"/>
              </w:rPr>
            </w:pPr>
            <w:hyperlink w:anchor="page173">
              <w:r>
                <w:rPr>
                  <w:rFonts w:ascii="Times New Roman" w:cs="Times New Roman" w:eastAsia="Times New Roman" w:hAnsi="Times New Roman"/>
                  <w:sz w:val="18"/>
                  <w:szCs w:val="18"/>
                  <w:color w:val="0000EE"/>
                </w:rPr>
                <w:t>Stock Escrow Agreement, dated December 23, 2020, by and among the Company, Continental Stock Transfer &amp; Trust Company and each</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940" w:type="dxa"/>
            <w:vAlign w:val="bottom"/>
            <w:tcBorders>
              <w:top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rPr>
            </w:pPr>
            <w:hyperlink w:anchor="page173">
              <w:r>
                <w:rPr>
                  <w:rFonts w:ascii="Times New Roman" w:cs="Times New Roman" w:eastAsia="Times New Roman" w:hAnsi="Times New Roman"/>
                  <w:sz w:val="18"/>
                  <w:szCs w:val="18"/>
                  <w:color w:val="0000EE"/>
                </w:rPr>
                <w:t>of the initial stockholders of the Company.</w:t>
              </w:r>
            </w:hyperlink>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66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rFonts w:ascii="Times New Roman" w:cs="Times New Roman" w:eastAsia="Times New Roman" w:hAnsi="Times New Roman"/>
                <w:sz w:val="18"/>
                <w:szCs w:val="18"/>
                <w:color w:val="0000EE"/>
              </w:rPr>
            </w:pPr>
            <w:hyperlink w:anchor="page180">
              <w:r>
                <w:rPr>
                  <w:rFonts w:ascii="Times New Roman" w:cs="Times New Roman" w:eastAsia="Times New Roman" w:hAnsi="Times New Roman"/>
                  <w:sz w:val="18"/>
                  <w:szCs w:val="18"/>
                  <w:u w:val="single" w:color="auto"/>
                  <w:color w:val="0000EE"/>
                </w:rPr>
                <w:t>Registration Rights Agreement, dated December 23, 2020, by and among the Company and the initial stockholders of the Company</w:t>
              </w:r>
              <w:r>
                <w:rPr>
                  <w:rFonts w:ascii="Times New Roman" w:cs="Times New Roman" w:eastAsia="Times New Roman" w:hAnsi="Times New Roman"/>
                  <w:sz w:val="18"/>
                  <w:szCs w:val="18"/>
                  <w:color w:val="0000EE"/>
                </w:rPr>
                <w:t>.</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rFonts w:ascii="Times New Roman" w:cs="Times New Roman" w:eastAsia="Times New Roman" w:hAnsi="Times New Roman"/>
                <w:sz w:val="18"/>
                <w:szCs w:val="18"/>
                <w:color w:val="0000EE"/>
              </w:rPr>
            </w:pPr>
            <w:hyperlink w:anchor="page198">
              <w:r>
                <w:rPr>
                  <w:rFonts w:ascii="Times New Roman" w:cs="Times New Roman" w:eastAsia="Times New Roman" w:hAnsi="Times New Roman"/>
                  <w:sz w:val="18"/>
                  <w:szCs w:val="18"/>
                  <w:u w:val="single" w:color="auto"/>
                  <w:color w:val="0000EE"/>
                </w:rPr>
                <w:t>Indemnity Agreements, dated December 23, 2020, by and between the Company and the directors and officers of the Company</w:t>
              </w:r>
              <w:r>
                <w:rPr>
                  <w:rFonts w:ascii="Times New Roman" w:cs="Times New Roman" w:eastAsia="Times New Roman" w:hAnsi="Times New Roman"/>
                  <w:sz w:val="18"/>
                  <w:szCs w:val="18"/>
                  <w:color w:val="0000EE"/>
                </w:rPr>
                <w:t>.</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rFonts w:ascii="Times New Roman" w:cs="Times New Roman" w:eastAsia="Times New Roman" w:hAnsi="Times New Roman"/>
                <w:sz w:val="18"/>
                <w:szCs w:val="18"/>
                <w:color w:val="0000EE"/>
              </w:rPr>
            </w:pPr>
            <w:hyperlink w:anchor="page388">
              <w:r>
                <w:rPr>
                  <w:rFonts w:ascii="Times New Roman" w:cs="Times New Roman" w:eastAsia="Times New Roman" w:hAnsi="Times New Roman"/>
                  <w:sz w:val="18"/>
                  <w:szCs w:val="18"/>
                  <w:u w:val="single" w:color="auto"/>
                  <w:color w:val="0000EE"/>
                </w:rPr>
                <w:t>Subscription Agreement, dated December 23, 2020, by and between the Company and Ventoux Acquisition Holdings LLC</w:t>
              </w:r>
              <w:r>
                <w:rPr>
                  <w:rFonts w:ascii="Times New Roman" w:cs="Times New Roman" w:eastAsia="Times New Roman" w:hAnsi="Times New Roman"/>
                  <w:sz w:val="18"/>
                  <w:szCs w:val="18"/>
                  <w:color w:val="0000EE"/>
                </w:rPr>
                <w:t>.</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rFonts w:ascii="Times New Roman" w:cs="Times New Roman" w:eastAsia="Times New Roman" w:hAnsi="Times New Roman"/>
                <w:sz w:val="18"/>
                <w:szCs w:val="18"/>
                <w:u w:val="single" w:color="auto"/>
                <w:color w:val="0000EE"/>
              </w:rPr>
            </w:pPr>
            <w:hyperlink w:anchor="page393">
              <w:r>
                <w:rPr>
                  <w:rFonts w:ascii="Times New Roman" w:cs="Times New Roman" w:eastAsia="Times New Roman" w:hAnsi="Times New Roman"/>
                  <w:sz w:val="18"/>
                  <w:szCs w:val="18"/>
                  <w:u w:val="single" w:color="auto"/>
                  <w:color w:val="0000EE"/>
                </w:rPr>
                <w:t>Subscription Agreement, dated December 23, 2020, by and between the Company and Chardan International Investments, LLC.</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rFonts w:ascii="Times New Roman" w:cs="Times New Roman" w:eastAsia="Times New Roman" w:hAnsi="Times New Roman"/>
                <w:sz w:val="18"/>
                <w:szCs w:val="18"/>
                <w:color w:val="0000EE"/>
              </w:rPr>
            </w:pPr>
            <w:hyperlink w:anchor="page398">
              <w:r>
                <w:rPr>
                  <w:rFonts w:ascii="Times New Roman" w:cs="Times New Roman" w:eastAsia="Times New Roman" w:hAnsi="Times New Roman"/>
                  <w:sz w:val="18"/>
                  <w:szCs w:val="18"/>
                  <w:u w:val="single" w:color="auto"/>
                  <w:color w:val="0000EE"/>
                </w:rPr>
                <w:t>Business Combination Marketing Agreement, dated December 23, 2020, by and between the Company and Chardan Capital Markets, LLC</w:t>
              </w:r>
              <w:r>
                <w:rPr>
                  <w:rFonts w:ascii="Times New Roman" w:cs="Times New Roman" w:eastAsia="Times New Roman" w:hAnsi="Times New Roman"/>
                  <w:sz w:val="18"/>
                  <w:szCs w:val="18"/>
                  <w:color w:val="0000EE"/>
                </w:rPr>
                <w:t>.</w:t>
              </w:r>
            </w:hyperlink>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8"/>
                <w:szCs w:val="18"/>
                <w:color w:val="auto"/>
              </w:rPr>
            </w:pPr>
          </w:p>
        </w:tc>
        <w:tc>
          <w:tcPr>
            <w:tcW w:w="10100" w:type="dxa"/>
            <w:vAlign w:val="bottom"/>
            <w:gridSpan w:val="5"/>
            <w:shd w:val="clear" w:color="auto" w:fill="CCEEFF"/>
          </w:tcPr>
          <w:p>
            <w:pPr>
              <w:spacing w:after="0"/>
              <w:rPr>
                <w:rFonts w:ascii="Times New Roman" w:cs="Times New Roman" w:eastAsia="Times New Roman" w:hAnsi="Times New Roman"/>
                <w:sz w:val="18"/>
                <w:szCs w:val="18"/>
                <w:u w:val="single" w:color="auto"/>
                <w:color w:val="0000EE"/>
              </w:rPr>
            </w:pPr>
            <w:hyperlink w:anchor="page404">
              <w:r>
                <w:rPr>
                  <w:rFonts w:ascii="Times New Roman" w:cs="Times New Roman" w:eastAsia="Times New Roman" w:hAnsi="Times New Roman"/>
                  <w:sz w:val="18"/>
                  <w:szCs w:val="18"/>
                  <w:u w:val="single" w:color="auto"/>
                  <w:color w:val="0000EE"/>
                </w:rPr>
                <w:t>Administrative Services Agreement, dated December 23, 2020, by and between the Company and Chardan Capital Markets, LLC.</w:t>
              </w:r>
            </w:hyperlink>
          </w:p>
        </w:tc>
      </w:tr>
      <w:tr>
        <w:trPr>
          <w:trHeight w:val="65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gridSpan w:val="3"/>
          </w:tcPr>
          <w:p>
            <w:pPr>
              <w:ind w:left="44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December 30,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Scheetz</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15,000,000 Units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UNDERWRITING AGREEMENT</w:t>
      </w:r>
    </w:p>
    <w:p>
      <w:pPr>
        <w:spacing w:after="0" w:line="225"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color w:val="auto"/>
        </w:rPr>
        <w:t>December 23,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State Street, Suite 2100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Representative of the Underwriters named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undersigned, Ventoux CCM Acquisition Corp., a Delaware corporation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confirms its agreement with Chardan Capital Markets, LLC (hereinafter referred to as “you”, “</w:t>
      </w:r>
      <w:r>
        <w:rPr>
          <w:rFonts w:ascii="Times New Roman" w:cs="Times New Roman" w:eastAsia="Times New Roman" w:hAnsi="Times New Roman"/>
          <w:sz w:val="18"/>
          <w:szCs w:val="18"/>
          <w:b w:val="1"/>
          <w:bCs w:val="1"/>
          <w:color w:val="auto"/>
        </w:rPr>
        <w:t>Chardan</w:t>
      </w:r>
      <w:r>
        <w:rPr>
          <w:rFonts w:ascii="Times New Roman" w:cs="Times New Roman" w:eastAsia="Times New Roman" w:hAnsi="Times New Roman"/>
          <w:sz w:val="18"/>
          <w:szCs w:val="18"/>
          <w:color w:val="auto"/>
        </w:rPr>
        <w:t>”, or as the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xml:space="preserve">”) and with the other underwriters named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for which you are acting as representative (the Representative and the other Underwriters being collectively referred to herein as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or, individually, an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as follows:</w:t>
      </w:r>
    </w:p>
    <w:p>
      <w:pPr>
        <w:spacing w:after="0" w:line="176" w:lineRule="exact"/>
        <w:rPr>
          <w:sz w:val="20"/>
          <w:szCs w:val="20"/>
          <w:color w:val="auto"/>
        </w:rPr>
      </w:pPr>
    </w:p>
    <w:p>
      <w:pPr>
        <w:ind w:left="1300" w:right="7960" w:hanging="644"/>
        <w:spacing w:after="0" w:line="502" w:lineRule="auto"/>
        <w:tabs>
          <w:tab w:leader="none" w:pos="83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Purchase and Sale of Securities. </w:t>
      </w: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Firm Securities.</w:t>
      </w: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i w:val="1"/>
          <w:iCs w:val="1"/>
          <w:color w:val="auto"/>
        </w:rPr>
        <w:t>Purchase of Firm Units.</w:t>
      </w:r>
      <w:r>
        <w:rPr>
          <w:rFonts w:ascii="Times New Roman" w:cs="Times New Roman" w:eastAsia="Times New Roman" w:hAnsi="Times New Roman"/>
          <w:sz w:val="18"/>
          <w:szCs w:val="18"/>
          <w:color w:val="auto"/>
        </w:rPr>
        <w:t xml:space="preserve"> On the basis of the representations and warranties herein contained, but subject to the terms and conditions set forth herein, the Company agrees to issue and sell, severally and not jointly, to the several Underwriters, an aggregate of 15,000,000 units (the “</w:t>
      </w:r>
      <w:r>
        <w:rPr>
          <w:rFonts w:ascii="Times New Roman" w:cs="Times New Roman" w:eastAsia="Times New Roman" w:hAnsi="Times New Roman"/>
          <w:sz w:val="18"/>
          <w:szCs w:val="18"/>
          <w:b w:val="1"/>
          <w:bCs w:val="1"/>
          <w:color w:val="auto"/>
        </w:rPr>
        <w:t>Firm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of the Company at a purchase price (net of discounts and commissions) of $9.80 per Firm Unit. The Underwriters, severally and not jointly, agree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purchase from the Company the number of Firm Units set forth opposite their respective names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 and made a part hereof at a purchase price (net of discounts and commissions) of $9.80 per Firm Unit. The Firm Units (and the Option Units (as hereinafter defined), if any) are to be offered initially to the public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at the offering price of $10.00 per Firm Unit, it being understood that the offering price is not in excess of the price recommended by the QIU (as hereinafter defined). Each Firm Unit consists of one (1) share of the Company’s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one (1) redeemable warrant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each Warrant entitling the holder thereof to purchase one-half (1/2) of one share of Common Stock and one (1) right (the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to receive one-twentieth of one share of Common Stock upon the consummation of a Business Combination (as defined below). The shares of Common Stock, the Rights and the Warrants included in the Firm Units will not be separately</w:t>
      </w:r>
    </w:p>
    <w:p>
      <w:pPr>
        <w:spacing w:after="0" w:line="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transferable until the earlier of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the date that the Registration Statement (as defined below) becomes effective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or the announcement by the Company of the Representative’s decision to allow earlier trading, subject, however, to the Company filing a Current Report on Form 8-K (“</w:t>
      </w:r>
      <w:r>
        <w:rPr>
          <w:rFonts w:ascii="Times New Roman" w:cs="Times New Roman" w:eastAsia="Times New Roman" w:hAnsi="Times New Roman"/>
          <w:sz w:val="18"/>
          <w:szCs w:val="18"/>
          <w:b w:val="1"/>
          <w:bCs w:val="1"/>
          <w:color w:val="auto"/>
        </w:rPr>
        <w:t>Form 8-K</w:t>
      </w:r>
      <w:r>
        <w:rPr>
          <w:rFonts w:ascii="Times New Roman" w:cs="Times New Roman" w:eastAsia="Times New Roman" w:hAnsi="Times New Roman"/>
          <w:sz w:val="18"/>
          <w:szCs w:val="18"/>
          <w:color w:val="auto"/>
        </w:rPr>
        <w:t>”) with the Commission (as defined below) containing an audited balanced sheet reflecting the Company’s receipt of the gross proceeds of the Offering and issuing a press release announcing when such separate trading will begin.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429895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In no event will the Company allow separate trading until (i) the preparation of an audited balance sheet of the Company reflecting receipt by the Company of the proceeds of the Offering and the filing of such audited balance sheet with the Commission (as defined below) on a Form 8-K or similar form by the Company which includes such balance sheet and (ii) the issuance of a press release announcing when such separate trading shall begin. Each Warrant entitles the holder to purchase one-half (1/2) of one share of Common Stock at a price of $11.50 per full share during the period commencing on the later of (a) the closing of a Business Combination (as defined below), or (b) twelve (12) months from the date of the Prospectus (as defined below), and terminating on the fifth (5th) anniversary of the Effective Date. Each holder of a Right will receive one-twentieth (1/20) of a share of Common Stock upon consummation of the initial Business Combination As used herein, the term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shall mean any acquisition by share exchange, share reconstruction and amalgamation with, purchasing all or substantially all of the assets of, entering into contractual arrangements with, or engaging in any other similar business combination with one or more businesses or entities by the Company. The Company has the right to redeem the Warrants, upon not less than thirty (30) days written notice at a price of $0.01 per Warrant at any time after the Warrants become exercisable; so long as the last sales price of the Common Stock has been at least $16.50 per share for any twenty (20) trading days within a thirty (30) trading day period ending on the third (3rd) Business Day prior to the day on which notice is given. As used herein, the term “</w:t>
      </w:r>
      <w:r>
        <w:rPr>
          <w:rFonts w:ascii="Times New Roman" w:cs="Times New Roman" w:eastAsia="Times New Roman" w:hAnsi="Times New Roman"/>
          <w:sz w:val="18"/>
          <w:szCs w:val="18"/>
          <w:b w:val="1"/>
          <w:bCs w:val="1"/>
          <w:color w:val="auto"/>
        </w:rPr>
        <w:t>Business D</w:t>
      </w:r>
      <w:r>
        <w:rPr>
          <w:rFonts w:ascii="Times New Roman" w:cs="Times New Roman" w:eastAsia="Times New Roman" w:hAnsi="Times New Roman"/>
          <w:sz w:val="18"/>
          <w:szCs w:val="18"/>
          <w:color w:val="auto"/>
        </w:rPr>
        <w:t>ay” shall mean any day other than a Saturday, Sunday or any day on which national banks in New York, New York are not open for business.</w:t>
      </w:r>
    </w:p>
    <w:p>
      <w:pPr>
        <w:spacing w:after="0" w:line="191" w:lineRule="exact"/>
        <w:rPr>
          <w:sz w:val="20"/>
          <w:szCs w:val="20"/>
          <w:color w:val="auto"/>
        </w:rPr>
      </w:pPr>
    </w:p>
    <w:p>
      <w:pPr>
        <w:jc w:val="both"/>
        <w:ind w:firstLine="1296"/>
        <w:spacing w:after="0" w:line="239"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i w:val="1"/>
          <w:iCs w:val="1"/>
          <w:color w:val="auto"/>
        </w:rPr>
        <w:t>Payment and Delivery.</w:t>
      </w:r>
      <w:r>
        <w:rPr>
          <w:rFonts w:ascii="Times New Roman" w:cs="Times New Roman" w:eastAsia="Times New Roman" w:hAnsi="Times New Roman"/>
          <w:sz w:val="18"/>
          <w:szCs w:val="18"/>
          <w:color w:val="auto"/>
        </w:rPr>
        <w:t xml:space="preserve"> Delivery and payment for the Firm Units shall be made at 10:00 A.M., New York time,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Business Day following the Effective Date of the Registration Statement (or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following the Effective Date, if the Registration Statement is declared effective on or after 4:00 p.m.) or at such earlier time as shall be agreed upon by the Representative and the Company at the offices of the Representative or at such other place as shall be agreed upon by the Representative and the Company. The closing of the public offering contemplated by this Agreement is referred to herein as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the hour and date of delivery and payment for the Firm Units is referred to herein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Payment for the Firm Units shall be made on the Closing Date at the Representative’s election by wire transfer in Federal (same day) funds or by certified or bank cashier’s check(s) in New York Clearing House funds. $151,500,000 ($174,225,000 if the Over-allotment Option (as defined in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is exercised in full), or $10.10 per Unit, of the proceeds received by the Company for the Firm Units and from the Private Placement (as defined in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shall be deposited in the trust account established by the Company for the benefit of the public shareholders as described in the Registration Statement (the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pursuant to the terms of an investment management trust agreement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by and between the Company and Continental Stock Transfer &amp; Trust Company. The proceeds (less commissions, expense allowance and actual expense payments or other fees payable pursuant to this Agreement) shall be paid to the order of the Company upon delivery to the Representative of certificates (in form and substance satisfactory to the Underwriters) representing the Firm Units (or through the facilities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for the account of the Underwriters. The Firm Units shall be registered in such name or names and in such authorized denominations as the Representative may request in writing at least two (2) Business Days prior to the Closing Date. The Company will permit the Representative to examine and package the Firm Units for delivery, at least one (1) full Business Day prior to the Closing Date. The Company shall not be obligated to sell or deliver the Firm Units except upon tender of payment by the Representative for all the Firm Units.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130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Over-Allotment Option.</w:t>
      </w:r>
    </w:p>
    <w:p>
      <w:pPr>
        <w:spacing w:after="0" w:line="22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i w:val="1"/>
          <w:iCs w:val="1"/>
          <w:color w:val="auto"/>
        </w:rPr>
        <w:t>Option Units.</w:t>
      </w:r>
      <w:r>
        <w:rPr>
          <w:rFonts w:ascii="Times New Roman" w:cs="Times New Roman" w:eastAsia="Times New Roman" w:hAnsi="Times New Roman"/>
          <w:sz w:val="18"/>
          <w:szCs w:val="18"/>
          <w:color w:val="auto"/>
        </w:rPr>
        <w:t xml:space="preserve"> For the purpose of covering any over-allotments in connection with the distribution and sale of the Firm Units, the Underwriters are hereby granted, severally and not jointly, an option to purchase up to an additional 2,250,000 units from the Company (the “</w:t>
      </w:r>
      <w:r>
        <w:rPr>
          <w:rFonts w:ascii="Times New Roman" w:cs="Times New Roman" w:eastAsia="Times New Roman" w:hAnsi="Times New Roman"/>
          <w:sz w:val="18"/>
          <w:szCs w:val="18"/>
          <w:b w:val="1"/>
          <w:bCs w:val="1"/>
          <w:color w:val="auto"/>
        </w:rPr>
        <w:t>Over-allotment Option</w:t>
      </w:r>
      <w:r>
        <w:rPr>
          <w:rFonts w:ascii="Times New Roman" w:cs="Times New Roman" w:eastAsia="Times New Roman" w:hAnsi="Times New Roman"/>
          <w:sz w:val="18"/>
          <w:szCs w:val="18"/>
          <w:color w:val="auto"/>
        </w:rPr>
        <w:t>”). Such additional 2,250,000 units shall be identical in all respects to the Firm Units and are hereinafter referred to as “</w:t>
      </w:r>
      <w:r>
        <w:rPr>
          <w:rFonts w:ascii="Times New Roman" w:cs="Times New Roman" w:eastAsia="Times New Roman" w:hAnsi="Times New Roman"/>
          <w:sz w:val="18"/>
          <w:szCs w:val="18"/>
          <w:b w:val="1"/>
          <w:bCs w:val="1"/>
          <w:color w:val="auto"/>
        </w:rPr>
        <w:t>Option Units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Firm Units and the Option Units are hereinafter collectively referred to as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and the Units, the shares of Common Stock, the Rights and Warrants included in the Units and the shares of Common Stock issuable upon exercise of such Rights and Warrants are hereinafter referred to collectively as the “</w:t>
      </w:r>
      <w:r>
        <w:rPr>
          <w:rFonts w:ascii="Times New Roman" w:cs="Times New Roman" w:eastAsia="Times New Roman" w:hAnsi="Times New Roman"/>
          <w:sz w:val="18"/>
          <w:szCs w:val="18"/>
          <w:b w:val="1"/>
          <w:bCs w:val="1"/>
          <w:color w:val="auto"/>
        </w:rPr>
        <w:t>Public Securities</w:t>
      </w:r>
      <w:r>
        <w:rPr>
          <w:rFonts w:ascii="Times New Roman" w:cs="Times New Roman" w:eastAsia="Times New Roman" w:hAnsi="Times New Roman"/>
          <w:sz w:val="18"/>
          <w:szCs w:val="18"/>
          <w:color w:val="auto"/>
        </w:rPr>
        <w:t>.” The purchase price to be paid for the Option Units (net of discounts and commissions) will be $9.80 per Option Unit. The Option Units are to be offered initially to the public at the offering price of $10.00 per Option Unit.</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i w:val="1"/>
          <w:iCs w:val="1"/>
          <w:color w:val="auto"/>
        </w:rPr>
        <w:t>Exercise of Option.</w:t>
      </w:r>
      <w:r>
        <w:rPr>
          <w:rFonts w:ascii="Times New Roman" w:cs="Times New Roman" w:eastAsia="Times New Roman" w:hAnsi="Times New Roman"/>
          <w:sz w:val="18"/>
          <w:szCs w:val="18"/>
          <w:color w:val="auto"/>
        </w:rPr>
        <w:t xml:space="preserve"> The Over-allotment Option granted pursuant to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hereof may be exercised by the Representative as to all (at any time) or any part (from time to time) of the Option Units within forty-five (45) days after the Effective Date. The Underwriters will not be under any obligation to purchase any Option Units prior to the exercise of the Over-allotment Option. The Over-allotment Option granted hereby may be exercised by the giving of oral notice to the Company from the Representative, which must be confirmed in writing by overnight mail, facsimile transmission or e-mail transmission setting forth the number of Option Units to be purchased and the date and time for delivery of and payment for the Option Units, which will not be later than five (5) Business Days after the date of the notice or such other time as shall be agreed upon by the Company and the Representative, at the offices of the Representative or at such other place or in such other manner as shall be agreed upon by the Company and the Representative. If such delivery and payment for the Option Units does not occur on the Closing Date, the date and time of the closing for such Option Units will be as set forth in the notice (hereinafter the “</w:t>
      </w:r>
      <w:r>
        <w:rPr>
          <w:rFonts w:ascii="Times New Roman" w:cs="Times New Roman" w:eastAsia="Times New Roman" w:hAnsi="Times New Roman"/>
          <w:sz w:val="18"/>
          <w:szCs w:val="18"/>
          <w:b w:val="1"/>
          <w:bCs w:val="1"/>
          <w:color w:val="auto"/>
        </w:rPr>
        <w:t>Option Closing Date</w:t>
      </w:r>
      <w:r>
        <w:rPr>
          <w:rFonts w:ascii="Times New Roman" w:cs="Times New Roman" w:eastAsia="Times New Roman" w:hAnsi="Times New Roman"/>
          <w:sz w:val="18"/>
          <w:szCs w:val="18"/>
          <w:color w:val="auto"/>
        </w:rPr>
        <w:t>”). Upon exercise of the Over-allotment Option, the Company will become obligated to convey to the Underwriters, and, subject to the terms and conditions set forth herein, the Underwriters will become obligated to purchase, the number of Option Units specified in such notice.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i w:val="1"/>
          <w:iCs w:val="1"/>
          <w:color w:val="auto"/>
        </w:rPr>
        <w:t>Payment and Delivery.</w:t>
      </w:r>
      <w:r>
        <w:rPr>
          <w:rFonts w:ascii="Times New Roman" w:cs="Times New Roman" w:eastAsia="Times New Roman" w:hAnsi="Times New Roman"/>
          <w:sz w:val="18"/>
          <w:szCs w:val="18"/>
          <w:color w:val="auto"/>
        </w:rPr>
        <w:t xml:space="preserve"> Delivery and payment for the Option Units shall be made at 10:00 AM, New York time, on the Option Closing Date or at such earlier time as shall be agreed upon by the Representative and the Company at the offices of the Representative or at such other place as shall be agreed upon by the Representative and the Company. Payment for the Option Units shall be made at the Representative’s election by wire transfer in Federal (same day) funds or by certified or bank cashier’s check(s) in New York Clearing House funds, by deposit of the sum of $9.80 per Option Unit in the Trust Account pursuant to the Trust Agreement upon delivery to the Representative of certificates (in form and substance satisfactory to the Underwriters) representing the Option Units (or through the facilities of DTC) for the account of the Underwriters. The Option Units shall be registered in such name or names and in such authorized denominations as the Representative may request not less than two (2) Business Days prior to the Closing Date or the Option Closing Date, as the case may be, and will be made available to the Representative for inspection, checking and packaging at the aforesaid office of the Company’s transfer agent or correspondent not less than one (1) full Business Day prior to such Closing Date or Option Closing Date.</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Private Placement.</w:t>
      </w:r>
    </w:p>
    <w:p>
      <w:pPr>
        <w:spacing w:after="0" w:line="22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i w:val="1"/>
          <w:iCs w:val="1"/>
          <w:color w:val="auto"/>
        </w:rPr>
        <w:t>Placement Warrants.</w:t>
      </w:r>
      <w:r>
        <w:rPr>
          <w:rFonts w:ascii="Times New Roman" w:cs="Times New Roman" w:eastAsia="Times New Roman" w:hAnsi="Times New Roman"/>
          <w:sz w:val="18"/>
          <w:szCs w:val="18"/>
          <w:color w:val="auto"/>
        </w:rPr>
        <w:t xml:space="preserve"> Simultaneously with the Closing, Ventoux Acquisition Holdings LLC (“</w:t>
      </w:r>
      <w:r>
        <w:rPr>
          <w:rFonts w:ascii="Times New Roman" w:cs="Times New Roman" w:eastAsia="Times New Roman" w:hAnsi="Times New Roman"/>
          <w:sz w:val="18"/>
          <w:szCs w:val="18"/>
          <w:b w:val="1"/>
          <w:bCs w:val="1"/>
          <w:color w:val="auto"/>
        </w:rPr>
        <w:t>VAH</w:t>
      </w:r>
      <w:r>
        <w:rPr>
          <w:rFonts w:ascii="Times New Roman" w:cs="Times New Roman" w:eastAsia="Times New Roman" w:hAnsi="Times New Roman"/>
          <w:sz w:val="18"/>
          <w:szCs w:val="18"/>
          <w:color w:val="auto"/>
        </w:rPr>
        <w:t>”) and Chardan International Investments, LLC (“</w:t>
      </w:r>
      <w:r>
        <w:rPr>
          <w:rFonts w:ascii="Times New Roman" w:cs="Times New Roman" w:eastAsia="Times New Roman" w:hAnsi="Times New Roman"/>
          <w:sz w:val="18"/>
          <w:szCs w:val="18"/>
          <w:b w:val="1"/>
          <w:bCs w:val="1"/>
          <w:color w:val="auto"/>
        </w:rPr>
        <w:t>CII</w:t>
      </w:r>
      <w:r>
        <w:rPr>
          <w:rFonts w:ascii="Times New Roman" w:cs="Times New Roman" w:eastAsia="Times New Roman" w:hAnsi="Times New Roman"/>
          <w:sz w:val="18"/>
          <w:szCs w:val="18"/>
          <w:color w:val="auto"/>
        </w:rPr>
        <w:t xml:space="preserve">”) shall purchase from the Company, pursuant to the Subscription Agreements (as defined in </w:t>
      </w:r>
      <w:r>
        <w:rPr>
          <w:rFonts w:ascii="Times New Roman" w:cs="Times New Roman" w:eastAsia="Times New Roman" w:hAnsi="Times New Roman"/>
          <w:sz w:val="18"/>
          <w:szCs w:val="18"/>
          <w:u w:val="single" w:color="auto"/>
          <w:color w:val="auto"/>
        </w:rPr>
        <w:t>Section 2.24.2</w:t>
      </w:r>
      <w:r>
        <w:rPr>
          <w:rFonts w:ascii="Times New Roman" w:cs="Times New Roman" w:eastAsia="Times New Roman" w:hAnsi="Times New Roman"/>
          <w:sz w:val="18"/>
          <w:szCs w:val="18"/>
          <w:color w:val="auto"/>
        </w:rPr>
        <w:t xml:space="preserve"> hereof) an aggregate of 6,000,000 warrants (the “</w:t>
      </w:r>
      <w:r>
        <w:rPr>
          <w:rFonts w:ascii="Times New Roman" w:cs="Times New Roman" w:eastAsia="Times New Roman" w:hAnsi="Times New Roman"/>
          <w:sz w:val="18"/>
          <w:szCs w:val="18"/>
          <w:b w:val="1"/>
          <w:bCs w:val="1"/>
          <w:color w:val="auto"/>
        </w:rPr>
        <w:t>Placement Warrants</w:t>
      </w:r>
      <w:r>
        <w:rPr>
          <w:rFonts w:ascii="Times New Roman" w:cs="Times New Roman" w:eastAsia="Times New Roman" w:hAnsi="Times New Roman"/>
          <w:sz w:val="18"/>
          <w:szCs w:val="18"/>
          <w:color w:val="auto"/>
        </w:rPr>
        <w:t>”) at a purchase price of $1.00 per Placement Warrant in a private placement (the “</w:t>
      </w:r>
      <w:r>
        <w:rPr>
          <w:rFonts w:ascii="Times New Roman" w:cs="Times New Roman" w:eastAsia="Times New Roman" w:hAnsi="Times New Roman"/>
          <w:sz w:val="18"/>
          <w:szCs w:val="18"/>
          <w:b w:val="1"/>
          <w:bCs w:val="1"/>
          <w:color w:val="auto"/>
        </w:rPr>
        <w:t>Private Placement</w:t>
      </w:r>
      <w:r>
        <w:rPr>
          <w:rFonts w:ascii="Times New Roman" w:cs="Times New Roman" w:eastAsia="Times New Roman" w:hAnsi="Times New Roman"/>
          <w:sz w:val="18"/>
          <w:szCs w:val="18"/>
          <w:color w:val="auto"/>
        </w:rPr>
        <w:t>”), of which 4,00,000 Placement Warrants will be purchased by VAH and 2,000,000 Placement Warrants will be purchased by CII. The Placement Warrants and the shares of Common Stock underlying the Placement Warrants are hereinafter referred to collectively as the “</w:t>
      </w:r>
      <w:r>
        <w:rPr>
          <w:rFonts w:ascii="Times New Roman" w:cs="Times New Roman" w:eastAsia="Times New Roman" w:hAnsi="Times New Roman"/>
          <w:sz w:val="18"/>
          <w:szCs w:val="18"/>
          <w:b w:val="1"/>
          <w:bCs w:val="1"/>
          <w:color w:val="auto"/>
        </w:rPr>
        <w:t>Placement Securities</w:t>
      </w:r>
      <w:r>
        <w:rPr>
          <w:rFonts w:ascii="Times New Roman" w:cs="Times New Roman" w:eastAsia="Times New Roman" w:hAnsi="Times New Roman"/>
          <w:sz w:val="18"/>
          <w:szCs w:val="18"/>
          <w:color w:val="auto"/>
        </w:rPr>
        <w:t xml:space="preserve">.” Each Placement Warrant shall be identical to the Warrants sold in the Offering except that the Placement Warrants shall be non-redeemable by the Company and may be exercised for cash or on a cashless basis, as described in the Prospectus, in each case so long as the Placement Warrants continue to be held by the initial purchasers of the Placement Warrants or their permitted transferees (as described in the Subscription Agreements and the Warrant Agreement (as defined in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hereof)). There will be no placement agent in the Private Placement and no party shall be entitled to a placement fee or expense allowance from the sale of the Placement Securities. Pursuant to Rule 5110(g)(1) of FINRA’s (as defined below) Rules, the Placement Warrants purchased by CII are subject to a lock-up for a period of 180 days immediately following the Effective Date of the Registration Statement or the commencement of sales in the Offering and, for that 180 day period following the Effective Date, may not be sold, transferred, assigned, pledged or hypothecated, or be subject of any hedging, short sale, derivative or put or call transaction that would result in the economic disposition of the securities. Pursuant to Rule 5110(g)(8) of FINRA’s Rules, Chardan Capital Markets, LLC and its related persons may not, with respect to the Placement Warrants (and the shares that are issuable upon exercise of the Placement Warrants) purchased by CII, (i) have more than one demand registration right at the Company’s expense, (ii) exercise their demand registration rights more than five (5) years from the effective date of the Registration Statement, and (iii) exercise their “piggy-back” registration rights more than seven (7) years from the effective date of the Registration Statement, as long as Chardan Capital Markets, LLC or any of its related persons are beneficial owners of Placement Warrants.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9" w:name="page10"/>
    <w:bookmarkEnd w:id="9"/>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i w:val="1"/>
          <w:iCs w:val="1"/>
          <w:color w:val="auto"/>
        </w:rPr>
        <w:t>Additional Placement Warrants.</w:t>
      </w:r>
      <w:r>
        <w:rPr>
          <w:rFonts w:ascii="Times New Roman" w:cs="Times New Roman" w:eastAsia="Times New Roman" w:hAnsi="Times New Roman"/>
          <w:sz w:val="18"/>
          <w:szCs w:val="18"/>
          <w:color w:val="auto"/>
        </w:rPr>
        <w:t xml:space="preserve"> Simultaneously with the Option Closing, VAH and CII shall purchase from the Company pursuant to the Subscription Agreements an additional number of warrants (up to a maximum of 675,000 warrants in the aggregate),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with the percentage of the Over-allotment Option exercised by the Representative, so that at least $10.10 per Unit sold to the public in the Offering is held in trust regardless of whether the over-allotment option is exercised in full or part (the “</w:t>
      </w:r>
      <w:r>
        <w:rPr>
          <w:rFonts w:ascii="Times New Roman" w:cs="Times New Roman" w:eastAsia="Times New Roman" w:hAnsi="Times New Roman"/>
          <w:sz w:val="18"/>
          <w:szCs w:val="18"/>
          <w:b w:val="1"/>
          <w:bCs w:val="1"/>
          <w:color w:val="auto"/>
        </w:rPr>
        <w:t>Additional Placement Warrants</w:t>
      </w:r>
      <w:r>
        <w:rPr>
          <w:rFonts w:ascii="Times New Roman" w:cs="Times New Roman" w:eastAsia="Times New Roman" w:hAnsi="Times New Roman"/>
          <w:sz w:val="18"/>
          <w:szCs w:val="18"/>
          <w:color w:val="auto"/>
        </w:rPr>
        <w:t>”), at a purchase price of $1.00 per Additional Placement Warrant in a private placement (the “</w:t>
      </w:r>
      <w:r>
        <w:rPr>
          <w:rFonts w:ascii="Times New Roman" w:cs="Times New Roman" w:eastAsia="Times New Roman" w:hAnsi="Times New Roman"/>
          <w:sz w:val="18"/>
          <w:szCs w:val="18"/>
          <w:b w:val="1"/>
          <w:bCs w:val="1"/>
          <w:color w:val="auto"/>
        </w:rPr>
        <w:t>Additional Private Placement</w:t>
      </w:r>
      <w:r>
        <w:rPr>
          <w:rFonts w:ascii="Times New Roman" w:cs="Times New Roman" w:eastAsia="Times New Roman" w:hAnsi="Times New Roman"/>
          <w:sz w:val="18"/>
          <w:szCs w:val="18"/>
          <w:color w:val="auto"/>
        </w:rPr>
        <w:t>”). The Additional Placement Warrants and the shares of Common Stock issuable upon exercise of the Additional Placement Warrants are hereinafter referred to collectively as the “</w:t>
      </w:r>
      <w:r>
        <w:rPr>
          <w:rFonts w:ascii="Times New Roman" w:cs="Times New Roman" w:eastAsia="Times New Roman" w:hAnsi="Times New Roman"/>
          <w:sz w:val="18"/>
          <w:szCs w:val="18"/>
          <w:b w:val="1"/>
          <w:bCs w:val="1"/>
          <w:color w:val="auto"/>
        </w:rPr>
        <w:t>Additional Placement Securities</w:t>
      </w:r>
      <w:r>
        <w:rPr>
          <w:rFonts w:ascii="Times New Roman" w:cs="Times New Roman" w:eastAsia="Times New Roman" w:hAnsi="Times New Roman"/>
          <w:sz w:val="18"/>
          <w:szCs w:val="18"/>
          <w:color w:val="auto"/>
        </w:rPr>
        <w:t>,” and the Public Securities, the Placement Securities and the Additional Placemenet Securities are hereinafter referred to collectively as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Each Additional Placement Warrant shall be identical to the Warrants sold in the Offering except that the Additional Placement Warrants shall be non-redeemable by the Company and may be exercised for cash or on a cashless basis, as described in the Prospectus, in each case so long as the Additional Placement Warrants continue to be held by the initial purchasers of the Additional Placement Warrants or their permitted transferees (as described in the Subscription Agreement and the Warrant Agreement). There will be no placement agent in the Additional Private Placement and no party shall be entitled to a placement fee or expense allowance from the sale of the Additional Placement Securities. Pursuant to Rule 5110(g)(1) of FINRA’s Rules, the Additional Private Warrants purchased by CII are subject to a lock-up for a period of 180 days immediately following the Effective Date of the Registration Statement or the commencement of sales in the offering, and, for that 180 day period following the Effective Date, may not be sold, transferred, assigned, pledged or hypothecated, or be subject of any hedging, short sale, derivative or put or call transaction that would result in the economic disposition of the securities. Pursuant to Rule 5110(g)(8) of FINRA’s Rules, Chardan Capital Markets, LLC and its related persons may not, with respect to the Additional Private Warrants (and the shares that are issuable upon exercise of the private warrants) purchased by CII, (i) have more than one demand registration right at the Company’s expense, (ii) exercise their demand registration rights more than five (5) years from the effective date of the Registration Statement, and</w:t>
      </w:r>
    </w:p>
    <w:p>
      <w:pPr>
        <w:spacing w:after="0" w:line="12" w:lineRule="exact"/>
        <w:rPr>
          <w:sz w:val="20"/>
          <w:szCs w:val="20"/>
          <w:color w:val="auto"/>
        </w:rPr>
      </w:pPr>
    </w:p>
    <w:p>
      <w:pPr>
        <w:ind w:firstLine="8"/>
        <w:spacing w:after="0" w:line="260"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their “piggy-back” registration rights more than seven (7) years from the effective date of the Registration Statement, as long as Chardan Capital Markets, LLC or any of its related persons are beneficial owners of Additional Private Warrants.</w:t>
      </w:r>
    </w:p>
    <w:p>
      <w:pPr>
        <w:spacing w:after="0" w:line="17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Qualified Independent Underwriter.</w:t>
      </w:r>
      <w:r>
        <w:rPr>
          <w:rFonts w:ascii="Times New Roman" w:cs="Times New Roman" w:eastAsia="Times New Roman" w:hAnsi="Times New Roman"/>
          <w:sz w:val="18"/>
          <w:szCs w:val="18"/>
          <w:color w:val="auto"/>
        </w:rPr>
        <w:t xml:space="preserve"> The Company hereby confirms its engagement of B. Riley Securities, Inc. (“</w:t>
      </w:r>
      <w:r>
        <w:rPr>
          <w:rFonts w:ascii="Times New Roman" w:cs="Times New Roman" w:eastAsia="Times New Roman" w:hAnsi="Times New Roman"/>
          <w:sz w:val="18"/>
          <w:szCs w:val="18"/>
          <w:b w:val="1"/>
          <w:bCs w:val="1"/>
          <w:color w:val="auto"/>
        </w:rPr>
        <w:t>B. Riley</w:t>
      </w:r>
      <w:r>
        <w:rPr>
          <w:rFonts w:ascii="Times New Roman" w:cs="Times New Roman" w:eastAsia="Times New Roman" w:hAnsi="Times New Roman"/>
          <w:sz w:val="18"/>
          <w:szCs w:val="18"/>
          <w:color w:val="auto"/>
        </w:rPr>
        <w:t>”) as, and B. Riley hereby confirms its agreement with the Company to render services as, the “qualified independent underwriter,” within the meaning of Rule 5121 of the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with respect to the offering and sale of the Public Securities. B. Riley, solely in its capacity as the qualified independent underwriter and not otherwise, is referred to herein as the “</w:t>
      </w:r>
      <w:r>
        <w:rPr>
          <w:rFonts w:ascii="Times New Roman" w:cs="Times New Roman" w:eastAsia="Times New Roman" w:hAnsi="Times New Roman"/>
          <w:sz w:val="18"/>
          <w:szCs w:val="18"/>
          <w:b w:val="1"/>
          <w:bCs w:val="1"/>
          <w:color w:val="auto"/>
        </w:rPr>
        <w:t>QIU</w:t>
      </w:r>
      <w:r>
        <w:rPr>
          <w:rFonts w:ascii="Times New Roman" w:cs="Times New Roman" w:eastAsia="Times New Roman" w:hAnsi="Times New Roman"/>
          <w:sz w:val="18"/>
          <w:szCs w:val="18"/>
          <w:color w:val="auto"/>
        </w:rPr>
        <w:t>.” As compensation for services rendered, on the Closing Date, the Company shall pay to the QIU, by wire transfer of immediately available funds on the Closing Date, a fee of $100,000 (the “</w:t>
      </w:r>
      <w:r>
        <w:rPr>
          <w:rFonts w:ascii="Times New Roman" w:cs="Times New Roman" w:eastAsia="Times New Roman" w:hAnsi="Times New Roman"/>
          <w:sz w:val="18"/>
          <w:szCs w:val="18"/>
          <w:b w:val="1"/>
          <w:bCs w:val="1"/>
          <w:color w:val="auto"/>
        </w:rPr>
        <w:t>QIU Fee</w:t>
      </w:r>
      <w:r>
        <w:rPr>
          <w:rFonts w:ascii="Times New Roman" w:cs="Times New Roman" w:eastAsia="Times New Roman" w:hAnsi="Times New Roman"/>
          <w:sz w:val="18"/>
          <w:szCs w:val="18"/>
          <w:color w:val="auto"/>
        </w:rPr>
        <w:t>”). B. Riley hereby consents to the reference to it as set forth under the heading “Underwriting (Conflicts of Interest)” in the Preliminary Prospectus and the Prospectus (as defined herein) and any amendment or supplement thereto.</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0" w:name="page11"/>
    <w:bookmarkEnd w:id="10"/>
    <w:p>
      <w:pPr>
        <w:jc w:val="center"/>
        <w:ind w:right="-59"/>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b w:val="1"/>
          <w:bCs w:val="1"/>
          <w:color w:val="auto"/>
        </w:rPr>
        <w:t>Representations and Warranties of the Company.</w:t>
      </w:r>
      <w:r>
        <w:rPr>
          <w:rFonts w:ascii="Times New Roman" w:cs="Times New Roman" w:eastAsia="Times New Roman" w:hAnsi="Times New Roman"/>
          <w:sz w:val="18"/>
          <w:szCs w:val="18"/>
          <w:color w:val="auto"/>
        </w:rPr>
        <w:t xml:space="preserve"> The Company represents and warrants to the Underwriters and the QIU as follows: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Filing of Registration Statement.</w:t>
      </w:r>
    </w:p>
    <w:p>
      <w:pPr>
        <w:spacing w:after="0" w:line="22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i w:val="1"/>
          <w:iCs w:val="1"/>
          <w:color w:val="auto"/>
        </w:rPr>
        <w:t>Pursuant to the Act.</w:t>
      </w:r>
      <w:r>
        <w:rPr>
          <w:rFonts w:ascii="Times New Roman" w:cs="Times New Roman" w:eastAsia="Times New Roman" w:hAnsi="Times New Roman"/>
          <w:sz w:val="18"/>
          <w:szCs w:val="18"/>
          <w:color w:val="auto"/>
        </w:rPr>
        <w:t xml:space="preserve"> 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and an amendment or amendments thereto, on Form S-1 (File No. 333-251048), including any related preliminary prospectus (the “</w:t>
      </w:r>
      <w:r>
        <w:rPr>
          <w:rFonts w:ascii="Times New Roman" w:cs="Times New Roman" w:eastAsia="Times New Roman" w:hAnsi="Times New Roman"/>
          <w:sz w:val="18"/>
          <w:szCs w:val="18"/>
          <w:b w:val="1"/>
          <w:bCs w:val="1"/>
          <w:color w:val="auto"/>
        </w:rPr>
        <w:t>Preliminary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including any prospectus that is included in the Registration Statement immediately prior to the effectiveness of the Registration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registration of the Public Securities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which registration statement and amendment or amendments have been prepared by the Company in conformity in all material respects with the requirements of the Act, and the rules and regulations (the “</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of the Commission under the Act. The conditions for use of Form S-1 to register the Offering under the Act, as set forth in the General Instructions to such Form, have been satisfied in all material respects. Except as the context may otherwise require, such registration statement, as amended, on file with the Commission at the time the registration statement becomes effective (including the prospectus, financial statements, schedules, exhibits and all other documents filed as a part thereof or incorporated therein and all information deemed to be a part thereof as of such time pursuant to Rule 430A of the Regulations), is hereinafter called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the form of the final prospectus dated the Effective Date included in the Registration Statement (or, if applicable, the form of final prospectus containing information permitted to be omitted at the time of effectiveness by Rule 430A of the Regulations filed with the Commission pursuant to Rule 424 of the Regulations), is hereinafter called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 as used in the Act, means 6:00 p.m., New York City time, on the date of this Agreement. If the Company has filed, or is required pursuant to the terms hereof to file, a registration statement pursuant to Rule 462(b) under the Securities Act registering the Public Securities (a “</w:t>
      </w:r>
      <w:r>
        <w:rPr>
          <w:rFonts w:ascii="Times New Roman" w:cs="Times New Roman" w:eastAsia="Times New Roman" w:hAnsi="Times New Roman"/>
          <w:sz w:val="18"/>
          <w:szCs w:val="18"/>
          <w:b w:val="1"/>
          <w:bCs w:val="1"/>
          <w:color w:val="auto"/>
        </w:rPr>
        <w:t>Rule 462(b) Registration Statement</w:t>
      </w:r>
      <w:r>
        <w:rPr>
          <w:rFonts w:ascii="Times New Roman" w:cs="Times New Roman" w:eastAsia="Times New Roman" w:hAnsi="Times New Roman"/>
          <w:sz w:val="18"/>
          <w:szCs w:val="18"/>
          <w:color w:val="auto"/>
        </w:rPr>
        <w:t>”), then, unless otherwise specified, any reference herein to the term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be deemed to include such Rule 462(b) Registration Statement. Other than a Rule 462(b) Registration Statement, which, if filed, becomes effective upon filing, no other document with respect to the Registration Statement has heretofore been filed with the Commission. All of the Public Securities have been registered under the Act pursuant to the Registration Statement or, if any Rule 462(b) Registration Statement is filed, will be duly registered under the Securities Act with the filing of such Rule 462(b) Registration Statement. The Registration Statement has been declared effective by the Commission on the date hereof. If, subsequent to the date of this Agreement, the Company or the Representative has determined that at the Time of Sale the Prospectus included an untrue statement of a material fact or omitted a statement of material fact necessary to make the statements therein, in light of the circumstances under which they were made, not misleading, and have agreed to provide an opportunity to purchasers of the Units to terminate their old purchase contracts and enter into new purchase contracts, the Prospectus will be deemed to include any additional information available to purchasers at the time of entry into the first such new purchase contract.</w:t>
      </w:r>
    </w:p>
    <w:p>
      <w:pPr>
        <w:spacing w:after="0" w:line="18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i w:val="1"/>
          <w:iCs w:val="1"/>
          <w:color w:val="auto"/>
        </w:rPr>
        <w:t>Pursuant to the Exchange Act.</w:t>
      </w:r>
      <w:r>
        <w:rPr>
          <w:rFonts w:ascii="Times New Roman" w:cs="Times New Roman" w:eastAsia="Times New Roman" w:hAnsi="Times New Roman"/>
          <w:sz w:val="18"/>
          <w:szCs w:val="18"/>
          <w:color w:val="auto"/>
        </w:rPr>
        <w:t xml:space="preserve"> The Company has filed with the Commission a Form 8-A (Registration No. 001-39830), providing for the registration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of the Units, the Common Stock, the Rights and the Warrants. The registration of the Units, Common Stock, the Rights and Warrants under the Exchange Act will be declared effective by the Commission on or prior to the Effective Date.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No Stop Orders, Etc.</w:t>
      </w:r>
      <w:r>
        <w:rPr>
          <w:rFonts w:ascii="Times New Roman" w:cs="Times New Roman" w:eastAsia="Times New Roman" w:hAnsi="Times New Roman"/>
          <w:sz w:val="18"/>
          <w:szCs w:val="18"/>
          <w:color w:val="auto"/>
        </w:rPr>
        <w:t xml:space="preserve"> Neither the Commission nor, to the best of the Company’s knowledge, any state regulatory authority has issued any order or threatened to issue any order preventing or suspending the use of any Preliminary Prospectus or has instituted or, to the best of the Company’s knowledge, threatened to institute any proceedings with respect to such an order.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Disclosures in Registration Statement.</w:t>
      </w:r>
    </w:p>
    <w:p>
      <w:pPr>
        <w:spacing w:after="0" w:line="22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i w:val="1"/>
          <w:iCs w:val="1"/>
          <w:color w:val="auto"/>
        </w:rPr>
        <w:t>10b-5 Representation.</w:t>
      </w:r>
      <w:r>
        <w:rPr>
          <w:rFonts w:ascii="Times New Roman" w:cs="Times New Roman" w:eastAsia="Times New Roman" w:hAnsi="Times New Roman"/>
          <w:sz w:val="18"/>
          <w:szCs w:val="18"/>
          <w:color w:val="auto"/>
        </w:rPr>
        <w:t xml:space="preserve"> At the time the Registration Statement became effective, upon the filing or first use (within the meaning of the Regulations) of the Prospectus and at the Closing Date and the Option Closing Date, if any, the Registration Statement and the Prospectus contained or will contain all material statements that are required to be stated therein in accordance with the Act and the Regulations, and did or will in all material respects conform to the requirements of the Act and the Regulations. Neither the Registration Statement nor any Preliminary Prospectus or the Prospectus, nor any amendment or supplement thereto, on their respective dates, did or will contain any untrue statement of a material fact or omit to state any material fact required to be stated therein or necessary to make the statements therein (in the case of the Preliminary Prospectus and the Prospectus, in light of the circumstances under which they were made), not misleading. When any Preliminary Prospectus was first filed with the Commission (whether filed as part of the Registration Statement for the registration of the Public Securities or any amendment thereto or pursuant to Rule 424(a) of the Regulations) or first used (within the meaning of the Regulations) and when any amendment thereof or supplement thereto was first filed with the Commission or first used (within the meaning of the Regulations), such Preliminary Prospectus and any amendments thereof and supplements thereto complied or will have been corrected in the Prospectus to comply in all material respects with the applicable provisions of the Act and the Regulations and did not and will not contain an untrue statement of a material fact or omit to state any material fact required to be stated therein or necessary in order to make the statements therein, in light of the circumstances under which they were made, not misleading. The representation and warranty made in this </w:t>
      </w:r>
      <w:r>
        <w:rPr>
          <w:rFonts w:ascii="Times New Roman" w:cs="Times New Roman" w:eastAsia="Times New Roman" w:hAnsi="Times New Roman"/>
          <w:sz w:val="18"/>
          <w:szCs w:val="18"/>
          <w:u w:val="single" w:color="auto"/>
          <w:color w:val="auto"/>
        </w:rPr>
        <w:t>Section 2.3.1</w:t>
      </w:r>
      <w:r>
        <w:rPr>
          <w:rFonts w:ascii="Times New Roman" w:cs="Times New Roman" w:eastAsia="Times New Roman" w:hAnsi="Times New Roman"/>
          <w:sz w:val="18"/>
          <w:szCs w:val="18"/>
          <w:color w:val="auto"/>
        </w:rPr>
        <w:t xml:space="preserve"> does not apply to statements made or statements omitted in reliance upon and in conformity with written information furnished to the Company with respect to the Underwriters by the Representative expressly for use in the Registration Statement or Prospectus or any amendment thereof or supplement thereto. It is understood that the following identified statements set forth in the Prospectus under the heading “Underwriting” constitute, for the purposes of this Agreement, information furnished by the Representative with respect to the Underwriters: (i) the table of underwriters in the first paragraph of the “Underwriting” section of the Prospectus and (ii) the “Underwriting—Regulatory Restrictions on Purchase of Securities” section of the Prospectus.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i w:val="1"/>
          <w:iCs w:val="1"/>
          <w:color w:val="auto"/>
        </w:rPr>
        <w:t>Disclosure of Agreements.</w:t>
      </w:r>
      <w:r>
        <w:rPr>
          <w:rFonts w:ascii="Times New Roman" w:cs="Times New Roman" w:eastAsia="Times New Roman" w:hAnsi="Times New Roman"/>
          <w:sz w:val="18"/>
          <w:szCs w:val="18"/>
          <w:color w:val="auto"/>
        </w:rPr>
        <w:t xml:space="preserve"> The agreements and documents described in the Registration Statement, the Preliminary Prospectus and the Prospectus conform to the descriptions thereof contained therein and there are no agreements or other documents required to be described in the Registration Statement, the Preliminary Prospectus or the Prospectus or to be filed with the Commission as exhibits to the Registration Statement, that have not been so described or filed. Each agreement or other instrument (however characterized or described) to which the Company is a party or by which its property or business is or may be bound or affected and (i) that is referred to in the Registration Statement, Preliminary Prospectus or the Prospectus or attached as an exhibit thereto, or (ii) is material to the Company’s business, has been duly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 may be brought, and none of such agreements or instruments has been assigned by the Company, and neither the Company nor, to the Company’s knowledge, any other party is in breach or default thereunder and, to the Company’s knowledge, no event has occurred that, with the lapse of time or the giving of notice, or both, would constitute a breach or default thereunder. To the Company’s knowledge, performance by the Company of the material provisions of such agreements or instruments will not result in a material violation of any existing applicable law, rule, regulation, judgment, order or decree of any governmental agency or court, domestic or foreign, having jurisdiction over the Company or any of its assets or businesses, including, without limitation, those relating to environmental laws and regulations.</w:t>
      </w:r>
    </w:p>
    <w:p>
      <w:pPr>
        <w:spacing w:after="0" w:line="19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i w:val="1"/>
          <w:iCs w:val="1"/>
          <w:color w:val="auto"/>
        </w:rPr>
        <w:t>Prior Securities Transactions.</w:t>
      </w:r>
      <w:r>
        <w:rPr>
          <w:rFonts w:ascii="Times New Roman" w:cs="Times New Roman" w:eastAsia="Times New Roman" w:hAnsi="Times New Roman"/>
          <w:sz w:val="18"/>
          <w:szCs w:val="18"/>
          <w:color w:val="auto"/>
        </w:rPr>
        <w:t xml:space="preserve"> No securities of the Company have been sold by the Company or by or on behalf of, or for the benefit of, any person or persons controlling, controlled by, or under common control with the Company since the date of the Company’s formation, except as disclosed in the Registration Statement.</w:t>
      </w:r>
    </w:p>
    <w:p>
      <w:pPr>
        <w:spacing w:after="0" w:line="17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2.3.4 </w:t>
      </w:r>
      <w:r>
        <w:rPr>
          <w:rFonts w:ascii="Times New Roman" w:cs="Times New Roman" w:eastAsia="Times New Roman" w:hAnsi="Times New Roman"/>
          <w:sz w:val="18"/>
          <w:szCs w:val="18"/>
          <w:i w:val="1"/>
          <w:iCs w:val="1"/>
          <w:color w:val="auto"/>
        </w:rPr>
        <w:t>Regulations.</w:t>
      </w:r>
      <w:r>
        <w:rPr>
          <w:rFonts w:ascii="Times New Roman" w:cs="Times New Roman" w:eastAsia="Times New Roman" w:hAnsi="Times New Roman"/>
          <w:sz w:val="18"/>
          <w:szCs w:val="18"/>
          <w:color w:val="auto"/>
        </w:rPr>
        <w:t xml:space="preserve"> The disclosures in the Registration Statement, the Preliminary Prospectus and the Prospectus concerning the effects of Federal, state and local regulation on the Company’s business as currently contemplated fairly summarize, to the best of the Company’s knowledge, such effects and do not omit to state a material fact necessary to make the statements therein, in light of the circumstances in which they were made, not misleading.</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Changes After Dates in Registration Statement.</w:t>
      </w:r>
    </w:p>
    <w:p>
      <w:pPr>
        <w:spacing w:after="0" w:line="22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i w:val="1"/>
          <w:iCs w:val="1"/>
          <w:color w:val="auto"/>
        </w:rPr>
        <w:t>No Material Adverse Change.</w:t>
      </w:r>
      <w:r>
        <w:rPr>
          <w:rFonts w:ascii="Times New Roman" w:cs="Times New Roman" w:eastAsia="Times New Roman" w:hAnsi="Times New Roman"/>
          <w:sz w:val="18"/>
          <w:szCs w:val="18"/>
          <w:color w:val="auto"/>
        </w:rPr>
        <w:t xml:space="preserve"> Except as contemplated in the Prospectus or specifically stated therein, since the respective dates as of which information is given in the Registration Statement, any Preliminary Prospectus and/or the Prospectus: (i) there has been no material adverse change in the condition, financial or otherwise, or business prospects of the Company; (ii) there have been no material transactions entered into by the Company, other than as contemplated pursuant to this Agreement; (iii) no member of the Company’s board of directors or management has resigned from any position with the Company and (iv) no event or occurrence has taken place which materially impairs, or would likely materially impair, with the passage of time, the ability of the members of the Company’s board of directors or management to act in their capacities with the Company as described in the Registration Statement and the Prospectus.</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i w:val="1"/>
          <w:iCs w:val="1"/>
          <w:color w:val="auto"/>
        </w:rPr>
        <w:t>Recent Securities Transactions, Etc.</w:t>
      </w:r>
      <w:r>
        <w:rPr>
          <w:rFonts w:ascii="Times New Roman" w:cs="Times New Roman" w:eastAsia="Times New Roman" w:hAnsi="Times New Roman"/>
          <w:sz w:val="18"/>
          <w:szCs w:val="18"/>
          <w:color w:val="auto"/>
        </w:rPr>
        <w:t xml:space="preserve"> Except as contemplated in the Prospectus, subsequent to the respective dates as of which information is given in the Registration Statement and the Prospectus, and except as may otherwise be indicated or contemplated herein or therein, the Company has not: (i) issued any securities or incurred any liability or obligation, direct or contingent, for borrowed money; or (ii) declared or paid any dividend or made any other distribution on or in respect to its capital stock.</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3" w:name="page14"/>
    <w:bookmarkEnd w:id="13"/>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Independent Accountants.</w:t>
      </w:r>
      <w:r>
        <w:rPr>
          <w:rFonts w:ascii="Times New Roman" w:cs="Times New Roman" w:eastAsia="Times New Roman" w:hAnsi="Times New Roman"/>
          <w:sz w:val="18"/>
          <w:szCs w:val="18"/>
          <w:color w:val="auto"/>
        </w:rPr>
        <w:t xml:space="preserve"> To the best of the Company’s knowledge, WithumSmith+Brown, PC (“</w:t>
      </w:r>
      <w:r>
        <w:rPr>
          <w:rFonts w:ascii="Times New Roman" w:cs="Times New Roman" w:eastAsia="Times New Roman" w:hAnsi="Times New Roman"/>
          <w:sz w:val="18"/>
          <w:szCs w:val="18"/>
          <w:b w:val="1"/>
          <w:bCs w:val="1"/>
          <w:color w:val="auto"/>
        </w:rPr>
        <w:t>Withum</w:t>
      </w:r>
      <w:r>
        <w:rPr>
          <w:rFonts w:ascii="Times New Roman" w:cs="Times New Roman" w:eastAsia="Times New Roman" w:hAnsi="Times New Roman"/>
          <w:sz w:val="18"/>
          <w:szCs w:val="18"/>
          <w:color w:val="auto"/>
        </w:rPr>
        <w:t>”), whose report is filed with the Commission as part of the Registration Statement and included in the Registration Statement, the Preliminary Prospectus and the Prospectus, are independent accountants as required by the Act and the Regulations and the Public Company Accounting Oversight Board (including the rules and regulations promulgated by such entity, the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To the best of the Company’s knowledge, Withum is duly registered and in good standing with the PCAOB. Withum has not, during the periods covered by the financial statements included in the Registration Statement and the Prospectus, provided to the Company any non-audit services, as such term is used in Section 10A(g) of the Exchange Act.</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Financial Statements; Statistical Data.</w:t>
      </w:r>
    </w:p>
    <w:p>
      <w:pPr>
        <w:spacing w:after="0" w:line="22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2.6.1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xml:space="preserve"> The financial statements, including the notes thereto and supporting schedules included in the Registration Statement, the Preliminary Prospectus and the Prospectus fairly present the financial position and the results of operations of the Company at the dates and for the periods to which they apply; and such financial statements have been prepared in conformity with generally accepted accounting principles, consistently applied throughout the periods involved; and the supporting schedules included in the Registration Statement present fairly the information required to be stated therein. To the best of the Company’s knowledge, no other financial statements or supporting schedules are required to be included or incorporated by reference in the Registration Statement, the Preliminary Prospectus or the Prospectus. The Registration Statement, the Preliminary Prospectus and the Prospectus disclose all material off-balance sheet transactions, arrangements, obligations (including contingent obligations), and other relationships of the Company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To the best of the Company’s knowledge, there are no pro forma or as adjusted financial statements which are required to be included in the Registration Statement and the Prospectus in accordance with Regulation S-X which have not been included as so required.</w:t>
      </w:r>
    </w:p>
    <w:p>
      <w:pPr>
        <w:spacing w:after="0" w:line="192"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2.6.2 </w:t>
      </w:r>
      <w:r>
        <w:rPr>
          <w:rFonts w:ascii="Times New Roman" w:cs="Times New Roman" w:eastAsia="Times New Roman" w:hAnsi="Times New Roman"/>
          <w:sz w:val="18"/>
          <w:szCs w:val="18"/>
          <w:i w:val="1"/>
          <w:iCs w:val="1"/>
          <w:color w:val="auto"/>
        </w:rPr>
        <w:t>Statistical Data.</w:t>
      </w:r>
      <w:r>
        <w:rPr>
          <w:rFonts w:ascii="Times New Roman" w:cs="Times New Roman" w:eastAsia="Times New Roman" w:hAnsi="Times New Roman"/>
          <w:sz w:val="18"/>
          <w:szCs w:val="18"/>
          <w:color w:val="auto"/>
        </w:rPr>
        <w:t xml:space="preserve"> The statistical, industry-related and market-related data included in the Registration Statement, the Preliminary Prospectus and the Prospectus, if any, are based on or derived from sources which the Company reasonably and in good faith believes are reliable and accurate, and such data agree with the sources from which they are derived.</w:t>
      </w:r>
    </w:p>
    <w:p>
      <w:pPr>
        <w:spacing w:after="0" w:line="17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Authorized Capital; Options, Etc.</w:t>
      </w:r>
      <w:r>
        <w:rPr>
          <w:rFonts w:ascii="Times New Roman" w:cs="Times New Roman" w:eastAsia="Times New Roman" w:hAnsi="Times New Roman"/>
          <w:sz w:val="18"/>
          <w:szCs w:val="18"/>
          <w:color w:val="auto"/>
        </w:rPr>
        <w:t xml:space="preserve"> The Company had at the date or dates indicated in the Registration Statement, the Preliminary Prospectus and the Prospectus, as the case may be, duly authorized, issued and outstanding capitalization as set forth in the Registration Statement, the Preliminary Prospectus and the Prospectus. Based on the assumptions stated in the Registration Statement, the Preliminary Prospectus and the Prospectus, the Company will have on the Closing Date the adjusted stock capitalization set forth therein. Except as set forth in, or contemplated by, the Registration Statement, the Preliminary Prospectus and the Prospectus, on the Effective Date of the Prospectus and on the Closing Date and the Option Closing Date, if any, there will be no options, warrants, or other rights to purchase or otherwise acquire any authorized, but unissued shares of Common Stock of the Company or any security convertible into shares of Common Stock of the Company, or any contracts or commitments to issue or sell shares of Common Stock or any such options, warrants, rights or convertible securities.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130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Valid Issuance of Securities, Etc.</w:t>
      </w:r>
    </w:p>
    <w:p>
      <w:pPr>
        <w:spacing w:after="0" w:line="22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2.8.1 </w:t>
      </w:r>
      <w:r>
        <w:rPr>
          <w:rFonts w:ascii="Times New Roman" w:cs="Times New Roman" w:eastAsia="Times New Roman" w:hAnsi="Times New Roman"/>
          <w:sz w:val="18"/>
          <w:szCs w:val="18"/>
          <w:i w:val="1"/>
          <w:iCs w:val="1"/>
          <w:color w:val="auto"/>
        </w:rPr>
        <w:t>Outstanding Securities.</w:t>
      </w:r>
      <w:r>
        <w:rPr>
          <w:rFonts w:ascii="Times New Roman" w:cs="Times New Roman" w:eastAsia="Times New Roman" w:hAnsi="Times New Roman"/>
          <w:sz w:val="18"/>
          <w:szCs w:val="18"/>
          <w:color w:val="auto"/>
        </w:rPr>
        <w:t xml:space="preserve"> All issued and outstanding securities of the Company (including, without limitation, the Placement Securities and the Additional Placement Securities) have been duly authorized and validly issued and are fully paid and non-assessable; the holders thereof have no rights of rescission with respect thereto, and are not subject to personal liability by reason of being such holders; and none of such securities were issued in violation of the preemptive rights of any holders of any security of the Company or similar contractual rights granted by the Company. The Securities conform in all material respects to all statements relating thereto contained in the Registration Statement, the Preliminary Prospectus and the Prospectus. Subject to the disclosure contained in the Registration Statement, the Preliminary Prospectus and the Prospectus with respect to the Placement Securities and the Additional Placement Securities, the offers and sales of the outstanding shares of Common Stock were at all relevant times either registered under the Act and the applicable state securities or Blue Sky laws or, based in part on the representations and warranties of the purchasers of such shares, exempt from such registration requirements.</w:t>
      </w:r>
    </w:p>
    <w:p>
      <w:pPr>
        <w:spacing w:after="0" w:line="188"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2.8.2 </w:t>
      </w:r>
      <w:r>
        <w:rPr>
          <w:rFonts w:ascii="Times New Roman" w:cs="Times New Roman" w:eastAsia="Times New Roman" w:hAnsi="Times New Roman"/>
          <w:sz w:val="18"/>
          <w:szCs w:val="18"/>
          <w:i w:val="1"/>
          <w:iCs w:val="1"/>
          <w:color w:val="auto"/>
        </w:rPr>
        <w:t>Securities Sold.</w:t>
      </w:r>
      <w:r>
        <w:rPr>
          <w:rFonts w:ascii="Times New Roman" w:cs="Times New Roman" w:eastAsia="Times New Roman" w:hAnsi="Times New Roman"/>
          <w:sz w:val="18"/>
          <w:szCs w:val="18"/>
          <w:color w:val="auto"/>
        </w:rPr>
        <w:t xml:space="preserve"> The Securities have been duly authorized and reserved for issuance and when issued and paid for, will be validly issued, fully paid and non-assessable; the holders thereof are not and will not be subject to personal liability by reason of being such holders; the Securities are not and will not be subject to the preemptive rights of any holders of any security of the Company or similar contractual rights granted by the Company; and all corporate actions required to be taken for the authorization, issuance and sale of the Securities have been duly and validly taken. The Securities conform in all material respects to all statements with respect thereto contained in the Registration Statement, the Preliminary Prospectus and the Prospectus, as the case may be.</w:t>
      </w:r>
    </w:p>
    <w:p>
      <w:pPr>
        <w:spacing w:after="0" w:line="18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2.8.3 </w:t>
      </w:r>
      <w:r>
        <w:rPr>
          <w:rFonts w:ascii="Times New Roman" w:cs="Times New Roman" w:eastAsia="Times New Roman" w:hAnsi="Times New Roman"/>
          <w:sz w:val="18"/>
          <w:szCs w:val="18"/>
          <w:i w:val="1"/>
          <w:iCs w:val="1"/>
          <w:color w:val="auto"/>
        </w:rPr>
        <w:t>Placement Securities.</w:t>
      </w:r>
      <w:r>
        <w:rPr>
          <w:rFonts w:ascii="Times New Roman" w:cs="Times New Roman" w:eastAsia="Times New Roman" w:hAnsi="Times New Roman"/>
          <w:sz w:val="18"/>
          <w:szCs w:val="18"/>
          <w:color w:val="auto"/>
        </w:rPr>
        <w:t xml:space="preserve"> The Placement Securities and the Additional Placement Securities have been duly authorized and reserved for issuance and when issued and paid for, will be validly issued, fully paid and non-assessable; the Placement Securities and the Additional Placement Securities are not and will not be subject to the preemptive rights of any holders of any security of the Company or similar contractual rights granted by the Company; and all corporate actions required to be taken for the authorization, issuance and sale of the Placement Securities and the Additional Placement Securities have been duly and validly taken. When issued, the Placement Warrants and the Additional Placement Warrants will constitute valid and binding obligations of the Company to issue and sell, upon exercise thereof and payment of the exercise price therefor, the number and type of securities of the Company called for thereby in accordance with the terms thereof, and such Placement Warrants and Additional Placement Warrants are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federal and state securities laws; and (iii) that the remedy of specific performance and injunctive and other forms of equitable relief may be subject to the equitable defenses and to the discretion of the court before which any proceeding therefor may be brought. The shares of Common Stock underlying the Placement Warrants and the Additional Placement Warrants have been reserved for issuance upon the exercise of the Placement Warrants and the Additional Placement Warrants and, when issued in accordance with the terms of the Placement Warrants and the Additional Placement Warrants, will be duly and validly authorized, validly issued, fully paid and non-assessable, and the holders thereof are not and will not be subject to personal liability by reason of being such holders.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2.8.4 </w:t>
      </w:r>
      <w:r>
        <w:rPr>
          <w:rFonts w:ascii="Times New Roman" w:cs="Times New Roman" w:eastAsia="Times New Roman" w:hAnsi="Times New Roman"/>
          <w:sz w:val="18"/>
          <w:szCs w:val="18"/>
          <w:i w:val="1"/>
          <w:iCs w:val="1"/>
          <w:color w:val="auto"/>
        </w:rPr>
        <w:t>No Integration.</w:t>
      </w:r>
      <w:r>
        <w:rPr>
          <w:rFonts w:ascii="Times New Roman" w:cs="Times New Roman" w:eastAsia="Times New Roman" w:hAnsi="Times New Roman"/>
          <w:sz w:val="18"/>
          <w:szCs w:val="18"/>
          <w:color w:val="auto"/>
        </w:rPr>
        <w:t xml:space="preserve"> Subject to the disclosure contained in the Registration Statement, the Preliminary Prospectus and/or the Prospectus with respect to the Placement Securities, neither the Company nor any of its affiliates has, prior to the date hereof, made any offer or sale of any securities which are required to be “integrated” pursuant to the Act or the Regulations with the offer and sale of the Public Securities pursuant to the Registration Statement.</w:t>
      </w:r>
    </w:p>
    <w:p>
      <w:pPr>
        <w:spacing w:after="0" w:line="18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Registration Rights of Third Parties.</w:t>
      </w:r>
      <w:r>
        <w:rPr>
          <w:rFonts w:ascii="Times New Roman" w:cs="Times New Roman" w:eastAsia="Times New Roman" w:hAnsi="Times New Roman"/>
          <w:sz w:val="18"/>
          <w:szCs w:val="18"/>
          <w:color w:val="auto"/>
        </w:rPr>
        <w:t xml:space="preserve"> Except as set forth in the Registration Statement, the Preliminary Prospectus or the Prospectus, no holders of any securities of the Company or any rights exercisable for or convertible or exchangeable into securities of the Company have the right to require the Company to register any such securities of the Company under the Act or to include any such securities in a registration statement to be filed by the Company.</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Validity and Binding Effect of Agreements.</w:t>
      </w:r>
      <w:r>
        <w:rPr>
          <w:rFonts w:ascii="Times New Roman" w:cs="Times New Roman" w:eastAsia="Times New Roman" w:hAnsi="Times New Roman"/>
          <w:sz w:val="18"/>
          <w:szCs w:val="18"/>
          <w:color w:val="auto"/>
        </w:rPr>
        <w:t xml:space="preserve"> This Agreement, the Warrant Agreement (as defined in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hereof), the Trust Agreement, the Services Agreement (as defined in </w:t>
      </w:r>
      <w:r>
        <w:rPr>
          <w:rFonts w:ascii="Times New Roman" w:cs="Times New Roman" w:eastAsia="Times New Roman" w:hAnsi="Times New Roman"/>
          <w:sz w:val="18"/>
          <w:szCs w:val="18"/>
          <w:u w:val="single" w:color="auto"/>
          <w:color w:val="auto"/>
        </w:rPr>
        <w:t>Section 3.5.2</w:t>
      </w:r>
      <w:r>
        <w:rPr>
          <w:rFonts w:ascii="Times New Roman" w:cs="Times New Roman" w:eastAsia="Times New Roman" w:hAnsi="Times New Roman"/>
          <w:sz w:val="18"/>
          <w:szCs w:val="18"/>
          <w:color w:val="auto"/>
        </w:rPr>
        <w:t xml:space="preserve"> hereof), the Rights Agreement (as defined in Section 2.23), the Subscription Agreements (as defined in </w:t>
      </w:r>
      <w:r>
        <w:rPr>
          <w:rFonts w:ascii="Times New Roman" w:cs="Times New Roman" w:eastAsia="Times New Roman" w:hAnsi="Times New Roman"/>
          <w:sz w:val="18"/>
          <w:szCs w:val="18"/>
          <w:u w:val="single" w:color="auto"/>
          <w:color w:val="auto"/>
        </w:rPr>
        <w:t>Section 2.24.2</w:t>
      </w:r>
      <w:r>
        <w:rPr>
          <w:rFonts w:ascii="Times New Roman" w:cs="Times New Roman" w:eastAsia="Times New Roman" w:hAnsi="Times New Roman"/>
          <w:sz w:val="18"/>
          <w:szCs w:val="18"/>
          <w:color w:val="auto"/>
        </w:rPr>
        <w:t xml:space="preserve"> hereof), the Registration Rights Agreement (as defined in </w:t>
      </w:r>
      <w:r>
        <w:rPr>
          <w:rFonts w:ascii="Times New Roman" w:cs="Times New Roman" w:eastAsia="Times New Roman" w:hAnsi="Times New Roman"/>
          <w:sz w:val="18"/>
          <w:szCs w:val="18"/>
          <w:u w:val="single" w:color="auto"/>
          <w:color w:val="auto"/>
        </w:rPr>
        <w:t>Section 2.24.3</w:t>
      </w:r>
      <w:r>
        <w:rPr>
          <w:rFonts w:ascii="Times New Roman" w:cs="Times New Roman" w:eastAsia="Times New Roman" w:hAnsi="Times New Roman"/>
          <w:sz w:val="18"/>
          <w:szCs w:val="18"/>
          <w:color w:val="auto"/>
        </w:rPr>
        <w:t xml:space="preserve"> hereof), the Business Combination Marketing Agreement (as defined in Section 2.33) and the Escrow Agreement (as defined in </w:t>
      </w:r>
      <w:r>
        <w:rPr>
          <w:rFonts w:ascii="Times New Roman" w:cs="Times New Roman" w:eastAsia="Times New Roman" w:hAnsi="Times New Roman"/>
          <w:sz w:val="18"/>
          <w:szCs w:val="18"/>
          <w:u w:val="single" w:color="auto"/>
          <w:color w:val="auto"/>
        </w:rPr>
        <w:t>Section 2.24.4</w:t>
      </w:r>
      <w:r>
        <w:rPr>
          <w:rFonts w:ascii="Times New Roman" w:cs="Times New Roman" w:eastAsia="Times New Roman" w:hAnsi="Times New Roman"/>
          <w:sz w:val="18"/>
          <w:szCs w:val="18"/>
          <w:color w:val="auto"/>
        </w:rPr>
        <w:t xml:space="preserve"> hereof) have been duly and validly authorized by the Company and constitute valid and binding agreements of the Company, enforceable against the Company in accordance with their respective terms, except:</w:t>
      </w:r>
    </w:p>
    <w:p>
      <w:pPr>
        <w:spacing w:after="0" w:line="3" w:lineRule="exact"/>
        <w:rPr>
          <w:sz w:val="20"/>
          <w:szCs w:val="20"/>
          <w:color w:val="auto"/>
        </w:rPr>
      </w:pPr>
    </w:p>
    <w:p>
      <w:pPr>
        <w:jc w:val="both"/>
        <w:ind w:firstLine="8"/>
        <w:spacing w:after="0" w:line="253" w:lineRule="auto"/>
        <w:tabs>
          <w:tab w:leader="none" w:pos="2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6" w:name="page17"/>
    <w:bookmarkEnd w:id="16"/>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No Conflicts, Etc.</w:t>
      </w:r>
      <w:r>
        <w:rPr>
          <w:rFonts w:ascii="Times New Roman" w:cs="Times New Roman" w:eastAsia="Times New Roman" w:hAnsi="Times New Roman"/>
          <w:sz w:val="18"/>
          <w:szCs w:val="18"/>
          <w:color w:val="auto"/>
        </w:rPr>
        <w:t xml:space="preserve"> The execution, delivery, and performance by the Company of this Agreement, the Warrant Agreement, the Rights Agreement, the Business Combination Marketing Agreement, the Trust Agreement, the Services Agreement, the Subscription Agreements, the Registration Rights Agreement and the Escrow Agreement, the consummation by the Company of the transactions herein and therein contemplated and the compliance by the Company with the terms hereof and thereof do not and will not, with or without the giving of notice or the lapse of time or both: (i) result in a material breach of, or conflict with any of the terms and provisions of, or constitute a material default under, or result in the creation, modification, termination or imposition of any material lien, charge or encumbrance upon any property or assets of the Company pursuant to the terms of any agreement or instrument to which the Company is a party; (ii) result in any violation of the provisions of the amended and restated certificate of incorporation of the Company; or (iii) violate any existing applicable law, rule, regulation, judgment, order or decree of any governmental agency or court, domestic or foreign, having jurisdiction over the Company or any of its properties or business.</w:t>
      </w:r>
    </w:p>
    <w:p>
      <w:pPr>
        <w:spacing w:after="0" w:line="18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No Defaults; Violations.</w:t>
      </w:r>
      <w:r>
        <w:rPr>
          <w:rFonts w:ascii="Times New Roman" w:cs="Times New Roman" w:eastAsia="Times New Roman" w:hAnsi="Times New Roman"/>
          <w:sz w:val="18"/>
          <w:szCs w:val="18"/>
          <w:color w:val="auto"/>
        </w:rPr>
        <w:t xml:space="preserve"> No material default exists in the due performance and observance of any term, covenant or condition of any material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The Company is not in violation of any material agreement, license, permit, applicable law, rule, regulation, judgment or decree of any governmental agency or court, domestic or foreign, having jurisdiction over the Company or any of its properties or businesses, except for such violations which would not reasonably be expected to have a material adverse effect on the Company. The Company is not in violation of any term or provision of its amended and restated certificate of incorporation.</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Corporate Power; Licenses; Consents.</w:t>
      </w:r>
    </w:p>
    <w:p>
      <w:pPr>
        <w:spacing w:after="0" w:line="22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2.13.1 </w:t>
      </w:r>
      <w:r>
        <w:rPr>
          <w:rFonts w:ascii="Times New Roman" w:cs="Times New Roman" w:eastAsia="Times New Roman" w:hAnsi="Times New Roman"/>
          <w:sz w:val="18"/>
          <w:szCs w:val="18"/>
          <w:i w:val="1"/>
          <w:iCs w:val="1"/>
          <w:color w:val="auto"/>
        </w:rPr>
        <w:t>Conduct of Business.</w:t>
      </w:r>
      <w:r>
        <w:rPr>
          <w:rFonts w:ascii="Times New Roman" w:cs="Times New Roman" w:eastAsia="Times New Roman" w:hAnsi="Times New Roman"/>
          <w:sz w:val="18"/>
          <w:szCs w:val="18"/>
          <w:color w:val="auto"/>
        </w:rPr>
        <w:t xml:space="preserve"> The Company has all requisite corporate power and authority, and has all necessary authorizations, approvals, orders, licenses, certificates and permits of and from all governmental regulatory officials and bodies that it needs as of the date hereof to conduct its business for the purposes described in the Registration Statement, the Preliminary Prospectus and the Prospectus. To the Company’s knowledge, the disclosures in the Registration Statement and the Prospectus concerning the effects of federal, state and local regulation on the Offering and the Company’s business purpose as currently contemplated are correct in all material respects and do not omit to state a material fact required to be stated therein or necessary in order to make the statements therein (with respect to the Prospectus, in light of the circumstances under which they were made), not misleading. Since its formation, the Company has conducted no business and has incurred no liabilities other than in connection with and in furtherance of the Offering.</w:t>
      </w:r>
    </w:p>
    <w:p>
      <w:pPr>
        <w:spacing w:after="0" w:line="18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2.13.2 </w:t>
      </w:r>
      <w:r>
        <w:rPr>
          <w:rFonts w:ascii="Times New Roman" w:cs="Times New Roman" w:eastAsia="Times New Roman" w:hAnsi="Times New Roman"/>
          <w:sz w:val="18"/>
          <w:szCs w:val="18"/>
          <w:i w:val="1"/>
          <w:iCs w:val="1"/>
          <w:color w:val="auto"/>
        </w:rPr>
        <w:t>Transactions Contemplated Herein.</w:t>
      </w:r>
      <w:r>
        <w:rPr>
          <w:rFonts w:ascii="Times New Roman" w:cs="Times New Roman" w:eastAsia="Times New Roman" w:hAnsi="Times New Roman"/>
          <w:sz w:val="18"/>
          <w:szCs w:val="18"/>
          <w:color w:val="auto"/>
        </w:rPr>
        <w:t xml:space="preserve"> The Company has all corporate power and authority to enter into this Agreement and to carry out the provisions and conditions hereof, and all consents, authorizations, approvals and orders required in connection therewith have been obtained. No consent, authorization or order of, and no filing with, any court, government agency or other body is required for the valid issuance, sale and delivery of the Securities and the consummation of the transactions and agreements contemplated by this Agreement, the Warrant Agreement, the Trust Agreement, the Services Agreement, the Subscription Agreements, the Business Combination Marketing Agreement and the Registration Rights Agreement and the Escrow Agreement and as contemplated by the Prospectus, except with respect to applicable federal and state securities laws and the rules and regulations promulgated by FINRA.</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D&amp;O Questionnaires.</w:t>
      </w:r>
      <w:r>
        <w:rPr>
          <w:rFonts w:ascii="Times New Roman" w:cs="Times New Roman" w:eastAsia="Times New Roman" w:hAnsi="Times New Roman"/>
          <w:sz w:val="18"/>
          <w:szCs w:val="18"/>
          <w:color w:val="auto"/>
        </w:rPr>
        <w:t xml:space="preserve"> To the Company’s knowledge, all information contained in the questionnaires (the “</w:t>
      </w:r>
      <w:r>
        <w:rPr>
          <w:rFonts w:ascii="Times New Roman" w:cs="Times New Roman" w:eastAsia="Times New Roman" w:hAnsi="Times New Roman"/>
          <w:sz w:val="18"/>
          <w:szCs w:val="18"/>
          <w:b w:val="1"/>
          <w:bCs w:val="1"/>
          <w:color w:val="auto"/>
        </w:rPr>
        <w:t>Questionnaires</w:t>
      </w:r>
      <w:r>
        <w:rPr>
          <w:rFonts w:ascii="Times New Roman" w:cs="Times New Roman" w:eastAsia="Times New Roman" w:hAnsi="Times New Roman"/>
          <w:sz w:val="18"/>
          <w:szCs w:val="18"/>
          <w:color w:val="auto"/>
        </w:rPr>
        <w:t>”) completed by the Company’s shareholders immediately prior to the Offering (the “</w:t>
      </w:r>
      <w:r>
        <w:rPr>
          <w:rFonts w:ascii="Times New Roman" w:cs="Times New Roman" w:eastAsia="Times New Roman" w:hAnsi="Times New Roman"/>
          <w:sz w:val="18"/>
          <w:szCs w:val="18"/>
          <w:b w:val="1"/>
          <w:bCs w:val="1"/>
          <w:color w:val="auto"/>
        </w:rPr>
        <w:t>Initial Shareholders</w:t>
      </w:r>
      <w:r>
        <w:rPr>
          <w:rFonts w:ascii="Times New Roman" w:cs="Times New Roman" w:eastAsia="Times New Roman" w:hAnsi="Times New Roman"/>
          <w:sz w:val="18"/>
          <w:szCs w:val="18"/>
          <w:color w:val="auto"/>
        </w:rPr>
        <w:t>”) and each of the Company’s officers and directors and provided to the Underwriters is true and correct and the Company has not become aware of any information which would cause the information disclosed in the questionnaires completed by the Initial Shareholders and each officer or director, to become inaccurate and incorrect.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Litigation; Governmental Proceedings.</w:t>
      </w:r>
      <w:r>
        <w:rPr>
          <w:rFonts w:ascii="Times New Roman" w:cs="Times New Roman" w:eastAsia="Times New Roman" w:hAnsi="Times New Roman"/>
          <w:sz w:val="18"/>
          <w:szCs w:val="18"/>
          <w:color w:val="auto"/>
        </w:rPr>
        <w:t xml:space="preserve"> There is no action, suit, proceeding, inquiry, arbitration, investigation, litigation or governmental proceeding pending or, to the best of the Company’s knowledge, threatened against, or involving the Company or, to the best of the Company’s knowledge, the Initial Shareholders, which has not been disclosed in the Registration Statement, the Questionnaires, the Preliminary Prospectus and the Prospectus.</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2.16 </w:t>
      </w:r>
      <w:r>
        <w:rPr>
          <w:rFonts w:ascii="Times New Roman" w:cs="Times New Roman" w:eastAsia="Times New Roman" w:hAnsi="Times New Roman"/>
          <w:sz w:val="18"/>
          <w:szCs w:val="18"/>
          <w:u w:val="single" w:color="auto"/>
          <w:color w:val="auto"/>
        </w:rPr>
        <w:t>Good Standing.</w:t>
      </w:r>
      <w:r>
        <w:rPr>
          <w:rFonts w:ascii="Times New Roman" w:cs="Times New Roman" w:eastAsia="Times New Roman" w:hAnsi="Times New Roman"/>
          <w:sz w:val="18"/>
          <w:szCs w:val="18"/>
          <w:color w:val="auto"/>
        </w:rPr>
        <w:t xml:space="preserve"> The Company has been duly organized, is validly existing and is in good standing under the laws of Delaware and is duly qualified to do business and is in good standing as a foreign corporation in each jurisdiction in which its ownership or lease of property or the conduct of business requires such qualification, except where the failure to qualify would not have a material adverse effect on the Company.</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No Contemplation of a Business Combination.</w:t>
      </w:r>
      <w:r>
        <w:rPr>
          <w:rFonts w:ascii="Times New Roman" w:cs="Times New Roman" w:eastAsia="Times New Roman" w:hAnsi="Times New Roman"/>
          <w:sz w:val="18"/>
          <w:szCs w:val="18"/>
          <w:color w:val="auto"/>
        </w:rPr>
        <w:t xml:space="preserve"> Prior to the date hereof, neither the Company, its officers and directors nor the Initial Shareholders had, and as of the Closing, the Company and such officers and directors and Initial Shareholders will not have had: (i) any specific Business Combination under consideration or contemplation; or (ii) any substantive interactions or discussions with any target business regarding a possible Business Combination.</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Transactions Affecting Disclosure to FINRA.</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2.18.1 Except as described in the Preliminary Prospectus and/or the Prospectus, there are no claims, payments, arrangements, agreements or understandings relating to the payment of a finder’s, consulting or origination fee by the Company or the Initial Shareholders with respect to the sale of the Securities hereunder or any other arrangements, agreements or understandings of the Company or, to the Company’s knowledge, the Initial Shareholders that may affect the Underwriters’ compensation, as determined by FINRA.</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2.18.2 Except as described in the Preliminary Prospectus and/or the Prospectus,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to any FINRA member; or (iii) to any person or entity that has any direct or indirect affiliation or association with any FINRA member, within the twelve (12) months prior to the Effective Date, other than payments to the Representative.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2.18.3 Except as described in the Preliminary Prospectus and/or the Prospectus, no officer, director, or beneficial owner of any class of the Company’s securities (whether debt or equity, registered or unregistered, regardless of the time acquired or the source from which derived) (any such individual or entity, a “</w:t>
      </w:r>
      <w:r>
        <w:rPr>
          <w:rFonts w:ascii="Times New Roman" w:cs="Times New Roman" w:eastAsia="Times New Roman" w:hAnsi="Times New Roman"/>
          <w:sz w:val="18"/>
          <w:szCs w:val="18"/>
          <w:b w:val="1"/>
          <w:bCs w:val="1"/>
          <w:color w:val="auto"/>
        </w:rPr>
        <w:t>Company Affiliate</w:t>
      </w:r>
      <w:r>
        <w:rPr>
          <w:rFonts w:ascii="Times New Roman" w:cs="Times New Roman" w:eastAsia="Times New Roman" w:hAnsi="Times New Roman"/>
          <w:sz w:val="18"/>
          <w:szCs w:val="18"/>
          <w:color w:val="auto"/>
        </w:rPr>
        <w:t>”) is a member, a person associated, or affiliated with a member of FINRA.</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2.18.4 Except as described in the Preliminary Prospectus and/or the Prospectus, no Company Affiliate is an owner of stock or other securities of any member of FINRA (other than securities purchased on the open market).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2.18.5 No Company Affiliate has made a subordinated loan to any member of FINRA.</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2.18.6 No proceeds from the sale of the Public Securities (excluding underwriting compensation) or the Placement Securities or Additional Placement Securities will be paid to any FINRA member, or any persons associated or affiliated with a member of FINRA, except as specifically authorized herein and in the Subscription Agreements.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2.18.7 The Company has not issued any warrants or other securities, or granted any options, directly or indirectly to anyone who is a potential underwriter in the Offering or a related person (as defined by FINRA rules) of such an underwriter within the 180-day period prior to the initial filing date of the Registration Statement.</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2.18.8 Except as described in the Preliminary Prospectus and/or the Prospectus, no person to whom securities of the Company have been privately issued within the 180-day period prior to the initial filing date of the Registration Statement has any relationship or affiliation or association with any member of FINRA.</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2.18.9 Except as described in the Preliminary Prospectus and/or the Prospectus, no FINRA member intending to participate in the Offering has a conflict of interest with the Company. For this purpose, a “conflict of interest” exists when a member of FINRA and its associated persons, parent or affiliates in the aggregate beneficially own 10% or more of the Company’s outstanding subordinated debt or common equity, or 10% or more of the Company’s preferred equity. “Members participating in the Offering” include managing agents, syndicate group members and all dealers which are members of FINRA.</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2.18.10 Except with respect to the Representative in connection with the Offering, the Company has not entered into any agreement or arrangement (including, without limitation, any consulting agreement or any other type of agreement) during the 180-day period prior to the initial filing date of the Registration Statement, which arrangement or agreement provides for the receipt of any item of value and/or the transfer of any warrants, options, or other securities from the Company to a FINRA member, any person associated with a member (as defined by FINRA rules), any potential underwriters in the Offering and any related persons.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u w:val="single" w:color="auto"/>
          <w:color w:val="auto"/>
        </w:rPr>
        <w:t>Foreign Corrupt Practices Act.</w:t>
      </w:r>
      <w:r>
        <w:rPr>
          <w:rFonts w:ascii="Times New Roman" w:cs="Times New Roman" w:eastAsia="Times New Roman" w:hAnsi="Times New Roman"/>
          <w:sz w:val="18"/>
          <w:szCs w:val="18"/>
          <w:color w:val="auto"/>
        </w:rPr>
        <w:t xml:space="preserve"> Neither the Company nor the Initial Shareholders or any other person acting on behalf of the Company has, directly or indirectly, given or agreed to give any money, gift or similar benefit (other than legal price concessions to customers in the ordinary course of business) to any customer, supplier, employee or agent of a customer or supplier, or official or employee of any governmental agency or instrumentality of any government (domestic or foreign) or any political party or candidate for office (domestic or foreign) or any political party or candidate for office (domestic or foreign) or other person who was, is, or may be in a position to help or hinder the business of the Company (or assist it in connection with any actual or proposed transaction) that: (i) might subject the Company to any damage or penalty in any civil, criminal or governmental litigation or proceeding; (ii) if not given in the past, might have had a material adverse effect on the assets, business or operations of the Company as reflected in any of the financial statements contained in the Registration Statement, the Preliminary Prospectus and/or the Prospectus; or (iii) if not continued in the future, might adversely affect the assets, business, operations or prospects of the Company. The Company’s internal accounting controls and procedures are sufficient to cause the Company to comply with the Foreign Corrupt Practices Act of 1977, as amended.</w:t>
      </w:r>
    </w:p>
    <w:p>
      <w:pPr>
        <w:spacing w:after="0" w:line="194"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xml:space="preserve"> Neither the Company nor, to the Company’s knowledge, any officer, director or Initial Shareholder has violated: (i) the Bank Secrecy Act, as amended; (ii) the Money Laundering Control Act of 1986, as amended; or (iii) the Uniting and Strengthening of America by Providing Appropriate Tools Required to Intercept and Obstruct Terrorism (USA PATRIOT ACT) Act of 2001, and/or the rules and regulations promulgated under any such law, or any successor law.</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xml:space="preserve"> Any certificate signed by any duly authorized officer of the Company and delivered to the Representative or to the Representative’s counsel shall be deemed a representation and warranty by the Company to the Underwriters and the QIU as to the matters covered thereby.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Warrant Agreement.</w:t>
      </w:r>
      <w:r>
        <w:rPr>
          <w:rFonts w:ascii="Times New Roman" w:cs="Times New Roman" w:eastAsia="Times New Roman" w:hAnsi="Times New Roman"/>
          <w:sz w:val="18"/>
          <w:szCs w:val="18"/>
          <w:color w:val="auto"/>
        </w:rPr>
        <w:t xml:space="preserve"> The Company has entered into a warrant agreement with respect to the Warrants, the Representative’s Warrants, the Placement Warrants and the Additional Placement Warrants with Continental Stock Transfer &amp; Trust Company, substantially in the form filed as an exhibit to the Registration Statement (the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xml:space="preserve"> The Company has entered into a rights agreement with respect to the Rights with Continental Stock Transfer &amp; Trust Company, substantially in the form filed as an exhibit to the Registration Statement (the “</w:t>
      </w:r>
      <w:r>
        <w:rPr>
          <w:rFonts w:ascii="Times New Roman" w:cs="Times New Roman" w:eastAsia="Times New Roman" w:hAnsi="Times New Roman"/>
          <w:sz w:val="18"/>
          <w:szCs w:val="18"/>
          <w:b w:val="1"/>
          <w:bCs w:val="1"/>
          <w:color w:val="auto"/>
        </w:rPr>
        <w:t>Rights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Agreements with Officers, Directors and Initial Shareholders.</w:t>
      </w:r>
    </w:p>
    <w:p>
      <w:pPr>
        <w:spacing w:after="0" w:line="22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2.24.1 </w:t>
      </w:r>
      <w:r>
        <w:rPr>
          <w:rFonts w:ascii="Times New Roman" w:cs="Times New Roman" w:eastAsia="Times New Roman" w:hAnsi="Times New Roman"/>
          <w:sz w:val="18"/>
          <w:szCs w:val="18"/>
          <w:i w:val="1"/>
          <w:iCs w:val="1"/>
          <w:color w:val="auto"/>
        </w:rPr>
        <w:t>Insider Letters.</w:t>
      </w:r>
      <w:r>
        <w:rPr>
          <w:rFonts w:ascii="Times New Roman" w:cs="Times New Roman" w:eastAsia="Times New Roman" w:hAnsi="Times New Roman"/>
          <w:sz w:val="18"/>
          <w:szCs w:val="18"/>
          <w:color w:val="auto"/>
        </w:rPr>
        <w:t xml:space="preserve"> The Company has caused to be duly executed legally binding and enforceable agreements (except: (i) as such enforceability may be limited by bankruptcy, insolvency, reorganization or similar laws affecting creditors’ rights generally; (ii) as enforceability of any indemnification, contribution or non-compete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 annexed as exhibits to the Registration Statement (the “</w:t>
      </w:r>
      <w:r>
        <w:rPr>
          <w:rFonts w:ascii="Times New Roman" w:cs="Times New Roman" w:eastAsia="Times New Roman" w:hAnsi="Times New Roman"/>
          <w:sz w:val="18"/>
          <w:szCs w:val="18"/>
          <w:b w:val="1"/>
          <w:bCs w:val="1"/>
          <w:color w:val="auto"/>
        </w:rPr>
        <w:t>Insider Letter</w:t>
      </w:r>
      <w:r>
        <w:rPr>
          <w:rFonts w:ascii="Times New Roman" w:cs="Times New Roman" w:eastAsia="Times New Roman" w:hAnsi="Times New Roman"/>
          <w:sz w:val="18"/>
          <w:szCs w:val="18"/>
          <w:color w:val="auto"/>
        </w:rPr>
        <w:t>”), pursuant to which each of the officers, directors and Initial Shareholders of the Company agree to certain matters.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2.24.2 </w:t>
      </w:r>
      <w:r>
        <w:rPr>
          <w:rFonts w:ascii="Times New Roman" w:cs="Times New Roman" w:eastAsia="Times New Roman" w:hAnsi="Times New Roman"/>
          <w:sz w:val="18"/>
          <w:szCs w:val="18"/>
          <w:i w:val="1"/>
          <w:iCs w:val="1"/>
          <w:color w:val="auto"/>
        </w:rPr>
        <w:t>Subscription Agreements.</w:t>
      </w:r>
      <w:r>
        <w:rPr>
          <w:rFonts w:ascii="Times New Roman" w:cs="Times New Roman" w:eastAsia="Times New Roman" w:hAnsi="Times New Roman"/>
          <w:sz w:val="18"/>
          <w:szCs w:val="18"/>
          <w:color w:val="auto"/>
        </w:rPr>
        <w:t xml:space="preserve"> Each of VAH and CII has executed and delivered an agreement, the form of which is attached as an exhibit to the Registration Statement (the “</w:t>
      </w:r>
      <w:r>
        <w:rPr>
          <w:rFonts w:ascii="Times New Roman" w:cs="Times New Roman" w:eastAsia="Times New Roman" w:hAnsi="Times New Roman"/>
          <w:sz w:val="18"/>
          <w:szCs w:val="18"/>
          <w:b w:val="1"/>
          <w:bCs w:val="1"/>
          <w:color w:val="auto"/>
        </w:rPr>
        <w:t>Subscription Agreements</w:t>
      </w:r>
      <w:r>
        <w:rPr>
          <w:rFonts w:ascii="Times New Roman" w:cs="Times New Roman" w:eastAsia="Times New Roman" w:hAnsi="Times New Roman"/>
          <w:sz w:val="18"/>
          <w:szCs w:val="18"/>
          <w:color w:val="auto"/>
        </w:rPr>
        <w:t>”), pursuant to which VAH and CII, among other things, will purchase an aggregate of 6,000,000 Placement Warrants (or 6,675,000 Placement Warrants if the overallotment is exercised in full) in the Private Placement. Pursuant to the Subscription Agreements, all of the proceeds from the sale of the Placement Warrants will be deposited by the Company in the Trust Account in accordance with the terms of the Trust Agreement prior to the Closing.</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2.24.3 </w:t>
      </w: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 xml:space="preserve"> The Company and the Initial Shareholders have entered into a registration rights agreement (the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substantially in the form annexed as an exhibit to the Registration Statement, whereby the parties will be entitled to certain registration rights with respect to their securities, as set forth in such Registration Rights Agreement and described more fully in the Registration Statement.</w:t>
      </w:r>
    </w:p>
    <w:p>
      <w:pPr>
        <w:spacing w:after="0" w:line="178"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2.24.4 </w:t>
      </w:r>
      <w:r>
        <w:rPr>
          <w:rFonts w:ascii="Times New Roman" w:cs="Times New Roman" w:eastAsia="Times New Roman" w:hAnsi="Times New Roman"/>
          <w:sz w:val="18"/>
          <w:szCs w:val="18"/>
          <w:i w:val="1"/>
          <w:iCs w:val="1"/>
          <w:color w:val="auto"/>
        </w:rPr>
        <w:t>Escrow Agreement.</w:t>
      </w:r>
      <w:r>
        <w:rPr>
          <w:rFonts w:ascii="Times New Roman" w:cs="Times New Roman" w:eastAsia="Times New Roman" w:hAnsi="Times New Roman"/>
          <w:sz w:val="18"/>
          <w:szCs w:val="18"/>
          <w:color w:val="auto"/>
        </w:rPr>
        <w:t xml:space="preserve"> The Company has caused the Initial Shareholders to enter into an escrow agreement (the “</w:t>
      </w:r>
      <w:r>
        <w:rPr>
          <w:rFonts w:ascii="Times New Roman" w:cs="Times New Roman" w:eastAsia="Times New Roman" w:hAnsi="Times New Roman"/>
          <w:sz w:val="18"/>
          <w:szCs w:val="18"/>
          <w:b w:val="1"/>
          <w:bCs w:val="1"/>
          <w:color w:val="auto"/>
        </w:rPr>
        <w:t>Escrow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with Continental Stock Transfer &amp; Trust Company substantially in the form filed as an exhibit to the Registration Statement, whereby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owned by the Initial Shareholders will be held in escrow during the period in which they are subject to the transfer restrictions as set forth in the Prospectus. During such escrow period, the Initial Shareholders shall be prohibited from selling or otherwise transferring such shares (except as otherwise set forth in the Escrow Agreement) but will retain the right to vote any such shares of Common Stock. To the Company’s knowledge, the Escrow Agreement is enforceable against each of the Initial Shareholders and will not, with or without the giving of notice or the lapse of time or both, result in a breach of, or conflict with any of the terms and provisions of, or constitute a default under, any agreement or instrument to which any of the Initial Shareholders is a party.</w:t>
      </w:r>
    </w:p>
    <w:p>
      <w:pPr>
        <w:spacing w:after="0" w:line="189"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Investment Management Trust Agreement.</w:t>
      </w:r>
      <w:r>
        <w:rPr>
          <w:rFonts w:ascii="Times New Roman" w:cs="Times New Roman" w:eastAsia="Times New Roman" w:hAnsi="Times New Roman"/>
          <w:sz w:val="18"/>
          <w:szCs w:val="18"/>
          <w:color w:val="auto"/>
        </w:rPr>
        <w:t xml:space="preserve"> The Company has entered into the Trust Agreement with respect to certain proceeds of the Offering and the Private Placement substantially in the form filed as an exhibit to the Registration Statement.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2.26 </w:t>
      </w:r>
      <w:r>
        <w:rPr>
          <w:rFonts w:ascii="Times New Roman" w:cs="Times New Roman" w:eastAsia="Times New Roman" w:hAnsi="Times New Roman"/>
          <w:sz w:val="18"/>
          <w:szCs w:val="18"/>
          <w:u w:val="single" w:color="auto"/>
          <w:color w:val="auto"/>
        </w:rPr>
        <w:t>Covenants Not to Compete.</w:t>
      </w:r>
      <w:r>
        <w:rPr>
          <w:rFonts w:ascii="Times New Roman" w:cs="Times New Roman" w:eastAsia="Times New Roman" w:hAnsi="Times New Roman"/>
          <w:sz w:val="18"/>
          <w:szCs w:val="18"/>
          <w:color w:val="auto"/>
        </w:rPr>
        <w:t xml:space="preserve"> To the Company’s knowledge, the officers and directors of the Company are not subject to any non-competition agreement or non-solicitation agreement with any employer or prior employer which could materially affect its ability to be an employee, officer or director of the Company.</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2.27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No more than 45% of the “value” (as defined in Section 2(a)(41) of the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of the Company’s total assets consist of, and no more than 45% of the Company’s net income after taxes is derived from, securities other than “Government Securities” (as defined in Section 2(a)(16) of the Investment Company Act).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2.28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The Company does not own an interest in any corporation, partnership, limited liability company, joint venture, trust or other business entity.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1" w:name="page22"/>
    <w:bookmarkEnd w:id="21"/>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2.29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xml:space="preserve"> No relationship, direct or indirect, exists between or among any of the Company or any Company Affiliate, on the one hand, and any director, officer, shareholder, customer or supplier of the Company or any Company Affiliate, on the other hand, which is required by the Act, the Exchange Act or the Regulations to be described in the Registration Statement, the Preliminary Prospectus and/or the Prospectus which is not so described and described as required. There are no outstanding loans, advances (except normal advances for business expenses in the ordinary course of business) or guarantees of indebtedness by the Company to or for the benefit of any of the officers or directors of the Company or any of their respective family members, except as disclosed in the Registration Statement, the Preliminary Prospectus and/or the Prospectus. The Company has not extended or maintained credit, arranged for the extension of credit, or renewed an extension of credit, in the form of a personal loan to or for any director or officer of the Company.</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2.30 </w:t>
      </w:r>
      <w:r>
        <w:rPr>
          <w:rFonts w:ascii="Times New Roman" w:cs="Times New Roman" w:eastAsia="Times New Roman" w:hAnsi="Times New Roman"/>
          <w:sz w:val="18"/>
          <w:szCs w:val="18"/>
          <w:u w:val="single" w:color="auto"/>
          <w:color w:val="auto"/>
        </w:rPr>
        <w:t>No Influence.</w:t>
      </w:r>
      <w:r>
        <w:rPr>
          <w:rFonts w:ascii="Times New Roman" w:cs="Times New Roman" w:eastAsia="Times New Roman" w:hAnsi="Times New Roman"/>
          <w:sz w:val="18"/>
          <w:szCs w:val="18"/>
          <w:color w:val="auto"/>
        </w:rPr>
        <w:t xml:space="preserve"> The Company has not offered, or caused the Underwriters to offer, the Firm Units to any person or entity with the intention of unlawfully influencing: (i) a customer or supplier of the Company or any Company Affiliate to alter the customer’s or supplier’s level or type of business with the Company or such affiliate; or (ii) a journalist or publication to write or publish favorable information about the Company or any such affiliate.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Trading of the Public Securities on the Nasdaq Capital Market.</w:t>
      </w:r>
      <w:r>
        <w:rPr>
          <w:rFonts w:ascii="Times New Roman" w:cs="Times New Roman" w:eastAsia="Times New Roman" w:hAnsi="Times New Roman"/>
          <w:sz w:val="18"/>
          <w:szCs w:val="18"/>
          <w:color w:val="auto"/>
        </w:rPr>
        <w:t xml:space="preserve"> As of the Effective Date and the Closing Date, the Public Securities will have been authorized for listing on the Nasdaq Capital Market and no proceedings have been instituted or threatened which would effect, and no event or circumstance has occurred as of the Effective Date which is reasonably likely to effect, the listing of the Public Securities on the Nasdaq Capital Market.</w:t>
      </w:r>
    </w:p>
    <w:p>
      <w:pPr>
        <w:spacing w:after="0" w:line="172" w:lineRule="exact"/>
        <w:rPr>
          <w:sz w:val="20"/>
          <w:szCs w:val="20"/>
          <w:color w:val="auto"/>
        </w:rPr>
      </w:pPr>
    </w:p>
    <w:p>
      <w:pPr>
        <w:jc w:val="both"/>
        <w:ind w:firstLine="1296"/>
        <w:spacing w:after="0" w:line="268"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Definition of “Knowledge”.</w:t>
      </w:r>
      <w:r>
        <w:rPr>
          <w:rFonts w:ascii="Times New Roman" w:cs="Times New Roman" w:eastAsia="Times New Roman" w:hAnsi="Times New Roman"/>
          <w:sz w:val="18"/>
          <w:szCs w:val="18"/>
          <w:color w:val="auto"/>
        </w:rPr>
        <w:t xml:space="preserve"> As used in this Agreement, the term “</w:t>
      </w:r>
      <w:r>
        <w:rPr>
          <w:rFonts w:ascii="Times New Roman" w:cs="Times New Roman" w:eastAsia="Times New Roman" w:hAnsi="Times New Roman"/>
          <w:sz w:val="18"/>
          <w:szCs w:val="18"/>
          <w:b w:val="1"/>
          <w:bCs w:val="1"/>
          <w:color w:val="auto"/>
        </w:rPr>
        <w:t>knowledge of the Company</w:t>
      </w:r>
      <w:r>
        <w:rPr>
          <w:rFonts w:ascii="Times New Roman" w:cs="Times New Roman" w:eastAsia="Times New Roman" w:hAnsi="Times New Roman"/>
          <w:sz w:val="18"/>
          <w:szCs w:val="18"/>
          <w:color w:val="auto"/>
        </w:rPr>
        <w:t>” (or similar language) shall mean the knowledge of the officers and directors of the Company who are named in the Prospectus, with the assumption that such officers and directors shall have made reasonable and diligent inquiry of the matters presented.</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The Business Combination Marketing Agreement</w:t>
      </w:r>
      <w:r>
        <w:rPr>
          <w:rFonts w:ascii="Times New Roman" w:cs="Times New Roman" w:eastAsia="Times New Roman" w:hAnsi="Times New Roman"/>
          <w:sz w:val="18"/>
          <w:szCs w:val="18"/>
          <w:color w:val="auto"/>
        </w:rPr>
        <w:t>. The Company has entered into a business combination marketing agreement with Chardan Capital Markets, LLC substantially in the form filed as an exhibit to the Registration Statement (the “</w:t>
      </w:r>
      <w:r>
        <w:rPr>
          <w:rFonts w:ascii="Times New Roman" w:cs="Times New Roman" w:eastAsia="Times New Roman" w:hAnsi="Times New Roman"/>
          <w:sz w:val="18"/>
          <w:szCs w:val="18"/>
          <w:b w:val="1"/>
          <w:bCs w:val="1"/>
          <w:color w:val="auto"/>
        </w:rPr>
        <w:t>Business Combination Marketing 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b w:val="1"/>
          <w:bCs w:val="1"/>
          <w:color w:val="auto"/>
        </w:rPr>
        <w:t>Covenants of the Company.</w:t>
      </w:r>
      <w:r>
        <w:rPr>
          <w:rFonts w:ascii="Times New Roman" w:cs="Times New Roman" w:eastAsia="Times New Roman" w:hAnsi="Times New Roman"/>
          <w:sz w:val="18"/>
          <w:szCs w:val="18"/>
          <w:color w:val="auto"/>
        </w:rPr>
        <w:t xml:space="preserve"> The Company covenants and agrees as follows:</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Amendments to Registration Statement.</w:t>
      </w:r>
      <w:r>
        <w:rPr>
          <w:rFonts w:ascii="Times New Roman" w:cs="Times New Roman" w:eastAsia="Times New Roman" w:hAnsi="Times New Roman"/>
          <w:sz w:val="18"/>
          <w:szCs w:val="18"/>
          <w:color w:val="auto"/>
        </w:rPr>
        <w:t xml:space="preserve"> The Company will deliver to the Representative, prior to filing, any amendment or supplement to the Registration Statement or Prospectus proposed to be filed after the Effective Date and will not file any such amendment or supplement to which the Representative shall reasonably object in writing.</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ind w:left="130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Federal Securities Laws.</w:t>
      </w:r>
    </w:p>
    <w:p>
      <w:pPr>
        <w:spacing w:after="0" w:line="22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i w:val="1"/>
          <w:iCs w:val="1"/>
          <w:color w:val="auto"/>
        </w:rPr>
        <w:t>Compliance.</w:t>
      </w:r>
      <w:r>
        <w:rPr>
          <w:rFonts w:ascii="Times New Roman" w:cs="Times New Roman" w:eastAsia="Times New Roman" w:hAnsi="Times New Roman"/>
          <w:sz w:val="18"/>
          <w:szCs w:val="18"/>
          <w:color w:val="auto"/>
        </w:rPr>
        <w:t xml:space="preserve"> During the time when a Prospectus is required to be delivered under the Act, the Company will use all reasonable efforts to comply with all requirements imposed upon it by the Act, the Regulations and the Exchange Act and by the regulations under the Exchange Act, as from time to time in force, so far as necessary to permit the continuance of sales of or dealings in the Public Securities in accordance with the provisions hereof and the Prospectus. If at any time when a Prospectus relating to the Public Securities is required to be delivered under the Act, any event shall have occurred as a result of which, in the opinion of counsel for the Company or counsel for the Underwriters, the Prospectus, as then amended or supplemented, includes an untrue statement of a material fact or omits to state any material fact required to be stated therein or necessary to make the statements therein, in light of the circumstances under which they were made, not misleading, or if it is necessary during such period to amend the Registration Statement or amend or supplement the Prospectus to comply with the Act, the Company will notify the Representative promptly and prepare and file with the Commission, subject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hereof, an appropriate amendment to the Registration Statement or amendment or supplement to the Prospectus (at the expense of the Company) so as to correct such statement or omission or effect such compliance.</w:t>
      </w:r>
    </w:p>
    <w:p>
      <w:pPr>
        <w:spacing w:after="0" w:line="185"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i w:val="1"/>
          <w:iCs w:val="1"/>
          <w:color w:val="auto"/>
        </w:rPr>
        <w:t>Filing of Final Prospectus.</w:t>
      </w:r>
      <w:r>
        <w:rPr>
          <w:rFonts w:ascii="Times New Roman" w:cs="Times New Roman" w:eastAsia="Times New Roman" w:hAnsi="Times New Roman"/>
          <w:sz w:val="18"/>
          <w:szCs w:val="18"/>
          <w:color w:val="auto"/>
        </w:rPr>
        <w:t xml:space="preserve"> The Company will file the Prospectus (in form and substance satisfactory to the Representative) with the Commission pursuant to the requirements of Rule 424 of the Regulations.</w:t>
      </w:r>
    </w:p>
    <w:p>
      <w:pPr>
        <w:spacing w:after="0" w:line="15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i w:val="1"/>
          <w:iCs w:val="1"/>
          <w:color w:val="auto"/>
        </w:rPr>
        <w:t>Exchange Act Registration.</w:t>
      </w:r>
      <w:r>
        <w:rPr>
          <w:rFonts w:ascii="Times New Roman" w:cs="Times New Roman" w:eastAsia="Times New Roman" w:hAnsi="Times New Roman"/>
          <w:sz w:val="18"/>
          <w:szCs w:val="18"/>
          <w:color w:val="auto"/>
        </w:rPr>
        <w:t xml:space="preserve"> For a period of five (5) years from the Effective Date, or until such earlier time upon which the Company is required to be liquidated, the Company will use its best efforts to maintain the registration of the Units, Common Stock and Warrants (until the Business Combination) under the provisions of the Exchange Act. The Company will not deregister the Units, Common Stock, Rights or Warrants prior to the Business Combination without the prior written consent of the Representative.</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i w:val="1"/>
          <w:iCs w:val="1"/>
          <w:color w:val="auto"/>
        </w:rPr>
        <w:t>Sarbanes-Oxley Compliance.</w:t>
      </w:r>
      <w:r>
        <w:rPr>
          <w:rFonts w:ascii="Times New Roman" w:cs="Times New Roman" w:eastAsia="Times New Roman" w:hAnsi="Times New Roman"/>
          <w:sz w:val="18"/>
          <w:szCs w:val="18"/>
          <w:color w:val="auto"/>
        </w:rPr>
        <w:t xml:space="preserve"> As soon as it is legally required to do so, the Company shall take all actions necessary to obtain and thereafter maintain material compliance with each applicable provision of the Sarbanes-Oxley Act of 2002, as amended, and the rules and regulations promulgated thereunder and related or similar rules and regulations promulgated by any other governmental or self-regulatory entity or agency with jurisdiction over the Company.</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i w:val="1"/>
          <w:iCs w:val="1"/>
          <w:color w:val="auto"/>
        </w:rPr>
        <w:t>Blue Sky Filing.</w:t>
      </w:r>
      <w:r>
        <w:rPr>
          <w:rFonts w:ascii="Times New Roman" w:cs="Times New Roman" w:eastAsia="Times New Roman" w:hAnsi="Times New Roman"/>
          <w:sz w:val="18"/>
          <w:szCs w:val="18"/>
          <w:color w:val="auto"/>
        </w:rPr>
        <w:t xml:space="preserve"> Unless the Public Securities are listed on the Nasdaq Capital Market or another national securities exchange, the Company, at its expense, will endeavor in good faith, in cooperation with the Representative, at or prior to the time the Registration Statement becomes effective, to qualify the Public Securities for offering and sale under the securities laws of such jurisdictions as the Representative may reasonably designate,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qualification shall be required in any jurisdiction where, as a result thereof, the Company would be subject to service of general process or to taxation as a foreign corporation doing business in such jurisdiction. In each jurisdiction where such qualification shall be effected, the Company will, unless the Representative agrees that such action is not at the time necessary or advisable, use all reasonable efforts to file and make such statements or reports at such times as are or may be required by the laws of such jurisdiction.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i w:val="1"/>
          <w:iCs w:val="1"/>
          <w:color w:val="auto"/>
        </w:rPr>
        <w:t>Delivery to Underwriters of Prospectuses.</w:t>
      </w:r>
      <w:r>
        <w:rPr>
          <w:rFonts w:ascii="Times New Roman" w:cs="Times New Roman" w:eastAsia="Times New Roman" w:hAnsi="Times New Roman"/>
          <w:sz w:val="18"/>
          <w:szCs w:val="18"/>
          <w:color w:val="auto"/>
        </w:rPr>
        <w:t xml:space="preserve"> The Company will deliver to each of the several Underwriters, without charge, from time to time during the period when the Prospectus is required to be delivered under the Act or the Exchange Act such number of copies of each Preliminary Prospectus and Prospectus and all amendments and supplements to such documents as such Underwriters may reasonably request and, as soon as the Registration Statement or any amendment or supplement thereto becomes effective, deliver to the Representative two original executed Registration Statements, including exhibits, and all post-effective amendments thereto and copies of all exhibits filed therewith or incorporated therein by reference and all original executed consents of certified experts.</w:t>
      </w:r>
    </w:p>
    <w:p>
      <w:pPr>
        <w:spacing w:after="0" w:line="18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Effectiveness and Events Requiring Notice to the Representative.</w:t>
      </w:r>
      <w:r>
        <w:rPr>
          <w:rFonts w:ascii="Times New Roman" w:cs="Times New Roman" w:eastAsia="Times New Roman" w:hAnsi="Times New Roman"/>
          <w:sz w:val="18"/>
          <w:szCs w:val="18"/>
          <w:color w:val="auto"/>
        </w:rPr>
        <w:t xml:space="preserve"> The Company will use all reasonable efforts to cause the Registration Statement to remain effective and will notify the Representative immediately and confirm the notice in writing: (i) of the effectiveness of the Registration Statement and any amendment thereto; (ii) of the issuance by the Commission of any stop order suspending the effectiveness of the Registration Statement, or any post-effective amendment thereto or preventing or suspending the use of any Preliminary Prospectus or the Prospectus or of the initiation, or the threatening, of any proceeding for that purpose; (iii) of the issuance by any state securities commission of any proceedings for the suspension of the qualification of the Public Securities for offering or sale in any jurisdiction or of the initiation, or the threatening, of any proceeding for that purpose; (iv) of the mailing and delivery to the Commission for filing of any amendment or supplement to the Registration Statement or Prospectus;</w:t>
      </w:r>
    </w:p>
    <w:p>
      <w:pPr>
        <w:spacing w:after="0" w:line="3" w:lineRule="exact"/>
        <w:rPr>
          <w:sz w:val="20"/>
          <w:szCs w:val="20"/>
          <w:color w:val="auto"/>
        </w:rPr>
      </w:pPr>
    </w:p>
    <w:p>
      <w:pPr>
        <w:jc w:val="both"/>
        <w:ind w:firstLine="8"/>
        <w:spacing w:after="0" w:line="252"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receipt of any comments or request for any additional information from the Commission; and (vi) of the happening of any event during the period described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hereof that, in the judgment of the Company, makes any statement of a material fact made in the Registration Statement, the Preliminary Prospectus and/or the Prospectus untrue or that requires the making of any changes in the Registration Statement, the Preliminary Prospectus and/or the Prospectus in order to make the statements therein, (with respect to the Prospectus, in light of the circumstances under which they were made), not misleading. If the Commission or any state securities commission shall enter a stop order or suspend such qualification at any time, the Company will make every reasonable effort to obtain promptly the lifting of such order.</w:t>
      </w:r>
    </w:p>
    <w:p>
      <w:pPr>
        <w:spacing w:after="0" w:line="19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Review of Financial Statements.</w:t>
      </w:r>
      <w:r>
        <w:rPr>
          <w:rFonts w:ascii="Times New Roman" w:cs="Times New Roman" w:eastAsia="Times New Roman" w:hAnsi="Times New Roman"/>
          <w:sz w:val="18"/>
          <w:szCs w:val="18"/>
          <w:color w:val="auto"/>
        </w:rPr>
        <w:t xml:space="preserve"> Until the earlier of five (5) years from the Effective Date, or until such earlier date upon which the Company is required to be liquidated, the Company, at its expense, shall cause its regularly engaged independent certified public accountants to review (but not audit) the Company’s financial statements for each of the first three fiscal quarters prior to the announcement or filing of quarterly financial information, if any.</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Affiliated Transactions.</w:t>
      </w:r>
    </w:p>
    <w:p>
      <w:pPr>
        <w:spacing w:after="0" w:line="22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3.5.1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The Company will not consummate a Business Combination with any entity which is affiliated with the Initial Shareholders or an officer or director of the Company unless the Company obtains an opinion from an independent investment banking firm regulated by FINRA or independent firm that commonly renders valuation opinions stating the Business Combination is fair to the Company’s shareholders from a financial perspective.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4" w:name="page25"/>
    <w:bookmarkEnd w:id="24"/>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3.5.2. </w:t>
      </w:r>
      <w:r>
        <w:rPr>
          <w:rFonts w:ascii="Times New Roman" w:cs="Times New Roman" w:eastAsia="Times New Roman" w:hAnsi="Times New Roman"/>
          <w:sz w:val="18"/>
          <w:szCs w:val="18"/>
          <w:i w:val="1"/>
          <w:iCs w:val="1"/>
          <w:color w:val="auto"/>
        </w:rPr>
        <w:t>Administrative Services.</w:t>
      </w:r>
      <w:r>
        <w:rPr>
          <w:rFonts w:ascii="Times New Roman" w:cs="Times New Roman" w:eastAsia="Times New Roman" w:hAnsi="Times New Roman"/>
          <w:sz w:val="18"/>
          <w:szCs w:val="18"/>
          <w:color w:val="auto"/>
        </w:rPr>
        <w:t xml:space="preserve"> The Company has entered into an administrative services agreement (the “Services Agreement”) with Chardan Capital Markets, LLC in the form filed as an exhibit to the Registration Statement pursuant to which the Company has made and will continue to make available to the Company general and administrative services including office space and utilities for the Company’s use for $10,000 per month until the consummation of a Business Combination.</w:t>
      </w:r>
    </w:p>
    <w:p>
      <w:pPr>
        <w:spacing w:after="0" w:line="1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3.5.2</w:t>
      </w:r>
    </w:p>
    <w:p>
      <w:pPr>
        <w:spacing w:after="0" w:line="22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3.5.3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Except as set forth in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the Company shall not pay any officer, director or Initial Shareholder, or any of their affiliates, any fees or compensation from the Company, for services rendered to the Company prior to, or in connection with, the Offering or the consummation of a Business Combination.</w:t>
      </w:r>
    </w:p>
    <w:p>
      <w:pPr>
        <w:spacing w:after="0" w:line="17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Secondary Market Trading.</w:t>
      </w:r>
      <w:r>
        <w:rPr>
          <w:rFonts w:ascii="Times New Roman" w:cs="Times New Roman" w:eastAsia="Times New Roman" w:hAnsi="Times New Roman"/>
          <w:sz w:val="18"/>
          <w:szCs w:val="18"/>
          <w:color w:val="auto"/>
        </w:rPr>
        <w:t xml:space="preserve"> In the event the Public Securities are not listed on the Nasdaq Capital Market or another national securities exchange, the Company will (i) apply to be included in Mergent, Inc. Manual for a period of five (5) years from the consummation of a Business Combination, (ii) take such commercially reasonable steps as may be necessary to obtain a secondary market trading exemption for the Company’s securities in such jurisdictions and (iii) take such other action as may be reasonably requested by the Representative to obtain a secondary market trading exemption in such other states as may be requested by the Representative;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qualification shall be required in any jurisdiction where, as a result thereof, the Company would be subject to service of general process or to taxation as a foreign entity doing business in such jurisdiction.</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Financial Public Relations Firm.</w:t>
      </w:r>
      <w:r>
        <w:rPr>
          <w:rFonts w:ascii="Times New Roman" w:cs="Times New Roman" w:eastAsia="Times New Roman" w:hAnsi="Times New Roman"/>
          <w:sz w:val="18"/>
          <w:szCs w:val="18"/>
          <w:color w:val="auto"/>
        </w:rPr>
        <w:t xml:space="preserve"> Promptly after the execution of a definitive agreement for a Business Combination, the Company shall retain a financial public relations firm reasonably acceptable to the Representative for a term to be agreed upon by the Company and the Representative.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Reports to the Representative.</w:t>
      </w:r>
    </w:p>
    <w:p>
      <w:pPr>
        <w:spacing w:after="0" w:line="22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3.8.1 </w:t>
      </w:r>
      <w:r>
        <w:rPr>
          <w:rFonts w:ascii="Times New Roman" w:cs="Times New Roman" w:eastAsia="Times New Roman" w:hAnsi="Times New Roman"/>
          <w:sz w:val="18"/>
          <w:szCs w:val="18"/>
          <w:i w:val="1"/>
          <w:iCs w:val="1"/>
          <w:color w:val="auto"/>
        </w:rPr>
        <w:t>Periodic Reports, Etc.</w:t>
      </w:r>
      <w:r>
        <w:rPr>
          <w:rFonts w:ascii="Times New Roman" w:cs="Times New Roman" w:eastAsia="Times New Roman" w:hAnsi="Times New Roman"/>
          <w:sz w:val="18"/>
          <w:szCs w:val="18"/>
          <w:color w:val="auto"/>
        </w:rPr>
        <w:t xml:space="preserve"> For a period of five (5) years from the Effective Date or until such earlier time upon which the Company is dissolved, the Company will furnish to the Representative and its counsel copies of such financial statements and other periodic and special reports as the Company from time to time furnishes generally to holders of any class of its securities, and promptly furnish to the Representative: (i) a copy of each periodic report the Company shall be required to file with the Commission; (ii) a copy of every press release and every news item and article with respect to the Company or its affairs which was released by the Company; (iii) a copy of each Form 8-K or Schedules 13D, 13G, 14D-1 or 13E-4 received or prepared by the Company; (iv) five (5) copies of each Registration Statement; and (v) such additional documents and information with respect to the Company and the affairs of any future subsidiaries of the Company as the Representative may from time to time reasonably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Representative shall sign, if requested by the Company, a Regulation FD compliant confidentiality agreement which is reasonably acceptable to the Representative and its counsel in connection with the Representative’s receipt of such information. Documents filed with the Commission pursuant to its Electronic Data Gathering, Analysis and Retrieval System (“</w:t>
      </w:r>
      <w:r>
        <w:rPr>
          <w:rFonts w:ascii="Times New Roman" w:cs="Times New Roman" w:eastAsia="Times New Roman" w:hAnsi="Times New Roman"/>
          <w:sz w:val="18"/>
          <w:szCs w:val="18"/>
          <w:b w:val="1"/>
          <w:bCs w:val="1"/>
          <w:color w:val="auto"/>
        </w:rPr>
        <w:t>EDGAR</w:t>
      </w:r>
      <w:r>
        <w:rPr>
          <w:rFonts w:ascii="Times New Roman" w:cs="Times New Roman" w:eastAsia="Times New Roman" w:hAnsi="Times New Roman"/>
          <w:sz w:val="18"/>
          <w:szCs w:val="18"/>
          <w:color w:val="auto"/>
        </w:rPr>
        <w:t>”) shall be deemed to have been delivered to the Representative pursuant to this section.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5" w:name="page26"/>
    <w:bookmarkEnd w:id="25"/>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3.8.2 </w:t>
      </w:r>
      <w:r>
        <w:rPr>
          <w:rFonts w:ascii="Times New Roman" w:cs="Times New Roman" w:eastAsia="Times New Roman" w:hAnsi="Times New Roman"/>
          <w:sz w:val="18"/>
          <w:szCs w:val="18"/>
          <w:i w:val="1"/>
          <w:iCs w:val="1"/>
          <w:color w:val="auto"/>
        </w:rPr>
        <w:t>Transfer Sheets.</w:t>
      </w:r>
      <w:r>
        <w:rPr>
          <w:rFonts w:ascii="Times New Roman" w:cs="Times New Roman" w:eastAsia="Times New Roman" w:hAnsi="Times New Roman"/>
          <w:sz w:val="18"/>
          <w:szCs w:val="18"/>
          <w:color w:val="auto"/>
        </w:rPr>
        <w:t xml:space="preserve"> For a period of five (5) years following the Effective Date or until such earlier time upon which the Company is dissolved, the Company shall retain a transfer, rights and warrant agent acceptable to the Representative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In the event the Public Securities are not listed on the Nasdaq Capital Market or another national securities exchange, the Company will furnish to the Underwriters at the Company’s sole cost and expense such transfer sheets of the Company’s securities as the Representative may request, including the daily and monthly consolidated transfer sheets of the Transfer Agent and DTC. Continental Stock Transfer &amp; Trust Company is an acceptable Transfer Agent to the Representative.</w:t>
      </w:r>
    </w:p>
    <w:p>
      <w:pPr>
        <w:spacing w:after="0" w:line="182"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3.8.3 </w:t>
      </w:r>
      <w:r>
        <w:rPr>
          <w:rFonts w:ascii="Times New Roman" w:cs="Times New Roman" w:eastAsia="Times New Roman" w:hAnsi="Times New Roman"/>
          <w:sz w:val="18"/>
          <w:szCs w:val="18"/>
          <w:i w:val="1"/>
          <w:iCs w:val="1"/>
          <w:color w:val="auto"/>
        </w:rPr>
        <w:t>Trading Reports.</w:t>
      </w:r>
      <w:r>
        <w:rPr>
          <w:rFonts w:ascii="Times New Roman" w:cs="Times New Roman" w:eastAsia="Times New Roman" w:hAnsi="Times New Roman"/>
          <w:sz w:val="18"/>
          <w:szCs w:val="18"/>
          <w:color w:val="auto"/>
        </w:rPr>
        <w:t xml:space="preserve"> If the Public Securities are quoted on the OTC Bulletin Board (or any successor trading market) or a market operated by the OTC Market Group Inc. (or similar publisher of quotations), then during such time the Company shall provide to the Representative, at its expense, such reports published by the OTC Bulletin Board or the OTC Market Group Inc. relating to price trading of the Public Securities, as the Representative shall reasonably request. In addition to the requirements of the preceding sentence, if the Public Securities are not listed on the Nasdaq Capital Market or such other national securities exchange for a period of two (2) years from the Closing Date, the Company, at its expense, shall provide Chardan a subscription to the Company’s weekly Depository Transfer Company Security Position Reports.</w:t>
      </w:r>
    </w:p>
    <w:p>
      <w:pPr>
        <w:spacing w:after="0" w:line="18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Disqualification of Form S-1.</w:t>
      </w:r>
      <w:r>
        <w:rPr>
          <w:rFonts w:ascii="Times New Roman" w:cs="Times New Roman" w:eastAsia="Times New Roman" w:hAnsi="Times New Roman"/>
          <w:sz w:val="18"/>
          <w:szCs w:val="18"/>
          <w:color w:val="auto"/>
        </w:rPr>
        <w:t xml:space="preserve"> For a period equal to seven (7) years from the date hereof, the Company will not take any action or actions which may prevent or disqualify the Company’s use of Form S-1 (or other appropriate form) for the registration of the Warrants or Rights under the Act.</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6" w:name="page27"/>
    <w:bookmarkEnd w:id="26"/>
    <w:p>
      <w:pPr>
        <w:ind w:left="1300"/>
        <w:spacing w:after="0"/>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Payment of Expenses.</w:t>
      </w:r>
    </w:p>
    <w:p>
      <w:pPr>
        <w:spacing w:after="0" w:line="223"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3.10.1 </w:t>
      </w:r>
      <w:r>
        <w:rPr>
          <w:rFonts w:ascii="Times New Roman" w:cs="Times New Roman" w:eastAsia="Times New Roman" w:hAnsi="Times New Roman"/>
          <w:sz w:val="18"/>
          <w:szCs w:val="18"/>
          <w:i w:val="1"/>
          <w:iCs w:val="1"/>
          <w:color w:val="auto"/>
        </w:rPr>
        <w:t>General Expenses Related to the Offering.</w:t>
      </w:r>
      <w:r>
        <w:rPr>
          <w:rFonts w:ascii="Times New Roman" w:cs="Times New Roman" w:eastAsia="Times New Roman" w:hAnsi="Times New Roman"/>
          <w:sz w:val="18"/>
          <w:szCs w:val="18"/>
          <w:color w:val="auto"/>
        </w:rPr>
        <w:t xml:space="preserve"> The Company hereby agrees to pay on each of the Closing Date and the Option Closing Date, if any, to the extent not paid at the Closing Date, all expenses incident to the performance of the obligations of the Company under this Agreement, including, but not limited to: (i) the Company’s legal and accounting fees and disbursements; (ii) the costs of preparing, printing, mailing (including the payment of postage with respect to such mailing) and delivering the Registration Statement, the Preliminary Prospectus and final Prospectus contained therein and amendments thereto, post-effective amendments and supplements thereto, this Agreement and related documents, including the cost of all copies thereof and any amendments thereof or supplements thereto supplied to the Underwriters in quantities as may be required by the Underwriters; (iii) the printing, engraving, issuance and delivery of the Units and the shares of Common Stock, Rights and Warrants included in the Units, including any transfer or other taxes payable thereon; (iv) if the Public Securities are not listed on the Nasdaq Capital Market or such other national securities exchange, the qualification of the Public Securities under state or foreign securities or Blue Sky laws specified by Representative, including the costs of printing and mailing the “Preliminary Blue Sky Memorandum,” and all amendments and supplements thereto, and fees and disbursements for counsel of Representative’s choice retained for such purpose; (v) filing fees (including SEC filing fees), costs and expenses (including third party expenses and disbursements) incurred in registering the Offering; (vi) filing fees incurred in registering the Offering with FINRA; (vii) fees and expenses of counsel to the Underwriters; (viii) fees and disbursements of the registrar and transfer and rights and warrant agent; (ix) the Company’s expenses associated with “due diligence” meetings arranged by the Representative (none of which will be received or paid on behalf of an “underwriter and related person” as such term is defined in Rule 5110 of FINRA’s Rules); (x) all costs and expenses associated with “road show” marketing and “due diligence” trips for the Company’s management to meet with prospective investors, including without limitation, all travel, food and lodging expenses associated with such trips; (xi) all fees, expenses and disbursements relating to background checks of the Company’s directors, director nominees and executive officers; (xii) the preparation of leather bound volumes and lucite cube mementos in such quantities as the Underwriter may reasonably request and (xiii) all other reasonable costs and expenses incident to the performance of its obligations hereunder which are not otherwise specifically provided for in this </w:t>
      </w:r>
      <w:r>
        <w:rPr>
          <w:rFonts w:ascii="Times New Roman" w:cs="Times New Roman" w:eastAsia="Times New Roman" w:hAnsi="Times New Roman"/>
          <w:sz w:val="18"/>
          <w:szCs w:val="18"/>
          <w:u w:val="single" w:color="auto"/>
          <w:color w:val="auto"/>
        </w:rPr>
        <w:t>Section 3.10.1</w:t>
      </w:r>
      <w:r>
        <w:rPr>
          <w:rFonts w:ascii="Times New Roman" w:cs="Times New Roman" w:eastAsia="Times New Roman" w:hAnsi="Times New Roman"/>
          <w:sz w:val="18"/>
          <w:szCs w:val="18"/>
          <w:color w:val="auto"/>
        </w:rPr>
        <w:t xml:space="preserve"> that the Underwriters have notified the Company about on or prior to the Closing Date. The Representative may deduct from the net proceeds of the Offering payable to the Company on the Closing Date, or the Option Closing Date, if any, the fees and expenses set forth above to be paid by the Company to the Representative and others, as agreed to by the Company in writing;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fees and expenses deducted from the net proceeds of the Offering payable to the Company shall not exceed $200,000 in the aggregate. If the Offering is not consummated for any reason whatsoever, except as a result of the Representative’s or any Underwriter’s breach or default with respect to any of its obligations described in this Agreement, then the Company shall reimburse the Representative for its out-of-pocket accountable expenses actually incurred by the Representative, including, without limitation, its legal fees (less any amounts previously paid), up to an aggregate amount of $200,000. It is acknowledged that the Company already paid $0.00 to the Representative, which shall be credited against the aggregate amount of $200,000. To the extent that the Representative’s out-of-pocket expenses are less than this advance, the Representative shall refund the excess to the Company.</w:t>
      </w:r>
    </w:p>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3.10.2 </w:t>
      </w:r>
      <w:r>
        <w:rPr>
          <w:rFonts w:ascii="Times New Roman" w:cs="Times New Roman" w:eastAsia="Times New Roman" w:hAnsi="Times New Roman"/>
          <w:sz w:val="18"/>
          <w:szCs w:val="18"/>
          <w:i w:val="1"/>
          <w:iCs w:val="1"/>
          <w:color w:val="auto"/>
        </w:rPr>
        <w:t>Fee on Termination of Offering.</w:t>
      </w:r>
      <w:r>
        <w:rPr>
          <w:rFonts w:ascii="Times New Roman" w:cs="Times New Roman" w:eastAsia="Times New Roman" w:hAnsi="Times New Roman"/>
          <w:sz w:val="18"/>
          <w:szCs w:val="18"/>
          <w:color w:val="auto"/>
        </w:rPr>
        <w:t xml:space="preserve"> Notwithstanding anything contained herein to the contrary, upon termination of the Offering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shall: (A) reimburse the Representative for, or otherwise pay and bear, the expenses and fees to be paid and borne by the Company as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in </w:t>
      </w:r>
      <w:r>
        <w:rPr>
          <w:rFonts w:ascii="Times New Roman" w:cs="Times New Roman" w:eastAsia="Times New Roman" w:hAnsi="Times New Roman"/>
          <w:sz w:val="18"/>
          <w:szCs w:val="18"/>
          <w:u w:val="single" w:color="auto"/>
          <w:color w:val="auto"/>
        </w:rPr>
        <w:t>Section 3.10.1</w:t>
      </w:r>
      <w:r>
        <w:rPr>
          <w:rFonts w:ascii="Times New Roman" w:cs="Times New Roman" w:eastAsia="Times New Roman" w:hAnsi="Times New Roman"/>
          <w:sz w:val="18"/>
          <w:szCs w:val="18"/>
          <w:color w:val="auto"/>
        </w:rPr>
        <w:t xml:space="preserve"> above, as applicable, and (B) reimburse the Representative for the full amount of its accountable out-of-pocket expenses actually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to such date (which shall include, but shall not be limited to, all fees and disbursements of the Representative’s counsel, travel, lodging and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“road show” expenses, mailing, printing and reproduction expenses, and any expenses incurred by the Representative in conducting its due diligence,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background checks of the Company’s officers and directors), up to an aggregate amount of $150,000, less the amounts previously paid and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previously paid to the Representative in reimbursement for such expenses. If applicable, and solely in the event of a termination of this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Representative shall refund to the Company any portion of any advance payment previously received by the Representative which is in excess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accountable out-of-pocket expenses actually incurred to such date by the Representative.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Application of Net Proceeds.</w:t>
      </w:r>
      <w:r>
        <w:rPr>
          <w:rFonts w:ascii="Times New Roman" w:cs="Times New Roman" w:eastAsia="Times New Roman" w:hAnsi="Times New Roman"/>
          <w:sz w:val="18"/>
          <w:szCs w:val="18"/>
          <w:color w:val="auto"/>
        </w:rPr>
        <w:t xml:space="preserve"> The Company will apply the net proceeds from the Offering received by it in a manner consistent with the application described under the caption “Use of Proceeds” in the Prospectus.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Delivery of Earnings Statements to Security Holders.</w:t>
      </w:r>
      <w:r>
        <w:rPr>
          <w:rFonts w:ascii="Times New Roman" w:cs="Times New Roman" w:eastAsia="Times New Roman" w:hAnsi="Times New Roman"/>
          <w:sz w:val="18"/>
          <w:szCs w:val="18"/>
          <w:color w:val="auto"/>
        </w:rPr>
        <w:t xml:space="preserve"> The Company will make generally available to its security holders as soon as practicable, but not later than the first day of the fifteenth (15th) full calendar month following the Effective Date, an earnings statement (which need not be certified by independent public or independent certified public accountants unless required by the Act or the Regulations, but which shall satisfy the provisions of Rule 158(a) under Section 11(a) of the Act) covering a period of at least twelve (12) consecutive months beginning after the Effective Date.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Notice to FINRA.</w:t>
      </w:r>
    </w:p>
    <w:p>
      <w:pPr>
        <w:spacing w:after="0" w:line="22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3.13.1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xml:space="preserve"> In the event any person or entity (regardless of any FINRA affiliation or association) is engaged to assist the Company in its search for a merger candidate or to provide any other merger and acquisition services, the Company will provide the following to FINRA and the Representative prior to the consummation of the Business Combination: (i) complete details of all services and copies of agreements governing such services; and (ii) justification as to why the person or entity providing the merger and acquisition services should not be considered an “underwriter and related person” (as such term is defined in Rule 5110 of FINRA’s Rules) with respect to the Offering. The Company also agrees that proper disclosure of such arrangement or potential arrangement will be made in any proxy or tender offer statement which the Company files in connection with the Business Combination.</w:t>
      </w:r>
    </w:p>
    <w:p>
      <w:pPr>
        <w:spacing w:after="0" w:line="18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 xml:space="preserve">3.13.2 </w:t>
      </w:r>
      <w:r>
        <w:rPr>
          <w:rFonts w:ascii="Times New Roman" w:cs="Times New Roman" w:eastAsia="Times New Roman" w:hAnsi="Times New Roman"/>
          <w:sz w:val="18"/>
          <w:szCs w:val="18"/>
          <w:i w:val="1"/>
          <w:iCs w:val="1"/>
          <w:color w:val="auto"/>
        </w:rPr>
        <w:t>Broker/Dealer.</w:t>
      </w:r>
      <w:r>
        <w:rPr>
          <w:rFonts w:ascii="Times New Roman" w:cs="Times New Roman" w:eastAsia="Times New Roman" w:hAnsi="Times New Roman"/>
          <w:sz w:val="18"/>
          <w:szCs w:val="18"/>
          <w:color w:val="auto"/>
        </w:rPr>
        <w:t xml:space="preserve"> In the event the Company intends to register as a broker/dealer, merge with or acquire a registered broker/dealer, or otherwise become a member of FINRA, it shall promptly notify FINRA.</w:t>
      </w:r>
    </w:p>
    <w:p>
      <w:pPr>
        <w:spacing w:after="0" w:line="16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Stabilization.</w:t>
      </w:r>
      <w:r>
        <w:rPr>
          <w:rFonts w:ascii="Times New Roman" w:cs="Times New Roman" w:eastAsia="Times New Roman" w:hAnsi="Times New Roman"/>
          <w:sz w:val="18"/>
          <w:szCs w:val="18"/>
          <w:color w:val="auto"/>
        </w:rPr>
        <w:t xml:space="preserve"> Neither the Company, nor, to its knowledge, any of its employees, directors or shareholders (without the consent of the Representative) has taken or will take, directly or indirectly, any action designed to or that has constituted or that might reasonably be expected to cause or result in, under the Exchange Act, or otherwise, stabilization or manipulation of the price of any security of the Company to facilitate the sale or resale of the Units.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Internal Controls.</w:t>
      </w:r>
      <w:r>
        <w:rPr>
          <w:rFonts w:ascii="Times New Roman" w:cs="Times New Roman" w:eastAsia="Times New Roman" w:hAnsi="Times New Roman"/>
          <w:sz w:val="18"/>
          <w:szCs w:val="18"/>
          <w:color w:val="auto"/>
        </w:rPr>
        <w:t xml:space="preserve"> The Company will maintain a system of internal accounting controls sufficient to provide reasonable assurances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 transactions are executed in accordance with management’s general or specific authorization; (ii) transactions are recorded as necessary in order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 preparation of financial statements in accordance with generally accepted accounting principles and to maintain accountability for assets; (iii) access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assets is permitted only in accordance with management’s general or specific authorization; and (iv) the recorded accountability for assets is compared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existing assets at reasonable intervals and appropriate action is taken with respect to any differences.</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xml:space="preserve"> For a period of five (5) years from the Effective Date or until such earlier time upon which the Company is required to be liquidated, the Company shall retain Withum or other independent public accountants reasonably acceptable to the Representative.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Form 8-K.</w:t>
      </w:r>
      <w:r>
        <w:rPr>
          <w:rFonts w:ascii="Times New Roman" w:cs="Times New Roman" w:eastAsia="Times New Roman" w:hAnsi="Times New Roman"/>
          <w:sz w:val="18"/>
          <w:szCs w:val="18"/>
          <w:color w:val="auto"/>
        </w:rPr>
        <w:t xml:space="preserve"> The Company shall, on the date hereof, retain its independent public accountants to audit the financial statements of the Company as of the Closing Date (the “</w:t>
      </w:r>
      <w:r>
        <w:rPr>
          <w:rFonts w:ascii="Times New Roman" w:cs="Times New Roman" w:eastAsia="Times New Roman" w:hAnsi="Times New Roman"/>
          <w:sz w:val="18"/>
          <w:szCs w:val="18"/>
          <w:b w:val="1"/>
          <w:bCs w:val="1"/>
          <w:color w:val="auto"/>
        </w:rPr>
        <w:t>Audited Financial Statements</w:t>
      </w:r>
      <w:r>
        <w:rPr>
          <w:rFonts w:ascii="Times New Roman" w:cs="Times New Roman" w:eastAsia="Times New Roman" w:hAnsi="Times New Roman"/>
          <w:sz w:val="18"/>
          <w:szCs w:val="18"/>
          <w:color w:val="auto"/>
        </w:rPr>
        <w:t>”) reflecting the receipt by the Company of the proceeds of the Offering and the Private Placement, as well as the proceeds from the exercise of the Over-Allotment if such exercise has occurred on the date of the Prospectus. Within four</w:t>
      </w:r>
    </w:p>
    <w:p>
      <w:pPr>
        <w:spacing w:after="0" w:line="1" w:lineRule="exact"/>
        <w:rPr>
          <w:sz w:val="20"/>
          <w:szCs w:val="20"/>
          <w:color w:val="auto"/>
        </w:rPr>
      </w:pPr>
    </w:p>
    <w:p>
      <w:pPr>
        <w:ind w:firstLine="8"/>
        <w:spacing w:after="0" w:line="260" w:lineRule="auto"/>
        <w:tabs>
          <w:tab w:leader="none" w:pos="2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the Closing Date, the Company will file a Current Report on Form 8-K with the Commission, which Report shall contain the Audited Financial Statements.</w:t>
      </w:r>
    </w:p>
    <w:p>
      <w:pPr>
        <w:spacing w:after="0" w:line="181"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xml:space="preserve"> The Company shall advise FINRA if it is aware that any 5% or greater shareholder of the Company becomes an affiliate or associated person of a FINRA member participating in the distribution of the Company’s Public Securities.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Corporate Proceedings.</w:t>
      </w:r>
      <w:r>
        <w:rPr>
          <w:rFonts w:ascii="Times New Roman" w:cs="Times New Roman" w:eastAsia="Times New Roman" w:hAnsi="Times New Roman"/>
          <w:sz w:val="18"/>
          <w:szCs w:val="18"/>
          <w:color w:val="auto"/>
        </w:rPr>
        <w:t xml:space="preserve"> All corporate proceedings and other legal matters necessary to carry out the provisions of this Agreement and the transactions contemplated hereby shall have been done to the reasonable satisfaction to counsel for the Underwriters.</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xml:space="preserve"> The Company shall cause the proceeds of the Offering to be held in the Trust Account to be invested only in “government securities” with specific maturity dates or in money market funds meeting certain conditions under Rule 2a-7 promulgated under the Investment Company Act as set forth in the Trust Agreement and disclosed in the Prospectus. The Company will otherwise conduct its business in a manner so that it will not become subject to the Investment Company Act. Furthermore, once the Company consummates a Business Combination, it will be engaged in a business other than that of investing, reinvesting, owning, holding or trading securities.</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Business Combination Announcement.</w:t>
      </w:r>
      <w:r>
        <w:rPr>
          <w:rFonts w:ascii="Times New Roman" w:cs="Times New Roman" w:eastAsia="Times New Roman" w:hAnsi="Times New Roman"/>
          <w:sz w:val="18"/>
          <w:szCs w:val="18"/>
          <w:color w:val="auto"/>
        </w:rPr>
        <w:t xml:space="preserve"> Within four (4) Business Days following the consummation by the Company of a Business Combination, the Company shall cause an announcement (“</w:t>
      </w:r>
      <w:r>
        <w:rPr>
          <w:rFonts w:ascii="Times New Roman" w:cs="Times New Roman" w:eastAsia="Times New Roman" w:hAnsi="Times New Roman"/>
          <w:sz w:val="18"/>
          <w:szCs w:val="18"/>
          <w:b w:val="1"/>
          <w:bCs w:val="1"/>
          <w:color w:val="auto"/>
        </w:rPr>
        <w:t>Business Combination Announcement</w:t>
      </w:r>
      <w:r>
        <w:rPr>
          <w:rFonts w:ascii="Times New Roman" w:cs="Times New Roman" w:eastAsia="Times New Roman" w:hAnsi="Times New Roman"/>
          <w:sz w:val="18"/>
          <w:szCs w:val="18"/>
          <w:color w:val="auto"/>
        </w:rPr>
        <w:t>”) to be issued by a press release service announcing the consummation of the Business Combination and indicating that the Representative was one of the co-managing underwriters in the Offering and also indicating the name and location of any other financial advisors engaged by the Company as a merger and acquisitions advisor. The Company shall supply the Representative with a draft of the Business Combination Announcement and provide the Representative with a reasonable advance opportunity to comment thereon. The Company will not issue the Business Combination Announcement without the final approval of the Representative, which approval will not be unreasonably withheld.</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Press Releases.</w:t>
      </w:r>
      <w:r>
        <w:rPr>
          <w:rFonts w:ascii="Times New Roman" w:cs="Times New Roman" w:eastAsia="Times New Roman" w:hAnsi="Times New Roman"/>
          <w:sz w:val="18"/>
          <w:szCs w:val="18"/>
          <w:color w:val="auto"/>
        </w:rPr>
        <w:t xml:space="preserve"> The Company agrees that it will not issue press releases or engage in any other publicity, without Chardan’s prior written consent (not to be unreasonably withheld), for a period of twenty-five (25) days after the Effective Date.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3.23 </w:t>
      </w:r>
      <w:r>
        <w:rPr>
          <w:rFonts w:ascii="Times New Roman" w:cs="Times New Roman" w:eastAsia="Times New Roman" w:hAnsi="Times New Roman"/>
          <w:sz w:val="18"/>
          <w:szCs w:val="18"/>
          <w:u w:val="single" w:color="auto"/>
          <w:color w:val="auto"/>
        </w:rPr>
        <w:t>Electronic Prospectus.</w:t>
      </w:r>
      <w:r>
        <w:rPr>
          <w:rFonts w:ascii="Times New Roman" w:cs="Times New Roman" w:eastAsia="Times New Roman" w:hAnsi="Times New Roman"/>
          <w:sz w:val="18"/>
          <w:szCs w:val="18"/>
          <w:color w:val="auto"/>
        </w:rPr>
        <w:t xml:space="preserve"> The Company shall cause to be prepared and delivered to the Representative, at its expense, within one (1) Business Day from the Effective Date, an Electronic Prospectus to be used by the Underwriters in connection with the Offering. As used herein, the term “</w:t>
      </w:r>
      <w:r>
        <w:rPr>
          <w:rFonts w:ascii="Times New Roman" w:cs="Times New Roman" w:eastAsia="Times New Roman" w:hAnsi="Times New Roman"/>
          <w:sz w:val="18"/>
          <w:szCs w:val="18"/>
          <w:b w:val="1"/>
          <w:bCs w:val="1"/>
          <w:color w:val="auto"/>
        </w:rPr>
        <w:t>Electronic Prospectus</w:t>
      </w:r>
      <w:r>
        <w:rPr>
          <w:rFonts w:ascii="Times New Roman" w:cs="Times New Roman" w:eastAsia="Times New Roman" w:hAnsi="Times New Roman"/>
          <w:sz w:val="18"/>
          <w:szCs w:val="18"/>
          <w:color w:val="auto"/>
        </w:rPr>
        <w:t>” means a form of prospectus, and any amendment or supplement thereto, that meets each of the following conditions: (i) it shall be encoded in an electronic format, satisfactory to the Representative, that may be transmitted electronically by the other Underwriters to offerees and purchasers of the Units for at least the period during which a Prospectus relating to the Units is required to be delivered under the Act; (ii) it shall disclose the same information as the paper prospectus and prospectus filed pursuant to EDGAR, except to the extent that graphic and image material cannot be disseminated electronically, in which case such graphic and image material shall be replaced in the electronic prospectus with a fair and accurate narrative description or tabular representation of such material, as appropriate; and (iii) it shall be in or convertible into a paper format or an electronic format, satisfactory to the Representative, that will allow recipients thereof to store and have continuously ready access to the prospectus at any future time, without charge to such recipients (other than any fee charged for subscription to the Internet as a whole and for on-line time). The Company hereby confirms that it has included or will include in the Prospectus filed pursuant to EDGAR or otherwise with the Commission and in the Registration Statement at the time it was declared effective an undertaking that, upon receipt of a request by an investor or his or her representative within the period when a prospectus relating to the Units is required to be delivered under the Securities Act, the Company shall transmit or cause to be transmitted promptly, without charge, a paper copy of the Prospectus.</w:t>
      </w:r>
    </w:p>
    <w:p>
      <w:pPr>
        <w:spacing w:after="0" w:line="19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Reservation of Shares.</w:t>
      </w:r>
      <w:r>
        <w:rPr>
          <w:rFonts w:ascii="Times New Roman" w:cs="Times New Roman" w:eastAsia="Times New Roman" w:hAnsi="Times New Roman"/>
          <w:sz w:val="18"/>
          <w:szCs w:val="18"/>
          <w:color w:val="auto"/>
        </w:rPr>
        <w:t xml:space="preserve"> The Company will reserve and keep available that maximum number of its authorized but unissued securities which are issuable upon exercise of the Rights, the Warrants, the Placement Warrants and the Additional Placement Warrants outstanding from time to time.</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3.25 </w:t>
      </w:r>
      <w:r>
        <w:rPr>
          <w:rFonts w:ascii="Times New Roman" w:cs="Times New Roman" w:eastAsia="Times New Roman" w:hAnsi="Times New Roman"/>
          <w:sz w:val="18"/>
          <w:szCs w:val="18"/>
          <w:u w:val="single" w:color="auto"/>
          <w:color w:val="auto"/>
        </w:rPr>
        <w:t>Private Placement Proceeds.</w:t>
      </w:r>
      <w:r>
        <w:rPr>
          <w:rFonts w:ascii="Times New Roman" w:cs="Times New Roman" w:eastAsia="Times New Roman" w:hAnsi="Times New Roman"/>
          <w:sz w:val="18"/>
          <w:szCs w:val="18"/>
          <w:color w:val="auto"/>
        </w:rPr>
        <w:t xml:space="preserve"> Immediately upon establishment of the Trust Account and prior to the Closing, the Company shall deposit all of the proceeds from the Private Placement in the Trust Account and shall provide the Representative with evidence of the same.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No Amendment to Charter.</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3.26.1 Prior to the closing of a Business Combination, the Company covenants and agrees it will not seek to amend or modify its amended and restated certificate of incorporation without the prior approval of its Board of Directors and the affirmative vote of at least a majority of the voting power of the outstanding shares of Common Stock.</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3.26.2 The Company acknowledges that the purchasers of the Firm Units and Option Units in this Offering shall be deemed to be third party beneficiaries of this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3.26.3 The Representative and the Company specifically agree that this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xml:space="preserve"> shall not be modified or amended in any way without the approval of at least a majority of the voting power of the outstanding shares of Common Stock.</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u w:val="single" w:color="auto"/>
          <w:color w:val="auto"/>
        </w:rPr>
        <w:t>Financial Printer.</w:t>
      </w:r>
      <w:r>
        <w:rPr>
          <w:rFonts w:ascii="Times New Roman" w:cs="Times New Roman" w:eastAsia="Times New Roman" w:hAnsi="Times New Roman"/>
          <w:sz w:val="18"/>
          <w:szCs w:val="18"/>
          <w:color w:val="auto"/>
        </w:rPr>
        <w:t xml:space="preserve"> The Company shall retain a financial printer, reasonably acceptable to the Representative, for the purpose of facilitating the Company’s EDGAR filings and the printing of the Preliminary Prospectus and Prospectus.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3.28 </w:t>
      </w:r>
      <w:r>
        <w:rPr>
          <w:rFonts w:ascii="Times New Roman" w:cs="Times New Roman" w:eastAsia="Times New Roman" w:hAnsi="Times New Roman"/>
          <w:sz w:val="18"/>
          <w:szCs w:val="18"/>
          <w:u w:val="single" w:color="auto"/>
          <w:color w:val="auto"/>
        </w:rPr>
        <w:t>Listing on the Nasdaq Capital Market.</w:t>
      </w:r>
      <w:r>
        <w:rPr>
          <w:rFonts w:ascii="Times New Roman" w:cs="Times New Roman" w:eastAsia="Times New Roman" w:hAnsi="Times New Roman"/>
          <w:sz w:val="18"/>
          <w:szCs w:val="18"/>
          <w:color w:val="auto"/>
        </w:rPr>
        <w:t xml:space="preserve"> The Company will use commercially reasonable efforts to maintain the listing of the Public Securities on the Nasdaq Capital Market or another national securities exchange until the earlier of five (5) years from the Effective Date or until the Public Securities are no longer registered under the Exchange Act.</w:t>
      </w:r>
    </w:p>
    <w:p>
      <w:pPr>
        <w:spacing w:after="0" w:line="172" w:lineRule="exact"/>
        <w:rPr>
          <w:sz w:val="20"/>
          <w:szCs w:val="20"/>
          <w:color w:val="auto"/>
        </w:rPr>
      </w:pPr>
    </w:p>
    <w:p>
      <w:pPr>
        <w:jc w:val="both"/>
        <w:ind w:firstLine="656"/>
        <w:spacing w:after="0" w:line="262" w:lineRule="auto"/>
        <w:tabs>
          <w:tab w:leader="none" w:pos="84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Conditions of Underwriters’ Obligations. </w:t>
      </w:r>
      <w:r>
        <w:rPr>
          <w:rFonts w:ascii="Times New Roman" w:cs="Times New Roman" w:eastAsia="Times New Roman" w:hAnsi="Times New Roman"/>
          <w:sz w:val="18"/>
          <w:szCs w:val="18"/>
          <w:color w:val="auto"/>
        </w:rPr>
        <w:t>The obligations of the QIU and the several Underwriters to purchase and pay for the Units,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herein, shall be subject to the continuing accuracy of the representations and warranties of the Company as of the date hereof and as of each of the Closing Date and the Option Closing Date, if any, to the accuracy of the statements of officers of the Company made pursuant to the provisions hereof and to the performance by the Company of its obligations hereunder and to the following conditions: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Regulatory Matters.</w:t>
      </w:r>
    </w:p>
    <w:p>
      <w:pPr>
        <w:spacing w:after="0" w:line="22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i w:val="1"/>
          <w:iCs w:val="1"/>
          <w:color w:val="auto"/>
        </w:rPr>
        <w:t>Effectiveness of Registration Statement.</w:t>
      </w:r>
      <w:r>
        <w:rPr>
          <w:rFonts w:ascii="Times New Roman" w:cs="Times New Roman" w:eastAsia="Times New Roman" w:hAnsi="Times New Roman"/>
          <w:sz w:val="18"/>
          <w:szCs w:val="18"/>
          <w:color w:val="auto"/>
        </w:rPr>
        <w:t xml:space="preserve"> The Registration Statement shall have become effective not later than 5:00 P.M., New York time, on the date of this Agreement or such later date and time as shall be consented to in writing by the Representative, and, at each of the Closing Date and the Option Closing Date, no stop order suspending the effectiveness of the Registration Statement shall have been issued and no proceedings for the purpose shall have been instituted or shall be pending or contemplated by the Commission and any request on the part of the Commission for additional information shall have been complied with to the reasonable satisfaction of Greenberg Traurig, LLP.</w:t>
      </w:r>
    </w:p>
    <w:p>
      <w:pPr>
        <w:spacing w:after="0" w:line="183"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i w:val="1"/>
          <w:iCs w:val="1"/>
          <w:color w:val="auto"/>
        </w:rPr>
        <w:t>FINRA Clearance.</w:t>
      </w:r>
      <w:r>
        <w:rPr>
          <w:rFonts w:ascii="Times New Roman" w:cs="Times New Roman" w:eastAsia="Times New Roman" w:hAnsi="Times New Roman"/>
          <w:sz w:val="18"/>
          <w:szCs w:val="18"/>
          <w:color w:val="auto"/>
        </w:rPr>
        <w:t xml:space="preserve"> By the Effective Date, the Representative shall have received clearance from FINRA as to the amount of compensation allowable or payable to the Underwriters as described in the Registration Statement.</w:t>
      </w:r>
    </w:p>
    <w:p>
      <w:pPr>
        <w:spacing w:after="0" w:line="158"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i w:val="1"/>
          <w:iCs w:val="1"/>
          <w:color w:val="auto"/>
        </w:rPr>
        <w:t>No Commission Stop Order.</w:t>
      </w:r>
      <w:r>
        <w:rPr>
          <w:rFonts w:ascii="Times New Roman" w:cs="Times New Roman" w:eastAsia="Times New Roman" w:hAnsi="Times New Roman"/>
          <w:sz w:val="18"/>
          <w:szCs w:val="18"/>
          <w:color w:val="auto"/>
        </w:rPr>
        <w:t xml:space="preserve"> At each of the Closing Date and the Option Closing Date, the Commission has not issued any order or threatened to issue any order preventing or suspending the use of any Preliminary Prospectus or the Prospectus or any part thereof, and has not instituted or threatened to institute any proceedings with respect to such an order.</w:t>
      </w:r>
    </w:p>
    <w:p>
      <w:pPr>
        <w:spacing w:after="0" w:line="17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i w:val="1"/>
          <w:iCs w:val="1"/>
          <w:color w:val="auto"/>
        </w:rPr>
        <w:t>No Blue Sky Stop Orders.</w:t>
      </w:r>
      <w:r>
        <w:rPr>
          <w:rFonts w:ascii="Times New Roman" w:cs="Times New Roman" w:eastAsia="Times New Roman" w:hAnsi="Times New Roman"/>
          <w:sz w:val="18"/>
          <w:szCs w:val="18"/>
          <w:color w:val="auto"/>
        </w:rPr>
        <w:t xml:space="preserve"> No order suspending the sale of the Units in any jurisdiction designated by the Representative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hereof, if any, shall have been issued on either the Closing Date or the Option Closing Date, and no proceedings for that purpose shall have been instituted or shall be contemplated.</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i w:val="1"/>
          <w:iCs w:val="1"/>
          <w:color w:val="auto"/>
        </w:rPr>
        <w:t>The Nasdaq Capital Market.</w:t>
      </w:r>
      <w:r>
        <w:rPr>
          <w:rFonts w:ascii="Times New Roman" w:cs="Times New Roman" w:eastAsia="Times New Roman" w:hAnsi="Times New Roman"/>
          <w:sz w:val="18"/>
          <w:szCs w:val="18"/>
          <w:color w:val="auto"/>
        </w:rPr>
        <w:t xml:space="preserve"> By the Effective Date, the Securities shall have been approved for trading on the Nasdaq Capital</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ind w:left="130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Company Counsel Matters.</w:t>
      </w:r>
    </w:p>
    <w:p>
      <w:pPr>
        <w:spacing w:after="0" w:line="22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i w:val="1"/>
          <w:iCs w:val="1"/>
          <w:color w:val="auto"/>
        </w:rPr>
        <w:t>Closing Date Opinion of Counsel.</w:t>
      </w:r>
      <w:r>
        <w:rPr>
          <w:rFonts w:ascii="Times New Roman" w:cs="Times New Roman" w:eastAsia="Times New Roman" w:hAnsi="Times New Roman"/>
          <w:sz w:val="18"/>
          <w:szCs w:val="18"/>
          <w:color w:val="auto"/>
        </w:rPr>
        <w:t xml:space="preserve"> On the Closing Date, the Representative shall have received the favorable opinion of Loeb &amp; Loeb LLP (“</w:t>
      </w:r>
      <w:r>
        <w:rPr>
          <w:rFonts w:ascii="Times New Roman" w:cs="Times New Roman" w:eastAsia="Times New Roman" w:hAnsi="Times New Roman"/>
          <w:sz w:val="18"/>
          <w:szCs w:val="18"/>
          <w:b w:val="1"/>
          <w:bCs w:val="1"/>
          <w:color w:val="auto"/>
        </w:rPr>
        <w:t>Loeb</w:t>
      </w:r>
      <w:r>
        <w:rPr>
          <w:rFonts w:ascii="Times New Roman" w:cs="Times New Roman" w:eastAsia="Times New Roman" w:hAnsi="Times New Roman"/>
          <w:sz w:val="18"/>
          <w:szCs w:val="18"/>
          <w:color w:val="auto"/>
        </w:rPr>
        <w:t>”), counsel to the Company, dated the Closing Date, addressed to the Representative and the other Underwriters and in form and substance reasonably satisfactory to the Representative. The opinion of counsel shall further include a statement to the effect that such counsel has participated in conferences with officers and other representatives of the Company, representatives of the independent public accountants for the Company and representatives of the Underwriters at which the contents of the Registration Statement, final Preliminary Prospectus, the Prospectus and related matters were discussed and although such counsel is not passing upon and does not assume any responsibility for the accuracy, completeness or fairness of the statements contained in the Registration Statement, final Preliminary Prospectus and the Prospectus (except as otherwise set forth in such opinion), no facts have come to the attention of such counsel which lead them to believe that either the Registration Statement, final Preliminary Prospectus or the Prospectus or any amendment or supplement thereto, as of the date of such opinion contained any untrue statement of a material fact or omitted to state a material fact required to be stated therein or necessary to make the statements therein, in light of the circumstances under which they were made, not misleading (it being understood that such counsel need express no opinion with respect to the financial statements and related notes and schedules and other financial and statistical data included in the Registration Statement, final Preliminary Prospectus or the Prospectus or matters relating to the sale of securities in any jurisdiction outside the U.S.). The opinion of counsel shall state that such counsel is not opining as to the Placement Securities with respect to any rights to rescind or the effect any exercise of such rights will have on any other securities of the Company or on the Offering.</w:t>
      </w:r>
    </w:p>
    <w:p>
      <w:pPr>
        <w:spacing w:after="0" w:line="185"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i w:val="1"/>
          <w:iCs w:val="1"/>
          <w:color w:val="auto"/>
        </w:rPr>
        <w:t>Option Closing Date Opinion of Counsel.</w:t>
      </w:r>
      <w:r>
        <w:rPr>
          <w:rFonts w:ascii="Times New Roman" w:cs="Times New Roman" w:eastAsia="Times New Roman" w:hAnsi="Times New Roman"/>
          <w:sz w:val="18"/>
          <w:szCs w:val="18"/>
          <w:color w:val="auto"/>
        </w:rPr>
        <w:t xml:space="preserve"> On each Option Closing Date, if any, the Representative shall have received the favorable opinion of Loeb, dated each Option Closing Date, addressed to the Representative and in form and substance reasonably satisfactory to counsel to the Representative, confirming as of each Option Closing Date, the statements made by Loeb in its opinion delivered on the Closing Date.</w:t>
      </w:r>
    </w:p>
    <w:p>
      <w:pPr>
        <w:spacing w:after="0" w:line="17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i w:val="1"/>
          <w:iCs w:val="1"/>
          <w:color w:val="auto"/>
        </w:rPr>
        <w:t>Reliance.</w:t>
      </w:r>
      <w:r>
        <w:rPr>
          <w:rFonts w:ascii="Times New Roman" w:cs="Times New Roman" w:eastAsia="Times New Roman" w:hAnsi="Times New Roman"/>
          <w:sz w:val="18"/>
          <w:szCs w:val="18"/>
          <w:color w:val="auto"/>
        </w:rPr>
        <w:t xml:space="preserve"> In rendering such opinion, such counsel may rely: (i) as to matters involving the application of laws other than the laws of the United States and jurisdictions in which they are admitted, to the extent such counsel deems proper and to the extent specified in such opinion, if at all, upon an opinion or opinions (in form and substance reasonably satisfactory to the Representative) of other counsel reasonably acceptable to the Representative, familiar with the applicable laws; and (ii) as to matters of fact, to the extent they deem proper, on certificates or other written statements of officers of the Company and officers of departments of various jurisdictions having custody of documents respecting the corporate existence or good standing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copies of any such statements or certificates shall be delivered to the Underwriters’ counsel if requested. The opinion of counsel for the Company and any opinion relied upon by such counsel for the Company shall include a statement to the effect that it may be relied upon by counsel for the Underwriters in its opinion delivered to the Underwriters.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Cold Comfort Letter.</w:t>
      </w:r>
      <w:r>
        <w:rPr>
          <w:rFonts w:ascii="Times New Roman" w:cs="Times New Roman" w:eastAsia="Times New Roman" w:hAnsi="Times New Roman"/>
          <w:sz w:val="18"/>
          <w:szCs w:val="18"/>
          <w:color w:val="auto"/>
        </w:rPr>
        <w:t xml:space="preserve"> At the time this Agreement is executed, and at each of the Closing Date and the Option Closing Date, if any, the Representative shall have received a letter, addressed to the Representative and in form and substance satisfactory in all respects (including the nature of the changes or decreases, if any, referred to in </w:t>
      </w:r>
      <w:r>
        <w:rPr>
          <w:rFonts w:ascii="Times New Roman" w:cs="Times New Roman" w:eastAsia="Times New Roman" w:hAnsi="Times New Roman"/>
          <w:sz w:val="18"/>
          <w:szCs w:val="18"/>
          <w:u w:val="single" w:color="auto"/>
          <w:color w:val="auto"/>
        </w:rPr>
        <w:t>Section 4.3.3</w:t>
      </w:r>
      <w:r>
        <w:rPr>
          <w:rFonts w:ascii="Times New Roman" w:cs="Times New Roman" w:eastAsia="Times New Roman" w:hAnsi="Times New Roman"/>
          <w:sz w:val="18"/>
          <w:szCs w:val="18"/>
          <w:color w:val="auto"/>
        </w:rPr>
        <w:t xml:space="preserve"> below) to the Representative from Withum dated, respectively, as of the date of this Agreement and as of the Closing Date and the Option Closing Date, if any: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4.3.1 Confirming that they are an independent registered public accounting firm with respect to the Company within the meaning of the Act and the applicable Regulations;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4.3.2 Stating that in their opinion the financial statements of the Company included in the Registration Statement, the Preliminary Prospectus and the Prospectus comply as to form in all material respects with the applicable accounting requirements of the Act and the Regulations thereunder;</w:t>
      </w:r>
    </w:p>
    <w:p>
      <w:pPr>
        <w:spacing w:after="0" w:line="176"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4.3.3 Stating that, on the basis of limited procedures which included a reading of the latest available minutes of the shareholders and board of directors and the various committees of the board of directors, consultations with officers and other employees of the Company responsible for financial and accounting matters and other specified procedures and inquiries, nothing has come to their attention which would lead them to believe that:</w:t>
      </w:r>
    </w:p>
    <w:p>
      <w:pPr>
        <w:spacing w:after="0" w:line="1" w:lineRule="exact"/>
        <w:rPr>
          <w:sz w:val="20"/>
          <w:szCs w:val="20"/>
          <w:color w:val="auto"/>
        </w:rPr>
      </w:pPr>
    </w:p>
    <w:p>
      <w:pPr>
        <w:jc w:val="both"/>
        <w:ind w:firstLine="8"/>
        <w:spacing w:after="0" w:line="251" w:lineRule="auto"/>
        <w:tabs>
          <w:tab w:leader="none" w:pos="25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date not later than five (5) days prior to the Effective Date, Closing Date or Option Closing Date, as the case may be, there was any change in the capital stock or long-term debt of the Company, or any decrease in the shareholders’ equity of the Company as compared with amounts shown in the September 30, 2020 balance sheet included in the Registration Statement, the Preliminary Prospectus and the Prospectus, other than as set forth in or contemplated by the Registration Statement, the Preliminary Prospectus and the Prospectus, or, if there was any decrease, setting forth the amount of such decrease; and (c) during the period from September 30, 2020 (balance sheet date) to a specified date not later than five (5) days prior to the Effective Date, Closing Date or Option Closing Date, as the case may be, there was any decrease in net earnings or net earnings per share of Common Stock, in each case as compared with the Statement of Operations for the period from July 10, 2019 (inception) to September 30, 2020 included in the Registration Statement and the Prospectus, or, if there was any such decrease, setting forth the amount of such decrease;</w:t>
      </w:r>
    </w:p>
    <w:p>
      <w:pPr>
        <w:spacing w:after="0" w:line="194"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4.3.4 Stating they have compared specific dollar amounts, numbers of shares, percentages of earnings, statements and other financial information pertaining to the Company set forth in the Registration Statement, the Preliminary Prospectus and the Prospectus in each case to the extent that such amounts, numbers, percentages, statements and information may be derived from the general accounting records, including work sheets, of the Company and excluding any questions requiring an interpretation by legal counsel, with the results obtained from the application of specified readings, inquiries and other appropriate procedures (which procedures do not constitute an examination in accordance with the standards of the PCAOB) set forth in the letter and found them to be in agreement; and</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4.3.5 Statements as to such other matters incident to the transaction contemplated hereby as the Representative may reasonably request.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Officers’ Certificates.</w:t>
      </w:r>
    </w:p>
    <w:p>
      <w:pPr>
        <w:spacing w:after="0" w:line="22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4.4.1 </w:t>
      </w:r>
      <w:r>
        <w:rPr>
          <w:rFonts w:ascii="Times New Roman" w:cs="Times New Roman" w:eastAsia="Times New Roman" w:hAnsi="Times New Roman"/>
          <w:sz w:val="18"/>
          <w:szCs w:val="18"/>
          <w:i w:val="1"/>
          <w:iCs w:val="1"/>
          <w:color w:val="auto"/>
        </w:rPr>
        <w:t>Officers’ Certificate.</w:t>
      </w:r>
      <w:r>
        <w:rPr>
          <w:rFonts w:ascii="Times New Roman" w:cs="Times New Roman" w:eastAsia="Times New Roman" w:hAnsi="Times New Roman"/>
          <w:sz w:val="18"/>
          <w:szCs w:val="18"/>
          <w:color w:val="auto"/>
        </w:rPr>
        <w:t xml:space="preserve"> At each of the Closing Date and the Option Closing Date, if any, the Representative shall have received a certificate of the Company signed by the Chief Executive Officer or the President and the Secretary or Assistant Secretary of the Company, dated the Closing Date or the Option Closing Date, as the case may be, respectively, to the effect that the Company has performed all covenants and complied with all conditions required by this Agreement to be performed or complied with by the Company prior to and as of the Closing Date, or the Option Closing Date, as the case may be, and that the conditions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hereof have been satisfied as of such date and that, as of Closing Date and the Option Closing Date, as the case may be, the representations and warranties of the Company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hereof are true and correct. In addition, the Representative will have received such other and further certificates of officers of the Company as the Representative may reasonably request.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4.4.2 </w:t>
      </w:r>
      <w:r>
        <w:rPr>
          <w:rFonts w:ascii="Times New Roman" w:cs="Times New Roman" w:eastAsia="Times New Roman" w:hAnsi="Times New Roman"/>
          <w:sz w:val="18"/>
          <w:szCs w:val="18"/>
          <w:i w:val="1"/>
          <w:iCs w:val="1"/>
          <w:color w:val="auto"/>
        </w:rPr>
        <w:t>Secretary’s Certificate.</w:t>
      </w:r>
      <w:r>
        <w:rPr>
          <w:rFonts w:ascii="Times New Roman" w:cs="Times New Roman" w:eastAsia="Times New Roman" w:hAnsi="Times New Roman"/>
          <w:sz w:val="18"/>
          <w:szCs w:val="18"/>
          <w:color w:val="auto"/>
        </w:rPr>
        <w:t xml:space="preserve"> At each of the Closing Date and the Option Closing Date, if any, the Representative shall have received a certificate of the Company signed by the Secretary or Assistant Secretary of the Company, dated the Closing Date or the Option Closing Date, as the case may be, certifying: (i) that the amended and restated certificate of incorporation of the Company are true and complete, have not been modified and are in full force and effect; (ii) that the resolutions relating to the Offering are in full force and effect and have not been modified; (iii) all correspondence between the Company or its counsel and the Commission; (iv) all correspondence between the Company or its counsel and the Nasdaq Stock Market; and (v) as to the incumbency of the officers of the Company. The documents referred to in such certificate shall be attached to such certificate.</w:t>
      </w:r>
    </w:p>
    <w:p>
      <w:pPr>
        <w:spacing w:after="0" w:line="18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No Material Changes.</w:t>
      </w:r>
      <w:r>
        <w:rPr>
          <w:rFonts w:ascii="Times New Roman" w:cs="Times New Roman" w:eastAsia="Times New Roman" w:hAnsi="Times New Roman"/>
          <w:sz w:val="18"/>
          <w:szCs w:val="18"/>
          <w:color w:val="auto"/>
        </w:rPr>
        <w:t xml:space="preserve"> Prior to and on each of the Closing Date and the Option Closing Date, if any: (i) there shall have been no material adverse change or development that is likely to result in a material adverse change in the condition or prospects or the business activities, financial or otherwise, of the Company from the latest dates as of which such condition is set forth in the Registration Statement and Prospectus; (ii) no action, suit or proceeding, at law or in equity, shall have been pending or threatened against the Company or the Initial Shareholders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the Preliminary Prospectus and Prospectus; (iii) no stop order shall have been issued under the Act and no proceedings therefor shall have been initiated or threatened by the Commission; and (iv) the Registration Statement, the Preliminary Prospectus and the Prospectus and any amendments or supplements thereto shall contain all material statements which are required to be stated therein in accordance with the Act and the Regulations and shall conform in all material respects to the requirements of the Act and the Regulations, and neither the Registration Statement, the Preliminary Prospectus nor the Prospectus nor any amendment or supplement thereto shall contain any untrue statement of a material fact or omit to state any material fact required to be stated therein or necessary to make the statements therein (in the case of the Prospectus, in light of the circumstances under which they were made), not misleading.</w:t>
      </w:r>
    </w:p>
    <w:p>
      <w:pPr>
        <w:spacing w:after="0" w:line="19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Delivery of Agreements.</w:t>
      </w:r>
    </w:p>
    <w:p>
      <w:pPr>
        <w:spacing w:after="0" w:line="22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4.6.1 </w:t>
      </w:r>
      <w:r>
        <w:rPr>
          <w:rFonts w:ascii="Times New Roman" w:cs="Times New Roman" w:eastAsia="Times New Roman" w:hAnsi="Times New Roman"/>
          <w:sz w:val="18"/>
          <w:szCs w:val="18"/>
          <w:i w:val="1"/>
          <w:iCs w:val="1"/>
          <w:color w:val="auto"/>
        </w:rPr>
        <w:t>Effective Date Deliveries.</w:t>
      </w:r>
      <w:r>
        <w:rPr>
          <w:rFonts w:ascii="Times New Roman" w:cs="Times New Roman" w:eastAsia="Times New Roman" w:hAnsi="Times New Roman"/>
          <w:sz w:val="18"/>
          <w:szCs w:val="18"/>
          <w:color w:val="auto"/>
        </w:rPr>
        <w:t xml:space="preserve"> On the Effective Date, the Company shall have delivered to the Representative executed copies of the Trust Agreement, the Warrant Agreement, the Rights Agreement, the Business Combination Marketing Agreement, all of the Insider Letters, the Subscription Agreements, the Registration Rights Agreement and the Escrow Agreement.</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4" w:name="page35"/>
    <w:bookmarkEnd w:id="34"/>
    <w:p>
      <w:pPr>
        <w:ind w:left="840" w:hanging="184"/>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Indemnification of Underwriters.</w:t>
      </w:r>
    </w:p>
    <w:p>
      <w:pPr>
        <w:spacing w:after="0" w:line="22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Subject to the conditions set forth below, the Company agrees to indemnify and hold harmless each of the Underwriters and each dealer selected by the Representative that participates in the offer and sale of the Units (each a “</w:t>
      </w:r>
      <w:r>
        <w:rPr>
          <w:rFonts w:ascii="Times New Roman" w:cs="Times New Roman" w:eastAsia="Times New Roman" w:hAnsi="Times New Roman"/>
          <w:sz w:val="18"/>
          <w:szCs w:val="18"/>
          <w:b w:val="1"/>
          <w:bCs w:val="1"/>
          <w:color w:val="auto"/>
        </w:rPr>
        <w:t>Selected Dealer</w:t>
      </w:r>
      <w:r>
        <w:rPr>
          <w:rFonts w:ascii="Times New Roman" w:cs="Times New Roman" w:eastAsia="Times New Roman" w:hAnsi="Times New Roman"/>
          <w:sz w:val="18"/>
          <w:szCs w:val="18"/>
          <w:color w:val="auto"/>
        </w:rPr>
        <w:t>”) and each of their respective directors, officers and employees and each person, if any, who controls any such Underwriter (“</w:t>
      </w:r>
      <w:r>
        <w:rPr>
          <w:rFonts w:ascii="Times New Roman" w:cs="Times New Roman" w:eastAsia="Times New Roman" w:hAnsi="Times New Roman"/>
          <w:sz w:val="18"/>
          <w:szCs w:val="18"/>
          <w:b w:val="1"/>
          <w:bCs w:val="1"/>
          <w:color w:val="auto"/>
        </w:rPr>
        <w:t>Controlling Person</w:t>
      </w:r>
      <w:r>
        <w:rPr>
          <w:rFonts w:ascii="Times New Roman" w:cs="Times New Roman" w:eastAsia="Times New Roman" w:hAnsi="Times New Roman"/>
          <w:sz w:val="18"/>
          <w:szCs w:val="18"/>
          <w:color w:val="auto"/>
        </w:rPr>
        <w:t xml:space="preserve">”) within the meaning of Section 15 of the Act or Section 20(a) of the Exchange Act, against any and all loss, liability, claim, damage and expense whatsoever (including but not limited to any and all legal or other expenses reasonably incurred in investigating, preparing or defending against any litigation, commenced or threatened, or any claim whatsoever, whether arising out of any action between any of the Underwriters and the Company or between any of the Underwriters and any third party or otherwise) to which they or any of them may become subject under the Act, the Exchange Act or any other federal, state or local statute, law, rule, regulation or ordinance or at common law or otherwise or under the laws, rules and regulation of foreign countries, arising out of or based upon any untrue statement or alleged untrue statement of a material fact contained in: (i) any Preliminary Prospectus, the Registration Statement, or the Prospectus (as from time to time each may be amended and supplemented); or (ii) any application or other document or written communication (in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collectively called “</w:t>
      </w:r>
      <w:r>
        <w:rPr>
          <w:rFonts w:ascii="Times New Roman" w:cs="Times New Roman" w:eastAsia="Times New Roman" w:hAnsi="Times New Roman"/>
          <w:sz w:val="18"/>
          <w:szCs w:val="18"/>
          <w:b w:val="1"/>
          <w:bCs w:val="1"/>
          <w:color w:val="auto"/>
        </w:rPr>
        <w:t>Application</w:t>
      </w:r>
      <w:r>
        <w:rPr>
          <w:rFonts w:ascii="Times New Roman" w:cs="Times New Roman" w:eastAsia="Times New Roman" w:hAnsi="Times New Roman"/>
          <w:sz w:val="18"/>
          <w:szCs w:val="18"/>
          <w:color w:val="auto"/>
        </w:rPr>
        <w:t xml:space="preserve">”) executed by the Company or based upon written information furnished by the Company in any jurisdiction in order to qualify the Units under the securities laws thereof or filed with the Commission, any state securities commission or agency, the Nasdaq Stock Market or any securities exchange; or the omission or alleged omission therefrom of a material fact required to be stated therein or necessary to make the statements therein, in the light of the circumstances under which they were made, not misleading, unless such statement or omission was made in reliance upon and in conformity with written information furnished to the Company with respect to an Underwriter by or on behalf of such Underwriter expressly for use in any Preliminary Prospectus, the Registration Statement, or the Prospectus, or any amendment or supplement thereof. With respect to any untrue statement or omission or alleged untrue statement or omission made in the Preliminary Prospectus, the indemnity agreement contained in this paragraph shall not inure to the benefit of any Underwriter to the extent that any loss, liability, claim, damage or expense of such Underwriter results from the fact that a copy of the Prospectus was not given or sent to the person asserting any such loss, liability, claim or damage at or prior to the written confirmation of sale of the Securities to such person as required by the Act and the Regulations, and if the untrue statement or omission has been corrected in the Prospectus, unless such failure to deliver the Prospectus was a result of non-compliance by the Company with its obligations under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hereof. The Company agrees to promptly notify the Representative of the commencement of any litigation or proceedings against the Company or any of its officers, directors or Controlling Persons in connection with the issue and sale of the Securities or in connection with the Preliminary Prospectus, the Registration Statement, or the Prospectus.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 w:name="page36"/>
    <w:bookmarkEnd w:id="3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i w:val="1"/>
          <w:iCs w:val="1"/>
          <w:color w:val="auto"/>
        </w:rPr>
        <w:t>Indemnification of the QIU.</w:t>
      </w:r>
      <w:r>
        <w:rPr>
          <w:rFonts w:ascii="Times New Roman" w:cs="Times New Roman" w:eastAsia="Times New Roman" w:hAnsi="Times New Roman"/>
          <w:sz w:val="18"/>
          <w:szCs w:val="18"/>
          <w:color w:val="auto"/>
        </w:rPr>
        <w:t xml:space="preserve"> Without limitation of and in addition to its obligations under the other paragraphs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Company agrees to indemnify, defend and hold harmless the QIU, its directors, officers, employees and each Controlling Person of the QIU, if any, and the successors and assigns of all of the foregoing persons, from and against any loss, damage, expense, liability or claim (including the reasonable cost of investigation) which, jointly or severally, the QIU or any such person may incur, insofar as such loss, damage, expense, liability or claim arises out of or is based upon the QIU’s acting as a “qualified independent underwriter” (within the meaning of FINRA Rule 5121) in connection with the offering contemplated by this Agreement, and the Company agrees to advance and reimburse each such indemnified party, as incurred, for any legal or other expenses reasonably incurred by it in connection with investigating or defending any such loss, damage, expense, liability or claim; provided, however, that the Company will not be liable in any such case to the extent that any such loss, claim, damage, liability or action arises out of or is based upon an untrue statement or alleged untrue statement or omission or alleged omission made in reliance upon and in conformity with written information furnished to the Company by the QIU specifically for use in the Registration Statement or Prospectus.</w:t>
      </w:r>
    </w:p>
    <w:p>
      <w:pPr>
        <w:spacing w:after="0" w:line="18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i w:val="1"/>
          <w:iCs w:val="1"/>
          <w:color w:val="auto"/>
        </w:rPr>
        <w:t>Procedure.</w:t>
      </w:r>
      <w:r>
        <w:rPr>
          <w:rFonts w:ascii="Times New Roman" w:cs="Times New Roman" w:eastAsia="Times New Roman" w:hAnsi="Times New Roman"/>
          <w:sz w:val="18"/>
          <w:szCs w:val="18"/>
          <w:color w:val="auto"/>
        </w:rPr>
        <w:t xml:space="preserve"> If any action is brought against an Underwriter, the QIU or a Controlling Person in respect of which indemnity may be sought against the Company pursuant to </w:t>
      </w:r>
      <w:r>
        <w:rPr>
          <w:rFonts w:ascii="Times New Roman" w:cs="Times New Roman" w:eastAsia="Times New Roman" w:hAnsi="Times New Roman"/>
          <w:sz w:val="18"/>
          <w:szCs w:val="18"/>
          <w:u w:val="single" w:color="auto"/>
          <w:color w:val="auto"/>
        </w:rPr>
        <w:t>Section 5.1.1</w:t>
      </w:r>
      <w:r>
        <w:rPr>
          <w:rFonts w:ascii="Times New Roman" w:cs="Times New Roman" w:eastAsia="Times New Roman" w:hAnsi="Times New Roman"/>
          <w:sz w:val="18"/>
          <w:szCs w:val="18"/>
          <w:color w:val="auto"/>
        </w:rPr>
        <w:t>, such Underwriter or the QIU shall promptly notify the Company in writing of the institution of such action and the Company shall assume the defense of such action, including the employment and fees of counsel (subject to the reasonable approval of such Underwriter or the QIU) and payment of actual expenses. Such Underwriter, the QIU or Controlling Person shall have the right to employ its or their own counsel in any such case, but the fees and expenses of such counsel shall be at the expense of such Underwriter, the QIU or such Controlling Person unless:</w:t>
      </w:r>
    </w:p>
    <w:p>
      <w:pPr>
        <w:spacing w:after="0" w:line="1" w:lineRule="exact"/>
        <w:rPr>
          <w:sz w:val="20"/>
          <w:szCs w:val="20"/>
          <w:color w:val="auto"/>
        </w:rPr>
      </w:pPr>
    </w:p>
    <w:p>
      <w:pPr>
        <w:jc w:val="both"/>
        <w:ind w:firstLine="8"/>
        <w:spacing w:after="0" w:line="251" w:lineRule="auto"/>
        <w:tabs>
          <w:tab w:leader="none" w:pos="2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of such counsel at the expense of the Company shall have been authorized in writing by the Company in connection with the defense of such action within reasonable time under the circumstances; (ii) the Company shall not have employed counsel to have charge of the defense of such action; or (iii) such indemnified party or parties shall have reasonably concluded that there may be defenses available to it or them which are different from or additional to those available to the Company, or another conflict of interest or conflict as to legal representation exists (in which case the Company shall not have the right to direct the defense of such action on behalf of the indemnified party or parties), in any of which events the reasonable fees and expenses of not more than one additional firm of attorneys selected by the Underwriter, the QIU and/or Controlling Person shall be borne by the Company. Notwithstanding anything to the contrary contained herein, if the Underwriter, the QIU or Controlling Person shall assume the defense of such action as provided above, the Company shall have the right to approve the terms of any settlement of such action which approval shall not be unreasonably withheld.</w:t>
      </w:r>
    </w:p>
    <w:p>
      <w:pPr>
        <w:spacing w:after="0" w:line="19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Indemnification of the Company.</w:t>
      </w:r>
      <w:r>
        <w:rPr>
          <w:rFonts w:ascii="Times New Roman" w:cs="Times New Roman" w:eastAsia="Times New Roman" w:hAnsi="Times New Roman"/>
          <w:sz w:val="18"/>
          <w:szCs w:val="18"/>
          <w:color w:val="auto"/>
        </w:rPr>
        <w:t xml:space="preserve"> Each Underwriter, severally and not jointly, agrees to indemnify and hold harmless the Company, its directors, officers and employees and agents who control the Company within the meaning of Section 15 of the Act or Section 20 of the Exchange Act against any and all loss, liability, claim, damage and expense described in the foregoing indemnity from the Company to the several Underwriters, as incurred, but only with respect to untrue statements or omissions, or alleged untrue statements or omissions made in any Preliminary Prospectus, the Registration Statement, or the Prospectus, or any amendment or supplement thereto, or in any Application, in reliance upon, and in strict conformity with, written information furnished to the Company with respect to such Underwriter by or on behalf of the Underwriter expressly for use in such Preliminary Prospectus, the Registration Statement, or the Prospectus, or any amendment or supplement thereto or in any such Application, which furnished written information, it is expressly agreed, consists solely of the information described in the last sentence of </w:t>
      </w:r>
      <w:r>
        <w:rPr>
          <w:rFonts w:ascii="Times New Roman" w:cs="Times New Roman" w:eastAsia="Times New Roman" w:hAnsi="Times New Roman"/>
          <w:sz w:val="18"/>
          <w:szCs w:val="18"/>
          <w:u w:val="single" w:color="auto"/>
          <w:color w:val="auto"/>
        </w:rPr>
        <w:t>Section 2.3.1</w:t>
      </w:r>
      <w:r>
        <w:rPr>
          <w:rFonts w:ascii="Times New Roman" w:cs="Times New Roman" w:eastAsia="Times New Roman" w:hAnsi="Times New Roman"/>
          <w:sz w:val="18"/>
          <w:szCs w:val="18"/>
          <w:color w:val="auto"/>
        </w:rPr>
        <w:t xml:space="preserve">. In case any action shall be brought against the Company or any other person so indemnified based on any Preliminary Prospectus, the Registration Statement, or the Prospectus, or any amendment or supplement thereto or any Application, and in respect of which indemnity may be sought against any Underwriter, such Underwriter shall have the rights and duties given to the Company, and the Company and each other person so indemnified shall have the rights and duties given to the several Underwriters by the provisions of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6" w:name="page37"/>
    <w:bookmarkEnd w:id="36"/>
    <w:p>
      <w:pPr>
        <w:ind w:left="130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Contribution.</w:t>
      </w:r>
    </w:p>
    <w:p>
      <w:pPr>
        <w:spacing w:after="0" w:line="22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5.3.1 </w:t>
      </w:r>
      <w:r>
        <w:rPr>
          <w:rFonts w:ascii="Times New Roman" w:cs="Times New Roman" w:eastAsia="Times New Roman" w:hAnsi="Times New Roman"/>
          <w:sz w:val="18"/>
          <w:szCs w:val="18"/>
          <w:i w:val="1"/>
          <w:iCs w:val="1"/>
          <w:color w:val="auto"/>
        </w:rPr>
        <w:t>Contribution Rights.</w:t>
      </w:r>
      <w:r>
        <w:rPr>
          <w:rFonts w:ascii="Times New Roman" w:cs="Times New Roman" w:eastAsia="Times New Roman" w:hAnsi="Times New Roman"/>
          <w:sz w:val="18"/>
          <w:szCs w:val="18"/>
          <w:color w:val="auto"/>
        </w:rPr>
        <w:t xml:space="preserve"> In order to provide for just and equitable contribution under the Act in any case in which: (i) any person entitled to indemnification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makes a claim for indemnification pursuant hereto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provides for indemnification in such case; or (ii) contribution under the Act, the Exchange Act or otherwise may be required on the part of any such person in circumstances for which indemnification is provided under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then, and in each such case, the Company and the Underwriters shall contribute to the aggregate losses, liabilities, claims, damages and expenses of the nature contemplated by said indemnity agreement incurred by the Company and the Underwriters, as incurred, in such proportions that the Underwriters are responsible for that portion represented by the percentage that the underwriting discount appearing on the cover page of the Prospectus bears to the initial offering price appearing thereon and the Company is responsible for the balance;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person guilty of a fraudulent misrepresentation (within the meaning of Section 11(f) of the Act) shall be entitled to contribution from any person who was not guilty of such fraudulent misrepresentation. Notwithstanding the provisions of this </w:t>
      </w:r>
      <w:r>
        <w:rPr>
          <w:rFonts w:ascii="Times New Roman" w:cs="Times New Roman" w:eastAsia="Times New Roman" w:hAnsi="Times New Roman"/>
          <w:sz w:val="18"/>
          <w:szCs w:val="18"/>
          <w:u w:val="single" w:color="auto"/>
          <w:color w:val="auto"/>
        </w:rPr>
        <w:t>Section 5.3.1</w:t>
      </w:r>
      <w:r>
        <w:rPr>
          <w:rFonts w:ascii="Times New Roman" w:cs="Times New Roman" w:eastAsia="Times New Roman" w:hAnsi="Times New Roman"/>
          <w:sz w:val="18"/>
          <w:szCs w:val="18"/>
          <w:color w:val="auto"/>
        </w:rPr>
        <w:t>, no Underwriter shall be required to contribute any amount in excess of the amount by which the total price at which the Public Securities underwritten by it and distributed to the public were offered to the public exceeds the amount of any damages that such Underwriter has otherwise been required to pay in respect of such losses, liabilities, claims, damages and expenses. For purposes of this Section, each director, officer and employee of an Underwriter or the Company, as applicable, and each person, if any, who controls an Underwriter or the Company, as applicable, within the meaning of Section 15 of the Act shall have the same rights to contribution as the Underwriters or the Company, as applicable. The QIU, in its capacity as “qualified independent underwriter” (within the meaning of FINRA Rule 5121), shall in no event be required to contribute any amount in excess of the amount the compensation received by the QIU for acting in such capacity exceeds the amount of any damage which the QIU has otherwise been required to pay by reason of the QIU’s acting in such capacity in connection with the offering contemplated by this Agreement.</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5.3.2 </w:t>
      </w:r>
      <w:r>
        <w:rPr>
          <w:rFonts w:ascii="Times New Roman" w:cs="Times New Roman" w:eastAsia="Times New Roman" w:hAnsi="Times New Roman"/>
          <w:sz w:val="18"/>
          <w:szCs w:val="18"/>
          <w:i w:val="1"/>
          <w:iCs w:val="1"/>
          <w:color w:val="auto"/>
        </w:rPr>
        <w:t>Contribution Procedure.</w:t>
      </w:r>
      <w:r>
        <w:rPr>
          <w:rFonts w:ascii="Times New Roman" w:cs="Times New Roman" w:eastAsia="Times New Roman" w:hAnsi="Times New Roman"/>
          <w:sz w:val="18"/>
          <w:szCs w:val="18"/>
          <w:color w:val="auto"/>
        </w:rPr>
        <w:t xml:space="preserve"> Within fifteen (15) days after receipt by any party to this Agreement (or its representative) of notice of the commencement of any action, suit or proceeding, such party will, if a claim for contribution in respect thereof is to be made against another party (“</w:t>
      </w:r>
      <w:r>
        <w:rPr>
          <w:rFonts w:ascii="Times New Roman" w:cs="Times New Roman" w:eastAsia="Times New Roman" w:hAnsi="Times New Roman"/>
          <w:sz w:val="18"/>
          <w:szCs w:val="18"/>
          <w:b w:val="1"/>
          <w:bCs w:val="1"/>
          <w:color w:val="auto"/>
        </w:rPr>
        <w:t>Contributing Party</w:t>
      </w:r>
      <w:r>
        <w:rPr>
          <w:rFonts w:ascii="Times New Roman" w:cs="Times New Roman" w:eastAsia="Times New Roman" w:hAnsi="Times New Roman"/>
          <w:sz w:val="18"/>
          <w:szCs w:val="18"/>
          <w:color w:val="auto"/>
        </w:rPr>
        <w:t xml:space="preserve">”), notify the Contributing Party of the commencement thereof, but the omission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fifteen (15)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effected by such party seeking contribution on account of any settlement of any claim, action or proceeding effected by such party seeking contribution without the written consent of such Contributing Party. The contribution provisions contained in this Section are intended to supersede, to the extent permitted by law, any right to contribution under the Act, the Exchange Act or otherwise available. The Underwriters’ obligations to contribute pursuant to this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are several and not joint.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ind w:left="840" w:hanging="184"/>
        <w:spacing w:after="0"/>
        <w:tabs>
          <w:tab w:leader="none" w:pos="8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Default by an Underwriter</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Default Not Exceeding 10% of Firm Units or Option Units.</w:t>
      </w:r>
      <w:r>
        <w:rPr>
          <w:rFonts w:ascii="Times New Roman" w:cs="Times New Roman" w:eastAsia="Times New Roman" w:hAnsi="Times New Roman"/>
          <w:sz w:val="18"/>
          <w:szCs w:val="18"/>
          <w:color w:val="auto"/>
        </w:rPr>
        <w:t xml:space="preserve"> If any Underwriter or Underwriters shall default in its or their obligations to purchase the Firm Units or the Option Units, if the Over-allotment Option is exercised, hereunder, and if the number of the Firm Units or Option Units with respect to which such default relates does not exceed in the aggregate 10% of the number of Firm Units or Option Units that all Underwriters have agreed to purchase hereunder, then such Firm Units or Option Units to which the default relates shall be purchased by the non-defaulting Underwriters in proportion to their respective commitments hereunder.</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Default Exceeding 10% of Firm Units or Option Units.</w:t>
      </w:r>
      <w:r>
        <w:rPr>
          <w:rFonts w:ascii="Times New Roman" w:cs="Times New Roman" w:eastAsia="Times New Roman" w:hAnsi="Times New Roman"/>
          <w:sz w:val="18"/>
          <w:szCs w:val="18"/>
          <w:color w:val="auto"/>
        </w:rPr>
        <w:t xml:space="preserve"> In the event that the default addressed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above relates to more than 10% of the Firm Units or Option Units, the Representative may in its discretion arrange for itself or for another party or parties to purchase such Firm Units or Option Units to which such default relates on the terms contained herein. If, within one (1) Business Day after such default relating to more than 10% of the Firm Units or Option Units, the Representative does not arrange for the purchase of such Firm Units or Option Units, then the Company shall be entitled to a further period of one (1) Business Day within which to procure another party or parties satisfactory to the Company and the Representative to purchase said Firm Units or Option Units on such terms. In the event neither the Company nor the Representative arranges for the purchase of the Firm Units or Option Units to which a default relates as provided in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this Agreement may be terminated by the Company without liability on the part of the Company (except as provided in </w:t>
      </w:r>
      <w:r>
        <w:rPr>
          <w:rFonts w:ascii="Times New Roman" w:cs="Times New Roman" w:eastAsia="Times New Roman" w:hAnsi="Times New Roman"/>
          <w:sz w:val="18"/>
          <w:szCs w:val="18"/>
          <w:u w:val="single" w:color="auto"/>
          <w:color w:val="auto"/>
        </w:rPr>
        <w:t>Sections 3.10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hereof) or the several Underwriters (except as provided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default occurs with respect to the Option Units, this Agreement will not terminate as to the Firm Units; and provided further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nothing herein shall relieve a defaulting Underwriter of its liability, if any, to the other several Underwriters and to the Company for damages occasioned by its default hereunder.</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Postponement of Closing Date.</w:t>
      </w:r>
      <w:r>
        <w:rPr>
          <w:rFonts w:ascii="Times New Roman" w:cs="Times New Roman" w:eastAsia="Times New Roman" w:hAnsi="Times New Roman"/>
          <w:sz w:val="18"/>
          <w:szCs w:val="18"/>
          <w:color w:val="auto"/>
        </w:rPr>
        <w:t xml:space="preserve"> In the event the Firm Units or Option Units to which the default relates are to be purchased by the non-defaulting Underwriters, or are to be purchased by another party or parties as aforesaid, the Representative or the Company shall have the right to postpone the Closing Date or Option Closing Date for a reasonable period, but not in any event exceeding five (5) Business Days, in order to effect whatever changes may thereby be made necessary in the Registration Statement, the Preliminary Prospectus and/or the Prospectus, as the case may be, or in any other documents and arrangements, and the Company agrees to file promptly any amendment to, or to supplement, the Registration Statement, the Preliminary Prospectus and/or the Prospectus, as the case may be, that in the opinion of counsel for the Underwriters may thereby be made necessary. The term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xml:space="preserve">” as used in this Agreement shall include any party substituted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with like effect as if it had originally been a party to this Agreement with respect to such Securities.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ind w:left="840" w:hanging="184"/>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Covenants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Additional Shares or Options.</w:t>
      </w:r>
      <w:r>
        <w:rPr>
          <w:rFonts w:ascii="Times New Roman" w:cs="Times New Roman" w:eastAsia="Times New Roman" w:hAnsi="Times New Roman"/>
          <w:sz w:val="18"/>
          <w:szCs w:val="18"/>
          <w:color w:val="auto"/>
        </w:rPr>
        <w:t xml:space="preserve"> The Company hereby agrees that until the Company consummates a Business Combination, it shall not issue any shares of Common Stock or any options or other securities convertible into shares of Common Stock, or any class of shares which participate in any manner in the Trust Account or which vote as a class with the Common Stock on a Business Combination.</w:t>
      </w:r>
    </w:p>
    <w:p>
      <w:pPr>
        <w:spacing w:after="0" w:line="176"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Trust Account Waiver Acknowledgments.</w:t>
      </w:r>
      <w:r>
        <w:rPr>
          <w:rFonts w:ascii="Times New Roman" w:cs="Times New Roman" w:eastAsia="Times New Roman" w:hAnsi="Times New Roman"/>
          <w:sz w:val="18"/>
          <w:szCs w:val="18"/>
          <w:color w:val="auto"/>
        </w:rPr>
        <w:t xml:space="preserve"> The Company hereby agrees that it will not commence its due diligence investigation of any operating business or businesses which the Company seeks to acquire (each, a “</w:t>
      </w:r>
      <w:r>
        <w:rPr>
          <w:rFonts w:ascii="Times New Roman" w:cs="Times New Roman" w:eastAsia="Times New Roman" w:hAnsi="Times New Roman"/>
          <w:sz w:val="18"/>
          <w:szCs w:val="18"/>
          <w:b w:val="1"/>
          <w:bCs w:val="1"/>
          <w:color w:val="auto"/>
        </w:rPr>
        <w:t>Target Business</w:t>
      </w:r>
      <w:r>
        <w:rPr>
          <w:rFonts w:ascii="Times New Roman" w:cs="Times New Roman" w:eastAsia="Times New Roman" w:hAnsi="Times New Roman"/>
          <w:sz w:val="18"/>
          <w:szCs w:val="18"/>
          <w:color w:val="auto"/>
        </w:rPr>
        <w:t>”) unless and until such Target Business acknowledges in writing, whether through a letter of intent, memorandum of understanding or other similar document (and subsequently acknowledges the same in any definitive document replacing any of the foregoing), that: (i) it has read the Prospectus and understands that the Company has established the Trust Account, initially in an amount of $151,500,000 for the benefit of the public shareholders, and that (ii) for and in consideration of the Company agreeing to evaluate such Target Business for purposes of consummating a Business Combination with it, such Target Business agrees that it does not have any right, title, interest or claim of any kind in or to any monies of the Trust Account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xml:space="preserve">”) and waives any Claim it may have in the future as a result of, or arising out of, any negotiations, contracts or agreements with the Company and will not seek recourse against the Trust Account for any reason whatsoever. The Company further agrees that it will use all reasonable efforts, prior to obtaining the services of any vendor, to obtain a written acknowledgment from such vendor, whether through a letter of intent, memorandum of understanding or other similar document (and subsequently acknowledges the same in any definitive document replacing any of the foregoing), that: (i) such vendor has read the Prospectus and understands that the Company has established the Trust Account, initially in an amount of $151,500,000 for the benefit of the public shareholders, and that (ii) for and in consideration of the Company agreeing to engage the services of the vendor, such vendor agrees that it does not have any Claim and waives any Claim it may have in the future as a result of, or arising out of, any negotiations, contracts or agreements with the Company and will not seek recourse against the Trust Account for any reason whatsoever. The foregoing letters shall substantially be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respectively.</w:t>
      </w:r>
    </w:p>
    <w:p>
      <w:pPr>
        <w:spacing w:after="0" w:line="19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Insider Letters.</w:t>
      </w:r>
      <w:r>
        <w:rPr>
          <w:rFonts w:ascii="Times New Roman" w:cs="Times New Roman" w:eastAsia="Times New Roman" w:hAnsi="Times New Roman"/>
          <w:sz w:val="18"/>
          <w:szCs w:val="18"/>
          <w:color w:val="auto"/>
        </w:rPr>
        <w:t xml:space="preserve"> The Company shall not take any action or omit to take any action which would cause a breach of any of the Insider Letters executed among the Initial Shareholders, the officers and directors of the Company, and the Company or the Subscription Agreements and will not allow any amendments to, or waivers of, such Insider Letters or the Subscription Agreements without the prior written consent of the Representative.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9" w:name="page40"/>
    <w:bookmarkEnd w:id="39"/>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xml:space="preserve"> The Company shall not take any action or omit to take any action that would cause the Company to be in material breach or violation of its amended and restated certificate of incorporation. Except as provided in </w:t>
      </w:r>
      <w:r>
        <w:rPr>
          <w:rFonts w:ascii="Times New Roman" w:cs="Times New Roman" w:eastAsia="Times New Roman" w:hAnsi="Times New Roman"/>
          <w:sz w:val="18"/>
          <w:szCs w:val="18"/>
          <w:u w:val="single" w:color="auto"/>
          <w:color w:val="auto"/>
        </w:rPr>
        <w:t>Section 3.26</w:t>
      </w:r>
      <w:r>
        <w:rPr>
          <w:rFonts w:ascii="Times New Roman" w:cs="Times New Roman" w:eastAsia="Times New Roman" w:hAnsi="Times New Roman"/>
          <w:sz w:val="18"/>
          <w:szCs w:val="18"/>
          <w:color w:val="auto"/>
        </w:rPr>
        <w:t>, prior to the consummation of a Business Combination, the Company will not amend its amended and restated certificate of incorporation, without the prior written consent of the Representative.</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Tender Offer Documents, Proxy Materials and Other Information.</w:t>
      </w:r>
      <w:r>
        <w:rPr>
          <w:rFonts w:ascii="Times New Roman" w:cs="Times New Roman" w:eastAsia="Times New Roman" w:hAnsi="Times New Roman"/>
          <w:sz w:val="18"/>
          <w:szCs w:val="18"/>
          <w:color w:val="auto"/>
        </w:rPr>
        <w:t xml:space="preserve"> The Company shall provide counsel to the Representative with copies of all tender offer documents or proxy information and all related material filed with the Commission in connection with a Business Combination concurrently with such filing with the Commission. In addition, the Company shall furnish any other State in which the Offering was registered, such information as may be required by such State.</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Acquisition/Liquidation Procedure.</w:t>
      </w:r>
      <w:r>
        <w:rPr>
          <w:rFonts w:ascii="Times New Roman" w:cs="Times New Roman" w:eastAsia="Times New Roman" w:hAnsi="Times New Roman"/>
          <w:sz w:val="18"/>
          <w:szCs w:val="18"/>
          <w:color w:val="auto"/>
        </w:rPr>
        <w:t xml:space="preserve"> The Company agrees that it will comply with its amended and restated certificate of incorporation in connection with the consummation of a Business Combination or the failure to consummate a Business Combination within 12 months from the Effective Date (subject to extension for three additional three-month periods, as described in the Prospectus).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Rule 419.</w:t>
      </w:r>
      <w:r>
        <w:rPr>
          <w:rFonts w:ascii="Times New Roman" w:cs="Times New Roman" w:eastAsia="Times New Roman" w:hAnsi="Times New Roman"/>
          <w:sz w:val="18"/>
          <w:szCs w:val="18"/>
          <w:color w:val="auto"/>
        </w:rPr>
        <w:t xml:space="preserve"> The Company agrees that it will use its best efforts to prevent the Company from becoming subject to Rule 419 under the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Presentation of Potential Target Businesses.</w:t>
      </w:r>
      <w:r>
        <w:rPr>
          <w:rFonts w:ascii="Times New Roman" w:cs="Times New Roman" w:eastAsia="Times New Roman" w:hAnsi="Times New Roman"/>
          <w:sz w:val="18"/>
          <w:szCs w:val="18"/>
          <w:color w:val="auto"/>
        </w:rPr>
        <w:t xml:space="preserve"> The Company shall cause the Company’s officers, directors and Initial Shareholders to agree that, in order to minimize potential conflicts of interest which may arise from multiple affiliations, the Company’s officers, directors and Initial Shareholders will present to the Company for its consideration, prior to presentation to any other person or company, any suitable opportunity to acquire an operating business, until the earlier of the consummation by the Company of a Business Combination or the liquidation of the Company, subject to any pre-existing fiduciary obligations the Initial Shareholders might have.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Right of First Refusal.</w:t>
      </w:r>
    </w:p>
    <w:p>
      <w:pPr>
        <w:spacing w:after="0" w:line="223"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 xml:space="preserve">7.9.1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The Company agrees that if the Firm Units are sold in accordance with the terms of this Underwriting Agreement, and for a period of eighteen (18) months from the date of the consummation of a Business Combination, the Company shall grant the Representative a right of first refusal to act as a lead underwriter or co-manager with at least 30% of the economics, for any and all future public and private equity and debt offerings of the Company or any successor to or any subsidiary of the Company during such eighteen (18) month period. The Representative’s failure to exercise its right of first refusal with respect to any particular proposal shall not affect its right of first refusal relative to future proposals. Notwithstanding the foregoing, the Representative’s right of first refusal under this </w:t>
      </w:r>
      <w:r>
        <w:rPr>
          <w:rFonts w:ascii="Times New Roman" w:cs="Times New Roman" w:eastAsia="Times New Roman" w:hAnsi="Times New Roman"/>
          <w:sz w:val="18"/>
          <w:szCs w:val="18"/>
          <w:u w:val="single" w:color="auto"/>
          <w:color w:val="auto"/>
        </w:rPr>
        <w:t>Section 7.9.1</w:t>
      </w:r>
      <w:r>
        <w:rPr>
          <w:rFonts w:ascii="Times New Roman" w:cs="Times New Roman" w:eastAsia="Times New Roman" w:hAnsi="Times New Roman"/>
          <w:sz w:val="18"/>
          <w:szCs w:val="18"/>
          <w:color w:val="auto"/>
        </w:rPr>
        <w:t xml:space="preserve"> shall expire upon the third anniversary of the Effective Date.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656"/>
        <w:spacing w:after="0" w:line="256" w:lineRule="auto"/>
        <w:tabs>
          <w:tab w:leader="none" w:pos="8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Representations and Agreements to Survive Delivery. </w:t>
      </w:r>
      <w:r>
        <w:rPr>
          <w:rFonts w:ascii="Times New Roman" w:cs="Times New Roman" w:eastAsia="Times New Roman" w:hAnsi="Times New Roman"/>
          <w:sz w:val="18"/>
          <w:szCs w:val="18"/>
          <w:color w:val="auto"/>
        </w:rPr>
        <w:t>Except as the context otherwise requires, all representations, warranties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agreements contained in this Agreement shall be deemed to be representations, warranties and agreements at the Closing Date or the Option Closing Date, if any, and such representations, warranties and agreements of the Underwriters and the Company, including the indemnity agreements contained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shall remain operative and in full force and effect regardless of any investigation made by or on behalf of any Underwriter, the Company or any Controlling Person, and shall survive termination of this Agreement or the issuance and delivery of the Units to the several Underwriters until the earlier of the expiration of any applicable statute of limitations and the seventh anniversary of the later of the Closing Date or the Option Closing Date, if any, at which time the representations, warranties and agreements shall terminate and be of no further force and effect.</w:t>
      </w:r>
    </w:p>
    <w:p>
      <w:pPr>
        <w:spacing w:after="0" w:line="182"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Effective Date of This Agreement and Termination Thereof</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This Agreement shall become effective on the Effective Date at the time the Registration Statement is declared effective by the Commission.</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The Representative shall have the right to terminate this Agreement at any time prior to any Closing Date: (i) if any domestic or international event or act or occurrence has materially disrupted, or in the Representative’s opinion will in the immediate future materially disrupt, general securities markets in the United States; or (ii) if trading on the New York Stock Exchange, the NYSE American, the Nasdaq Stock Market or on the OTC Bulletin Board (or successor trading market) shall have been suspended, or minimum or maximum prices for trading shall have been fixed, or maximum ranges for prices for securities shall have been fixed, or maximum ranges for prices for securities shall have been required on the OTC Bulletin Board or by order of the Commission or any other government authority having jurisdiction; or (iii) if the United States shall have become involved in a war or an initiation or increase in major hostilities, or (iv) if a banking moratorium has been declared by a New York State or federal authority, or (v) if a moratorium on foreign exchange trading has been declared which materially adversely impacts the United States securities markets; or</w:t>
      </w:r>
    </w:p>
    <w:p>
      <w:pPr>
        <w:spacing w:after="0" w:line="1" w:lineRule="exact"/>
        <w:rPr>
          <w:sz w:val="20"/>
          <w:szCs w:val="20"/>
          <w:color w:val="auto"/>
        </w:rPr>
      </w:pPr>
    </w:p>
    <w:p>
      <w:pPr>
        <w:jc w:val="both"/>
        <w:ind w:firstLine="8"/>
        <w:spacing w:after="0" w:line="252" w:lineRule="auto"/>
        <w:tabs>
          <w:tab w:leader="none" w:pos="3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have sustained a material loss by fire, flood, accident, hurricane, earthquake, theft, sabotage or other calamity or malicious act which, whether or not such loss shall have been insured, will, in the Representative’s opinion, make it inadvisable to proceed with the delivery of the Units; or (vii) if any of the Company’s representations, warranties or covenants hereunder are breached; or (viii) if the Representative shall have become aware after the date hereof of such a material adverse change in the conditions or prospects of the Company, or such material adverse change in general market conditions, including, without limitation, as a result of terrorist activities after the date hereof, as in the Representative’s judgment would make it impracticable to proceed with the offering, sale and/or delivery of the Units or to enforce contracts made by the Underwriters for the sale of the Units.</w:t>
      </w:r>
    </w:p>
    <w:p>
      <w:pPr>
        <w:spacing w:after="0" w:line="19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In the event this Agreement shall not be carried out for any reason whatsoever, except as a result of the Representative’s or any Underwriters’ breach or default with respect to any of its material obligations pursuant to this Agreement, within the time specified herein or any extensions thereof pursuant to the terms herein, the obligations of the Company to pay the out-of-pocket expenses actually incurred by the Representative related to the transactions contemplated herein shall be governed by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hereof.</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1" w:name="page42"/>
    <w:bookmarkEnd w:id="41"/>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xml:space="preserve"> Notwithstanding any contrary provision contained in this Agreement, any election hereunder or any termination of this Agreement, and whether or not this Agreement is otherwise carried out, the provisions of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shall not be in any way affected by such election or termination or failure to carry out the terms of this Agreement or any part hereof.</w:t>
      </w:r>
    </w:p>
    <w:p>
      <w:pPr>
        <w:spacing w:after="0" w:line="172" w:lineRule="exact"/>
        <w:rPr>
          <w:sz w:val="20"/>
          <w:szCs w:val="20"/>
          <w:color w:val="auto"/>
        </w:rPr>
      </w:pPr>
    </w:p>
    <w:p>
      <w:pPr>
        <w:ind w:left="920" w:hanging="264"/>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communications hereunder, except as herein otherwise specifically provided, shall be in writing and shall be mailed, delivered by hand or reputable overnight courier or delivered by facsimile transmission (with printed confirmation of receipt) and confirmed, or by electronic transmission via PDF, and shall be deemed given when so mailed, delivered, or faxed or transmitted (or if mailed, three days after such mailing):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Representative: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 State Street, Suite 2100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George Kaufman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gkaufman@chardan.com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Fax: (646) 465-9036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to (which copy shall not be deemed to constitute notice to the Representative):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Greenberg Traurig,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1750 Tysons Boulevard, Suite 1000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McLean, Virginia 22102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Alan Annex; Jason Simon</w:t>
      </w:r>
    </w:p>
    <w:p>
      <w:pPr>
        <w:spacing w:after="0" w:line="9" w:lineRule="exact"/>
        <w:rPr>
          <w:sz w:val="20"/>
          <w:szCs w:val="20"/>
          <w:color w:val="auto"/>
        </w:rPr>
      </w:pPr>
    </w:p>
    <w:p>
      <w:pPr>
        <w:jc w:val="right"/>
        <w:ind w:right="8640"/>
        <w:spacing w:after="0"/>
        <w:rPr>
          <w:sz w:val="20"/>
          <w:szCs w:val="20"/>
          <w:color w:val="auto"/>
        </w:rPr>
      </w:pPr>
      <w:r>
        <w:rPr>
          <w:rFonts w:ascii="Times New Roman" w:cs="Times New Roman" w:eastAsia="Times New Roman" w:hAnsi="Times New Roman"/>
          <w:sz w:val="18"/>
          <w:szCs w:val="18"/>
          <w:color w:val="auto"/>
        </w:rPr>
        <w:t>Email: annexa@gtlaw.com</w:t>
      </w:r>
    </w:p>
    <w:p>
      <w:pPr>
        <w:spacing w:after="0" w:line="9" w:lineRule="exact"/>
        <w:rPr>
          <w:sz w:val="20"/>
          <w:szCs w:val="20"/>
          <w:color w:val="auto"/>
        </w:rPr>
      </w:pPr>
    </w:p>
    <w:p>
      <w:pPr>
        <w:jc w:val="right"/>
        <w:ind w:right="8660"/>
        <w:spacing w:after="0"/>
        <w:rPr>
          <w:sz w:val="20"/>
          <w:szCs w:val="20"/>
          <w:color w:val="auto"/>
        </w:rPr>
      </w:pPr>
      <w:r>
        <w:rPr>
          <w:rFonts w:ascii="Times New Roman" w:cs="Times New Roman" w:eastAsia="Times New Roman" w:hAnsi="Times New Roman"/>
          <w:sz w:val="18"/>
          <w:szCs w:val="18"/>
          <w:color w:val="auto"/>
        </w:rPr>
        <w:t>simonj@gtlaw.com</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Fax: (212) 801-6400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Edward Scheetz, Chief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ed@ventouxccm.com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to (which copy shall not be deemed to constitute notice to the Company):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New York 10154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Mitchell S. Nussbaum, Esq. and Giovanni Caruso, Esq.</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gcaruso@loeb.com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Fax: (212) 407-4000</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If to the QIU:</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Riley Securities, Inc.</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299 Park Avenue, 7th Floor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10171</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Jonathan Mitchell</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jmitchell@brileyfin.com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Fax: (310) 966-1448</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xml:space="preserve"> The headings contained herein are for the sole purpose of convenience of reference, and shall not in any way limit or affect the meaning or interpretation of any of the terms or provisions of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xml:space="preserve"> This Agreement may only be amended by a written instrument executed by each of the parties hereto.</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xml:space="preserve"> This Agreement (together with the other agreements and documents being delivered pursuant to or in connection with this Agreement) constitute the entire agreement of the parties hereto with respect to the subject matter hereof and thereof, and supersede all prior agreements and understandings of the parties, oral and written, with respect to the subject matter hereof.</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xml:space="preserve"> This Agreement shall inure solely to the benefit of and shall be binding upon the Representative, the Underwriters, the QIU, the Company and the Controlling Persons, directors and officers referred to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 and their respective successors, legal representatives and assigns, and no other person shall have or be construed to have any legal or equitable right, remedy or claim under or in respect of or by virtue of this Agreement or any provisions herein contained.</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Governing Law, Venue, Etc.</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10.6.1 This Agreement shall be governed by and construed and enforced in accordance with the laws of the State of New York, without giving effect to the conflict of laws principles thereof. Each of the Representative and the Company (and any individual signatory hereto): (i) agrees that any legal suit, action or proceeding arising out of or relating to this Agreement and/or the transactions contemplated hereby shall be instituted exclusively in New York Supreme Court, County of New York, or in the United States District Court for the Southern District of New York; (ii) waives any objection which such party may have or hereafter have to the venue of any such suit, action or proceeding; and (iii) irrevocably and exclusively consents to the jurisdiction of the New York Supreme Court, County of New York, and the United States District Court for the Southern District of New York in any such suit, action or proceeding.</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10.6.2 Each of the Representative and the Company (and any individual signatory hereto)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or any such individual mailed by certified mail to the Company’s address shall be deemed in every respect effective service of process upon the Company or any such individual in any such suit, action or proceeding, and service of process upon the Representative mailed by certified mail to the Representative’s addresses shall be deemed in every respect effective service process upon the Representative, in any such suit, action or proceeding.</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10.6.3 THE COMPANY (ON BEHALF OF ITSELF AND, TO THE FULLEST EXTENT PERMITTED BY LAW, ON BEHALF OF ITS EQUITY HOLDERS AND CREDITORS) HEREBY WAIVES ANY RIGHT TO A TRIAL BY JURY IN RESPECT OF ANY CLAIM BASED UPON, ARISING OUT OF OR IN CONNECTION WITH THIS AGREEMENT AND THE TRANSACTIONS CONTEMPLATED BY THIS AGREEMENT, THE REGISTRATION STATEMENT AND THE PROSPECTUS.</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10.6.4 The Company agrees that the prevailing party(ies) in any such action shall be entitled to recover from the other party(ies) all of its reasonable attorneys’ fees and expenses relating to such action or proceeding and/or incurred in connection with the preparation therefor.</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xml:space="preserve"> This Agreement may be executed in one or more counterparts, and by the different parties hereto in separate counterparts, each of which shall be deemed to be an original, but all of which taken together shall constitute one and the same agreement, and shall become effective when one or more counterparts has been signed by each of the parties hereto and delivered to each of the other parties hereto. Delivery of a signed counterpart of this Agreement by fax or email/.pdf transmission shall constitute valid and sufficient delivery thereof.</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Waiver, Etc.</w:t>
      </w:r>
      <w:r>
        <w:rPr>
          <w:rFonts w:ascii="Times New Roman" w:cs="Times New Roman" w:eastAsia="Times New Roman" w:hAnsi="Times New Roman"/>
          <w:sz w:val="18"/>
          <w:szCs w:val="18"/>
          <w:color w:val="auto"/>
        </w:rPr>
        <w:t xml:space="preserve"> The failure of any of the parties hereto to at any time enforce any of the provisions of this Agreement shall not be deemed or construed to be a waiver of any such provision, nor to in any way effect the validity of this Agreement or any provision hereof or the right of any of the parties hereto to thereafter enforce each and every provision of this Agreement. No waiver of any breach, non-compliance or non-fulfillment of any of the provisions of this Agreement shall be effective unless set forth in a written instrument executed by the party or parties against whom or which enforcement of such waiver is sought; and no waiver of any such breach, non-compliance or non-fulfillment shall be construed or deemed to be a waiver of any other or subsequent breach, non-compliance or non-fulfillment.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No Fiduciary Relationship.</w:t>
      </w:r>
      <w:r>
        <w:rPr>
          <w:rFonts w:ascii="Times New Roman" w:cs="Times New Roman" w:eastAsia="Times New Roman" w:hAnsi="Times New Roman"/>
          <w:sz w:val="18"/>
          <w:szCs w:val="18"/>
          <w:color w:val="auto"/>
        </w:rPr>
        <w:t xml:space="preserve"> The Company hereby acknowledges that the Underwriters are acting solely as underwriters, and the QIU is acting solely as a “qualified independent underwriter” within the meaning of FINRA Rule 5121, in connection with the Offering. The Company further acknowledges that the Underwriters and the QIU are acting pursuant to a contractual relationship created solely by this Agreement entered into on an arm’s length basis and in no event do the parties intend that the Underwriters or the QIU act or be responsible as a fiduciary to the Company, its management, shareholders, creditors or any other person in connection with any activity that the Underwriters or the QIU may undertake or have undertaken in furtherance of the Offering, either before or after the date hereof. The Underwriters and the QIU hereby expressly disclaim any fiduciary or similar obligations to the Company, either in connection with the transactions contemplated by this Agreement or any matters leading up to such transactions, and the Company hereby confirms its understanding and agreement to that effect. The Company, the Underwriters and the QIU agree that they are each responsible for making their own independent judgments with respect to any such transactions, and that any opinions or views expressed by the Underwriters or the QIU to the Company regarding such transactions, including but not limited to any opinions or views with respect to the price or market for the Company’s securities, do not constitute advice or recommendations to the Company. The Company hereby waives and releases, to the fullest extent permitted by law, any claims that the Company may have against the Underwriters or the QIU with respect to any breach or alleged breach of any fiduciary or similar duty to the Company in connection with the transactions contemplated by this Agreement or any matters leading up to such transactions.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understanding among the Underwriters, the QIU and the Company, please so indicate in the space provided below for that purpose, whereupon this letter shall constitute a binding agreement between us.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17145</wp:posOffset>
            </wp:positionV>
            <wp:extent cx="226314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6314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3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 on the date first above written.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Underwriters</w:t>
      </w:r>
    </w:p>
    <w:p>
      <w:pPr>
        <w:spacing w:after="0" w:line="19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42570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Jonas Grossman</w:t>
      </w:r>
    </w:p>
    <w:p>
      <w:pPr>
        <w:spacing w:after="0" w:line="3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RILEY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Qualified Independent Underwriter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Patrice McNicoll</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Patrice McNicoll</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Co-Head of Investment Banking</w:t>
            </w:r>
          </w:p>
        </w:tc>
      </w:tr>
    </w:tbl>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[Signature Page of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3180" w:type="dxa"/>
            <w:vAlign w:val="bottom"/>
          </w:tcPr>
          <w:p>
            <w:pPr>
              <w:spacing w:after="0"/>
              <w:rPr>
                <w:sz w:val="20"/>
                <w:szCs w:val="20"/>
                <w:color w:val="auto"/>
              </w:rPr>
            </w:pPr>
          </w:p>
        </w:tc>
        <w:tc>
          <w:tcPr>
            <w:tcW w:w="8060" w:type="dxa"/>
            <w:vAlign w:val="bottom"/>
            <w:gridSpan w:val="4"/>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w w:val="99"/>
              </w:rPr>
              <w:t>SCHEDULE A</w:t>
            </w:r>
          </w:p>
        </w:tc>
      </w:tr>
      <w:tr>
        <w:trPr>
          <w:trHeight w:val="432"/>
        </w:trPr>
        <w:tc>
          <w:tcPr>
            <w:tcW w:w="3180" w:type="dxa"/>
            <w:vAlign w:val="bottom"/>
          </w:tcPr>
          <w:p>
            <w:pPr>
              <w:spacing w:after="0"/>
              <w:rPr>
                <w:sz w:val="24"/>
                <w:szCs w:val="24"/>
                <w:color w:val="auto"/>
              </w:rPr>
            </w:pPr>
          </w:p>
        </w:tc>
        <w:tc>
          <w:tcPr>
            <w:tcW w:w="8060" w:type="dxa"/>
            <w:vAlign w:val="bottom"/>
            <w:gridSpan w:val="4"/>
          </w:tcPr>
          <w:p>
            <w:pPr>
              <w:jc w:val="center"/>
              <w:ind w:right="3160"/>
              <w:spacing w:after="0"/>
              <w:rPr>
                <w:sz w:val="20"/>
                <w:szCs w:val="20"/>
                <w:color w:val="auto"/>
              </w:rPr>
            </w:pPr>
            <w:r>
              <w:rPr>
                <w:rFonts w:ascii="Times New Roman" w:cs="Times New Roman" w:eastAsia="Times New Roman" w:hAnsi="Times New Roman"/>
                <w:sz w:val="18"/>
                <w:szCs w:val="18"/>
                <w:color w:val="auto"/>
                <w:w w:val="99"/>
              </w:rPr>
              <w:t>VENTOUX CCM ACQUISITION CORP.</w:t>
            </w:r>
          </w:p>
        </w:tc>
      </w:tr>
      <w:tr>
        <w:trPr>
          <w:trHeight w:val="414"/>
        </w:trPr>
        <w:tc>
          <w:tcPr>
            <w:tcW w:w="318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Number of Firm</w:t>
            </w:r>
          </w:p>
        </w:tc>
      </w:tr>
      <w:tr>
        <w:trPr>
          <w:trHeight w:val="216"/>
        </w:trPr>
        <w:tc>
          <w:tcPr>
            <w:tcW w:w="318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Units to be</w:t>
            </w:r>
          </w:p>
        </w:tc>
      </w:tr>
      <w:tr>
        <w:trPr>
          <w:trHeight w:val="241"/>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Underwriter</w:t>
            </w:r>
          </w:p>
        </w:tc>
        <w:tc>
          <w:tcPr>
            <w:tcW w:w="6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Purchased</w:t>
            </w:r>
          </w:p>
        </w:tc>
      </w:tr>
      <w:tr>
        <w:trPr>
          <w:trHeight w:val="216"/>
        </w:trPr>
        <w:tc>
          <w:tcPr>
            <w:tcW w:w="3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Chardan Capital Markets, LLC</w:t>
            </w:r>
          </w:p>
        </w:tc>
        <w:tc>
          <w:tcPr>
            <w:tcW w:w="6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 Riley Securities, Inc.</w:t>
            </w:r>
          </w:p>
        </w:tc>
        <w:tc>
          <w:tcPr>
            <w:tcW w:w="80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06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15,000,000</w:t>
            </w:r>
          </w:p>
        </w:tc>
      </w:tr>
      <w:tr>
        <w:trPr>
          <w:trHeight w:val="655"/>
        </w:trPr>
        <w:tc>
          <w:tcPr>
            <w:tcW w:w="3180" w:type="dxa"/>
            <w:vAlign w:val="bottom"/>
            <w:tcBorders>
              <w:bottom w:val="single" w:sz="8" w:color="auto"/>
            </w:tcBorders>
          </w:tcPr>
          <w:p>
            <w:pPr>
              <w:spacing w:after="0"/>
              <w:rPr>
                <w:sz w:val="24"/>
                <w:szCs w:val="24"/>
                <w:color w:val="auto"/>
              </w:rPr>
            </w:pPr>
          </w:p>
        </w:tc>
        <w:tc>
          <w:tcPr>
            <w:tcW w:w="8060" w:type="dxa"/>
            <w:vAlign w:val="bottom"/>
            <w:tcBorders>
              <w:bottom w:val="single" w:sz="8" w:color="auto"/>
            </w:tcBorders>
            <w:gridSpan w:val="4"/>
          </w:tcPr>
          <w:p>
            <w:pPr>
              <w:jc w:val="center"/>
              <w:ind w:right="3160"/>
              <w:spacing w:after="0"/>
              <w:rPr>
                <w:sz w:val="20"/>
                <w:szCs w:val="20"/>
                <w:color w:val="auto"/>
              </w:rPr>
            </w:pPr>
            <w:r>
              <w:rPr>
                <w:rFonts w:ascii="Times New Roman" w:cs="Times New Roman" w:eastAsia="Times New Roman" w:hAnsi="Times New Roman"/>
                <w:sz w:val="18"/>
                <w:szCs w:val="18"/>
                <w:color w:val="auto"/>
                <w:w w:val="99"/>
              </w:rPr>
              <w:t>Schedule A-1</w:t>
            </w:r>
          </w:p>
        </w:tc>
      </w:tr>
    </w:tbl>
    <w:p>
      <w:pPr>
        <w:sectPr>
          <w:pgSz w:w="11900" w:h="16838" w:orient="portrait"/>
          <w:cols w:equalWidth="0" w:num="1">
            <w:col w:w="11240"/>
          </w:cols>
          <w:pgMar w:left="320" w:top="900"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Target Business Letter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Edward Scheetz,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made to the Final Prospectus of Ventouux CCM Acquisition Corp. (the “Company”), dated December 23, 2020 (the “Prospectus”).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and not otherwise defined herein shall have the meanings assigned to them in the Prospectus.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read the Prospectus and understand that the Company has established a “trust account”, initially in an amount of at least $151,500,000 for the benefit of the “public shareholders” and the underwriters of the Company’s initial public offering (the “Underwriters”) and that, except for (i) interest earned on the trust account that may be released to the Company to pay any taxes it incurs, and (ii) interest earned by the trust account that may be released to the Company from time to time to fund the Company’s working capital and general corporate requirements, proceeds in the trust account will not be released until (a) the consummation of a Business Combination, or (b) the dissolution and liquidation of the Company if it is unable to consummate a Business Combination within the allotted time.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and in consideration of the Company agreeing to evaluate the undersigned for purposes of consummating a business combination or other form of acquisition with it, the undersigned hereby agrees that it does not have any right, title, interest or claim of any kind in or to any monies in the trust account (the “Claim”) and hereby waives any Claim it may have in the future as a result of, or arising out of, any negotiations, contracts or agreements with the Company and will not seek recourse against the trust account for any reason whatsoever.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of Target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Signature of Target Business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Vendor Letter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Edward Scheetz,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Reference is made to the Final Prospectus of Ventoux CCM Acquisition Corp. (the “Company”), dated December 23, 2020 (the “Prospectus”). Capitalized terms used and not otherwise defined herein shall have the meanings assigned to them in the Prospectus.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read the Prospectus and understand that the Company has established a “trust account”, initially in an amount of at least $151,500,000 for the benefit of the “public shareholders” and the underwriters of the Company’s initial public offering (the “Underwriters”) and that, except for (i) interest earned on the trust account that may be released to the Company to pay any taxes it incurs, and (ii) interest earned by the trust account that may be released to the Company from time to time to fund the Company’s working capital and general corporate requirements, proceeds in the trust account will not be released until (a) the consummation of a Business Combination, or (b) the dissolution and liquidation of the Company if it is unable to consummate a Business Combination within the allotted time.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and in consideration of the Company agreeing to use the products or services of the undersigned, the undersigned hereby agrees that it does not have any right, title, interest or claim of any kind in or to any monies in the trust account (the “Claim”) and hereby waives any Claim it may have in the future as a result of, or arising out of, any negotiations, contracts or agreements with the Company and will not seek recourse against the trust account for any reason whatsoever.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of Vendor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Signature of Vendor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tbl>
      <w:tblPr>
        <w:tblLayout w:type="fixed"/>
        <w:tblInd w:w="482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tc>
      </w:tr>
      <w:tr>
        <w:trPr>
          <w:trHeight w:val="655"/>
        </w:trPr>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43"/>
                <w:szCs w:val="43"/>
                <w:b w:val="1"/>
                <w:bCs w:val="1"/>
                <w:color w:val="auto"/>
                <w:w w:val="99"/>
              </w:rPr>
              <w:t>Delaware</w:t>
            </w:r>
          </w:p>
        </w:tc>
        <w:tc>
          <w:tcPr>
            <w:tcW w:w="1920" w:type="dxa"/>
            <w:vAlign w:val="bottom"/>
          </w:tcPr>
          <w:p>
            <w:pPr>
              <w:spacing w:after="0"/>
              <w:rPr>
                <w:sz w:val="24"/>
                <w:szCs w:val="24"/>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 1</w:t>
            </w:r>
          </w:p>
        </w:tc>
      </w:tr>
      <w:tr>
        <w:trPr>
          <w:trHeight w:val="257"/>
        </w:trPr>
        <w:tc>
          <w:tcPr>
            <w:tcW w:w="3660" w:type="dxa"/>
            <w:vAlign w:val="bottom"/>
            <w:gridSpan w:val="2"/>
          </w:tcPr>
          <w:p>
            <w:pPr>
              <w:jc w:val="center"/>
              <w:ind w:right="1920"/>
              <w:spacing w:after="0"/>
              <w:rPr>
                <w:sz w:val="20"/>
                <w:szCs w:val="20"/>
                <w:color w:val="auto"/>
              </w:rPr>
            </w:pPr>
            <w:r>
              <w:rPr>
                <w:rFonts w:ascii="Times New Roman" w:cs="Times New Roman" w:eastAsia="Times New Roman" w:hAnsi="Times New Roman"/>
                <w:sz w:val="18"/>
                <w:szCs w:val="18"/>
                <w:color w:val="auto"/>
                <w:w w:val="99"/>
              </w:rPr>
              <w:t>The First State</w:t>
            </w:r>
          </w:p>
        </w:tc>
        <w:tc>
          <w:tcPr>
            <w:tcW w:w="2760" w:type="dxa"/>
            <w:vAlign w:val="bottom"/>
          </w:tcPr>
          <w:p>
            <w:pPr>
              <w:spacing w:after="0"/>
              <w:rPr>
                <w:sz w:val="22"/>
                <w:szCs w:val="22"/>
                <w:color w:val="auto"/>
              </w:rPr>
            </w:pPr>
          </w:p>
        </w:tc>
      </w:tr>
    </w:tbl>
    <w:p>
      <w:pPr>
        <w:spacing w:after="0" w:line="19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 JEFFREY W. BULLOCK, SECRETARY OF STATE OF THE STATE OF DELAWARE, DO HEREBY CERTIFY THE ATTACHED IS A TRUE AND CORRECT COPY OF THE RESTATED CERTIFICATE OF “VENTOUX CCM ACQUISITION CORP.”, FILED IN THIS OFFICE ON THE TWENTY-THIRD DAY OF DECEMBER, A.D. 2020, AT 12:06 O`CLOCK P.M.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1631315</wp:posOffset>
            </wp:positionV>
            <wp:extent cx="685800" cy="685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0" cy="68580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1631315</wp:posOffset>
            </wp:positionV>
            <wp:extent cx="1328420" cy="5911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2842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7508423 8100</w:t>
            </w:r>
          </w:p>
        </w:tc>
        <w:tc>
          <w:tcPr>
            <w:tcW w:w="5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Authentication: 204404145</w:t>
            </w: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SR# 20208744131</w:t>
            </w:r>
          </w:p>
        </w:tc>
        <w:tc>
          <w:tcPr>
            <w:tcW w:w="5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Date: 12-23-20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verify this certificate online at corp.delaware.gov/authver.shtml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ind w:left="8300"/>
        <w:spacing w:after="0"/>
        <w:rPr>
          <w:sz w:val="20"/>
          <w:szCs w:val="20"/>
          <w:color w:val="auto"/>
        </w:rPr>
      </w:pPr>
      <w:r>
        <w:rPr>
          <w:rFonts w:ascii="Times New Roman" w:cs="Times New Roman" w:eastAsia="Times New Roman" w:hAnsi="Times New Roman"/>
          <w:sz w:val="18"/>
          <w:szCs w:val="18"/>
          <w:b w:val="1"/>
          <w:bCs w:val="1"/>
          <w:color w:val="auto"/>
        </w:rPr>
        <w:t>State of Delaware</w:t>
      </w:r>
    </w:p>
    <w:p>
      <w:pPr>
        <w:spacing w:after="0" w:line="31"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Secretary of State</w:t>
      </w:r>
    </w:p>
    <w:p>
      <w:pPr>
        <w:spacing w:after="0" w:line="9"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b w:val="1"/>
          <w:bCs w:val="1"/>
          <w:color w:val="auto"/>
        </w:rPr>
        <w:t>Division of Corporations</w:t>
      </w:r>
    </w:p>
    <w:p>
      <w:pPr>
        <w:spacing w:after="0" w:line="9"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b w:val="1"/>
          <w:bCs w:val="1"/>
          <w:color w:val="auto"/>
        </w:rPr>
        <w:t>Delivered 12:06 PM 12/23/2020</w:t>
      </w:r>
    </w:p>
    <w:p>
      <w:pPr>
        <w:spacing w:after="0" w:line="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FILED 12:06 PM 12/23/2020</w:t>
      </w:r>
    </w:p>
    <w:p>
      <w:pPr>
        <w:spacing w:after="0" w:line="9"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SR 20208744131 - File Number 7508423</w:t>
      </w:r>
    </w:p>
    <w:p>
      <w:pPr>
        <w:spacing w:after="0" w:line="23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0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Pursuant to Section 242 and 245 of the</w:t>
      </w:r>
    </w:p>
    <w:p>
      <w:pPr>
        <w:spacing w:after="0" w:line="2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Delaware General Corporation Law</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Ventoux CCM Acquisition Corp., a corporation existing under the laws of the State of Delaware (the “Corporation”), by its Chief Executive Officer, hereby certifies as follows:</w:t>
      </w:r>
    </w:p>
    <w:p>
      <w:pPr>
        <w:spacing w:after="0" w:line="162"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“Ventoux CCM Acquisition Corp.”.</w:t>
      </w:r>
    </w:p>
    <w:p>
      <w:pPr>
        <w:spacing w:after="0" w:line="225" w:lineRule="exact"/>
        <w:rPr>
          <w:rFonts w:ascii="Times New Roman" w:cs="Times New Roman" w:eastAsia="Times New Roman" w:hAnsi="Times New Roman"/>
          <w:sz w:val="18"/>
          <w:szCs w:val="18"/>
          <w:color w:val="auto"/>
        </w:rPr>
      </w:pPr>
    </w:p>
    <w:p>
      <w:pPr>
        <w:jc w:val="both"/>
        <w:ind w:firstLine="8"/>
        <w:spacing w:after="0" w:line="261" w:lineRule="auto"/>
        <w:tabs>
          <w:tab w:leader="none" w:pos="18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Corporation’s Certificate of Incorporation was filed in the office of the Secretary of State of the State of Delaware on July l0, 2019 under the name of “Chardan Global Acquisition Corp.” and thereafter amended by a Certificate of Amendment to the Certificate of Incorporation on July 17, 2019, changing the name of the Corporation to “Chardan International Acquisition Corp.”, and a Certificate of Amendment to the Certificate of Incorporation on July 29, 2020, further changing the name of the Corporation to “Ventoux CCM Acquisition Corp.”.</w:t>
      </w:r>
    </w:p>
    <w:p>
      <w:pPr>
        <w:spacing w:after="0" w:line="17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Restated Certificate of Incorporation restates, integrates and amends the Certificate of Incorporation of the Corporation.</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19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was duly adopted by the directors and stockholders of the Corporation in accordance with the applicable provisions of the General Corporation Law of the State of Delaware (“GCL”).</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Certificate of Incorporation of the Corporation is hereby amended and restated to read in full as follows: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FIRST: The name of the corporation is “Ventoux CCM Acquisition Corp.” (hereinafter called the “Corporation”).</w:t>
      </w:r>
    </w:p>
    <w:p>
      <w:pPr>
        <w:spacing w:after="0" w:line="22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SECOND: The registered office of the Corporation is to be located at 614 N Dupont Hwy, Suite 210, in the City of Dover, County of Kent, State of Delaware, 19901. The name of its registered agent at that address is Corp1, Inc.</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THIRD: The purpose of the Corporation is to engage in any lawful act or activity for which corporations may be organized under the General Corporation Law of Delaware (“GCL”).</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FOURTH: The name and mailing address of the incorporator is: Jaszick Maldonado, c/o Loeb &amp; Loeb LLP, 345 Park Avenue, New York, NY 10154.</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FIFTH: The total number of shares of all classes of capital stock which the Corporation shall have authority to issue is 51,000,000, of which 50,000,000 shares shall be common stock, par value $0.0001 per share (“Common Stock”), and 1,000,000 shares shall be preferred stock, par value $0.0001 per share (“Preferred Stock”).</w:t>
      </w:r>
    </w:p>
    <w:p>
      <w:pPr>
        <w:spacing w:after="0" w:line="17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The Board of Directors is expressly granted authority to issue shares of the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 “Preferred Stock Designation”) and as may be permitted by the GCL.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51" w:name="page52"/>
    <w:bookmarkEnd w:id="51"/>
    <w:p>
      <w:pPr>
        <w:ind w:left="320"/>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Except as otherwise required by law or as otherwise provided in any Preferred Stock Designation, the holders of the Common Stock shall exclusively possess all voting power and each share of Common Stock shall have one vote.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SIXTH: This Article Sixth shall apply during the period commencing upon the filing of this Certificate of Incorporation and terminating upon the consummation of any “Business Combination” (as defined below). A “Business Combination” shall mean any merger, capital stock exchange, asset acquisition, stock purchase, recapitalization, reorganization or other similar business combination involving the Corporation and one or more businesses or entities (“Target Business”), or entering into contractual arrangements that give the Corporation control over such a Target Business, and, if the Corporation is then listed on a national securities exchange, the Target Business has a fair market value equal to at least 80% of the balance in the Trust Fund (defined below), less any taxes payable on interest earned, at the time of signing a definitive agreement in connection with the initial Business Combination. “IPO Shares” shall mean the shares sold pursuant to the registration statement on Form S-1 (“Registration Statement”) filed with the Securities and Exchange Commission (“Commission”) in connection with the Corporation’s initial public offering (“IPO”). The “fair market value” for purposes of this Article Sixth will be determined by the Board of Directors of the Corporation based upon one or more standards generally accepted by the financial community (such as actual and potential sales, earnings, cash flow and/or book value). If the Board of Directors is unable to independently determine the fair market value of the Target Business, the Corporation will obtain an opinion from an independent investment banking firm, or another independent entity that commonly renders valuation opinions, with respect to the satisfaction of such criteria.</w:t>
      </w:r>
    </w:p>
    <w:p>
      <w:pPr>
        <w:spacing w:after="0" w:line="190" w:lineRule="exact"/>
        <w:rPr>
          <w:sz w:val="20"/>
          <w:szCs w:val="20"/>
          <w:color w:val="auto"/>
        </w:rPr>
      </w:pPr>
    </w:p>
    <w:p>
      <w:pPr>
        <w:jc w:val="both"/>
        <w:ind w:left="320"/>
        <w:spacing w:after="0" w:line="261" w:lineRule="auto"/>
        <w:rPr>
          <w:sz w:val="20"/>
          <w:szCs w:val="20"/>
          <w:color w:val="auto"/>
        </w:rPr>
      </w:pPr>
      <w:r>
        <w:rPr>
          <w:rFonts w:ascii="Times New Roman" w:cs="Times New Roman" w:eastAsia="Times New Roman" w:hAnsi="Times New Roman"/>
          <w:sz w:val="18"/>
          <w:szCs w:val="18"/>
          <w:color w:val="auto"/>
        </w:rPr>
        <w:t>A. Prior to the consummation of a Business Combination, the Corporation shall either (i) submit any Business Combination to its holders of Common Stock for approval (“Proxy Solicitation”) pursuant to the proxy rules promulgated under the Securities Exchange Act of 1934, as amended (“Exchange Act”), or (ii) provide its holders of IPO Shares with the opportunity to sell their shares to the Corporation by means of a tender offer (“Tender Offer”).</w:t>
      </w:r>
    </w:p>
    <w:p>
      <w:pPr>
        <w:spacing w:after="0" w:line="180" w:lineRule="exact"/>
        <w:rPr>
          <w:sz w:val="20"/>
          <w:szCs w:val="20"/>
          <w:color w:val="auto"/>
        </w:rPr>
      </w:pPr>
    </w:p>
    <w:p>
      <w:pPr>
        <w:jc w:val="both"/>
        <w:ind w:left="320"/>
        <w:spacing w:after="0" w:line="266" w:lineRule="auto"/>
        <w:rPr>
          <w:sz w:val="20"/>
          <w:szCs w:val="20"/>
          <w:color w:val="auto"/>
        </w:rPr>
      </w:pPr>
      <w:r>
        <w:rPr>
          <w:rFonts w:ascii="Times New Roman" w:cs="Times New Roman" w:eastAsia="Times New Roman" w:hAnsi="Times New Roman"/>
          <w:sz w:val="18"/>
          <w:szCs w:val="18"/>
          <w:color w:val="auto"/>
        </w:rPr>
        <w:t>B. If the Corporation engages in a Proxy Solicitation with respect to a Business Combination, the Corporation will consummate the Business Combination only if a majority of the then outstanding shares of Common Stock present and entitled to vote at the meeting to approve the Business Combination are voted for the approval of such Business Combination.</w:t>
      </w:r>
    </w:p>
    <w:p>
      <w:pPr>
        <w:spacing w:after="0" w:line="176"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C. In the event that a Business Combination is consummated by the Corporation or the Corporation holds a vote of its stockholders to amend its Certificate of Incorporation, any holder of IPO Shares who (i) followed the procedures contained in the proxy materials to perfect the holder’s right to convert the holder’s IPO Shares into cash, if any, or (ii) tendered the holder’s IPO Shares as specified in the tender offer materials therefore, shall be entitled to receive the Conversion Price (as defined below) in exchange for the holder’s IPO Shares. The Corporation shall, promptly after consummation of the Business Combination or the filing of the amendment to the Certificate of Incorporation with the Secretary of State of the State of Delaware, convert such shares into cash at a per share price equal to the quotient determined by dividing (i) the amount then held in the Trust Fund (as defined below) less any income taxes owed on such funds but not yet paid, calculated as of two business days prior to the consummation of the Business Combination or the filing of the amendment, as applicable, by (ii) the total number of IPO Shares then outstanding (such price being referred to as the “Conversion Price”). “Trust Fund” shall mean the trust account established by the Corporation at the consummation of its IPO and into which the amount specified in Registration Statement is deposited. Notwithstanding the foregoing, a holder of IPO Shares, together with any affiliate of his or any other person with whom he is acting in concert or as a “group” (within the meaning of Section 13(d)(3) of the Exchange Act) (“Group”) with, will be restricted from demanding conversion in connection with a proposed Business Combination with respect to 20.0% or more of the IPO Shares. Accordingly, all IPO Shares beneficially owned by such holder or any other person with whom such holder is acting in concert or as a Group with in excess of 20.0% or more of the IPO Shares will remain outstanding following consummation of such Business Combination in the name of the stockholder and not be converted.</w:t>
      </w: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10795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D. The Corporation will not consummate any Business Combination unless it (or any successor) has net tangible assets of at least $5,000,001 upon consummation of such Business Combination.</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 In the event that the Corporation does not consummate a Business Combination by (i) 15 months from the consummation of the IPO or (ii) up to 18 months from the consummation of the IPO if the Corporation elects to extend the amount of time to complete a Business Combination in accordance with the terms of the Investment Management Trust Agreement between the Corporation and Continental Stock Transfer &amp; Trust Company (in either case, such date being referred to as the “Termination Date”), the Corporation shall (i) cease all operations except for the purposes of winding up, (ii) as promptly as reasonably possible but not more than ten business days thereafter redeem 100% of the IPO Shares for cash for a redemption price per share as described below (which redemption will completely extinguish such holders’ rights as stockholders, including the right to receive further liquidation distributions, if any), and (iii) as promptly as reasonably possible following such redemption, subject to approval of the Corporation’s then stockholders and subject to the requirements of the GCL, including the adoption of a resolution by the Board of Directors pursuant to Section 275(a) of the GCL finding the dissolution of the Corporation advisable and the provision of such notices as are required by said Section 275(a) of the GCL, dissolve and liquidate the balance of the Corporation’s net assets to its remaining stockholders, as part of the Corporation’s plan of dissolution and liquidation, subject (in the case of (ii) and (iii) above) to the Corporation’s obligations under the GCL to provide for claims of creditors and other requirements of applicable law. In such event, the per share redemption price shall be equal to a pro rata share of the Trust Fund plus any pro rata interest earned on the funds held in the Trust Fund and not previously released to the Corporation for its working capital requirements or necessary to pay its taxes divided by the total number of IPO Shares then outstanding.</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 A holder of IPO Shares shall only be entitled to receive distributions from the Trust Fund in the event (i) he demands conversion of his shares in accordance with paragraph C above or (ii) that the Corporation has not consummated a Business Combination by the Termination Date as described in paragraph E above. In no other circumstances shall a holder of IPO Shares have any right or interest of any kind in or to the Trust Fund. A public holder that holds IPO Shares beneficially through a nominee must identify itself to the Corporation in connection with any election to receive distributions from the Trust Fund in order to validly convert such IPO Shares in accordance with paragraph C above.</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 Prior to the consummation of a Business Combination, the Board of Directors may not issue (i) any shares of Common Stock or any securities convertible into Common Stock; or (ii) any securities which participate in or are otherwise entitled in any manner to any of the proceeds in the Trust Fund or which vote as a class with the Common Stock on a Business Combination.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 If any amendment is made (A) to this Article Sixth that would modify the substance or timing of the Corporation’s obligation to provide for the conversion of the IPO Shares in connection with an initial Business Combination or to redeem 100% of the IPO Shares if the Corporation has not consummated an initial Business by the Termination Date or (B) with respect to any other provision in this Article Sixth, the holders of IPO Shares shall be provided with the opportunity to redeem their IPO Shares upon the approval of any such amendment, at the per-share price specified in paragraph C. above.</w:t>
      </w:r>
    </w:p>
    <w:p>
      <w:pPr>
        <w:spacing w:after="0" w:line="39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3" w:name="page54"/>
    <w:bookmarkEnd w:id="53"/>
    <w:p>
      <w:pPr>
        <w:spacing w:after="0" w:line="282" w:lineRule="auto"/>
        <w:rPr>
          <w:sz w:val="20"/>
          <w:szCs w:val="20"/>
          <w:color w:val="auto"/>
        </w:rPr>
      </w:pPr>
      <w:r>
        <w:rPr>
          <w:rFonts w:ascii="Times New Roman" w:cs="Times New Roman" w:eastAsia="Times New Roman" w:hAnsi="Times New Roman"/>
          <w:sz w:val="18"/>
          <w:szCs w:val="18"/>
          <w:color w:val="auto"/>
        </w:rPr>
        <w:t>SEVENTH: The following provisions are inserted for the management of the business and for the conduct of the affairs of the Corporation, and for further definition, limitation and regulation of the powers of the Corporation and of its directors and stockholders: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Election of directors need not be by ballot unless the by-laws of the Corporation so provide.</w:t>
      </w:r>
    </w:p>
    <w:p>
      <w:pPr>
        <w:spacing w:after="0" w:line="225" w:lineRule="exact"/>
        <w:rPr>
          <w:sz w:val="20"/>
          <w:szCs w:val="20"/>
          <w:color w:val="auto"/>
        </w:rPr>
      </w:pPr>
    </w:p>
    <w:p>
      <w:pPr>
        <w:jc w:val="both"/>
        <w:ind w:left="320"/>
        <w:spacing w:after="0" w:line="282" w:lineRule="auto"/>
        <w:rPr>
          <w:sz w:val="20"/>
          <w:szCs w:val="20"/>
          <w:color w:val="auto"/>
        </w:rPr>
      </w:pPr>
      <w:r>
        <w:rPr>
          <w:rFonts w:ascii="Times New Roman" w:cs="Times New Roman" w:eastAsia="Times New Roman" w:hAnsi="Times New Roman"/>
          <w:sz w:val="18"/>
          <w:szCs w:val="18"/>
          <w:color w:val="auto"/>
        </w:rPr>
        <w:t>B. The Board of Directors shall have the power, without the assent or vote of the stockholders, to make, alter, amend, change, add to or repeal the by-laws of the Corporation as provided in the by-laws of the Corporation.</w:t>
      </w:r>
    </w:p>
    <w:p>
      <w:pPr>
        <w:spacing w:after="0" w:line="162" w:lineRule="exact"/>
        <w:rPr>
          <w:sz w:val="20"/>
          <w:szCs w:val="20"/>
          <w:color w:val="auto"/>
        </w:rPr>
      </w:pPr>
    </w:p>
    <w:p>
      <w:pPr>
        <w:jc w:val="both"/>
        <w:ind w:left="320"/>
        <w:spacing w:after="0" w:line="256" w:lineRule="auto"/>
        <w:rPr>
          <w:sz w:val="20"/>
          <w:szCs w:val="20"/>
          <w:color w:val="auto"/>
        </w:rPr>
      </w:pPr>
      <w:r>
        <w:rPr>
          <w:rFonts w:ascii="Times New Roman" w:cs="Times New Roman" w:eastAsia="Times New Roman" w:hAnsi="Times New Roman"/>
          <w:sz w:val="18"/>
          <w:szCs w:val="18"/>
          <w:color w:val="auto"/>
        </w:rPr>
        <w:t>C. The directors in their discretion may submit any contract or act for approval or ratification at any annual meeting of the stockholders or at any meeting of the stockholders called for the purpose of considering any such act or contract, and any contract or act that shall be approved or be ratified by the vote of the holders of a majority of the stock of the Corporation which is represented in person or by proxy at such meeting and entitled to vote thereat (provided that a lawful quorum of stockholders be there represented in person or by proxy) shall be as valid and binding upon the Corporation and upon all the stockholders as though it had been approved or ratified by every stockholder of the Corporation, whether or not the contract or act would otherwise be open to legal attack because of directors’ interests, or for any other reason.</w:t>
      </w:r>
    </w:p>
    <w:p>
      <w:pPr>
        <w:spacing w:after="0" w:line="187" w:lineRule="exact"/>
        <w:rPr>
          <w:sz w:val="20"/>
          <w:szCs w:val="20"/>
          <w:color w:val="auto"/>
        </w:rPr>
      </w:pPr>
    </w:p>
    <w:p>
      <w:pPr>
        <w:jc w:val="both"/>
        <w:ind w:left="320"/>
        <w:spacing w:after="0" w:line="258" w:lineRule="auto"/>
        <w:rPr>
          <w:sz w:val="20"/>
          <w:szCs w:val="20"/>
          <w:color w:val="auto"/>
        </w:rPr>
      </w:pPr>
      <w:r>
        <w:rPr>
          <w:rFonts w:ascii="Times New Roman" w:cs="Times New Roman" w:eastAsia="Times New Roman" w:hAnsi="Times New Roman"/>
          <w:sz w:val="18"/>
          <w:szCs w:val="18"/>
          <w:color w:val="auto"/>
        </w:rPr>
        <w:t>D. In addition to the powers and authorities hereinbefore or by statute expressly conferred upon them, the directors are hereby empowered to exercise all such powers and do all such acts and things as may be exercised or done by the Corporation; subject, nevertheless, to the provisions of the statutes of Delaware, of this Amended and Restated Certificate of Incorporation, and to any bylaws from time to time made by the stockholders; provided, however, that no bylaw so made shall invalidate any prior act of the directors which would have been valid if such bylaw had not been made.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EIGHTH:</w:t>
      </w:r>
    </w:p>
    <w:p>
      <w:pPr>
        <w:spacing w:after="0" w:line="225" w:lineRule="exact"/>
        <w:rPr>
          <w:sz w:val="20"/>
          <w:szCs w:val="20"/>
          <w:color w:val="auto"/>
        </w:rPr>
      </w:pPr>
    </w:p>
    <w:p>
      <w:pPr>
        <w:jc w:val="both"/>
        <w:ind w:left="320"/>
        <w:spacing w:after="0" w:line="253" w:lineRule="auto"/>
        <w:rPr>
          <w:sz w:val="20"/>
          <w:szCs w:val="20"/>
          <w:color w:val="auto"/>
        </w:rPr>
      </w:pPr>
      <w:r>
        <w:rPr>
          <w:rFonts w:ascii="Times New Roman" w:cs="Times New Roman" w:eastAsia="Times New Roman" w:hAnsi="Times New Roman"/>
          <w:sz w:val="18"/>
          <w:szCs w:val="18"/>
          <w:color w:val="auto"/>
        </w:rPr>
        <w:t>A.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GCL, or (iv) for any transaction from which the director derived an improper personal benefit. If the GCL is amended to authorize corporate action further eliminating or limiting the personal liability of directors, then the liability of a director of the Corporation shall be eliminated or limited to the fullest extent permitted by the GCL, as so amended. Any repeal or modification of this paragraph A by the stockholders of the Corporation shall not adversely affect any right or protection of a director of the Corporation with respect to events occurring prior to the time of such repeal or modification. To the extent allowed by law, the doctrine of corporate opportunity, or any other analogous doctrine, shall not apply with respect to the Corporation or any of its officers or directors, and the Corporation renounces any expectancy that any of the directors or officers of the Corporation will offer any such corporate opportunity of which he or she may become aware to the Corporation, except, the doctrine of corporate opportunity shall apply with respect to any of the directors or officers of the Corporation only with respect to a corporate opportunity that was offered to such person solely in his or her capacity as a director or officer of the Corporation and such opportunity is one the Corporation is legally and contractually permitted to undertake and would otherwise be reasonable for the Corporation to pursue.</w:t>
      </w:r>
    </w:p>
    <w:p>
      <w:pPr>
        <w:spacing w:after="0" w:line="187" w:lineRule="exact"/>
        <w:rPr>
          <w:sz w:val="20"/>
          <w:szCs w:val="20"/>
          <w:color w:val="auto"/>
        </w:rPr>
      </w:pPr>
    </w:p>
    <w:p>
      <w:pPr>
        <w:jc w:val="both"/>
        <w:ind w:left="320"/>
        <w:spacing w:after="0" w:line="256" w:lineRule="auto"/>
        <w:rPr>
          <w:sz w:val="20"/>
          <w:szCs w:val="20"/>
          <w:color w:val="auto"/>
        </w:rPr>
      </w:pPr>
      <w:r>
        <w:rPr>
          <w:rFonts w:ascii="Times New Roman" w:cs="Times New Roman" w:eastAsia="Times New Roman" w:hAnsi="Times New Roman"/>
          <w:sz w:val="18"/>
          <w:szCs w:val="18"/>
          <w:color w:val="auto"/>
        </w:rPr>
        <w:t>B. The Corporation, to the full extent permitted by Section 145 of the 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as authorized hereby.</w:t>
      </w:r>
    </w:p>
    <w:p>
      <w:pPr>
        <w:spacing w:after="0" w:line="39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10795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54" w:name="page55"/>
    <w:bookmarkEnd w:id="54"/>
    <w:p>
      <w:pPr>
        <w:jc w:val="both"/>
        <w:ind w:left="320"/>
        <w:spacing w:after="0" w:line="261" w:lineRule="auto"/>
        <w:rPr>
          <w:sz w:val="20"/>
          <w:szCs w:val="20"/>
          <w:color w:val="auto"/>
        </w:rPr>
      </w:pPr>
      <w:r>
        <w:rPr>
          <w:rFonts w:ascii="Times New Roman" w:cs="Times New Roman" w:eastAsia="Times New Roman" w:hAnsi="Times New Roman"/>
          <w:sz w:val="18"/>
          <w:szCs w:val="18"/>
          <w:color w:val="auto"/>
        </w:rPr>
        <w:t>C. Notwithstanding the foregoing provisions of this Article Eighth, no indemnification nor advancement of expenses will extend to any claims made by the Company’s officers and directors to cover any loss that such individuals may sustain as a result of such individuals’ agreement to pay debts and obligations to target businesses or vendors or other entities that are owed money by the Corporation for services rendered or contracted for or products sold to the Corporation, as described in the Registration Statement.</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NINTH: Whenever a compromise or arrangement is proposed between this Corporation and its creditors or any class of them and/or between this Corporation and its stockholders or any class of them, any court of equitable jurisdiction within the State of Delaware may, on the application in a summary way of this Corporation or of any creditor or stockholder thereof or on the application of any receiver or receivers appointed for this Corporation under Section 291 of Title 8 of the Delaware Code or on the application of trustees in dissolution or of any receiver or receivers appointed for this Corporation under Section 279 of Title 8 of the Delaware Code order a meeting of the creditors or class of creditors, and/or of the stockholders or class of stockholders of this Corporation, as the case may be, to be summoned in such manner as the said court directs. If a majority in number representing three fourths in value of the creditors or class of creditors, and/or of the stockholders or class of stockholders of this Corporation, as the case may be, agree to any compromise or arrangement and to any reorganization of this Corporation as a consequence of such compromise or arrangement, the said compromise or arrangement and the said reorganization shall, if sanctioned by the court to which the said application has been made, be binding on all the creditors or class of creditors, and/or on all the stockholders or class of stockholders, of this Corporation, as the case may be, and also on this Corporation.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TENTH:</w:t>
      </w:r>
    </w:p>
    <w:p>
      <w:pPr>
        <w:spacing w:after="0" w:line="225" w:lineRule="exact"/>
        <w:rPr>
          <w:sz w:val="20"/>
          <w:szCs w:val="20"/>
          <w:color w:val="auto"/>
        </w:rPr>
      </w:pPr>
    </w:p>
    <w:p>
      <w:pPr>
        <w:jc w:val="both"/>
        <w:ind w:left="320"/>
        <w:spacing w:after="0" w:line="252" w:lineRule="auto"/>
        <w:rPr>
          <w:sz w:val="20"/>
          <w:szCs w:val="20"/>
          <w:color w:val="auto"/>
        </w:rPr>
      </w:pPr>
      <w:r>
        <w:rPr>
          <w:rFonts w:ascii="Times New Roman" w:cs="Times New Roman" w:eastAsia="Times New Roman" w:hAnsi="Times New Roman"/>
          <w:sz w:val="18"/>
          <w:szCs w:val="18"/>
          <w:color w:val="auto"/>
        </w:rPr>
        <w:t>A. Unless the Corporation consents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the Delaware statutory or common law: (A) any derivative claim or cause of action brought on behalf of the Corporation; (B) any claim or cause of action for breach of a fiduciary duty owed by any current or former director, officer, employee or agent of the Corporation, to the Corporation or the Corporation’s stockholders, or any claim or cause of action for aiding and abetting any such breach; (C) any claim or cause of action against the Corporation or any current or former director, officer or other employee of the Corporation, arising out of or pursuant to any provision of the GCL, this Amended and Restated Certificate of Incorporation or the bylaws of the Corporation (as each may be amended from time to time); (D) any claim or cause of action seeking to interpret, apply, enforce or determine the validity of this Amended and Restated Certificate of Incorporation or the bylaws of the Corporation (as each may be amended from time to time, including any right, obligation, or remedy thereunder); (E) any claim or cause of action as to which the GCL confers jurisdiction on the Court of Chancery of the State of Delaware; and (F) any claim or cause of action against the Corporation or any current or former director, officer or other employee of the Corporation, governed by the internal-affairs doctrine, in all cases to the fullest extent permitted by law and subject to the court having personal jurisdiction over the indispensable parties named as defendants. This Article Tenth shall not apply to claims or causes of action brought to enforce a duty or liability created by the Securities Act of 1933, as amended (the “1933 Act”), or the Exchange Act or any other claim for which the federal courts have exclusive jurisdiction. Stockholders cannot waive compliance with the federal securities laws and the rules and regulations thereunder.</w:t>
      </w:r>
    </w:p>
    <w:p>
      <w:pPr>
        <w:spacing w:after="0" w:line="40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10795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55" w:name="page56"/>
    <w:bookmarkEnd w:id="55"/>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B. If any action the subject matter of which is within the scope of Paragraph A of this Article Tenth immediately above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Paragraph A of this Article Tenth immediately above (an “FSC Enforcement Action”) and (ii) having service of process made upon such stockholder in any such FSC Enforcement Action by service upon such stockholder’s counsel in the Foreign Action as agent for such stockholder.</w:t>
      </w:r>
    </w:p>
    <w:p>
      <w:pPr>
        <w:spacing w:after="0" w:line="18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C. If any provision or provisions of this Article Tenth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Tenth (including, without limitation, each portion of any sentence of this Article Tenth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Article Tenth.</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Amended and Restated Certificate of Incorporation to be signed by Edward Scheetz, its Chief Executive Officer, as of the 23 day of December, 2020.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Scheetz, Chief Executive Officer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AGREEMENT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This Warrant Agreement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is made as of December 23, 2020, by and between Ventoux CCM Acquisition Corp.,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Continental Stock Transfer &amp; Trust Company (the “</w:t>
      </w:r>
      <w:r>
        <w:rPr>
          <w:rFonts w:ascii="Times New Roman" w:cs="Times New Roman" w:eastAsia="Times New Roman" w:hAnsi="Times New Roman"/>
          <w:sz w:val="18"/>
          <w:szCs w:val="18"/>
          <w:b w:val="1"/>
          <w:bCs w:val="1"/>
          <w:color w:val="auto"/>
        </w:rPr>
        <w:t>Warrant Agent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WHEREAS, the Company is engaged in a public offering (the “</w:t>
      </w:r>
      <w:r>
        <w:rPr>
          <w:rFonts w:ascii="Times New Roman" w:cs="Times New Roman" w:eastAsia="Times New Roman" w:hAnsi="Times New Roman"/>
          <w:sz w:val="18"/>
          <w:szCs w:val="18"/>
          <w:b w:val="1"/>
          <w:bCs w:val="1"/>
          <w:color w:val="auto"/>
        </w:rPr>
        <w:t>Public Offering</w:t>
      </w:r>
      <w:r>
        <w:rPr>
          <w:rFonts w:ascii="Times New Roman" w:cs="Times New Roman" w:eastAsia="Times New Roman" w:hAnsi="Times New Roman"/>
          <w:sz w:val="18"/>
          <w:szCs w:val="18"/>
          <w:color w:val="auto"/>
        </w:rPr>
        <w:t>”) of 15,000,000 units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of the Company (and up to 2,250,000 additional Units if the underwriters’ over-allotment option is exercised in full), each Unit consisting of one share of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one right to receive one-twentieth of one share of Common Stock, and one warrant (the “</w:t>
      </w:r>
      <w:r>
        <w:rPr>
          <w:rFonts w:ascii="Times New Roman" w:cs="Times New Roman" w:eastAsia="Times New Roman" w:hAnsi="Times New Roman"/>
          <w:sz w:val="18"/>
          <w:szCs w:val="18"/>
          <w:b w:val="1"/>
          <w:bCs w:val="1"/>
          <w:color w:val="auto"/>
        </w:rPr>
        <w:t>Public Warrant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each whole Public Warrant entitling its holder to purchase one-half of one share of Common Stock (the “</w:t>
      </w:r>
      <w:r>
        <w:rPr>
          <w:rFonts w:ascii="Times New Roman" w:cs="Times New Roman" w:eastAsia="Times New Roman" w:hAnsi="Times New Roman"/>
          <w:sz w:val="18"/>
          <w:szCs w:val="18"/>
          <w:b w:val="1"/>
          <w:bCs w:val="1"/>
          <w:color w:val="auto"/>
        </w:rPr>
        <w:t>Public Warrant Shares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WHEREAS, the Company has received a binding commitment from Ventoux Acquisition Holdings LLC to purchase up to 4,450,000 warrants and Chardan International Investments, LLC to purchase up to 2,225,000 warrants, each for a purchase price of $1.00 per warrant, pursuant to the Subscription Agreements, dated as of December 23, 2020 (collectively, the “</w:t>
      </w:r>
      <w:r>
        <w:rPr>
          <w:rFonts w:ascii="Times New Roman" w:cs="Times New Roman" w:eastAsia="Times New Roman" w:hAnsi="Times New Roman"/>
          <w:sz w:val="18"/>
          <w:szCs w:val="18"/>
          <w:b w:val="1"/>
          <w:bCs w:val="1"/>
          <w:color w:val="auto"/>
        </w:rPr>
        <w:t>Subscription Agreements</w:t>
      </w:r>
      <w:r>
        <w:rPr>
          <w:rFonts w:ascii="Times New Roman" w:cs="Times New Roman" w:eastAsia="Times New Roman" w:hAnsi="Times New Roman"/>
          <w:sz w:val="18"/>
          <w:szCs w:val="18"/>
          <w:color w:val="auto"/>
        </w:rPr>
        <w:t>”), and in connection therewith, will issue and deliver up to 6,675,000 warrants (the “</w:t>
      </w:r>
      <w:r>
        <w:rPr>
          <w:rFonts w:ascii="Times New Roman" w:cs="Times New Roman" w:eastAsia="Times New Roman" w:hAnsi="Times New Roman"/>
          <w:sz w:val="18"/>
          <w:szCs w:val="18"/>
          <w:b w:val="1"/>
          <w:bCs w:val="1"/>
          <w:color w:val="auto"/>
        </w:rPr>
        <w:t>Private Warrants</w:t>
      </w:r>
      <w:r>
        <w:rPr>
          <w:rFonts w:ascii="Times New Roman" w:cs="Times New Roman" w:eastAsia="Times New Roman" w:hAnsi="Times New Roman"/>
          <w:sz w:val="18"/>
          <w:szCs w:val="18"/>
          <w:color w:val="auto"/>
        </w:rPr>
        <w:t>”, together with the Public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each whole Private Warrant entitling its holder to purchase one share of Common Stock (“</w:t>
      </w:r>
      <w:r>
        <w:rPr>
          <w:rFonts w:ascii="Times New Roman" w:cs="Times New Roman" w:eastAsia="Times New Roman" w:hAnsi="Times New Roman"/>
          <w:sz w:val="18"/>
          <w:szCs w:val="18"/>
          <w:b w:val="1"/>
          <w:bCs w:val="1"/>
          <w:color w:val="auto"/>
        </w:rPr>
        <w:t>Private Warrant Shares</w:t>
      </w:r>
      <w:r>
        <w:rPr>
          <w:rFonts w:ascii="Times New Roman" w:cs="Times New Roman" w:eastAsia="Times New Roman" w:hAnsi="Times New Roman"/>
          <w:sz w:val="18"/>
          <w:szCs w:val="18"/>
          <w:color w:val="auto"/>
        </w:rPr>
        <w:t>”, and together with the Public Warrant Shares,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Company may issue such additional warrants to purchase shares of Common Stock hereunder from time to time (together with the Public Warrants and the Private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WHEREAS, the Company has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 Registration Statement on Form S-1, No. 333-251048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for the registration,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of, among other securities, the Public Warrants;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Company desires the Warrant Agent to act on behalf of the Company, and the Warrant Agent is willing to so act, in connection with the issuance, registration, transfer, exchange, redemption and exercise of the Warrants;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Company desires to provide for the form, terms and provisions of the Warrants, including the terms upon which they shall be issued and exercised, and the respective rights, limitation of rights and immunities of the Company, the Warrant Agent and the holders of the Warrants; and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all acts and things have been done and performed which are necessary to make the Warrants, when executed on behalf of the Company and countersigned by or on behalf of the Warrant Agent, as provided herein, the legally valid and binding obligations of the Company, and to authorize the execution and delivery of this Warrant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firstLine="8"/>
        <w:spacing w:after="0" w:line="282" w:lineRule="auto"/>
        <w:tabs>
          <w:tab w:leader="none" w:pos="19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Warrant Agent</w:t>
      </w:r>
      <w:r>
        <w:rPr>
          <w:rFonts w:ascii="Times New Roman" w:cs="Times New Roman" w:eastAsia="Times New Roman" w:hAnsi="Times New Roman"/>
          <w:sz w:val="18"/>
          <w:szCs w:val="18"/>
          <w:color w:val="auto"/>
        </w:rPr>
        <w:t>. The Company hereby appoints the Warrant Agent to act as agent for the Company for the Warrants, and the Warrant Agent hereby accepts such appointment and agrees to perform the same in accordance with the terms and conditions set forth in this Warrant Agreement.</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Form of Warrant</w:t>
      </w:r>
      <w:r>
        <w:rPr>
          <w:rFonts w:ascii="Times New Roman" w:cs="Times New Roman" w:eastAsia="Times New Roman" w:hAnsi="Times New Roman"/>
          <w:sz w:val="18"/>
          <w:szCs w:val="18"/>
          <w:color w:val="auto"/>
        </w:rPr>
        <w:t xml:space="preserve">. Each Warrant other than a Private Warrant shall be: (a) issued in registered form only, (b) in substantially the form of </w:t>
      </w:r>
      <w:r>
        <w:rPr>
          <w:rFonts w:ascii="Times New Roman" w:cs="Times New Roman" w:eastAsia="Times New Roman" w:hAnsi="Times New Roman"/>
          <w:sz w:val="18"/>
          <w:szCs w:val="18"/>
          <w:b w:val="1"/>
          <w:bCs w:val="1"/>
          <w:color w:val="auto"/>
        </w:rPr>
        <w:t xml:space="preserve">Exhibit A </w:t>
      </w:r>
      <w:r>
        <w:rPr>
          <w:rFonts w:ascii="Times New Roman" w:cs="Times New Roman" w:eastAsia="Times New Roman" w:hAnsi="Times New Roman"/>
          <w:sz w:val="18"/>
          <w:szCs w:val="18"/>
          <w:color w:val="auto"/>
        </w:rPr>
        <w:t>hereto, the provisions of which are incorporated herein and (c) signed by, or bear the facsimile signature of, the Chairman of the Board, the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or the Chief Financial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Effect of Countersignature</w:t>
      </w:r>
      <w:r>
        <w:rPr>
          <w:rFonts w:ascii="Times New Roman" w:cs="Times New Roman" w:eastAsia="Times New Roman" w:hAnsi="Times New Roman"/>
          <w:sz w:val="18"/>
          <w:szCs w:val="18"/>
          <w:color w:val="auto"/>
        </w:rPr>
        <w:t>. Unless and until countersigned by the Warrant Agent pursuant to this Warrant Agreement, a Warrant shall be invalid and of no effect and may not be exercised by the holder thereof.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Warrant Agent shall maintain books (the “</w:t>
      </w:r>
      <w:r>
        <w:rPr>
          <w:rFonts w:ascii="Times New Roman" w:cs="Times New Roman" w:eastAsia="Times New Roman" w:hAnsi="Times New Roman"/>
          <w:sz w:val="18"/>
          <w:szCs w:val="18"/>
          <w:b w:val="1"/>
          <w:bCs w:val="1"/>
          <w:color w:val="auto"/>
        </w:rPr>
        <w:t>Warrant Register</w:t>
      </w:r>
      <w:r>
        <w:rPr>
          <w:rFonts w:ascii="Times New Roman" w:cs="Times New Roman" w:eastAsia="Times New Roman" w:hAnsi="Times New Roman"/>
          <w:sz w:val="18"/>
          <w:szCs w:val="18"/>
          <w:color w:val="auto"/>
        </w:rPr>
        <w:t>”), for the registration of the original issuance and transfers of the Warrants. Upon the initial issuance of the Warrants, the Warrant Agent shall issue and register the Warrants in the names of the respective holders thereof in such denominations and otherwise in accordance with instructions delivered to the Warrant Agent by the Company.</w:t>
      </w:r>
    </w:p>
    <w:p>
      <w:pPr>
        <w:spacing w:after="0" w:line="18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Registered Holder</w:t>
      </w:r>
      <w:r>
        <w:rPr>
          <w:rFonts w:ascii="Times New Roman" w:cs="Times New Roman" w:eastAsia="Times New Roman" w:hAnsi="Times New Roman"/>
          <w:sz w:val="18"/>
          <w:szCs w:val="18"/>
          <w:color w:val="auto"/>
        </w:rPr>
        <w:t>. Prior to due presentment for registration of transfer of any Warrant, the Company and the Warrant Agent may deem and treat the person in whose name such Warrant shall be registered upon the Warrant Register (“</w:t>
      </w:r>
      <w:r>
        <w:rPr>
          <w:rFonts w:ascii="Times New Roman" w:cs="Times New Roman" w:eastAsia="Times New Roman" w:hAnsi="Times New Roman"/>
          <w:sz w:val="18"/>
          <w:szCs w:val="18"/>
          <w:b w:val="1"/>
          <w:bCs w:val="1"/>
          <w:color w:val="auto"/>
        </w:rPr>
        <w:t>Registered Holder</w:t>
      </w:r>
      <w:r>
        <w:rPr>
          <w:rFonts w:ascii="Times New Roman" w:cs="Times New Roman" w:eastAsia="Times New Roman" w:hAnsi="Times New Roman"/>
          <w:sz w:val="18"/>
          <w:szCs w:val="18"/>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Detachability of Warrants</w:t>
      </w:r>
      <w:r>
        <w:rPr>
          <w:rFonts w:ascii="Times New Roman" w:cs="Times New Roman" w:eastAsia="Times New Roman" w:hAnsi="Times New Roman"/>
          <w:sz w:val="18"/>
          <w:szCs w:val="18"/>
          <w:color w:val="auto"/>
        </w:rPr>
        <w:t>. Each of the securities comprising the Units will begin to trade separately on (i) the 90th day after the effectiveness of the Registration Statement, or (ii) such earlier date as Chardan Capital Markets, LLC, as representative of the underwriters (the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shall determine is acceptable (such date, the “</w:t>
      </w:r>
      <w:r>
        <w:rPr>
          <w:rFonts w:ascii="Times New Roman" w:cs="Times New Roman" w:eastAsia="Times New Roman" w:hAnsi="Times New Roman"/>
          <w:sz w:val="18"/>
          <w:szCs w:val="18"/>
          <w:b w:val="1"/>
          <w:bCs w:val="1"/>
          <w:color w:val="auto"/>
        </w:rPr>
        <w:t>Detachment Date</w:t>
      </w:r>
      <w:r>
        <w:rPr>
          <w:rFonts w:ascii="Times New Roman" w:cs="Times New Roman" w:eastAsia="Times New Roman" w:hAnsi="Times New Roman"/>
          <w:sz w:val="18"/>
          <w:szCs w:val="18"/>
          <w:color w:val="auto"/>
        </w:rPr>
        <w:t>”). In no event will separate trading of the securities comprising the Units commence until the Company (i) files a Current Report on Form 8-K with the SEC including audited balance sheet reflecting the Company’s receipt of the gross proceeds of the Public Offering and (ii) issues a press release announcing when such separate trading will begin.</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Private Warrants</w:t>
      </w:r>
      <w:r>
        <w:rPr>
          <w:rFonts w:ascii="Times New Roman" w:cs="Times New Roman" w:eastAsia="Times New Roman" w:hAnsi="Times New Roman"/>
          <w:sz w:val="18"/>
          <w:szCs w:val="18"/>
          <w:color w:val="auto"/>
        </w:rPr>
        <w:t xml:space="preserve">. The Private Warrants (i) will be exercisable either for cash or on a cashless basis at the holder’s option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hereof and (ii) will not be redeemable by the Company, in either case as long as the Private Warrants are held by the initial purchasers or any of their permitted transferees (as prescribed in the Subscription Agreements).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three hundred sixty (360) days following the effective date of the Registration Statement to anyone other than any member participating in the Public Offering and the officers or partners thereof, if all securities so transferred remain subject to the lock-up restriction set forth above for the remainder of the time period.</w:t>
      </w:r>
    </w:p>
    <w:p>
      <w:pPr>
        <w:spacing w:after="0" w:line="189" w:lineRule="exact"/>
        <w:rPr>
          <w:sz w:val="20"/>
          <w:szCs w:val="20"/>
          <w:color w:val="auto"/>
        </w:rPr>
      </w:pPr>
    </w:p>
    <w:p>
      <w:pPr>
        <w:ind w:left="180" w:hanging="172"/>
        <w:spacing w:after="0"/>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Exercise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Warrant Price</w:t>
      </w:r>
      <w:r>
        <w:rPr>
          <w:rFonts w:ascii="Times New Roman" w:cs="Times New Roman" w:eastAsia="Times New Roman" w:hAnsi="Times New Roman"/>
          <w:sz w:val="18"/>
          <w:szCs w:val="18"/>
          <w:color w:val="auto"/>
        </w:rPr>
        <w:t>. Each Warrant shall, when countersigned by the Warrant Agent, entitle the Registered Holder thereof, subject to the provisions of such Warrant and of this Warrant Agreement, to purchase from the Company the number of shares of Common Stock stated therein, at $11.50 per full share, subject to the adjustments provided in Section 4 hereof. The term “</w:t>
      </w:r>
      <w:r>
        <w:rPr>
          <w:rFonts w:ascii="Times New Roman" w:cs="Times New Roman" w:eastAsia="Times New Roman" w:hAnsi="Times New Roman"/>
          <w:sz w:val="18"/>
          <w:szCs w:val="18"/>
          <w:b w:val="1"/>
          <w:bCs w:val="1"/>
          <w:color w:val="auto"/>
        </w:rPr>
        <w:t>Warrant Price</w:t>
      </w:r>
      <w:r>
        <w:rPr>
          <w:rFonts w:ascii="Times New Roman" w:cs="Times New Roman" w:eastAsia="Times New Roman" w:hAnsi="Times New Roman"/>
          <w:sz w:val="18"/>
          <w:szCs w:val="18"/>
          <w:color w:val="auto"/>
        </w:rPr>
        <w:t>” as used in this Warrant Agreement refers to the price per whole share at which shares of Common Stock may be purchased at the time such Warrant is exercised. The Public Warrants may only be exercised for a whole number of Warrant Shares by a Registered Holder.</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Duration of Warrants</w:t>
      </w:r>
      <w:r>
        <w:rPr>
          <w:rFonts w:ascii="Times New Roman" w:cs="Times New Roman" w:eastAsia="Times New Roman" w:hAnsi="Times New Roman"/>
          <w:sz w:val="18"/>
          <w:szCs w:val="18"/>
          <w:color w:val="auto"/>
        </w:rPr>
        <w:t>. A Warrant may be exercised only during the period (“</w:t>
      </w:r>
      <w:r>
        <w:rPr>
          <w:rFonts w:ascii="Times New Roman" w:cs="Times New Roman" w:eastAsia="Times New Roman" w:hAnsi="Times New Roman"/>
          <w:sz w:val="18"/>
          <w:szCs w:val="18"/>
          <w:b w:val="1"/>
          <w:bCs w:val="1"/>
          <w:color w:val="auto"/>
        </w:rPr>
        <w:t>Exercise Period</w:t>
      </w:r>
      <w:r>
        <w:rPr>
          <w:rFonts w:ascii="Times New Roman" w:cs="Times New Roman" w:eastAsia="Times New Roman" w:hAnsi="Times New Roman"/>
          <w:sz w:val="18"/>
          <w:szCs w:val="18"/>
          <w:color w:val="auto"/>
        </w:rPr>
        <w:t xml:space="preserve">”) commencing on the later to occur of (i) the completion of the Company’s initial business combination and (ii) 12 months following the closing of the Public Offering, and terminating at 5:00 p.m., New York City time, on the earlier to occur of (i) (A) five years following the completion of the Company’s initial business combination with respect to the Public Warrants and the Private Warrants (except as provided in the following clause (B)), and (B) five years from the effective date of the Registration Statement with respect to the Private Warrants purchased by Chardan International Investments, LLC,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once the Private Warrants are not beneficially owned by Chardan Capital Markets, LLC or any of its related persons anymore, the Private Warrants may not be exercised five years following the completion of the Company's initial business combination, and (ii) the date fixed for redemption of the Warrants as provided in Section 6 of this Warrant Agreement (except as provided in Section 2.5)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Except with respect to the right to receive the Redemption Price (as set forth in Section 6 hereunder), each Warrant not exercised on or before the Expiration Date shall become void, and all rights thereunder and all rights in respect thereof under this Warrant Agreement shall cease at the close of business on the Expiration Date. The Company may extend the duration of the Warrants by delaying the Expiration Date; provided, however, that the Company will provide written notice of not less than 10 days to Registered Holders of such extension and that such extension shall be identical in duration among all of the then outstanding Warrants. Notwithstanding the above, the Private Warrants (and the Private Warrant Shares that are issuable upon exercise of the Private Warrants) to be purchased by Chardan International Investments, LLC have been deemed compensation by Financial Industry Regulatory Authority, Inc. (“FINRA”) and are therefore subject to a 180-day lock-up described in the following sentence pursuant to FINRA Rule 5110(e)(1) commencing on the effective date of the Registration Statement as long as Chardan Capital Markets, LLC or any of its related persons beneficially own these Private Warrants. Pursuant to FINRA Rule 5110(e)(1), the Private Warrants (and the Private Warrant Shares that are issuable upon exercise of the Private Warrants) purchased by Chardan International Investments, LLC will not be sold during the offering, or sold, transferred, assigned, pledged, or hypothecated, or be the subject of any hedging, short sale, derivative, put or call transaction that would result in the economic disposition of such securities by any person for a period of 180 days immediately following the effective date of the Registration Statement, except to any underwriter and selected dealer participating in the initial public offering made pursuant to the Registration Statement and their bona fide officers or partners, provided that all such securities so transferred remain subject to the lockup restriction above for the remainder of the time period.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ind w:left="66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Exercise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Subject to the provisions of the Warrant and this Warrant Agreement, a Warrant, when countersigned by the Company, may be exercised by the Registered Holder thereof by surrendering it at the office of the Warrant Agent, or at the office of its successor as Warrant Agent, currently being:</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ind w:left="1960"/>
        <w:spacing w:after="0" w:line="205" w:lineRule="auto"/>
        <w:rPr>
          <w:sz w:val="20"/>
          <w:szCs w:val="20"/>
          <w:color w:val="auto"/>
        </w:rPr>
      </w:pPr>
      <w:r>
        <w:rPr>
          <w:rFonts w:ascii="Times New Roman" w:cs="Times New Roman" w:eastAsia="Times New Roman" w:hAnsi="Times New Roman"/>
          <w:sz w:val="18"/>
          <w:szCs w:val="18"/>
          <w:color w:val="auto"/>
        </w:rPr>
        <w:t>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Compliance Department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the subscription form, as set forth in the Warrant, duly executed, and by paying in full, in lawful money of the United States, by certified or bank cashier’s check payable to the order of the Warrant Agent or by wire transfer to the Warrant Agent’s bank account, the Warrant Price for each whole Warrant Share as to which the Warrant is exercised and any and all applicable taxes due in connection with the exercise of the Warrant, the exchange of the Warrant for the Warrant Shares, and the issuance of the Warrant Shares (such exercise, a “</w:t>
      </w:r>
      <w:r>
        <w:rPr>
          <w:rFonts w:ascii="Times New Roman" w:cs="Times New Roman" w:eastAsia="Times New Roman" w:hAnsi="Times New Roman"/>
          <w:sz w:val="18"/>
          <w:szCs w:val="18"/>
          <w:b w:val="1"/>
          <w:bCs w:val="1"/>
          <w:color w:val="auto"/>
        </w:rPr>
        <w:t>Cash Exercise</w:t>
      </w:r>
      <w:r>
        <w:rPr>
          <w:rFonts w:ascii="Times New Roman" w:cs="Times New Roman" w:eastAsia="Times New Roman" w:hAnsi="Times New Roman"/>
          <w:sz w:val="18"/>
          <w:szCs w:val="18"/>
          <w:color w:val="auto"/>
        </w:rPr>
        <w:t>”). A Cash Exercise in accordance with this Section 3.3.1 is available to the Registered Holder only during such times that there is an effective registration statement registering the Warrant Shares, with the prospectus contained therein being available for the resale of the Warrant Shares.</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Subject to Section 2.4, notwithstanding anything contained herein to the contrary, if there is no effective registration statement registering the Warrant Shares on any day the Registered Holder desires to exercise the Warrants and more than 120 days have passed since the Company complete its initial business combination, the Registered Holder may exercise the Warrants in whole or in part in lieu of making a cash payment for whole numbers of Warrant Shares, by providing notice to the Chief Financial Officer of the Company in a subscription form of its election to utilize cashless exercise, in which event the Company shall issue to the Holder the number of Warrant Shares determined as follows:</w:t>
      </w:r>
    </w:p>
    <w:p>
      <w:pPr>
        <w:spacing w:after="0" w:line="18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 = Y [(A-B)/A]</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 = the number of Warrant Shares to be issued to the Holder.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Y = the number of Warrant Shares with respect to which this Warrant is being exercised.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 the fair market value of one share of Common Stock.</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 the Warrant Price.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Registered Holder may not exercise any Warrants in the absence of a registration statement except pursuant to this </w:t>
      </w:r>
      <w:r>
        <w:rPr>
          <w:rFonts w:ascii="Times New Roman" w:cs="Times New Roman" w:eastAsia="Times New Roman" w:hAnsi="Times New Roman"/>
          <w:sz w:val="18"/>
          <w:szCs w:val="18"/>
          <w:u w:val="single" w:color="auto"/>
          <w:color w:val="auto"/>
        </w:rPr>
        <w:t>Section 3.3.2</w:t>
      </w:r>
      <w:r>
        <w:rPr>
          <w:rFonts w:ascii="Times New Roman" w:cs="Times New Roman" w:eastAsia="Times New Roman" w:hAnsi="Times New Roman"/>
          <w:sz w:val="18"/>
          <w:szCs w:val="18"/>
          <w:color w:val="auto"/>
        </w:rPr>
        <w:t>. For purposes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3.3.2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the fair market value of one share of Common Stock is defined as follows:</w:t>
      </w:r>
    </w:p>
    <w:p>
      <w:pPr>
        <w:spacing w:after="0" w:line="207" w:lineRule="exact"/>
        <w:rPr>
          <w:sz w:val="20"/>
          <w:szCs w:val="20"/>
          <w:color w:val="auto"/>
        </w:rPr>
      </w:pPr>
    </w:p>
    <w:p>
      <w:pPr>
        <w:jc w:val="both"/>
        <w:ind w:left="1960" w:hanging="8"/>
        <w:spacing w:after="0" w:line="258" w:lineRule="auto"/>
        <w:tabs>
          <w:tab w:leader="none" w:pos="217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shares of Common Stock are listed and traded on the New York Stock Exchange, the NYSE American, the NASDAQ Global Select Market, the NASDAQ Global Market or the NASDAQ Capital Market (each, a “</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the fair market value shall be deemed the average of the closing price on such Trading Market for the 10 trading days ending on the third trading day immediately prior to the date the subscription form is submitted to the Company in connection with the exercise of the Warrant; or</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jc w:val="both"/>
        <w:ind w:left="1960" w:hanging="8"/>
        <w:spacing w:after="0" w:line="261" w:lineRule="auto"/>
        <w:tabs>
          <w:tab w:leader="none" w:pos="223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Company’s shares of Common Stock are not listed on a Trading Market, but is traded in the over-the-counter market, the fair market value shall be deemed to be the average of the bid price on such Trading Market for the 10 trading days ending on the third trading day immediately prior to the date the subscription form is submitted in connection with the exercise of the Warrant; or</w:t>
      </w:r>
    </w:p>
    <w:p>
      <w:pPr>
        <w:spacing w:after="0" w:line="179" w:lineRule="exact"/>
        <w:rPr>
          <w:rFonts w:ascii="Times New Roman" w:cs="Times New Roman" w:eastAsia="Times New Roman" w:hAnsi="Times New Roman"/>
          <w:sz w:val="18"/>
          <w:szCs w:val="18"/>
          <w:color w:val="auto"/>
        </w:rPr>
      </w:pPr>
    </w:p>
    <w:p>
      <w:pPr>
        <w:ind w:left="1960" w:right="20" w:hanging="8"/>
        <w:spacing w:after="0" w:line="282" w:lineRule="auto"/>
        <w:tabs>
          <w:tab w:leader="none" w:pos="230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active public market for the Company’s shares of Common Stock, the fair market value of the shares of Common Stock shall be determined in good faith by the Company’s board of directors.</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3.3.3 </w:t>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Notwithstanding any provision to the contrary contained in this Warrant Agreement, the Company shall not be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3.3.4 </w:t>
      </w:r>
      <w:r>
        <w:rPr>
          <w:rFonts w:ascii="Times New Roman" w:cs="Times New Roman" w:eastAsia="Times New Roman" w:hAnsi="Times New Roman"/>
          <w:sz w:val="18"/>
          <w:szCs w:val="18"/>
          <w:u w:val="single" w:color="auto"/>
          <w:color w:val="auto"/>
        </w:rPr>
        <w:t>Issuance of Certificates</w:t>
      </w:r>
      <w:r>
        <w:rPr>
          <w:rFonts w:ascii="Times New Roman" w:cs="Times New Roman" w:eastAsia="Times New Roman" w:hAnsi="Times New Roman"/>
          <w:sz w:val="18"/>
          <w:szCs w:val="18"/>
          <w:color w:val="auto"/>
        </w:rPr>
        <w:t>. No later than three (3) business days following the exercise of any Warrant and the clearance of the funds in payment of the Warrant Price pursuant to Section 3.3.1 or cashless exercise pursuant to Section 3.3.2, the Company shall issue, or cause to be issued, to the Registered Holder of such Warrant a certificate or certificates representing (or at the option of the Registered Holder, deliver electronically through the facilities of the Depository Trust Corporation) the number of full shares of Common Stock to which he, she or it is entitled, registered in such name or names as may be directed by him, her or it, and, if such Warrant shall not have been exercised or surrendered in full, a new countersigned Warrant for the number of shares as to which such Warrant shall not have been exercised or surrendered. Notwithstanding the foregoing, the Company shall not deliver, or cause to be delivered, any securities without applicable restrictive legend pursuant to the exercise of a Warrant unless (a) a registration statement under the Act with respect to the shares of Common Stock issuable upon exercise of such Warrants is effective and a current prospectus relating to the shares of Common Stock issuable upon exercise of the Warrants is available for delivery to the Registered Holder of the Warrant or (b) in the opinion of counsel to the Company, the exercise of the Warrants is exempt from the registration requirements of the Act and such securities are qualified for sale or exempt from qualification under applicable securities laws of the states or other jurisdictions in which the Registered Holder resides. Warrants may not be exercised by, or securities issued to, any Registered Holder in any state in which such exercise or issuance would be unlawful. In addition, in no event will the Company be obligated to pay such Registered Holder any cash consideration upon exercise or otherwise “net cash settle” the Warrant.</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3.3.5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All shares of Common Stock issued upon the proper exercise or surrender of a Warrant in conformity with this Warrant Agreement shall be validly issued, fully paid and non-assessable.</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3.3.6 </w:t>
      </w:r>
      <w:r>
        <w:rPr>
          <w:rFonts w:ascii="Times New Roman" w:cs="Times New Roman" w:eastAsia="Times New Roman" w:hAnsi="Times New Roman"/>
          <w:sz w:val="18"/>
          <w:szCs w:val="18"/>
          <w:u w:val="single" w:color="auto"/>
          <w:color w:val="auto"/>
        </w:rPr>
        <w:t>Date of Issuance</w:t>
      </w:r>
      <w:r>
        <w:rPr>
          <w:rFonts w:ascii="Times New Roman" w:cs="Times New Roman" w:eastAsia="Times New Roman" w:hAnsi="Times New Roman"/>
          <w:sz w:val="18"/>
          <w:szCs w:val="18"/>
          <w:color w:val="auto"/>
        </w:rPr>
        <w:t>. Each person or entity in whose name any such certificate for shares of Common Stock is issued shall, for all purposes, be deemed to have become the holder of record of such shares on the date on which the Warrant was surrendered and payment of the Warrant Price was made, irrespective of the date of delivery of such certificate,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7"/>
          <w:szCs w:val="17"/>
          <w:color w:val="auto"/>
        </w:rPr>
        <w:t xml:space="preserve">3.3.7 </w:t>
      </w:r>
      <w:r>
        <w:rPr>
          <w:rFonts w:ascii="Times New Roman" w:cs="Times New Roman" w:eastAsia="Times New Roman" w:hAnsi="Times New Roman"/>
          <w:sz w:val="17"/>
          <w:szCs w:val="17"/>
          <w:u w:val="single" w:color="auto"/>
          <w:color w:val="auto"/>
        </w:rPr>
        <w:t>Maximum Percentage</w:t>
      </w:r>
      <w:r>
        <w:rPr>
          <w:rFonts w:ascii="Times New Roman" w:cs="Times New Roman" w:eastAsia="Times New Roman" w:hAnsi="Times New Roman"/>
          <w:sz w:val="17"/>
          <w:szCs w:val="17"/>
          <w:color w:val="auto"/>
        </w:rPr>
        <w:t>. A holder of a Warrant may notify the Company in writing in the event it elects to be subject to the provisions contained in this subsection 3.3.7; however, no holder of a Warrant shall be subject to this subsection 3.3.7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9.9% (the “</w:t>
      </w:r>
      <w:r>
        <w:rPr>
          <w:rFonts w:ascii="Times New Roman" w:cs="Times New Roman" w:eastAsia="Times New Roman" w:hAnsi="Times New Roman"/>
          <w:sz w:val="17"/>
          <w:szCs w:val="17"/>
          <w:b w:val="1"/>
          <w:bCs w:val="1"/>
          <w:color w:val="auto"/>
        </w:rPr>
        <w:t>Maximum Percentage</w:t>
      </w:r>
      <w:r>
        <w:rPr>
          <w:rFonts w:ascii="Times New Roman" w:cs="Times New Roman" w:eastAsia="Times New Roman" w:hAnsi="Times New Roman"/>
          <w:sz w:val="17"/>
          <w:szCs w:val="17"/>
          <w:color w:val="auto"/>
        </w:rPr>
        <w:t>”) of the shares of Common Stock outstanding immediately after giving effect to such exercise. For purposes of the foregoing sentence, the aggregate number of shares of Common Stock beneficially owned by such person and its affiliates shall include the number of shares of Common Stock issuable upon exercise of the Warrant with respect to which the determination of such sentence is being made, but shall exclude the shares of Common Stock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For purposes of the Warrant, in determining the number of outstanding shares of Common Stock, the holder may rely on the number of outstanding shares of Common Stock as reflected in (1) the Company’s most recent annual report on Form 10-K, quarterly report on Form 10-Q, current report on Form 8-K or other public filing with the SEC as the case may be, (2) a more recent public announcement by the Company, or</w:t>
      </w:r>
    </w:p>
    <w:p>
      <w:pPr>
        <w:spacing w:after="0" w:line="8" w:lineRule="exact"/>
        <w:rPr>
          <w:sz w:val="20"/>
          <w:szCs w:val="20"/>
          <w:color w:val="auto"/>
        </w:rPr>
      </w:pPr>
    </w:p>
    <w:p>
      <w:pPr>
        <w:jc w:val="both"/>
        <w:ind w:firstLine="8"/>
        <w:spacing w:after="0" w:line="252" w:lineRule="auto"/>
        <w:tabs>
          <w:tab w:leader="none" w:pos="2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notice by the Company or the Warrant Agent setting forth the number of shares of Common Stock outstanding. For any reason at any time, upon the written request of the holder of the Warrant, the Company shall, within two (2) business days, confirm orally and in writing to such holder the number of shares of Common Stock then outstanding. In any case, the number of outstanding shares of Common Stock shall be determined after giving effect to the conversion or exercise of equity securities of the Company by the holder and its affiliates since the date as of which such number of outstanding shares of Common Stock was reported. By written notice to the Company, the holder of a Warrant may from time to time increase or decrease the Maximum Percentage applicable to such holder to any other percentage specified in such notice; provided, however, that any such increase shall not be effective until the sixty-first (61st) day after such notice is delivered to the Company.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Stock Dividends, Splits</w:t>
      </w:r>
      <w:r>
        <w:rPr>
          <w:rFonts w:ascii="Times New Roman" w:cs="Times New Roman" w:eastAsia="Times New Roman" w:hAnsi="Times New Roman"/>
          <w:sz w:val="18"/>
          <w:szCs w:val="18"/>
          <w:color w:val="auto"/>
        </w:rPr>
        <w:t>. If, after the date hereof, and subject to the provisions of Section 4.5 below, the number of outstanding shares of Common Stock is increased by a stock dividend payable in shares of Common Stock, or by a forward or reverse split of shares of Common Stock, or other similar event, then, on the effective date of such stock dividend, split or similar event, the number of shares of Common Stock issuable on exercise of each Warrant shall be increased or decreased in proportion to such increase or decrease in outstanding shares of Common Stock. A rights offering to all holders of the shares of Common Stock entitling holders to purchase shares of Common Stock at a price less than the Fair Market Value shall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the shares of Common Stock) multiplied by (ii) one (1) minus the quotient of (x) the price per share of Common Stock paid in such rights offering divided by (y) the Fair Market Value. For purposes of this subsection 4.1, if the rights offering is for securities convertible into or exercisable for shares of Common Stock, in determining the price payable for the shares of Common Stock, there shall be taken into account any consideration received for such rights, as well as any additional amount payable upon exercise or conversion.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Aggregation of Shares</w:t>
      </w:r>
      <w:r>
        <w:rPr>
          <w:rFonts w:ascii="Times New Roman" w:cs="Times New Roman" w:eastAsia="Times New Roman" w:hAnsi="Times New Roman"/>
          <w:sz w:val="18"/>
          <w:szCs w:val="18"/>
          <w:color w:val="auto"/>
        </w:rPr>
        <w:t>. If, after the date hereof, and subject to the provisions of Section 4.6, the number of outstanding shares of Common Stock is decreased by a consolidation, combination or reclassification of shares of Common Stock or other similar event, then, on the effective date of such consolidation, combination, reclassification or similar event, the number of shares of Common Stock issuable on exercise of each Warrant shall be decreased in proportion to such decrease in outstanding shares of Common Stock.</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Extraordinary Dividends</w:t>
      </w:r>
      <w:r>
        <w:rPr>
          <w:rFonts w:ascii="Times New Roman" w:cs="Times New Roman" w:eastAsia="Times New Roman" w:hAnsi="Times New Roman"/>
          <w:sz w:val="18"/>
          <w:szCs w:val="18"/>
          <w:color w:val="auto"/>
        </w:rPr>
        <w:t>. If the Company, at any time while the Warrants (or rights to purchase the Warrants) are outstanding and unexpired, shall pay a dividend or make a distribution in cash, securities or other assets to the holders of the shares of Common Stock on account of such shares of Common Stock (or other shares of the Company’s capital stock into which the Warrants are convertible), other than (a) as described in subsection 4.1 above, (b) Ordinary Cash Dividends (as defined below), (c) to satisfy the conversion rights of the holders of the shares of Common Stock in connection with a proposed initial Business Combination or vote to extend the time period to complete an initial Business Combination, (d) as a result of the repurchase of shares of Common Stock by the Company in connection with an initial Business Combination or as otherwise permitted by the Investment Management Trust Agreement between the Company and the Warrant Agent dated of even date herewith or (e) in connection with the Company’s liquidation and the distribution of its assets upon its failure to consummate a Business Combination (any such non-excluded event being referred to herein as an “Extraordinary Dividend”), then the Warrant Price shall be decreased, effective immediately after the effective date of such Extraordinary Dividend, by the amount of cash and the fair market value (as determined by the Company’s board of directors, in good faith) of any securities or other assets paid on each share of Common Stock in respect of such Extraordinary Dividend. For purposes of this subsection 4.3, “Ordinary Cash Dividends” means any cash dividend or cash distribution which, when combined on a per share basis with the per share amounts of all other cash dividends and cash distributions paid on the shares of Common Stock during the 365-day period ending on the date of declaration of such dividend or distribution (as adjusted to appropriately reflect any of the events referred to in other subsections of this Section 4 and excluding cash dividends or cash distributions that resulted in an adjustment to the Warrant Price or to the number of shares of Common Stock issuable on exercise of each Warrant) does not exceed $0.50 (being 5% of the offering price of the Units in the Offering). The foregoing adjustment shall not apply to the Private Warrants.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Adjustments in Exercise Price</w:t>
      </w:r>
      <w:r>
        <w:rPr>
          <w:rFonts w:ascii="Times New Roman" w:cs="Times New Roman" w:eastAsia="Times New Roman" w:hAnsi="Times New Roman"/>
          <w:sz w:val="18"/>
          <w:szCs w:val="18"/>
          <w:color w:val="auto"/>
        </w:rPr>
        <w:t>. Whenever the number of shares of Common Stock purchasable upon the exercise of the Warrants is adjusted, as provided in Sections 4.1 and 4.2 above, the Warrant Price shall be adjusted (to the nearest cent) by multiplying such Warrant Price, immediately prior to such adjustment, by a fraction, (a) the numerator of which shall be the number of shares of Common Stock purchasable upon the exercise of the Warrants immediately prior to such adjustment, and (b) the denominator of which shall be the number of shares of Common Stock so purchasable immediately thereafter.</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Replacement of Securities upon Reorganization, etc.</w:t>
      </w:r>
      <w:r>
        <w:rPr>
          <w:rFonts w:ascii="Times New Roman" w:cs="Times New Roman" w:eastAsia="Times New Roman" w:hAnsi="Times New Roman"/>
          <w:sz w:val="18"/>
          <w:szCs w:val="18"/>
          <w:color w:val="auto"/>
        </w:rPr>
        <w:t xml:space="preserve"> In case of any reclassification or reorganization of the outstanding shares of Common Stock (other than a change covered by Sections 4.1, 4.2 or 4.3 hereof or one that solely affects the par value of such shares of Common Stock), or, in the case of any merger or consolidation of the Company with or into another corporation (other than a consolidation or merger in which the Company is the continuing corporation and that does not result in any reclassification or reorganization of the outstanding shares of Common Stock), or, in the case of any sale or conveyance to another corporation or entity of the assets or other property of the Company as an entirety or substantially as an entirety, in connection with which the Company is dissolved, the Registered Holders shall thereafter have the right to purchase and receive, upon the basis and upon the terms and conditions specified in the Warrants and in lieu of the shares of Common Stock of the Company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Registered Holder would have received if such Registered Holder had exercised his, her or its Warrant(s) immediately prior to such event; and if any reclassification also results in a change in shares of Common Stock covered by Sections 4.1, 4.2 or 4.3, then such adjustment shall be made pursuant to Sections 4.1, 4.2, 4.3 and this Section 4.5. The provisions of this Section 4.5 shall similarly apply to successive reclassifications, reorganizations, mergers or consolidations, sales or other transfers.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Notices of Changes in Warrant</w:t>
      </w:r>
      <w:r>
        <w:rPr>
          <w:rFonts w:ascii="Times New Roman" w:cs="Times New Roman" w:eastAsia="Times New Roman" w:hAnsi="Times New Roman"/>
          <w:sz w:val="18"/>
          <w:szCs w:val="18"/>
          <w:color w:val="auto"/>
        </w:rPr>
        <w:t xml:space="preserve">.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w:t>
      </w:r>
      <w:r>
        <w:rPr>
          <w:rFonts w:ascii="Times New Roman" w:cs="Times New Roman" w:eastAsia="Times New Roman" w:hAnsi="Times New Roman"/>
          <w:sz w:val="18"/>
          <w:szCs w:val="18"/>
          <w:u w:val="single" w:color="auto"/>
          <w:color w:val="auto"/>
        </w:rPr>
        <w:t>Sections 4.1 – 4.5</w:t>
      </w:r>
      <w:r>
        <w:rPr>
          <w:rFonts w:ascii="Times New Roman" w:cs="Times New Roman" w:eastAsia="Times New Roman" w:hAnsi="Times New Roman"/>
          <w:sz w:val="18"/>
          <w:szCs w:val="18"/>
          <w:color w:val="auto"/>
        </w:rPr>
        <w:t xml:space="preserve"> the Company shall give written notice to each Registered Holder, at the last address set forth for such Registered Holder in the Warrant Register, of the record date or the effective date of the event. Failure to give such notice, or any defect therein, shall not affect the legality or validity of such event.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Form of Warrant</w:t>
      </w:r>
      <w:r>
        <w:rPr>
          <w:rFonts w:ascii="Times New Roman" w:cs="Times New Roman" w:eastAsia="Times New Roman" w:hAnsi="Times New Roman"/>
          <w:sz w:val="18"/>
          <w:szCs w:val="18"/>
          <w:color w:val="auto"/>
        </w:rPr>
        <w:t>. The form of Warrant need not be changed because of any adjustment pursuant to this Section 4, and Warrants issued after such adjustment may state the same Warrant Price and the same number of shares as is stated in the Warrants initially issued pursuant to this Warrant Agreement. However,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Notice of Certain Transactions</w:t>
      </w:r>
      <w:r>
        <w:rPr>
          <w:rFonts w:ascii="Times New Roman" w:cs="Times New Roman" w:eastAsia="Times New Roman" w:hAnsi="Times New Roman"/>
          <w:sz w:val="18"/>
          <w:szCs w:val="18"/>
          <w:color w:val="auto"/>
        </w:rPr>
        <w:t>. In the event that the Company shall (a) offer to holders of all its shares of Common Stock rights to subscribe for or to purchase any securities convertible into shares of Common Stock or shares of stock of any class or any other securities, rights or options, (b) issue any rights, options or warrants entitling all the holders of shares of Common Stock to subscribe for shares of Common Stock, or (c) make a tender offer, redemption offer or exchange offer with respect to the shares of Common Stock, the Company shall send to the Registered Holders a notice of such action or offer. Such notice shall be mailed to the Registered Holders at their addresses as they appear in the Warrant Register, which shall specify the record date for the purposes of such dividend, distribution or rights, or the date such issuance or event is to take place and the date of participation therein by the holders of shares of Common Stock, if any such date is to be fixed, and shall briefly indicate the effect of such action on the shares of Common Stock and on the number and kind of any other shares of stock and on other property, if any, and the number of shares of Common Stock and other property, if any, issuable upon exercise of each Warrant and the Warrant Price after giving effect to any adjustment pursuant to this Section 4 which would be required as a result of such action. Such notice shall be given as promptly as practicable after the Company has taken any such action.</w:t>
      </w:r>
    </w:p>
    <w:p>
      <w:pPr>
        <w:spacing w:after="0" w:line="194"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Transfer of Warrants</w:t>
      </w:r>
      <w:r>
        <w:rPr>
          <w:rFonts w:ascii="Times New Roman" w:cs="Times New Roman" w:eastAsia="Times New Roman" w:hAnsi="Times New Roman"/>
          <w:sz w:val="18"/>
          <w:szCs w:val="18"/>
          <w:color w:val="auto"/>
        </w:rPr>
        <w:t>. Prior to the Detachment Date, the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From and after the Detachment Date, this Section 5.1 will have no further force and effect.</w:t>
      </w:r>
    </w:p>
    <w:p>
      <w:pPr>
        <w:spacing w:after="0" w:line="18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Registration of Transfer</w:t>
      </w:r>
      <w:r>
        <w:rPr>
          <w:rFonts w:ascii="Times New Roman" w:cs="Times New Roman" w:eastAsia="Times New Roman" w:hAnsi="Times New Roman"/>
          <w:sz w:val="17"/>
          <w:szCs w:val="17"/>
          <w:color w:val="auto"/>
        </w:rPr>
        <w:t>. The Warrant Agent shall register the transfer, from time to time, of any outstanding Warrant into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The Warrants so cancelled shall be delivered by the Warrant Agent to the Company from time to time upon the Company’s request.</w:t>
      </w:r>
    </w:p>
    <w:p>
      <w:pPr>
        <w:spacing w:after="0" w:line="16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Procedure for Surrender of Warrants</w:t>
      </w:r>
      <w:r>
        <w:rPr>
          <w:rFonts w:ascii="Times New Roman" w:cs="Times New Roman" w:eastAsia="Times New Roman" w:hAnsi="Times New Roman"/>
          <w:sz w:val="18"/>
          <w:szCs w:val="18"/>
          <w:color w:val="auto"/>
        </w:rPr>
        <w:t>.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provided, however, that, in the event a Warrant surrendered for transfer bears a restrictive legend, the Warrant Agent shall not cancel such Warrant and shall issue new Warrants in exchange therefor until the Warrant Agent has received an opinion of counsel for the Company stating that such transfer may be made and indicating whether the new Warrants must also bear a restrictive legend.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Fractional Warrants</w:t>
      </w:r>
      <w:r>
        <w:rPr>
          <w:rFonts w:ascii="Times New Roman" w:cs="Times New Roman" w:eastAsia="Times New Roman" w:hAnsi="Times New Roman"/>
          <w:sz w:val="18"/>
          <w:szCs w:val="18"/>
          <w:color w:val="auto"/>
        </w:rPr>
        <w:t>. The Warrant Agent shall not be required to effect any registration of transfer or exchange which will result in the issuance of a warrant certificate for a fraction of a warrant.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Service Charges</w:t>
      </w:r>
      <w:r>
        <w:rPr>
          <w:rFonts w:ascii="Times New Roman" w:cs="Times New Roman" w:eastAsia="Times New Roman" w:hAnsi="Times New Roman"/>
          <w:sz w:val="18"/>
          <w:szCs w:val="18"/>
          <w:color w:val="auto"/>
        </w:rPr>
        <w:t>. No service charge shall be made for any exchange or registration of transfer of Warrants.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Warrant Execution and Countersignature</w:t>
      </w:r>
      <w:r>
        <w:rPr>
          <w:rFonts w:ascii="Times New Roman" w:cs="Times New Roman" w:eastAsia="Times New Roman" w:hAnsi="Times New Roman"/>
          <w:sz w:val="18"/>
          <w:szCs w:val="18"/>
          <w:color w:val="auto"/>
        </w:rPr>
        <w:t>. The Warrant Agent is hereby authorized to countersign and to deliver, in accordance with the terms of this Warrant Agreement, the Warrants required to be issued pursuant to the provisions of this Section 5, and the Company, whenever required by the Warrant Agent, will supply the Warrant Agent with Warrants duly executed on behalf of the Company for such purpose.</w:t>
      </w:r>
    </w:p>
    <w:p>
      <w:pPr>
        <w:spacing w:after="0" w:line="176" w:lineRule="exact"/>
        <w:rPr>
          <w:sz w:val="20"/>
          <w:szCs w:val="20"/>
          <w:color w:val="auto"/>
        </w:rPr>
      </w:pPr>
    </w:p>
    <w:p>
      <w:pPr>
        <w:ind w:left="180" w:hanging="172"/>
        <w:spacing w:after="0"/>
        <w:tabs>
          <w:tab w:leader="none" w:pos="1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Subject to the second sentence of this Section 6.1, all (and not less than all) of the outstanding Warrants may be redeemed, in whole and not in part, at the option of the Company, at any time from and after the Warrants become exercisable, and prior to their expiration, at the office of the Warrant Agent, upon the notice referred to in Section 6.2, at the price of $0.01 per Warrant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provided that the last sales price of the shares of Common Stock has been equal to or greater than $16.50 per share (subject to adjustment for splits, dividends, recapitalizations and other similar events), for any twenty (20)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(defined below). For avoidance of doubt, if and when the warrants become redeemable by the Company under this Section, the Company may exercise its redemption right, even if it is unable to register or qualify the Warrant Shares for sale under all applicable state securities laws.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Date Fixed for, and Notice of, Redemption</w:t>
      </w:r>
      <w:r>
        <w:rPr>
          <w:rFonts w:ascii="Times New Roman" w:cs="Times New Roman" w:eastAsia="Times New Roman" w:hAnsi="Times New Roman"/>
          <w:sz w:val="18"/>
          <w:szCs w:val="18"/>
          <w:color w:val="auto"/>
        </w:rPr>
        <w:t>. In the event the Company shall elect to redeem all of the Warrants, the Company shall fix a date for the redemption (the “</w:t>
      </w:r>
      <w:r>
        <w:rPr>
          <w:rFonts w:ascii="Times New Roman" w:cs="Times New Roman" w:eastAsia="Times New Roman" w:hAnsi="Times New Roman"/>
          <w:sz w:val="18"/>
          <w:szCs w:val="18"/>
          <w:b w:val="1"/>
          <w:bCs w:val="1"/>
          <w:color w:val="auto"/>
        </w:rPr>
        <w:t>Redemption Date</w:t>
      </w:r>
      <w:r>
        <w:rPr>
          <w:rFonts w:ascii="Times New Roman" w:cs="Times New Roman" w:eastAsia="Times New Roman" w:hAnsi="Times New Roman"/>
          <w:sz w:val="18"/>
          <w:szCs w:val="18"/>
          <w:color w:val="auto"/>
        </w:rPr>
        <w:t>”). Notice of redemption shall be mailed by first class mail, postage prepaid, by the Company not less than 30 days prior to the date fixed for redemption to the Registered Holders of the Warrants to be redeemed at their last addresses as they shall appear on the Warrant Register. Any notice mailed in the manner herein provided shall be conclusively presumed to have been duly given, whether or not the Registered Holder received such notice.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Exercise After Notice of Redemption</w:t>
      </w:r>
      <w:r>
        <w:rPr>
          <w:rFonts w:ascii="Times New Roman" w:cs="Times New Roman" w:eastAsia="Times New Roman" w:hAnsi="Times New Roman"/>
          <w:sz w:val="18"/>
          <w:szCs w:val="18"/>
          <w:color w:val="auto"/>
        </w:rPr>
        <w:t>. The Warrants may be exercised in accordance with Section 3 of this Warrant Agreement at any time after notice of redemption shall have been given by the Company pursuant to Section 6.2 hereof and prior to the Redemption Date; provided that the Company may require the Registered Holder who desires to exercise the Warrant to elect cashless exercise as set forth under Section 3.3.2, and such Registered Holder must exercise the Warrants on a cashless basis if the Company so requires. On and after the Redemption Date, the Registered Holder of the Warrants shall have no further rights except to receive, upon surrender of the Warrants, the Redemption Price.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No Other Rights to Cash Payment</w:t>
      </w:r>
      <w:r>
        <w:rPr>
          <w:rFonts w:ascii="Times New Roman" w:cs="Times New Roman" w:eastAsia="Times New Roman" w:hAnsi="Times New Roman"/>
          <w:sz w:val="18"/>
          <w:szCs w:val="18"/>
          <w:color w:val="auto"/>
        </w:rPr>
        <w:t>. Except for a redemption in accordance with this Section 6, no Registered Holder of any Warrant shall be entitled to any cash payment whatsoever from the Company in connection with the ownership, exercise or surrender of any Warrant under this Warrant Agreement.</w:t>
      </w:r>
    </w:p>
    <w:p>
      <w:pPr>
        <w:spacing w:after="0" w:line="176" w:lineRule="exact"/>
        <w:rPr>
          <w:sz w:val="20"/>
          <w:szCs w:val="20"/>
          <w:color w:val="auto"/>
        </w:rPr>
      </w:pPr>
    </w:p>
    <w:p>
      <w:pPr>
        <w:ind w:left="180" w:hanging="172"/>
        <w:spacing w:after="0"/>
        <w:tabs>
          <w:tab w:leader="none" w:pos="1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 Relating to Rights of Registered Holders of Warrants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No Rights as Stockholder</w:t>
      </w:r>
      <w:r>
        <w:rPr>
          <w:rFonts w:ascii="Times New Roman" w:cs="Times New Roman" w:eastAsia="Times New Roman" w:hAnsi="Times New Roman"/>
          <w:sz w:val="18"/>
          <w:szCs w:val="18"/>
          <w:color w:val="auto"/>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Lost, Stolen Mutilated or Destroyed Warrants</w:t>
      </w:r>
      <w:r>
        <w:rPr>
          <w:rFonts w:ascii="Times New Roman" w:cs="Times New Roman" w:eastAsia="Times New Roman" w:hAnsi="Times New Roman"/>
          <w:sz w:val="18"/>
          <w:szCs w:val="18"/>
          <w:color w:val="auto"/>
        </w:rPr>
        <w:t>. If any Warrant is lost, stolen, mutilated or destroyed, the Company and the Warrant Agent may, on such terms as to indemnity or otherwise as they may in their discretion impose (which terms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Reservation of shares of Common Stock</w:t>
      </w:r>
      <w:r>
        <w:rPr>
          <w:rFonts w:ascii="Times New Roman" w:cs="Times New Roman" w:eastAsia="Times New Roman" w:hAnsi="Times New Roman"/>
          <w:sz w:val="18"/>
          <w:szCs w:val="18"/>
          <w:color w:val="auto"/>
        </w:rPr>
        <w:t>. The Company shall at all times reserve and keep available a number of its authorized but unissued shares of Common Stock that will be sufficient to permit the exercise in full of all outstanding Warrants issued pursuant to this Warrant Agreement.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Registration of shares of Common Stock</w:t>
      </w:r>
      <w:r>
        <w:rPr>
          <w:rFonts w:ascii="Times New Roman" w:cs="Times New Roman" w:eastAsia="Times New Roman" w:hAnsi="Times New Roman"/>
          <w:sz w:val="18"/>
          <w:szCs w:val="18"/>
          <w:color w:val="auto"/>
        </w:rPr>
        <w:t>. The Company agrees that as soon as practicable, but in no event later than thirty (30) business days after the closing of a Business Combination, it shall use its best efforts to file with the SEC a registration statement for the registration under the Act of the shares of Common Stock issuable upon exercise of the Warrants, and to cause the same to become effective and to maintain the effectiveness of such registration statement, and a current prospectus relating thereto, until the expiration of the Warrants in accordance with the provisions of this Warrant Agreement. In addition, the Company agrees to use its best efforts to register the shares of Common Stock issuable upon exercise of the Warrants under state blue sky laws, to the extent an exemption is not available.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ind w:left="180" w:hanging="172"/>
        <w:spacing w:after="0"/>
        <w:tabs>
          <w:tab w:leader="none" w:pos="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Concerning the Warrant Agent and Other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Company will, from time to time, promptly pay all taxes and charges that may be imposed upon the Company or the Warrant Agent in respect of the issuance or delivery of shares of Common Stock upon the exercise of Warrants, but the Company shall not be obligated to pay any transfer taxes in respect of the Warrants or such shares.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Resignation, Consolidation, or Merger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8.2.1 </w:t>
      </w:r>
      <w:r>
        <w:rPr>
          <w:rFonts w:ascii="Times New Roman" w:cs="Times New Roman" w:eastAsia="Times New Roman" w:hAnsi="Times New Roman"/>
          <w:sz w:val="18"/>
          <w:szCs w:val="18"/>
          <w:u w:val="single" w:color="auto"/>
          <w:color w:val="auto"/>
        </w:rPr>
        <w:t>Appointment of Successor Warrant Agent</w:t>
      </w:r>
      <w:r>
        <w:rPr>
          <w:rFonts w:ascii="Times New Roman" w:cs="Times New Roman" w:eastAsia="Times New Roman" w:hAnsi="Times New Roman"/>
          <w:sz w:val="18"/>
          <w:szCs w:val="18"/>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Registered Holder of the Warrant (who shall, with such notice, submit his, her or its Warrant for inspection by the Company), then the Registered Holder of any Warrant may apply to the Supreme Court of the State of New York for the County of New York for the appointment of a successor Warrant Agent. Any successor Warrant Agent, whether appointed by the Company or by such court, shall be a corporation organized and existing under the laws of the State of New York, in good standing and having its principal office in the Borough of Manhattan, City and State of New York, and be authorized under such laws to exercise corporate trust powers and subject to supervision or examination by federal or state authorities.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9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8.2.2 </w:t>
      </w:r>
      <w:r>
        <w:rPr>
          <w:rFonts w:ascii="Times New Roman" w:cs="Times New Roman" w:eastAsia="Times New Roman" w:hAnsi="Times New Roman"/>
          <w:sz w:val="18"/>
          <w:szCs w:val="18"/>
          <w:u w:val="single" w:color="auto"/>
          <w:color w:val="auto"/>
        </w:rPr>
        <w:t>Notice of Successor Warrant Agent</w:t>
      </w:r>
      <w:r>
        <w:rPr>
          <w:rFonts w:ascii="Times New Roman" w:cs="Times New Roman" w:eastAsia="Times New Roman" w:hAnsi="Times New Roman"/>
          <w:sz w:val="18"/>
          <w:szCs w:val="18"/>
          <w:color w:val="auto"/>
        </w:rPr>
        <w:t>. In the event a successor Warrant Agent shall be appointed, the Company shall give notice thereof to the predecessor Warrant Agent and the transfer agent for the shares of Common Stock not later than the effective date of any such appointment.</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8.2.3 </w:t>
      </w:r>
      <w:r>
        <w:rPr>
          <w:rFonts w:ascii="Times New Roman" w:cs="Times New Roman" w:eastAsia="Times New Roman" w:hAnsi="Times New Roman"/>
          <w:sz w:val="18"/>
          <w:szCs w:val="18"/>
          <w:u w:val="single" w:color="auto"/>
          <w:color w:val="auto"/>
        </w:rPr>
        <w:t>Merger or Consolidation of Warrant Agent</w:t>
      </w:r>
      <w:r>
        <w:rPr>
          <w:rFonts w:ascii="Times New Roman" w:cs="Times New Roman" w:eastAsia="Times New Roman" w:hAnsi="Times New Roman"/>
          <w:sz w:val="18"/>
          <w:szCs w:val="18"/>
          <w:color w:val="auto"/>
        </w:rPr>
        <w:t>. Any corporation into which the Warrant Agent may be merged or with which it may be consolidated or any corporation resulting from any merger or consolidation to which the Warrant Agent shall be a party shall be the successor Warrant Agent under this Warrant Agreement without any further act on the part of the Company or the Warrant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Fees and Expenses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8.3.1 </w:t>
      </w:r>
      <w:r>
        <w:rPr>
          <w:rFonts w:ascii="Times New Roman" w:cs="Times New Roman" w:eastAsia="Times New Roman" w:hAnsi="Times New Roman"/>
          <w:sz w:val="18"/>
          <w:szCs w:val="18"/>
          <w:u w:val="single" w:color="auto"/>
          <w:color w:val="auto"/>
        </w:rPr>
        <w:t>Remuneration</w:t>
      </w:r>
      <w:r>
        <w:rPr>
          <w:rFonts w:ascii="Times New Roman" w:cs="Times New Roman" w:eastAsia="Times New Roman" w:hAnsi="Times New Roman"/>
          <w:sz w:val="18"/>
          <w:szCs w:val="18"/>
          <w:color w:val="auto"/>
        </w:rPr>
        <w:t>. The Company agrees to pay the Warrant Agent reasonable remuneration for its services as Warrant Agent hereunder and will reimburse the Warrant Agent upon demand for all expenditures that the Warrant Agent may reasonably incur in the execution of its duties hereunder.</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8.3.2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Warrant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8.4 </w:t>
      </w:r>
      <w:r>
        <w:rPr>
          <w:rFonts w:ascii="Times New Roman" w:cs="Times New Roman" w:eastAsia="Times New Roman" w:hAnsi="Times New Roman"/>
          <w:sz w:val="18"/>
          <w:szCs w:val="18"/>
          <w:u w:val="single" w:color="auto"/>
          <w:color w:val="auto"/>
        </w:rPr>
        <w:t>Liability of Warrant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8.4.1 </w:t>
      </w:r>
      <w:r>
        <w:rPr>
          <w:rFonts w:ascii="Times New Roman" w:cs="Times New Roman" w:eastAsia="Times New Roman" w:hAnsi="Times New Roman"/>
          <w:sz w:val="18"/>
          <w:szCs w:val="18"/>
          <w:u w:val="single" w:color="auto"/>
          <w:color w:val="auto"/>
        </w:rPr>
        <w:t>Reliance on Company Statement</w:t>
      </w:r>
      <w:r>
        <w:rPr>
          <w:rFonts w:ascii="Times New Roman" w:cs="Times New Roman" w:eastAsia="Times New Roman" w:hAnsi="Times New Roman"/>
          <w:sz w:val="18"/>
          <w:szCs w:val="18"/>
          <w:color w:val="auto"/>
        </w:rPr>
        <w:t>. Whenever, in the performance of its duties under this Warrant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or Chairman of the Board of the Company and delivered to the Warrant Agent. The Warrant Agent may rely upon such statement for any action taken or suffered in good faith by it pursuant to the provisions of this Warrant Agreement.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8.4.2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Warrant Agent shall be liable hereunder only for its own gross negligence, willful misconduct or bad faith. The Company agrees to indemnify the Warrant Agent and hold it harmless against any and all liabilities, including judgments, costs and reasonable counsel fees, for anything done or omitted by the Warrant Agent in the execution of this Warrant Agreement, except as a result of the Warrant Agent’s gross negligence, willful misconduct or bad faith.</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8.4.3 </w:t>
      </w:r>
      <w:r>
        <w:rPr>
          <w:rFonts w:ascii="Times New Roman" w:cs="Times New Roman" w:eastAsia="Times New Roman" w:hAnsi="Times New Roman"/>
          <w:sz w:val="18"/>
          <w:szCs w:val="18"/>
          <w:u w:val="single" w:color="auto"/>
          <w:color w:val="auto"/>
        </w:rPr>
        <w:t>Exclusions</w:t>
      </w:r>
      <w:r>
        <w:rPr>
          <w:rFonts w:ascii="Times New Roman" w:cs="Times New Roman" w:eastAsia="Times New Roman" w:hAnsi="Times New Roman"/>
          <w:sz w:val="18"/>
          <w:szCs w:val="18"/>
          <w:color w:val="auto"/>
        </w:rPr>
        <w:t>. The Warrant Agent shall have no responsibility with respect to the validity of this Warrant Agreement or with respect to the validity or execution of any Warrant (except its countersignature thereof); nor shall it be responsible for any breach by the Company of any covenant or condition contained in this Warrant Agreement or in any Warrant; nor shall it be responsible to make any adjustments required under the provisions of Section 4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Warrant Agreement or any Warrant or as to whether any shares of Common Stock will when issued be valid and fully paid and non-assessable.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Acceptance of Agency</w:t>
      </w:r>
      <w:r>
        <w:rPr>
          <w:rFonts w:ascii="Times New Roman" w:cs="Times New Roman" w:eastAsia="Times New Roman" w:hAnsi="Times New Roman"/>
          <w:sz w:val="18"/>
          <w:szCs w:val="18"/>
          <w:color w:val="auto"/>
        </w:rPr>
        <w:t>. The Warrant Agent hereby accepts the agency established by this Warrant Agreement and agrees to perform the same upon the terms and conditions herein set forth and, among other things, shall account promptly to the Company with respect to Warrants exercised and concurrently account for, and pay to the Company, all moneys received by the Warrant Agent for the purchase of shares of the Company’s shares of Common Stock through the exercise of Warrants.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Warrant Agent hereby waives any right of set-off or any other right, title, interest or claim of any kind (“Claim”) in or to any distribution of the Trust Account (as defined in that certain Investment Management Trust Agreement, dated as of the date hereof, by and between the Company and the Warrant Agent as trustee thereunder) and hereby agrees not to seek recourse, reimbursement, payment or satisfaction for any Claim against the Trust Account for any reason whatsoever.</w:t>
      </w:r>
    </w:p>
    <w:p>
      <w:pPr>
        <w:spacing w:after="0" w:line="180" w:lineRule="exact"/>
        <w:rPr>
          <w:sz w:val="20"/>
          <w:szCs w:val="20"/>
          <w:color w:val="auto"/>
        </w:rPr>
      </w:pPr>
    </w:p>
    <w:p>
      <w:pPr>
        <w:ind w:left="180" w:hanging="172"/>
        <w:spacing w:after="0"/>
        <w:tabs>
          <w:tab w:leader="none" w:pos="1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the covenants and provisions of this Warrant Agreement by or for the benefit of the Company or the Warrant Agent shall bind and inure to the benefit of their respective successors and assigns.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statement or demand authorized by this Warrant Agreement to be given or made by the Warrant Agent or by the Registered Holder of any Warrant to or on the Company shall be delivered by hand or sent by registered or certified mail or overnight courier service, addressed (until another address is filed in writing by the Company with the Warrant Agent) as follows: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10154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Attn: Giovanni Caruso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notice, statement or demand authorized by this Warrant Agreement to be given or made by the Registered Holder of any Warrant or by the Company to or on the Warrant Agent shall be delivered by hand or sent by registered or certified mail or overnight courier service, addressed (until another address is filed in writing by the Warrant Agent with the Company), as follows: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ind w:left="1300"/>
        <w:spacing w:after="0" w:line="205" w:lineRule="auto"/>
        <w:rPr>
          <w:sz w:val="20"/>
          <w:szCs w:val="20"/>
          <w:color w:val="auto"/>
        </w:rPr>
      </w:pPr>
      <w:r>
        <w:rPr>
          <w:rFonts w:ascii="Times New Roman" w:cs="Times New Roman" w:eastAsia="Times New Roman" w:hAnsi="Times New Roman"/>
          <w:sz w:val="18"/>
          <w:szCs w:val="18"/>
          <w:color w:val="auto"/>
        </w:rPr>
        <w:t>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notice, sent pursuant to this Warrant Agreement shall be effective, if delivered by hand, upon receipt thereof by the party to whom it is addressed, if sent by overnight courier, on the next business day of the delivery to the courier, and if sent by registered or certified mail on the third day after registration or certification thereof.</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The validity, interpretation, and performance of this Warrant Agreement and of the Warrants shall be governed in all respects by the laws of the State of New York, without giving effect to conflict of laws. Subject to applicable law, the Company and the Warrant Agent hereby agree that any action, proceeding or claim against either of them arising out of or relating in any way to this Warrant Agreement shall be brought and enforced in the courts of the State of New York or the United States District Court for the Southern District of New York, and irrevocably submits to such jurisdiction, which jurisdiction shall be exclusive forum for any such action, proceeding or claim. The Company and the Warrant Agent hereby waive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Any person or entity purchasing or otherwise acquiring any interest in the Warrants shall be deemed to have notice of and to have consented to the forum provisions in this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If any action, the subject matter of which is within the scope the forum provisions above, is filed in a court other than a court located within the State of New York or the United States District Court for the Southern District of New York (a “</w:t>
      </w:r>
      <w:r>
        <w:rPr>
          <w:rFonts w:ascii="Times New Roman" w:cs="Times New Roman" w:eastAsia="Times New Roman" w:hAnsi="Times New Roman"/>
          <w:sz w:val="18"/>
          <w:szCs w:val="18"/>
          <w:b w:val="1"/>
          <w:bCs w:val="1"/>
          <w:color w:val="auto"/>
        </w:rPr>
        <w:t>foreign action</w:t>
      </w:r>
      <w:r>
        <w:rPr>
          <w:rFonts w:ascii="Times New Roman" w:cs="Times New Roman" w:eastAsia="Times New Roman" w:hAnsi="Times New Roman"/>
          <w:sz w:val="18"/>
          <w:szCs w:val="18"/>
          <w:color w:val="auto"/>
        </w:rPr>
        <w:t>”)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w:t>
      </w:r>
      <w:r>
        <w:rPr>
          <w:rFonts w:ascii="Times New Roman" w:cs="Times New Roman" w:eastAsia="Times New Roman" w:hAnsi="Times New Roman"/>
          <w:sz w:val="18"/>
          <w:szCs w:val="18"/>
          <w:b w:val="1"/>
          <w:bCs w:val="1"/>
          <w:color w:val="auto"/>
        </w:rPr>
        <w:t>enforcement action</w:t>
      </w:r>
      <w:r>
        <w:rPr>
          <w:rFonts w:ascii="Times New Roman" w:cs="Times New Roman" w:eastAsia="Times New Roman" w:hAnsi="Times New Roman"/>
          <w:sz w:val="18"/>
          <w:szCs w:val="18"/>
          <w:color w:val="auto"/>
        </w:rPr>
        <w:t>”), and (y) having service of process made upon such Warrant holder in any such enforcement action by service upon such Warrant holder's counsel in the foreign action as agent for such Warrant holder.</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Any such process or summons to be served upon the Company or the Warrant Agent may be served by transmitting a copy thereof by registered or certified mail, return receipt requested, postage prepaid, addressed to it at the address set forth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hereof. Such mailing shall be deemed personal service and shall be legal and binding upon the party receiving such service in any action, proceeding or claim.</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Persons Having Rights under this Warrant Agreement</w:t>
      </w:r>
      <w:r>
        <w:rPr>
          <w:rFonts w:ascii="Times New Roman" w:cs="Times New Roman" w:eastAsia="Times New Roman" w:hAnsi="Times New Roman"/>
          <w:sz w:val="18"/>
          <w:szCs w:val="18"/>
          <w:color w:val="auto"/>
        </w:rPr>
        <w:t xml:space="preserve">. Nothing in this Warrant Agreement expressed and nothing that may be implied from any of the provisions hereof is intended, or shall be construed, to confer upon, or give to, any person or corporation other than the parties hereto and the Registered Holders of the Warrants and, for the purposes of </w:t>
      </w:r>
      <w:r>
        <w:rPr>
          <w:rFonts w:ascii="Times New Roman" w:cs="Times New Roman" w:eastAsia="Times New Roman" w:hAnsi="Times New Roman"/>
          <w:sz w:val="18"/>
          <w:szCs w:val="18"/>
          <w:u w:val="single" w:color="auto"/>
          <w:color w:val="auto"/>
        </w:rPr>
        <w:t>Sections 2.5</w:t>
      </w:r>
      <w:r>
        <w:rPr>
          <w:rFonts w:ascii="Times New Roman" w:cs="Times New Roman" w:eastAsia="Times New Roman" w:hAnsi="Times New Roman"/>
          <w:sz w:val="18"/>
          <w:szCs w:val="18"/>
          <w:color w:val="auto"/>
        </w:rPr>
        <w:t xml:space="preserve"> hereof, the Representative and the underwriters, any right, remedy, or claim under or by reason of this Warrant Agreement or of any covenant, condition, stipulation, promise, or agreement hereof. All covenants, conditions, stipulations, promises, and agreements contained in this Warrant Agreement shall be for the sole and exclusive benefit of the parties hereto and their successors and assigns and of the Registered Holders of the Warrants.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Examination of the Warrant Agreement</w:t>
      </w:r>
      <w:r>
        <w:rPr>
          <w:rFonts w:ascii="Times New Roman" w:cs="Times New Roman" w:eastAsia="Times New Roman" w:hAnsi="Times New Roman"/>
          <w:sz w:val="18"/>
          <w:szCs w:val="18"/>
          <w:color w:val="auto"/>
        </w:rPr>
        <w:t>. A copy of this Warrant Agreement shall be available at all reasonable times at the office of the Warrant Agent in the Borough of Manhattan, City and State of New York, for inspection by the Registered Holder of any Warrant. The Warrant Agent may require any such Registered Holder to submit his, her or its Warrant for inspection.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Counterparts- Facsimile Signatures</w:t>
      </w:r>
      <w:r>
        <w:rPr>
          <w:rFonts w:ascii="Times New Roman" w:cs="Times New Roman" w:eastAsia="Times New Roman" w:hAnsi="Times New Roman"/>
          <w:sz w:val="18"/>
          <w:szCs w:val="18"/>
          <w:color w:val="auto"/>
        </w:rPr>
        <w:t>. This Warrant Agreement may be executed in any number of counterparts, and each of such counterparts shall, for all purposes, be deemed to be an original, and all such counterparts shall together constitute one and the same instrument. Facsimile signatures shall constitute original signatures for all purposes of this Warrant Agreement.</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are not part of this Warrant Agreement and shall not affect the interpretation thereof</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Warrant Agreement and any Warrant certificate may be amended by the parties hereto by executing a supplemental warrant agreement (a “</w:t>
      </w:r>
      <w:r>
        <w:rPr>
          <w:rFonts w:ascii="Times New Roman" w:cs="Times New Roman" w:eastAsia="Times New Roman" w:hAnsi="Times New Roman"/>
          <w:sz w:val="18"/>
          <w:szCs w:val="18"/>
          <w:b w:val="1"/>
          <w:bCs w:val="1"/>
          <w:color w:val="auto"/>
        </w:rPr>
        <w:t>Supplemental Agreement</w:t>
      </w:r>
      <w:r>
        <w:rPr>
          <w:rFonts w:ascii="Times New Roman" w:cs="Times New Roman" w:eastAsia="Times New Roman" w:hAnsi="Times New Roman"/>
          <w:sz w:val="18"/>
          <w:szCs w:val="18"/>
          <w:color w:val="auto"/>
        </w:rPr>
        <w:t>”), without the consent of any of the Warrant holders, for the purpose of (i) curing any ambiguity, or curing, correcting or supplementing any defective provision contained herein, or making any other provisions with respect to matters or questions arising under this Warrant Agreement that is not inconsistent with the provisions of this Warrant Agreement or the Warrant certificates, (ii) evidencing the succession of another corporation to the Company and the assumption by any such successor of the covenants of the Company contained in this Warrant Agreement and the Warrants, (iii) evidencing and providing for the acceptance of appointment by a successor Warrant Agent with respect to the Warrants, (iv) adding to the covenants of the Company for the benefit of the Registered Holders or surrendering any right or power conferred upon the Company under this Warrant Agreement, or (viii) amending this Warrant Agreement and the Warrants in any manner that the Company may deem to be necessary or desirable and that will not adversely affect the interests of the Registered Holders in any material respect. All other modifications or amendments to this Warrant Agreement, including any amendment to increase the Warrant Price or shorten the Exercise Period, shall require the written consent of the Registered Holders of a majority of the then outstanding Warrants. Notwithstanding the foregoing, the Company may extend the duration of the Exercise Period in accordance with Section 3.2 without such consent.</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Warrant Agreement shall be deemed severable, and the invalidity or unenforceability of any term or provision hereof shall not affect the validity or enforceability of this Warrant Agreement or of any other term or provision hereof. Furthermore, in lieu of any such invalid or unenforceable term or provision, the parties hereto intend that there shall be added as a part of this Warrant Agreement a provision as similar in terms to such invalid or unenforceable provision as may be possible and be valid and enforceable.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IN WITNESS WHEREOF, this Warrant Agreement has been duly executed by the parties hereto as of the day and year first above written.</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CONTINENTAL STOCK TRANSFER &amp; TRUST</w:t>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07"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Isaac J.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0"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Isaac J. Kagan</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i w:val="1"/>
          <w:iCs w:val="1"/>
          <w:color w:val="auto"/>
        </w:rPr>
        <w:t>[Signature Page to Warrant Agreement]</w:t>
      </w:r>
    </w:p>
    <w:p>
      <w:pPr>
        <w:spacing w:after="0" w:line="200" w:lineRule="exact"/>
        <w:rPr>
          <w:sz w:val="20"/>
          <w:szCs w:val="20"/>
          <w:color w:val="auto"/>
        </w:rPr>
      </w:pPr>
    </w:p>
    <w:p>
      <w:pPr>
        <w:spacing w:after="0" w:line="23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337" w:right="959" w:bottom="1440" w:gutter="0" w:footer="0" w:header="0"/>
        </w:sectPr>
      </w:pPr>
    </w:p>
    <w:bookmarkStart w:id="69" w:name="page70"/>
    <w:bookmarkEnd w:id="6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Warrant</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SPECIMEN WARRANT CERTIFICATE</w:t>
      </w:r>
    </w:p>
    <w:p>
      <w:pPr>
        <w:sectPr>
          <w:pgSz w:w="11900" w:h="16838" w:orient="portrait"/>
          <w:cols w:equalWidth="0" w:num="1">
            <w:col w:w="11240"/>
          </w:cols>
          <w:pgMar w:left="320" w:top="333" w:right="33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WARRANTS</w:t>
      </w:r>
    </w:p>
    <w:p>
      <w:pPr>
        <w:spacing w:after="0" w:line="434" w:lineRule="exact"/>
        <w:rPr>
          <w:sz w:val="20"/>
          <w:szCs w:val="20"/>
          <w:color w:val="auto"/>
        </w:rPr>
      </w:pPr>
    </w:p>
    <w:p>
      <w:pPr>
        <w:sectPr>
          <w:pgSz w:w="11900" w:h="16838" w:orient="portrait"/>
          <w:cols w:equalWidth="0" w:num="2">
            <w:col w:w="9180" w:space="720"/>
            <w:col w:w="1340"/>
          </w:cols>
          <w:pgMar w:left="320" w:top="333" w:right="339" w:bottom="1440" w:gutter="0" w:footer="0" w:header="0"/>
          <w:type w:val="continuous"/>
        </w:sectPr>
      </w:pPr>
    </w:p>
    <w:p>
      <w:pPr>
        <w:spacing w:after="0" w:line="7" w:lineRule="exact"/>
        <w:rPr>
          <w:sz w:val="20"/>
          <w:szCs w:val="20"/>
          <w:color w:val="auto"/>
        </w:rPr>
      </w:pPr>
    </w:p>
    <w:p>
      <w:pPr>
        <w:jc w:val="center"/>
        <w:ind w:left="340" w:right="1720"/>
        <w:spacing w:after="0" w:line="266" w:lineRule="auto"/>
        <w:rPr>
          <w:sz w:val="20"/>
          <w:szCs w:val="20"/>
          <w:color w:val="auto"/>
        </w:rPr>
      </w:pPr>
      <w:r>
        <w:rPr>
          <w:rFonts w:ascii="Times New Roman" w:cs="Times New Roman" w:eastAsia="Times New Roman" w:hAnsi="Times New Roman"/>
          <w:sz w:val="18"/>
          <w:szCs w:val="18"/>
          <w:color w:val="auto"/>
        </w:rPr>
        <w:t>(THIS WARRANT WILL BE VOID IF NOT EXERCISED PRIOR TO 5:00 P.M. NEW YORK CITY TIME, FIVE YEARS FROM THE CLOSING DATE OF THE COMPANY’S INITIAL BUSINESS COMBINATION)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7"/>
          <w:szCs w:val="17"/>
          <w:color w:val="auto"/>
        </w:rPr>
        <w:t>CUSIP 92280L119</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WARRANT</w:t>
      </w:r>
    </w:p>
    <w:p>
      <w:pPr>
        <w:spacing w:after="0" w:line="207" w:lineRule="exact"/>
        <w:rPr>
          <w:sz w:val="20"/>
          <w:szCs w:val="20"/>
          <w:color w:val="auto"/>
        </w:rPr>
      </w:pPr>
    </w:p>
    <w:p>
      <w:pPr>
        <w:spacing w:after="0"/>
        <w:tabs>
          <w:tab w:leader="none" w:pos="6080" w:val="left"/>
        </w:tabs>
        <w:rPr>
          <w:sz w:val="20"/>
          <w:szCs w:val="20"/>
          <w:color w:val="auto"/>
        </w:rPr>
      </w:pPr>
      <w:r>
        <w:rPr>
          <w:rFonts w:ascii="Times New Roman" w:cs="Times New Roman" w:eastAsia="Times New Roman" w:hAnsi="Times New Roman"/>
          <w:sz w:val="18"/>
          <w:szCs w:val="18"/>
          <w:color w:val="auto"/>
        </w:rPr>
        <w:t>THIS WARRANT CERTIFIES THAT, for value received</w:t>
      </w:r>
      <w:r>
        <w:rPr>
          <w:sz w:val="20"/>
          <w:szCs w:val="20"/>
          <w:color w:val="auto"/>
        </w:rPr>
        <w:tab/>
      </w:r>
      <w:r>
        <w:rPr>
          <w:rFonts w:ascii="Times New Roman" w:cs="Times New Roman" w:eastAsia="Times New Roman" w:hAnsi="Times New Roman"/>
          <w:sz w:val="17"/>
          <w:szCs w:val="17"/>
          <w:color w:val="auto"/>
        </w:rPr>
        <w:t>, or registered assigns, is the registered holder of a Warrant or Warrants</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“Warrant”), expiring on a date which is five (5) years from the completion of the Company’s initial business combination, to purchase one-half of one fully paid and non-assessable share (the “Warrant Shares”), of common stock, par value $0.0001 per share (the “Common Stock”), of Ventoux CCM Acquisition Corp., a Delaware corporation (the “Company”), for each Warrant evidenced by this Warrant Certificate. This Warrant Certificate is subject to and shall be interpreted under the terms and conditions of the Warrant Agreement (as defined below).</w:t>
      </w:r>
    </w:p>
    <w:p>
      <w:pPr>
        <w:spacing w:after="0" w:line="18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18"/>
          <w:szCs w:val="18"/>
          <w:color w:val="auto"/>
        </w:rPr>
        <w:t>The Warrant entitles the holder thereof to purchase from the Company, from time to time, in whole or in part, commencing on the later to occur of (i) the completion of the Company’s initial business combination or (ii) twelve (12) months following the closing of the Company’s initial public offering, such number of Warrant Shares at the price of $11.50 per share (the “Warrant Price”), upon surrender of this Warrant Certificate and payment of the Warrant Price at the office or agency of Continental Stock Transfer &amp; Trust Company (the “Warrant Agent”), such payment to be made subject to the conditions set forth herein and in the Warrant Agreement, dated [●], 2020, between the Company and the Warrant Agent (the “Warrant Agreement”). In no event shall the registered holder(s) of this Warrant be entitled to receive a net-cash settlement in lieu of physical settlement in Warrant Shares of the Company. The Warrant Agreement provides that, upon the occurrence of certain events, the Warrant Price and the number of Warrant Shares purchasable hereunder, set forth on the face hereof, may be adjusted, subject to certain conditions. The term Warrant Price as used in this Warrant Certificate refers to the price per full Warrant Share at which Warrant Shares may be purchased at the time the Warrant is exercised.</w:t>
      </w:r>
    </w:p>
    <w:p>
      <w:pPr>
        <w:spacing w:after="0" w:line="188" w:lineRule="exact"/>
        <w:rPr>
          <w:sz w:val="20"/>
          <w:szCs w:val="20"/>
          <w:color w:val="auto"/>
        </w:rPr>
      </w:pPr>
    </w:p>
    <w:p>
      <w:pPr>
        <w:jc w:val="both"/>
        <w:ind w:firstLine="441"/>
        <w:spacing w:after="0" w:line="282" w:lineRule="auto"/>
        <w:rPr>
          <w:sz w:val="20"/>
          <w:szCs w:val="20"/>
          <w:color w:val="auto"/>
        </w:rPr>
      </w:pPr>
      <w:r>
        <w:rPr>
          <w:rFonts w:ascii="Times New Roman" w:cs="Times New Roman" w:eastAsia="Times New Roman" w:hAnsi="Times New Roman"/>
          <w:sz w:val="18"/>
          <w:szCs w:val="18"/>
          <w:color w:val="auto"/>
        </w:rPr>
        <w:t>This Warrant will expire on the date first referenced above if it is not exercised prior to such date by the registered holder pursuant to the terms of the Warrant Agreement or if it is not redeemed by the Company prior to such date.</w:t>
      </w:r>
    </w:p>
    <w:p>
      <w:pPr>
        <w:spacing w:after="0" w:line="162"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No fractional shares will be issued upon any exercise of a Warrant. If, upon exercise of a Warrant, a holder would be entitled to receive a fractional interest in a share, the Company will, upon exercise, issue or cause to be issued only the largest whole number of Warrant Shares issuable on such exercise (and such fraction of a share will be disregarded).</w:t>
      </w:r>
    </w:p>
    <w:p>
      <w:pPr>
        <w:spacing w:after="0" w:line="176" w:lineRule="exact"/>
        <w:rPr>
          <w:sz w:val="20"/>
          <w:szCs w:val="20"/>
          <w:color w:val="auto"/>
        </w:rPr>
      </w:pPr>
    </w:p>
    <w:p>
      <w:pPr>
        <w:ind w:right="400" w:firstLine="441"/>
        <w:spacing w:after="0" w:line="312" w:lineRule="auto"/>
        <w:rPr>
          <w:sz w:val="20"/>
          <w:szCs w:val="20"/>
          <w:color w:val="auto"/>
        </w:rPr>
      </w:pPr>
      <w:r>
        <w:rPr>
          <w:rFonts w:ascii="Times New Roman" w:cs="Times New Roman" w:eastAsia="Times New Roman" w:hAnsi="Times New Roman"/>
          <w:sz w:val="17"/>
          <w:szCs w:val="17"/>
          <w:color w:val="auto"/>
        </w:rPr>
        <w:t>Upon any exercise of the Warrant for less than the total number of full Warrant Shares provided for herein, there shall be issued to the registered holder(s) hereof or its assignee(s) a new Warrant Certificate covering the number of Warrant Shares for which the Warrant has not been exercised.</w:t>
      </w:r>
    </w:p>
    <w:p>
      <w:pPr>
        <w:spacing w:after="0" w:line="140" w:lineRule="exact"/>
        <w:rPr>
          <w:sz w:val="20"/>
          <w:szCs w:val="20"/>
          <w:color w:val="auto"/>
        </w:rPr>
      </w:pPr>
    </w:p>
    <w:p>
      <w:pPr>
        <w:ind w:right="180" w:firstLine="441"/>
        <w:spacing w:after="0" w:line="266" w:lineRule="auto"/>
        <w:rPr>
          <w:sz w:val="20"/>
          <w:szCs w:val="20"/>
          <w:color w:val="auto"/>
        </w:rPr>
      </w:pPr>
      <w:r>
        <w:rPr>
          <w:rFonts w:ascii="Times New Roman" w:cs="Times New Roman" w:eastAsia="Times New Roman" w:hAnsi="Times New Roman"/>
          <w:sz w:val="18"/>
          <w:szCs w:val="18"/>
          <w:color w:val="auto"/>
        </w:rPr>
        <w:t>Warrant Certificates, when surrendered at the office or agency of the Warrant Agent by the registered holder(s) hereof in person or by attorney duly authorized in writing, may be exchanged in the manner and subject to the limitations provided in the Warrant Agreement, but without payment of any service charge, for another Warrant Certificate or Warrant Certificates of like tenor and evidencing in the aggregate a like number of Warrants.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70" w:name="page71"/>
    <w:bookmarkEnd w:id="70"/>
    <w:p>
      <w:pPr>
        <w:jc w:val="both"/>
        <w:ind w:firstLine="441"/>
        <w:spacing w:after="0" w:line="289" w:lineRule="auto"/>
        <w:rPr>
          <w:sz w:val="20"/>
          <w:szCs w:val="20"/>
          <w:color w:val="auto"/>
        </w:rPr>
      </w:pPr>
      <w:r>
        <w:rPr>
          <w:rFonts w:ascii="Times New Roman" w:cs="Times New Roman" w:eastAsia="Times New Roman" w:hAnsi="Times New Roman"/>
          <w:sz w:val="17"/>
          <w:szCs w:val="17"/>
          <w:color w:val="auto"/>
        </w:rPr>
        <w:t>Upon due presentment for registration of transfer of the Warrant Certificate at the office or agency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applicable tax or other governmental charge.</w:t>
      </w:r>
    </w:p>
    <w:p>
      <w:pPr>
        <w:spacing w:after="0" w:line="158"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Company and the Warrant Agent may deem and treat the registered holder(s) as the absolute owner(s) of this Warrant Certificate (notwithstanding any notation of ownership or other writing hereon made by anyone) for the purpose of any exercise hereof, of any distribution to the registered holder(s), and for all other purposes, and neither the Company nor the Warrant Agent shall be affected by any notice to the contrary.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Warrant does not entitle the registered holder(s) to any of the rights of a stockholder of the Company.</w:t>
      </w:r>
    </w:p>
    <w:p>
      <w:pPr>
        <w:spacing w:after="0" w:line="225" w:lineRule="exact"/>
        <w:rPr>
          <w:sz w:val="20"/>
          <w:szCs w:val="20"/>
          <w:color w:val="auto"/>
        </w:rPr>
      </w:pPr>
    </w:p>
    <w:p>
      <w:pPr>
        <w:jc w:val="both"/>
        <w:ind w:firstLine="441"/>
        <w:spacing w:after="0" w:line="255" w:lineRule="auto"/>
        <w:rPr>
          <w:sz w:val="20"/>
          <w:szCs w:val="20"/>
          <w:color w:val="auto"/>
        </w:rPr>
      </w:pPr>
      <w:r>
        <w:rPr>
          <w:rFonts w:ascii="Times New Roman" w:cs="Times New Roman" w:eastAsia="Times New Roman" w:hAnsi="Times New Roman"/>
          <w:sz w:val="18"/>
          <w:szCs w:val="18"/>
          <w:color w:val="auto"/>
        </w:rPr>
        <w:t>After the Warrant becomes exercisable and prior to its expiration date, the Company reserves the right to call the Warrant at any time, with a notice of call in writing to the holder(s) of record of the Warrant, giving thirty (30) days’ written notice of such call if the last reported sale price of the Common Stock has been equal to or greater than $16.50 per share for any twenty (20) trading days within a thirty (30) trading day period ending on the third (3rd) trading day prior to the date on which notice of such call is given, provided that (i) a registration statement under the Securities Act of 1933, as amended (the “Act”) with respect to the shares of Common Stock issuable upon exercise must be effective and a current prospectus must be available for use by the registered holders hereof or (ii) the Warrants may be exercised on cashless basis as set forth in the Warrant Agreement and such cashless exercise is exempt from registration under the Act. The call price is $0.01 per Warrant Share. No fractional shares will be issued upon exercise of the Warrant.</w:t>
      </w:r>
    </w:p>
    <w:p>
      <w:pPr>
        <w:spacing w:after="0" w:line="18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If the foregoing conditions are satisfied and the Company calls the Warrant for redemption, each holder will then be entitled to exercise his, her or its Warrant prior to the date scheduled for redemption; provided that the Company may require the Registered Holder who desires to exercise the Warrant, to elect cashless exercise as set forth in the Warrant Agreement, and such Registered Holder must exercise the Warrants on a cashless basis if the Company so requires. Any Warrant either not exercised or tendered back to the Company by the end of the date specified in the notice of call shall be canceled on the books of the Company and have no further value except for the $0.01 call price.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color w:val="auto"/>
        </w:rPr>
        <w:t>[REVERSE OF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SUBSCRIPTION FORM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Executed by the Registered Holder(s) in Order to Exercise Warrants</w:t>
      </w:r>
    </w:p>
    <w:p>
      <w:pPr>
        <w:spacing w:after="0" w:line="225"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The undersigned hereby irrevocably elects to exercise the right, represented by this Warrant Certificate, to receive shares of Common Stock in accordance with the terms of this Warrant Certificate and pursuant to the method selected below. Capitalized terms used herein and not otherwise defined have the respective meanings set forth in the Warrant Certificate. PLEASE CHECK ONE METHOD OF PAYMENT:</w:t>
      </w:r>
    </w:p>
    <w:p>
      <w:pPr>
        <w:spacing w:after="0" w:line="379" w:lineRule="exact"/>
        <w:rPr>
          <w:sz w:val="20"/>
          <w:szCs w:val="20"/>
          <w:color w:val="auto"/>
        </w:rPr>
      </w:pPr>
    </w:p>
    <w:tbl>
      <w:tblPr>
        <w:tblLayout w:type="fixed"/>
        <w:tblInd w:w="3720" w:type="dxa"/>
        <w:tblCellMar>
          <w:top w:w="0" w:type="dxa"/>
          <w:left w:w="0" w:type="dxa"/>
          <w:bottom w:w="0" w:type="dxa"/>
          <w:right w:w="0" w:type="dxa"/>
        </w:tblCellMar>
      </w:tblPr>
      <w:tr>
        <w:trPr>
          <w:trHeight w:val="207"/>
        </w:trPr>
        <w:tc>
          <w:tcPr>
            <w:tcW w:w="2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“Cash Exercise” with respect to</w:t>
            </w:r>
          </w:p>
        </w:tc>
        <w:tc>
          <w:tcPr>
            <w:tcW w:w="4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Warrant Shares; and/or</w:t>
            </w:r>
          </w:p>
        </w:tc>
      </w:tr>
      <w:tr>
        <w:trPr>
          <w:trHeight w:val="20"/>
        </w:trPr>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453"/>
        </w:trPr>
        <w:tc>
          <w:tcPr>
            <w:tcW w:w="29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“Cashless Exercise” with respect to</w:t>
            </w:r>
          </w:p>
        </w:tc>
        <w:tc>
          <w:tcPr>
            <w:tcW w:w="45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Warrant Shares because on the date of this exercise,</w:t>
            </w:r>
          </w:p>
        </w:tc>
      </w:tr>
      <w:tr>
        <w:trPr>
          <w:trHeight w:val="20"/>
        </w:trPr>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-128270</wp:posOffset>
            </wp:positionV>
            <wp:extent cx="127698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6985" cy="1714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-281940</wp:posOffset>
            </wp:positionV>
            <wp:extent cx="127698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6985" cy="17145"/>
                    </a:xfrm>
                    <a:prstGeom prst="rect">
                      <a:avLst/>
                    </a:prstGeom>
                    <a:noFill/>
                  </pic:spPr>
                </pic:pic>
              </a:graphicData>
            </a:graphic>
          </wp:anchor>
        </w:drawing>
      </w:r>
    </w:p>
    <w:p>
      <w:pPr>
        <w:jc w:val="both"/>
        <w:ind w:left="3720" w:right="20"/>
        <w:spacing w:after="0" w:line="276" w:lineRule="auto"/>
        <w:rPr>
          <w:sz w:val="20"/>
          <w:szCs w:val="20"/>
          <w:color w:val="auto"/>
        </w:rPr>
      </w:pPr>
      <w:r>
        <w:rPr>
          <w:rFonts w:ascii="Times New Roman" w:cs="Times New Roman" w:eastAsia="Times New Roman" w:hAnsi="Times New Roman"/>
          <w:sz w:val="17"/>
          <w:szCs w:val="17"/>
          <w:color w:val="auto"/>
        </w:rPr>
        <w:t>there is no effective registration statement registering the Warrant Shares, or the prospectus contained therein is not available for the resale of the Warrant Shares, in which event the Company shall deliver to</w:t>
      </w:r>
    </w:p>
    <w:tbl>
      <w:tblPr>
        <w:tblLayout w:type="fixed"/>
        <w:tblInd w:w="3720" w:type="dxa"/>
        <w:tblCellMar>
          <w:top w:w="0" w:type="dxa"/>
          <w:left w:w="0" w:type="dxa"/>
          <w:bottom w:w="0" w:type="dxa"/>
          <w:right w:w="0" w:type="dxa"/>
        </w:tblCellMar>
      </w:tblPr>
      <w:tr>
        <w:trPr>
          <w:trHeight w:val="176"/>
        </w:trPr>
        <w:tc>
          <w:tcPr>
            <w:tcW w:w="21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the registered holder(s)</w:t>
            </w:r>
          </w:p>
        </w:tc>
        <w:tc>
          <w:tcPr>
            <w:tcW w:w="5320" w:type="dxa"/>
            <w:vAlign w:val="bottom"/>
            <w:gridSpan w:val="3"/>
          </w:tcPr>
          <w:p>
            <w:pPr>
              <w:ind w:left="500"/>
              <w:spacing w:after="0" w:line="176" w:lineRule="exact"/>
              <w:rPr>
                <w:sz w:val="20"/>
                <w:szCs w:val="20"/>
                <w:color w:val="auto"/>
              </w:rPr>
            </w:pPr>
            <w:r>
              <w:rPr>
                <w:rFonts w:ascii="Times New Roman" w:cs="Times New Roman" w:eastAsia="Times New Roman" w:hAnsi="Times New Roman"/>
                <w:sz w:val="18"/>
                <w:szCs w:val="18"/>
                <w:color w:val="auto"/>
              </w:rPr>
              <w:t>shares of Common Stock pursuant to Section 3.3.2 of the Warrant</w:t>
            </w:r>
          </w:p>
        </w:tc>
      </w:tr>
      <w:tr>
        <w:trPr>
          <w:trHeight w:val="237"/>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326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120" w:type="dxa"/>
            <w:vAlign w:val="bottom"/>
          </w:tcPr>
          <w:p>
            <w:pPr>
              <w:spacing w:after="0"/>
              <w:rPr>
                <w:sz w:val="20"/>
                <w:szCs w:val="20"/>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requests that a certificate for such shares be registered in the name(s)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TYPE OR PRINT NAME(S)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874395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582930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TAX IDENTIFICATION NUMBER(S))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17145</wp:posOffset>
            </wp:positionV>
            <wp:extent cx="619760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97600" cy="17145"/>
                    </a:xfrm>
                    <a:prstGeom prst="rect">
                      <a:avLst/>
                    </a:prstGeom>
                    <a:noFill/>
                  </pic:spPr>
                </pic:pic>
              </a:graphicData>
            </a:graphic>
          </wp:anchor>
        </w:drawing>
      </w:r>
    </w:p>
    <w:p>
      <w:pPr>
        <w:spacing w:after="0" w:line="1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(PLEASE PRINT OR TYPE NAME(S) AND ADDRESS)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if such number of Warrants shall not be all the Warrants evidenced by this Warrant Certificate, that a new Warrant Certificate for the balance of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Warrants be registered in the name of, and delivered to, the registered holder(s) at the address(es) stated below:</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42862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2862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42862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28625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582930</wp:posOffset>
            </wp:positionV>
            <wp:extent cx="42862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28625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291465</wp:posOffset>
            </wp:positionV>
            <wp:extent cx="42862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2862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IDENTIFICATION NUMBER(S))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jc w:val="center"/>
        <w:ind w:right="-19"/>
        <w:spacing w:after="0"/>
        <w:rPr>
          <w:sz w:val="20"/>
          <w:szCs w:val="20"/>
          <w:color w:val="auto"/>
        </w:rPr>
      </w:pPr>
      <w:r>
        <w:rPr>
          <w:rFonts w:ascii="Times New Roman" w:cs="Times New Roman" w:eastAsia="Times New Roman" w:hAnsi="Times New Roman"/>
          <w:sz w:val="18"/>
          <w:szCs w:val="18"/>
          <w:color w:val="auto"/>
        </w:rPr>
        <w:t>ASSIGNMENT</w:t>
      </w:r>
    </w:p>
    <w:p>
      <w:pPr>
        <w:spacing w:after="0" w:line="225"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color w:val="auto"/>
        </w:rPr>
        <w:t>To Be Executed by the Registered Holder in Order to Assign Warrants</w:t>
      </w:r>
    </w:p>
    <w:p>
      <w:pPr>
        <w:spacing w:after="0" w:line="225"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18"/>
          <w:szCs w:val="18"/>
          <w:color w:val="auto"/>
        </w:rPr>
        <w:t>For Value Received,</w:t>
      </w:r>
      <w:r>
        <w:rPr>
          <w:sz w:val="20"/>
          <w:szCs w:val="20"/>
          <w:color w:val="auto"/>
        </w:rPr>
        <w:tab/>
      </w:r>
      <w:r>
        <w:rPr>
          <w:rFonts w:ascii="Times New Roman" w:cs="Times New Roman" w:eastAsia="Times New Roman" w:hAnsi="Times New Roman"/>
          <w:sz w:val="17"/>
          <w:szCs w:val="17"/>
          <w:color w:val="auto"/>
        </w:rPr>
        <w:t>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TYPE OR PRINT NAME(S)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862965</wp:posOffset>
            </wp:positionV>
            <wp:extent cx="285432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571500</wp:posOffset>
            </wp:positionV>
            <wp:extent cx="285432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285432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TAX IDENTIFICATION NUMBER(S))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to be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17145</wp:posOffset>
            </wp:positionV>
            <wp:extent cx="3566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(PLEASE PRINT OR TYPE NAME(S) AND 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471487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71487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(SOCIAL SECURITY OR TAX IDENTIFICATION NUMBER(S))</w:t>
            </w:r>
          </w:p>
        </w:tc>
        <w:tc>
          <w:tcPr>
            <w:tcW w:w="740" w:type="dxa"/>
            <w:vAlign w:val="bottom"/>
          </w:tcPr>
          <w:p>
            <w:pPr>
              <w:spacing w:after="0"/>
              <w:rPr>
                <w:sz w:val="22"/>
                <w:szCs w:val="22"/>
                <w:color w:val="auto"/>
              </w:rPr>
            </w:pPr>
          </w:p>
        </w:tc>
        <w:tc>
          <w:tcPr>
            <w:tcW w:w="3040" w:type="dxa"/>
            <w:vAlign w:val="bottom"/>
          </w:tcPr>
          <w:p>
            <w:pPr>
              <w:spacing w:after="0"/>
              <w:rPr>
                <w:sz w:val="22"/>
                <w:szCs w:val="22"/>
                <w:color w:val="auto"/>
              </w:rPr>
            </w:pPr>
          </w:p>
        </w:tc>
      </w:tr>
      <w:tr>
        <w:trPr>
          <w:trHeight w:val="395"/>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Warrants represented by this Warrant Certificate, and hereby irrevocably constitute and appoint</w:t>
            </w:r>
          </w:p>
        </w:tc>
        <w:tc>
          <w:tcPr>
            <w:tcW w:w="30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Attorney to transfer this Warrant</w:t>
            </w:r>
          </w:p>
        </w:tc>
      </w:tr>
      <w:tr>
        <w:trPr>
          <w:trHeight w:val="234"/>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on the books of the Company, with full power of substitution in the premises.</w:t>
            </w:r>
          </w:p>
        </w:tc>
        <w:tc>
          <w:tcPr>
            <w:tcW w:w="3040" w:type="dxa"/>
            <w:vAlign w:val="bottom"/>
          </w:tcPr>
          <w:p>
            <w:pPr>
              <w:spacing w:after="0"/>
              <w:rPr>
                <w:sz w:val="20"/>
                <w:szCs w:val="20"/>
                <w:color w:val="auto"/>
              </w:rPr>
            </w:pPr>
          </w:p>
        </w:tc>
      </w:tr>
      <w:tr>
        <w:trPr>
          <w:trHeight w:val="432"/>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Dated:</w:t>
            </w:r>
          </w:p>
        </w:tc>
        <w:tc>
          <w:tcPr>
            <w:tcW w:w="3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285432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NOTICE: THE SIGNATURE(S) TO THIS ASSIGNMENT MUST CORRESPOND WITH THE NAME AS WRITTEN UPON THE FACE OF THE CERTIFICATE IN EVERY PARTICULAR, WITHOUT ALTERATION OR ENLARGEMENT OR ANY CHANGE WHATEVER.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Guaranteed: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32283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322830" cy="17145"/>
                    </a:xfrm>
                    <a:prstGeom prst="rect">
                      <a:avLst/>
                    </a:prstGeom>
                    <a:noFill/>
                  </pic:spPr>
                </pic:pic>
              </a:graphicData>
            </a:graphic>
          </wp:anchor>
        </w:drawing>
      </w: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AGREEMENT</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This Rights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as of December 23, 2020, by and between Ventoux CCM Acquisition Corp., a Delaware corporation (the “Company”), and Continental Stock Transfer &amp; Trust Company, a New York corporation (the “</w:t>
      </w:r>
      <w:r>
        <w:rPr>
          <w:rFonts w:ascii="Times New Roman" w:cs="Times New Roman" w:eastAsia="Times New Roman" w:hAnsi="Times New Roman"/>
          <w:sz w:val="18"/>
          <w:szCs w:val="18"/>
          <w:b w:val="1"/>
          <w:bCs w:val="1"/>
          <w:color w:val="auto"/>
        </w:rPr>
        <w:t>Rights Agent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WHEREAS, the Company is engaged in a public offering (the “</w:t>
      </w:r>
      <w:r>
        <w:rPr>
          <w:rFonts w:ascii="Times New Roman" w:cs="Times New Roman" w:eastAsia="Times New Roman" w:hAnsi="Times New Roman"/>
          <w:sz w:val="18"/>
          <w:szCs w:val="18"/>
          <w:b w:val="1"/>
          <w:bCs w:val="1"/>
          <w:color w:val="auto"/>
        </w:rPr>
        <w:t>Public Offering</w:t>
      </w:r>
      <w:r>
        <w:rPr>
          <w:rFonts w:ascii="Times New Roman" w:cs="Times New Roman" w:eastAsia="Times New Roman" w:hAnsi="Times New Roman"/>
          <w:sz w:val="18"/>
          <w:szCs w:val="18"/>
          <w:color w:val="auto"/>
        </w:rPr>
        <w:t>”) of 15,000,000 units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of the Company (and up to 2,250,000 additional Units if the underwriters’ over-allotment option is exercised in full), each Unit consisting of one share of common stock,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one right to receive one-twentieth of one share of Common Stock upon the happening of the triggering event described herein (the “</w:t>
      </w:r>
      <w:r>
        <w:rPr>
          <w:rFonts w:ascii="Times New Roman" w:cs="Times New Roman" w:eastAsia="Times New Roman" w:hAnsi="Times New Roman"/>
          <w:sz w:val="18"/>
          <w:szCs w:val="18"/>
          <w:b w:val="1"/>
          <w:bCs w:val="1"/>
          <w:color w:val="auto"/>
        </w:rPr>
        <w:t>Right</w:t>
      </w:r>
      <w:r>
        <w:rPr>
          <w:rFonts w:ascii="Times New Roman" w:cs="Times New Roman" w:eastAsia="Times New Roman" w:hAnsi="Times New Roman"/>
          <w:sz w:val="18"/>
          <w:szCs w:val="18"/>
          <w:color w:val="auto"/>
        </w:rPr>
        <w:t>”), and one warrant to purchase one-half of one share of Common Stock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WHEREAS, the Company has filed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 Registration Statement on Form S-1, File No. 333-251048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and related Prospectus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for the registration,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of, among other securities, the Rights and the shares of Common Stock issuable to the holders of the Rights;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Company desires the Rights Agent to act on behalf of the Company, and the Rights Agent is willing to so act, in connection with the issuance, registration, transfer and exchange of the Rights;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WHEREAS, the Company desires to provide for the form and provisions of the Rights, the terms upon which they shall be issued, and the respective rights, limitation of rights, and immunities of the Company, the Rights Agent, and the holders of the Rights; and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all acts and things have been done and performed which are necessary to make the Rights, when executed on behalf of the Company and countersigned by or on behalf of the Rights Agent, as provided herein, the valid, binding and legal obligations of the Company, and to authorize the execution and delivery of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firstLine="8"/>
        <w:spacing w:after="0" w:line="282" w:lineRule="auto"/>
        <w:tabs>
          <w:tab w:leader="none" w:pos="18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Rights Agent</w:t>
      </w:r>
      <w:r>
        <w:rPr>
          <w:rFonts w:ascii="Times New Roman" w:cs="Times New Roman" w:eastAsia="Times New Roman" w:hAnsi="Times New Roman"/>
          <w:sz w:val="18"/>
          <w:szCs w:val="18"/>
          <w:color w:val="auto"/>
        </w:rPr>
        <w:t>. The Company hereby appoints the Rights Agent to act as agent for the Company for the Rights, and the Rights Agent hereby accepts such appointment and agrees to perform the same in accordance with the terms and conditions set forth in this Agreement.</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Form of Right</w:t>
      </w:r>
      <w:r>
        <w:rPr>
          <w:rFonts w:ascii="Times New Roman" w:cs="Times New Roman" w:eastAsia="Times New Roman" w:hAnsi="Times New Roman"/>
          <w:sz w:val="18"/>
          <w:szCs w:val="18"/>
          <w:color w:val="auto"/>
        </w:rPr>
        <w:t xml:space="preserve">. Each Right shall be issued in registered form only, shall be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the provisions of which are incorporated herein and shall be signed by, or bear the facsimile signature of, the Chairman of the Board, the Chief Executive Officer or the Chief Financial Officer of the Company. In the event the person whose facsimile signature has been placed upon any Right shall have ceased to serve in the capacity in which such person signed the Right before such Right is issued, it may be issued with the same effect as if he or she had not ceased to be such at the date of issuance.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Effect of Countersignature</w:t>
      </w:r>
      <w:r>
        <w:rPr>
          <w:rFonts w:ascii="Times New Roman" w:cs="Times New Roman" w:eastAsia="Times New Roman" w:hAnsi="Times New Roman"/>
          <w:sz w:val="18"/>
          <w:szCs w:val="18"/>
          <w:color w:val="auto"/>
        </w:rPr>
        <w:t>. Unless and until countersigned by the Rights Agent pursuant to this Agreement, a Right shall be invalid and of no effect and may not be exchanged for shares of Common Stock.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Right Register</w:t>
      </w:r>
      <w:r>
        <w:rPr>
          <w:rFonts w:ascii="Times New Roman" w:cs="Times New Roman" w:eastAsia="Times New Roman" w:hAnsi="Times New Roman"/>
          <w:sz w:val="18"/>
          <w:szCs w:val="18"/>
          <w:color w:val="auto"/>
        </w:rPr>
        <w:t>. The Rights Agent shall maintain books (the “</w:t>
      </w:r>
      <w:r>
        <w:rPr>
          <w:rFonts w:ascii="Times New Roman" w:cs="Times New Roman" w:eastAsia="Times New Roman" w:hAnsi="Times New Roman"/>
          <w:sz w:val="18"/>
          <w:szCs w:val="18"/>
          <w:b w:val="1"/>
          <w:bCs w:val="1"/>
          <w:color w:val="auto"/>
        </w:rPr>
        <w:t>Right Register</w:t>
      </w:r>
      <w:r>
        <w:rPr>
          <w:rFonts w:ascii="Times New Roman" w:cs="Times New Roman" w:eastAsia="Times New Roman" w:hAnsi="Times New Roman"/>
          <w:sz w:val="18"/>
          <w:szCs w:val="18"/>
          <w:color w:val="auto"/>
        </w:rPr>
        <w:t>”) for the registration of original issuance and the registration of transfer of the Rights. Upon the initial issuance of the Rights, the Rights Agent shall issue and register the Rights in the names of the respective holders thereof in such denominations and otherwise in accordance with instructions delivered to the Rights Agent by the Company.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Registered Holder</w:t>
      </w:r>
      <w:r>
        <w:rPr>
          <w:rFonts w:ascii="Times New Roman" w:cs="Times New Roman" w:eastAsia="Times New Roman" w:hAnsi="Times New Roman"/>
          <w:sz w:val="18"/>
          <w:szCs w:val="18"/>
          <w:color w:val="auto"/>
        </w:rPr>
        <w:t>. Prior to due presentment for registration of transfer of any Right, the Company and the Rights Agent may deem and treat the person in whose name such Right shall be registered upon the Right Register (the “</w:t>
      </w:r>
      <w:r>
        <w:rPr>
          <w:rFonts w:ascii="Times New Roman" w:cs="Times New Roman" w:eastAsia="Times New Roman" w:hAnsi="Times New Roman"/>
          <w:sz w:val="18"/>
          <w:szCs w:val="18"/>
          <w:b w:val="1"/>
          <w:bCs w:val="1"/>
          <w:color w:val="auto"/>
        </w:rPr>
        <w:t>registered holder</w:t>
      </w:r>
      <w:r>
        <w:rPr>
          <w:rFonts w:ascii="Times New Roman" w:cs="Times New Roman" w:eastAsia="Times New Roman" w:hAnsi="Times New Roman"/>
          <w:sz w:val="18"/>
          <w:szCs w:val="18"/>
          <w:color w:val="auto"/>
        </w:rPr>
        <w:t>”) as the absolute owner of such Right and of each Right represented thereby (notwithstanding any notation of ownership or other writing on the Right Certificate made by anyone other than the Company or the Rights Agent), for the purpose of the exchange thereof, and for all other purposes, and neither the Company nor the Rights Agent shall be affected by any notice to the contrary.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4" w:name="page75"/>
    <w:bookmarkEnd w:id="74"/>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Detachability of Rights</w:t>
      </w:r>
      <w:r>
        <w:rPr>
          <w:rFonts w:ascii="Times New Roman" w:cs="Times New Roman" w:eastAsia="Times New Roman" w:hAnsi="Times New Roman"/>
          <w:sz w:val="18"/>
          <w:szCs w:val="18"/>
          <w:color w:val="auto"/>
        </w:rPr>
        <w:t>. Each of the securities comprising the Units will begin to trade separately on (i) the 90th day after the effectiveness of the Registration Statement, or (ii) such earlier date as Chardan Capital Markets, LLC, as representative of the underwriters, shall determine is acceptable (such date, the “</w:t>
      </w:r>
      <w:r>
        <w:rPr>
          <w:rFonts w:ascii="Times New Roman" w:cs="Times New Roman" w:eastAsia="Times New Roman" w:hAnsi="Times New Roman"/>
          <w:sz w:val="18"/>
          <w:szCs w:val="18"/>
          <w:b w:val="1"/>
          <w:bCs w:val="1"/>
          <w:color w:val="auto"/>
        </w:rPr>
        <w:t>Detachment Date</w:t>
      </w:r>
      <w:r>
        <w:rPr>
          <w:rFonts w:ascii="Times New Roman" w:cs="Times New Roman" w:eastAsia="Times New Roman" w:hAnsi="Times New Roman"/>
          <w:sz w:val="18"/>
          <w:szCs w:val="18"/>
          <w:color w:val="auto"/>
        </w:rPr>
        <w:t>”). In no event will separate trading of the securities comprising the Units commence until the Company (i) files a Current Report on Form 8-K with the SEC including audited balance sheet reflecting the Company’s receipt of the gross proceeds of the Public Offering and (ii) issues a press release announcing when such separate trading will begin. Upon the Detachment Date, the Units will no longer trade, and each holder of Units will become, without any action by such holder, the holder of that number of shares of Common Stock, Warrants and Rights comprising the Units held by such holder.</w:t>
      </w:r>
    </w:p>
    <w:p>
      <w:pPr>
        <w:spacing w:after="0" w:line="189" w:lineRule="exact"/>
        <w:rPr>
          <w:sz w:val="20"/>
          <w:szCs w:val="20"/>
          <w:color w:val="auto"/>
        </w:rPr>
      </w:pPr>
    </w:p>
    <w:p>
      <w:pPr>
        <w:ind w:left="180" w:hanging="172"/>
        <w:spacing w:after="0"/>
        <w:tabs>
          <w:tab w:leader="none" w:pos="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Exchange of Rights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Each Right shall entitle the holder thereof to receive one-twentieth of one share of Common Stock upon the happening of an Exchange Event (defined below). No additional consideration shall be paid by a holder of Rights in order to receive his, her or its shares of Common Stock upon an Exchange Event as the purchase price for such shares of Common Stock has been included in the purchase price for the Units. In no event will the Company be required to net cash settle the Rights or issue fractional shares of Common Stock.</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Exchange Event</w:t>
      </w:r>
      <w:r>
        <w:rPr>
          <w:rFonts w:ascii="Times New Roman" w:cs="Times New Roman" w:eastAsia="Times New Roman" w:hAnsi="Times New Roman"/>
          <w:sz w:val="18"/>
          <w:szCs w:val="18"/>
          <w:color w:val="auto"/>
        </w:rPr>
        <w:t>. An “</w:t>
      </w:r>
      <w:r>
        <w:rPr>
          <w:rFonts w:ascii="Times New Roman" w:cs="Times New Roman" w:eastAsia="Times New Roman" w:hAnsi="Times New Roman"/>
          <w:sz w:val="18"/>
          <w:szCs w:val="18"/>
          <w:b w:val="1"/>
          <w:bCs w:val="1"/>
          <w:color w:val="auto"/>
        </w:rPr>
        <w:t>Exchange Event</w:t>
      </w:r>
      <w:r>
        <w:rPr>
          <w:rFonts w:ascii="Times New Roman" w:cs="Times New Roman" w:eastAsia="Times New Roman" w:hAnsi="Times New Roman"/>
          <w:sz w:val="18"/>
          <w:szCs w:val="18"/>
          <w:color w:val="auto"/>
        </w:rPr>
        <w:t>” shall occur upon the Company’s consummation of an initial Business Combination (as defined in the Company’s Amended and Restated Certificate of Incorporation).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Exchange of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3.3.1. </w:t>
      </w:r>
      <w:r>
        <w:rPr>
          <w:rFonts w:ascii="Times New Roman" w:cs="Times New Roman" w:eastAsia="Times New Roman" w:hAnsi="Times New Roman"/>
          <w:sz w:val="18"/>
          <w:szCs w:val="18"/>
          <w:u w:val="single" w:color="auto"/>
          <w:color w:val="auto"/>
        </w:rPr>
        <w:t>Issuance of Shares of Common Stock</w:t>
      </w:r>
      <w:r>
        <w:rPr>
          <w:rFonts w:ascii="Times New Roman" w:cs="Times New Roman" w:eastAsia="Times New Roman" w:hAnsi="Times New Roman"/>
          <w:sz w:val="18"/>
          <w:szCs w:val="18"/>
          <w:color w:val="auto"/>
        </w:rPr>
        <w:t>. As soon as practicable upon the occurrence of an Exchange Event, the Company shall direct holders of the Rights to return their Rights Certificates to the Rights Agent. Upon receipt of a valid Rights Certificate, the Company shall issue to the registered holder of such Right(s) the number of full shares of Common Stock to which he, she or it is entitled, registered in such name or names as may be directed by him, her or it and issue to such registered holder(s) a certificate or book-entry position for the such shares. Notwithstanding the foregoing, or any provision contained in this Agreement to the contrary, in no event will the Company be required to net cash settle the Rights. The Company shall not issue fractional shares upon exchange of Rights. In the event that any holder would otherwise be entitled to any fractional share upon exchange of Rights, at the time of an Exchange Event, the Company will instruct the Right Agent how any such entitlement will be addressed. To the fullest extent permitted by the Company’s Amended and Restated Certificate of Incorporation the Company reserves the right to deal with any such fractional entitlement at the relevant time in any manner permitted by the Act and the Amended and Restated Certificate of Incorporation, which would include the rounding down of any entitlement to receive shares of Common Stock to the nearest whole share (and in effect extinguishing any fractional entitlement), or the holder being entitled to hold any remaining fractional entitlement (without any share being issued) and to aggregate the same with any future fractional entitlement to receive shares in the Company until the holder is entitled to receive a whole number. Any rounding down and extinguishment may be done with or without any in lieu cash payment or other compensation being made to the holder of the relevant Rights, such that value received on exchange of the Rights may be considered less than the value that the holder would otherwise expect to receive.</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3.3.2. </w:t>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All shares of Common Stock issued upon an Exchange Event in conformity with this Agreement shall be validly issued, fully paid and nonassessable.</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3.3.3. </w:t>
      </w:r>
      <w:r>
        <w:rPr>
          <w:rFonts w:ascii="Times New Roman" w:cs="Times New Roman" w:eastAsia="Times New Roman" w:hAnsi="Times New Roman"/>
          <w:sz w:val="18"/>
          <w:szCs w:val="18"/>
          <w:u w:val="single" w:color="auto"/>
          <w:color w:val="auto"/>
        </w:rPr>
        <w:t>Date of Issuance</w:t>
      </w:r>
      <w:r>
        <w:rPr>
          <w:rFonts w:ascii="Times New Roman" w:cs="Times New Roman" w:eastAsia="Times New Roman" w:hAnsi="Times New Roman"/>
          <w:sz w:val="18"/>
          <w:szCs w:val="18"/>
          <w:color w:val="auto"/>
        </w:rPr>
        <w:t>. Each person in whose name any such certificate or book-entry position for shares of Common Stock is issued shall for all purposes be deemed to have become the holder of record of such shares on the date of the Exchange Event, irrespective of the date of delivery of such certificate or entry of position.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3.3.4 </w:t>
      </w:r>
      <w:r>
        <w:rPr>
          <w:rFonts w:ascii="Times New Roman" w:cs="Times New Roman" w:eastAsia="Times New Roman" w:hAnsi="Times New Roman"/>
          <w:sz w:val="18"/>
          <w:szCs w:val="18"/>
          <w:u w:val="single" w:color="auto"/>
          <w:color w:val="auto"/>
        </w:rPr>
        <w:t>Company Not Surviving Following Exchange Event</w:t>
      </w:r>
      <w:r>
        <w:rPr>
          <w:rFonts w:ascii="Times New Roman" w:cs="Times New Roman" w:eastAsia="Times New Roman" w:hAnsi="Times New Roman"/>
          <w:sz w:val="18"/>
          <w:szCs w:val="18"/>
          <w:color w:val="auto"/>
        </w:rPr>
        <w:t>. Upon an Exchange Event in which the Company does not continue as the publicly held reporting entity, the definitive agreement will provide for the holders of Rights to receive the same per share consideration the holders of the shares of Common Stock will receive in such transaction, for the number of shares such holder is entitled to pursuant to Section 3.3.1 above. If the Company does not continue as the publicly held reporting entity upon an Exchange Event, each holder of a Right will be required to affirmatively convert his/her or its rights in order to receive the one-twentieth of one share underlying each right (without paying any additional consideration) upon consummation of the Exchange Event. In such a case, each holder of a Right will be required to indicate his, her or its election to convert the Rights into underlying shares of Common Stock as well as to return the original certificates evidencing the Rights to the Company.</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spacing w:after="0" w:line="282"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Duration of Rights</w:t>
      </w:r>
      <w:r>
        <w:rPr>
          <w:rFonts w:ascii="Times New Roman" w:cs="Times New Roman" w:eastAsia="Times New Roman" w:hAnsi="Times New Roman"/>
          <w:sz w:val="18"/>
          <w:szCs w:val="18"/>
          <w:color w:val="auto"/>
        </w:rPr>
        <w:t>. If an Exchange Event does not occur within the time period set forth in the Company’s Amended and Restated Certificate of Incorporation, as the same may be amended from time to time, the Rights shall expire and shall be worthless.</w:t>
      </w:r>
    </w:p>
    <w:p>
      <w:pPr>
        <w:spacing w:after="0" w:line="162" w:lineRule="exact"/>
        <w:rPr>
          <w:sz w:val="20"/>
          <w:szCs w:val="20"/>
          <w:color w:val="auto"/>
        </w:rPr>
      </w:pPr>
    </w:p>
    <w:p>
      <w:pPr>
        <w:ind w:left="180" w:hanging="172"/>
        <w:spacing w:after="0"/>
        <w:tabs>
          <w:tab w:leader="none" w:pos="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Registration of Transfer</w:t>
      </w:r>
      <w:r>
        <w:rPr>
          <w:rFonts w:ascii="Times New Roman" w:cs="Times New Roman" w:eastAsia="Times New Roman" w:hAnsi="Times New Roman"/>
          <w:sz w:val="18"/>
          <w:szCs w:val="18"/>
          <w:color w:val="auto"/>
        </w:rPr>
        <w:t>. The Rights Agent shall register the transfer, from time to time, of any outstanding Right upon the Right Register, upon surrender of such Right for transfer, properly endorsed with signatures properly guaranteed and accompanied by appropriate instructions for transfer. Upon any such transfer, a new Right representing an equal aggregate number of Rights shall be issued and the old Right shall be cancelled by the Rights Agent. The Rights so cancelled shall be delivered by the Rights Agent to the Company from time to time upon request.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Procedure for Surrender of Rights</w:t>
      </w:r>
      <w:r>
        <w:rPr>
          <w:rFonts w:ascii="Times New Roman" w:cs="Times New Roman" w:eastAsia="Times New Roman" w:hAnsi="Times New Roman"/>
          <w:sz w:val="18"/>
          <w:szCs w:val="18"/>
          <w:color w:val="auto"/>
        </w:rPr>
        <w:t>. Rights may be surrendered to the Rights Agent, together with a written request for exchange or transfer, and thereupon the Rights Agent shall issue in exchange therefor one or more new Rights as requested by the registered holder of the Rights so surrendered, representing an equal aggregate number of Rights; provided, however, that in the event that a Right surrendered for transfer bears a restrictive legend and the new Rights to be issued will not bear a restrictive legend, the Rights Agent shall not cancel such Right and issue new Rights in exchange therefor until the Rights Agent has received an opinion of counsel for the Company stating that such transfer may be made and indicating no restrictive legend is required.</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Fractional Rights</w:t>
      </w:r>
      <w:r>
        <w:rPr>
          <w:rFonts w:ascii="Times New Roman" w:cs="Times New Roman" w:eastAsia="Times New Roman" w:hAnsi="Times New Roman"/>
          <w:sz w:val="18"/>
          <w:szCs w:val="18"/>
          <w:color w:val="auto"/>
        </w:rPr>
        <w:t>. The Rights Agent shall not be required to effect any registration of transfer or exchange which will result in the issuance of a Right Certificate for a fraction of a Right.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Service Charges</w:t>
      </w:r>
      <w:r>
        <w:rPr>
          <w:rFonts w:ascii="Times New Roman" w:cs="Times New Roman" w:eastAsia="Times New Roman" w:hAnsi="Times New Roman"/>
          <w:sz w:val="18"/>
          <w:szCs w:val="18"/>
          <w:color w:val="auto"/>
        </w:rPr>
        <w:t>. No service charge shall be made for any exchange or registration of transfer of Rights.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Adjustments to Conversion Ratios</w:t>
      </w:r>
      <w:r>
        <w:rPr>
          <w:rFonts w:ascii="Times New Roman" w:cs="Times New Roman" w:eastAsia="Times New Roman" w:hAnsi="Times New Roman"/>
          <w:sz w:val="18"/>
          <w:szCs w:val="18"/>
          <w:color w:val="auto"/>
        </w:rPr>
        <w:t>. The number of shares of Common Stock that the holders of Rights are entitled to receive as a result of the occurrence of an Exchange Event shall be equitably adjusted to reflect appropriately the effect of any share split, reverse share split, share dividend, reorganization, recapitalization, reclassification, combination, exchange of shares or other like change with respect to the shares of Common Stock occurring on or after the date hereof and prior to the Exchange Event.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4.6. Right Execution and Countersignature. The Rights Agent is hereby authorized to countersign and to deliver, in accordance with the terms of this Agreement, the Rights required to be issued pursuant to the provisions of this Section 4, and the Company, whenever required by the Rights Agent, will supply the Rights Agent with Rights duly executed on behalf of the Company for such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-313055</wp:posOffset>
            </wp:positionV>
            <wp:extent cx="18434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43405" cy="8255"/>
                    </a:xfrm>
                    <a:prstGeom prst="rect">
                      <a:avLst/>
                    </a:prstGeom>
                    <a:noFill/>
                  </pic:spPr>
                </pic:pic>
              </a:graphicData>
            </a:graphic>
          </wp:anchor>
        </w:drawing>
      </w:r>
    </w:p>
    <w:p>
      <w:pPr>
        <w:spacing w:after="0" w:line="156" w:lineRule="exact"/>
        <w:rPr>
          <w:sz w:val="20"/>
          <w:szCs w:val="20"/>
          <w:color w:val="auto"/>
        </w:rPr>
      </w:pPr>
    </w:p>
    <w:p>
      <w:pPr>
        <w:ind w:left="180" w:hanging="172"/>
        <w:spacing w:after="0"/>
        <w:tabs>
          <w:tab w:leader="none" w:pos="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 Relating to Rights of Holders of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5.1. No Rights as Stockholder. Until the exchange of a Right for shares of Common Stock as provided for herein, a Right does not entitle the registered holder thereof to any of the rights of a stockholder of the Company, 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-448310</wp:posOffset>
            </wp:positionV>
            <wp:extent cx="12255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Lost, Stolen, Mutilated, or Destroyed Rights</w:t>
      </w:r>
      <w:r>
        <w:rPr>
          <w:rFonts w:ascii="Times New Roman" w:cs="Times New Roman" w:eastAsia="Times New Roman" w:hAnsi="Times New Roman"/>
          <w:sz w:val="18"/>
          <w:szCs w:val="18"/>
          <w:color w:val="auto"/>
        </w:rPr>
        <w:t>. If any Right is lost, stolen, mutilated, or destroyed, the Company and the Rights Agent may on such terms as to indemnity or otherwise as they may in their discretion impose (which shall, in the case of a mutilated Right, include the surrender thereof), issue a new Right of like denomination, tenor, and date as the Right so lost, stolen, mutilated, or destroyed. Any such new Right shall constitute a substitute contractual obligation of the Company, whether or not the allegedly lost, stolen, mutilated, or destroyed Right shall be at any time enforceable by anyone.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Reservation of Shares of Common Stock</w:t>
      </w:r>
      <w:r>
        <w:rPr>
          <w:rFonts w:ascii="Times New Roman" w:cs="Times New Roman" w:eastAsia="Times New Roman" w:hAnsi="Times New Roman"/>
          <w:sz w:val="18"/>
          <w:szCs w:val="18"/>
          <w:color w:val="auto"/>
        </w:rPr>
        <w:t>. The Company shall at all times reserve and keep available a number of its authorized but unissued shares of Common Stock that will be sufficient to permit the exchange of all outstanding Rights issued pursuant to this Agreement.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6" w:name="page77"/>
    <w:bookmarkEnd w:id="76"/>
    <w:p>
      <w:pPr>
        <w:ind w:left="180" w:hanging="172"/>
        <w:spacing w:after="0"/>
        <w:tabs>
          <w:tab w:leader="none" w:pos="1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Concerning the Rights Agent and Other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Company will from time to time promptly pay all taxes and charges that may be imposed upon the Company or the Rights Agent in respect of the issuance or delivery of shares of Common Stock upon the exchange of Rights, but the Company shall not be obligated to pay any transfer taxes in respect of the Rights or such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Resignation, Consolidation, or Merger of Rights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6.2.1. </w:t>
      </w:r>
      <w:r>
        <w:rPr>
          <w:rFonts w:ascii="Times New Roman" w:cs="Times New Roman" w:eastAsia="Times New Roman" w:hAnsi="Times New Roman"/>
          <w:sz w:val="18"/>
          <w:szCs w:val="18"/>
          <w:u w:val="single" w:color="auto"/>
          <w:color w:val="auto"/>
        </w:rPr>
        <w:t>Appointment of Successor Rights Agent</w:t>
      </w:r>
      <w:r>
        <w:rPr>
          <w:rFonts w:ascii="Times New Roman" w:cs="Times New Roman" w:eastAsia="Times New Roman" w:hAnsi="Times New Roman"/>
          <w:sz w:val="18"/>
          <w:szCs w:val="18"/>
          <w:color w:val="auto"/>
        </w:rPr>
        <w:t>. The Rights Agent, or any successor to it hereafter appointed, may resign its duties and be discharged from all further duties and liabilities hereunder after giving sixty (60) days’ notice in writing to the Company. If the office of the Rights Agent becomes vacant by resignation or incapacity to act or otherwise, the Company shall appoint in writing a successor Rights Agent in place of the Rights Agent. If the Company shall fail to make such appointment within a period of 30 days after it has been notified in writing of such resignation or incapacity by the Rights Agent or by the holder of the Right (who shall, with such notice, submit his, her or its Right for inspection by the Company), then the holder of any Right may apply to the Supreme Court of the State of New York for the County of New York for the appointment of a successor Rights Agent at the Company’s cost. Any successor Rights Agent, whether appointed by the Company or by such court, shall be a corporation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Rights Agent shall be vested with all the authority, powers, rights, immunities, duties, and obligations of its predecessor Rights Agent with like effect as if originally named as Rights Agent hereunder, without any further act or deed; but if for any reason it becomes necessary or appropriate, the predecessor Rights Agent shall execute and deliver, at the expense of the Company, an instrument transferring to such successor Rights Agent all the authority, powers, and rights of such predecessor Rights Agent hereunder; and upon request of any successor Rights Agent the Company shall make, execute, acknowledge, and deliver any and all instruments in writing for more fully and effectually vesting in and confirming to such successor Rights Agent all such authority, powers, rights, immunities, duties, and obligations.</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6.2.2. </w:t>
      </w:r>
      <w:r>
        <w:rPr>
          <w:rFonts w:ascii="Times New Roman" w:cs="Times New Roman" w:eastAsia="Times New Roman" w:hAnsi="Times New Roman"/>
          <w:sz w:val="18"/>
          <w:szCs w:val="18"/>
          <w:u w:val="single" w:color="auto"/>
          <w:color w:val="auto"/>
        </w:rPr>
        <w:t>Notice of Successor Rights Agent</w:t>
      </w:r>
      <w:r>
        <w:rPr>
          <w:rFonts w:ascii="Times New Roman" w:cs="Times New Roman" w:eastAsia="Times New Roman" w:hAnsi="Times New Roman"/>
          <w:sz w:val="18"/>
          <w:szCs w:val="18"/>
          <w:color w:val="auto"/>
        </w:rPr>
        <w:t>. In the event a successor Rights Agent shall be appointed, the Company shall give notice thereof to the predecessor Rights Agent and the transfer agent for the shares of Common Stock not later than the effective date of any such appointment.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6.2.3. </w:t>
      </w:r>
      <w:r>
        <w:rPr>
          <w:rFonts w:ascii="Times New Roman" w:cs="Times New Roman" w:eastAsia="Times New Roman" w:hAnsi="Times New Roman"/>
          <w:sz w:val="18"/>
          <w:szCs w:val="18"/>
          <w:u w:val="single" w:color="auto"/>
          <w:color w:val="auto"/>
        </w:rPr>
        <w:t>Merger or Consolidation of Rights Agent</w:t>
      </w:r>
      <w:r>
        <w:rPr>
          <w:rFonts w:ascii="Times New Roman" w:cs="Times New Roman" w:eastAsia="Times New Roman" w:hAnsi="Times New Roman"/>
          <w:sz w:val="18"/>
          <w:szCs w:val="18"/>
          <w:color w:val="auto"/>
        </w:rPr>
        <w:t>. Any corporation into which the Rights Agent may be merged or with which it may be consolidated or any corporation resulting from any merger or consolidation to which the Rights Agent shall be a party shall be the successor Rights Agent under this Agreement without any further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Fees and Expenses of Rights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6.3.1. </w:t>
      </w:r>
      <w:r>
        <w:rPr>
          <w:rFonts w:ascii="Times New Roman" w:cs="Times New Roman" w:eastAsia="Times New Roman" w:hAnsi="Times New Roman"/>
          <w:sz w:val="18"/>
          <w:szCs w:val="18"/>
          <w:u w:val="single" w:color="auto"/>
          <w:color w:val="auto"/>
        </w:rPr>
        <w:t>Remuneration</w:t>
      </w:r>
      <w:r>
        <w:rPr>
          <w:rFonts w:ascii="Times New Roman" w:cs="Times New Roman" w:eastAsia="Times New Roman" w:hAnsi="Times New Roman"/>
          <w:sz w:val="18"/>
          <w:szCs w:val="18"/>
          <w:color w:val="auto"/>
        </w:rPr>
        <w:t>. The Company agrees to pay the Rights Agent reasonable remuneration for its services as such Rights Agent hereunder and will reimburse the Rights Agent upon demand for all expenditures that the Rights Agent may reasonably incur in the execution of its duties hereunder.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6.3.2.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Company agrees to perform, execute, acknowledge, and deliver or cause to be performed, executed, acknowledged, and delivered all such further and other acts, instruments, and assurances as may reasonably be required by the Rights Agent for the carrying out or performing of the provisions of this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Liability of Rights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6.4.1. </w:t>
      </w:r>
      <w:r>
        <w:rPr>
          <w:rFonts w:ascii="Times New Roman" w:cs="Times New Roman" w:eastAsia="Times New Roman" w:hAnsi="Times New Roman"/>
          <w:sz w:val="18"/>
          <w:szCs w:val="18"/>
          <w:u w:val="single" w:color="auto"/>
          <w:color w:val="auto"/>
        </w:rPr>
        <w:t>Reliance on Company Statement</w:t>
      </w:r>
      <w:r>
        <w:rPr>
          <w:rFonts w:ascii="Times New Roman" w:cs="Times New Roman" w:eastAsia="Times New Roman" w:hAnsi="Times New Roman"/>
          <w:sz w:val="18"/>
          <w:szCs w:val="18"/>
          <w:color w:val="auto"/>
        </w:rPr>
        <w:t>. Whenever in the performance of its duties under this Agreement, the Rights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or Chief Financial Officer and delivered to the Rights Agent. The Rights Agent may rely upon such statement for any action taken or suffered in good faith by it pursuant to the provisions of this Agreement.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6.4.2. </w:t>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Rights Agent shall be liable hereunder only for its own gross negligence, willful misconduct or bad faith. Subject to Section 6.6 below, the Company agrees to indemnify the Rights Agent and save it harmless against any and all liabilities, including judgments, costs and reasonable counsel fees, for anything done or omitted by the Rights Agent in the execution of this Agreement except as a result of the Rights Agent’s gross negligence, willful misconduct, or bad faith.</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6.4.3. </w:t>
      </w:r>
      <w:r>
        <w:rPr>
          <w:rFonts w:ascii="Times New Roman" w:cs="Times New Roman" w:eastAsia="Times New Roman" w:hAnsi="Times New Roman"/>
          <w:sz w:val="18"/>
          <w:szCs w:val="18"/>
          <w:u w:val="single" w:color="auto"/>
          <w:color w:val="auto"/>
        </w:rPr>
        <w:t>Exclusions</w:t>
      </w:r>
      <w:r>
        <w:rPr>
          <w:rFonts w:ascii="Times New Roman" w:cs="Times New Roman" w:eastAsia="Times New Roman" w:hAnsi="Times New Roman"/>
          <w:sz w:val="18"/>
          <w:szCs w:val="18"/>
          <w:color w:val="auto"/>
        </w:rPr>
        <w:t>. The Rights Agent shall have no responsibility with respect to the validity of this Agreement or with respect to the validity or execution of any Right (except its countersignature thereof); nor shall it be responsible for any breach by the Company of any covenant or condition contained in this Agreement or in any Right; nor shall it by any act hereunder be deemed to make any representation or warranty as to the authorization or reservation of any shares of Common Stock to be issued pursuant to this Agreement or any Right or as to whether any shares of Common Stock will when issued be valid and fully paid and nonassessable.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Acceptance of Agency</w:t>
      </w:r>
      <w:r>
        <w:rPr>
          <w:rFonts w:ascii="Times New Roman" w:cs="Times New Roman" w:eastAsia="Times New Roman" w:hAnsi="Times New Roman"/>
          <w:sz w:val="18"/>
          <w:szCs w:val="18"/>
          <w:color w:val="auto"/>
        </w:rPr>
        <w:t>. The Rights Agent hereby accepts the agency established by this Agreement and agrees to perform the same upon the terms and conditions herein set forth.</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Rights Agent hereby waives any right of set-off or any other right, title, interest or claim of any kind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in, or to any distribution of, the Trust Account (as defined in that certain Investment Management Trust Agreement, dated as of the date hereof, by and between the Company and the Rights Agent as trustee thereunder) and hereby agrees not to seek recourse, reimbursement, payment or satisfaction for any Claim against the Trust Account for any reason whatsoever.</w:t>
      </w:r>
    </w:p>
    <w:p>
      <w:pPr>
        <w:spacing w:after="0" w:line="180" w:lineRule="exact"/>
        <w:rPr>
          <w:sz w:val="20"/>
          <w:szCs w:val="20"/>
          <w:color w:val="auto"/>
        </w:rPr>
      </w:pPr>
    </w:p>
    <w:p>
      <w:pPr>
        <w:ind w:left="180" w:hanging="172"/>
        <w:spacing w:after="0"/>
        <w:tabs>
          <w:tab w:leader="none" w:pos="1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the covenants and provisions of this Agreement by or for the benefit of the Company or the Rights Agent shall bind and inure to the benefit of their respective successors and assigns.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statement or demand authorized by this Agreement to be given or made by the Rights Agent or by the holder of any Right to or on the Company shall be sufficiently given when so delivered if by hand or overnight delivery or if sent by certified mail or private courier service within five days after deposit of such notice, postage prepaid, addressed (until another address is filed in writing by the Company with the Rights Agent),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10154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Giovanni Caruso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notice, statement or demand authorized by this Agreement to be given or made by the holder of any Right or by the Company to or on the Rights Agent shall be sufficiently given when so delivered if by hand or overnight delivery or if sent by certified mail or private courier service within five days after deposit of such notice, postage prepaid, addressed (until another address is filed in writing by the Rights Agent with the Company),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State Street, 30th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Compliance Department</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Applicable Law and Exclusive Forum</w:t>
      </w:r>
      <w:r>
        <w:rPr>
          <w:rFonts w:ascii="Times New Roman" w:cs="Times New Roman" w:eastAsia="Times New Roman" w:hAnsi="Times New Roman"/>
          <w:sz w:val="18"/>
          <w:szCs w:val="18"/>
          <w:color w:val="auto"/>
        </w:rPr>
        <w:t>. The validity, interpretation, and performance of this Agreement and of the Rights shall be governed in all respects by the laws of the State of New York, without giving effect to conflict of laws. Subject to applicable law, the Company and the Rights Agent hereby agree that any action, proceeding or claim against either of them arising out of or relating in any way to this Agreement shall be brought and enforced in the courts of the State of New York or the United States District Court for the Southern District of New York, and irrevocably submits to such jurisdiction, which jurisdiction shall be exclusive forum for any such action, proceeding or claim. The Company and the Rights Agent hereby waive any objection to such exclusive jurisdiction and that such courts represent an inconvenient forum. Notwithstanding the foregoing, the provisions of this paragraph will not apply to suits brought to enforce any liability or duty created by the Securities Exchange Act of 1934, as amended, or any other claim for which the federal district courts of the United States of America are the sole and exclusive forum.</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spacing w:after="0" w:line="255"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the Rights shall be deemed to have notice of and to have consented to the forum provisions in this Section 7.3. If any action, the subject matter of which is within the scope the forum provisions above, is filed in a court other than a court located within the State of New York or the United States District Court for the Southern District of New York (a “</w:t>
      </w:r>
      <w:r>
        <w:rPr>
          <w:rFonts w:ascii="Times New Roman" w:cs="Times New Roman" w:eastAsia="Times New Roman" w:hAnsi="Times New Roman"/>
          <w:sz w:val="18"/>
          <w:szCs w:val="18"/>
          <w:b w:val="1"/>
          <w:bCs w:val="1"/>
          <w:color w:val="auto"/>
        </w:rPr>
        <w:t>foreign action</w:t>
      </w:r>
      <w:r>
        <w:rPr>
          <w:rFonts w:ascii="Times New Roman" w:cs="Times New Roman" w:eastAsia="Times New Roman" w:hAnsi="Times New Roman"/>
          <w:sz w:val="18"/>
          <w:szCs w:val="18"/>
          <w:color w:val="auto"/>
        </w:rPr>
        <w:t>”) in the name of any Rights holder, such Rights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w:t>
      </w:r>
      <w:r>
        <w:rPr>
          <w:rFonts w:ascii="Times New Roman" w:cs="Times New Roman" w:eastAsia="Times New Roman" w:hAnsi="Times New Roman"/>
          <w:sz w:val="18"/>
          <w:szCs w:val="18"/>
          <w:b w:val="1"/>
          <w:bCs w:val="1"/>
          <w:color w:val="auto"/>
        </w:rPr>
        <w:t>enforcement action</w:t>
      </w:r>
      <w:r>
        <w:rPr>
          <w:rFonts w:ascii="Times New Roman" w:cs="Times New Roman" w:eastAsia="Times New Roman" w:hAnsi="Times New Roman"/>
          <w:sz w:val="18"/>
          <w:szCs w:val="18"/>
          <w:color w:val="auto"/>
        </w:rPr>
        <w:t>”), and (y) having service of process made upon such Rights holder in any such enforcement action by service upon such Rights holder’s counsel in the foreign action as agent for such Rights holder.</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Persons Having Rights under this Agreement</w:t>
      </w:r>
      <w:r>
        <w:rPr>
          <w:rFonts w:ascii="Times New Roman" w:cs="Times New Roman" w:eastAsia="Times New Roman" w:hAnsi="Times New Roman"/>
          <w:sz w:val="18"/>
          <w:szCs w:val="18"/>
          <w:color w:val="auto"/>
        </w:rPr>
        <w:t>. Nothing in this Agreement expressed and nothing that may be implied from any of the provisions hereof is intended, or shall be construed, to confer upon, or give to, any person or corporation other than the parties hereto and the registered holders of the Rights and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Rights.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Examination of the Right Agreement</w:t>
      </w:r>
      <w:r>
        <w:rPr>
          <w:rFonts w:ascii="Times New Roman" w:cs="Times New Roman" w:eastAsia="Times New Roman" w:hAnsi="Times New Roman"/>
          <w:sz w:val="18"/>
          <w:szCs w:val="18"/>
          <w:color w:val="auto"/>
        </w:rPr>
        <w:t>. A copy of this Agreement shall be available at all reasonable times at the office of the Rights Agent in the Borough of Manhattan, City and State of New York, for inspection by the registered holder of any Right. The Rights Agent may require any such holder to submit his, her or its Right for inspection by it.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are not part of this Agreement and shall not affect the interpretation thereof.</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be amended by the parties hereto without the consent of any registered holder for the purpose of curing any ambiguity, or of curing, correcting or supplementing any defective provision contained herein or adding or changing any other provisions with respect to matters or questions arising under this Agreement as the parties may deem necessary or desirable and that the parties deem shall not adversely affect the interest of the registered holders. All other modifications or amendments shall require the written consent or vote of the registered holders of a majority of the then outstanding Rights.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color w:val="auto"/>
        </w:rPr>
        <w:t>IN WITNESS WHEREOF, this Agreement has been duly executed by the parties hereto as of the day and year first above written.</w:t>
      </w:r>
    </w:p>
    <w:p>
      <w:pPr>
        <w:spacing w:after="0" w:line="200" w:lineRule="exact"/>
        <w:rPr>
          <w:sz w:val="20"/>
          <w:szCs w:val="20"/>
          <w:color w:val="auto"/>
        </w:rPr>
      </w:pPr>
    </w:p>
    <w:p>
      <w:pPr>
        <w:spacing w:after="0" w:line="24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CONTINENTAL STOCK TRANSFER &amp; TRUST</w:t>
      </w:r>
    </w:p>
    <w:p>
      <w:pPr>
        <w:spacing w:after="0" w:line="3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Isaac J.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Isaac J. Kagan</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7"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[Signature Page to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320" w:top="904" w:right="117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Right</w:t>
      </w:r>
    </w:p>
    <w:p>
      <w:pPr>
        <w:spacing w:after="0" w:line="221" w:lineRule="exact"/>
        <w:rPr>
          <w:sz w:val="20"/>
          <w:szCs w:val="20"/>
          <w:color w:val="auto"/>
        </w:rPr>
      </w:pPr>
    </w:p>
    <w:p>
      <w:pPr>
        <w:spacing w:after="0"/>
        <w:tabs>
          <w:tab w:leader="none" w:pos="10520" w:val="left"/>
        </w:tabs>
        <w:rPr>
          <w:sz w:val="20"/>
          <w:szCs w:val="20"/>
          <w:color w:val="auto"/>
        </w:rPr>
      </w:pPr>
      <w:r>
        <w:rPr>
          <w:rFonts w:ascii="Times New Roman" w:cs="Times New Roman" w:eastAsia="Times New Roman" w:hAnsi="Times New Roman"/>
          <w:sz w:val="17"/>
          <w:szCs w:val="17"/>
          <w:b w:val="1"/>
          <w:bCs w:val="1"/>
          <w:color w:val="auto"/>
        </w:rPr>
        <w:t>NUMBER</w:t>
      </w:r>
      <w:r>
        <w:rPr>
          <w:sz w:val="20"/>
          <w:szCs w:val="20"/>
          <w:color w:val="auto"/>
        </w:rPr>
        <w:tab/>
      </w:r>
      <w:r>
        <w:rPr>
          <w:rFonts w:ascii="Times New Roman" w:cs="Times New Roman" w:eastAsia="Times New Roman" w:hAnsi="Times New Roman"/>
          <w:sz w:val="17"/>
          <w:szCs w:val="17"/>
          <w:b w:val="1"/>
          <w:bCs w:val="1"/>
          <w:color w:val="auto"/>
        </w:rPr>
        <w:t>RIGHTS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INCORPORATED UNDER THE LAWS OF DELAWARE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SEE REVERSE FOR</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CUSIP </w:t>
      </w:r>
      <w:r>
        <w:rPr>
          <w:rFonts w:ascii="Times New Roman" w:cs="Times New Roman" w:eastAsia="Times New Roman" w:hAnsi="Times New Roman"/>
          <w:sz w:val="18"/>
          <w:szCs w:val="18"/>
          <w:color w:val="auto"/>
        </w:rPr>
        <w:t>92280L127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CERTIFIES THAT, for value received, ______________________</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is the registered holder of a right or rights (each, a “Right”) to automatically receive one-twentieth of one share of common stock, $0.0001 par value (“Common Stock”), of Ventoux CCM Acquisition Corp (the “Company”) for each Right evidenced by this Rights Certificate on the Company’s completion of an initial Business Combination (as defined in the Company’s Amended and Restated Certificate of Incorporation) upon surrender of this Right Certificate pursuant to the Rights Agreement between the Company and Continental Stock Transfer &amp; Trust Company, as Rights Agent. In no event will the Company be required to net cash settle any Right.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liquidation of the Company in the event an initial business combination is not consummated during the required period as identified in the Company’s Amended and Restated Certificate of Incorporation, the Right shall expire and be worthless. As more fully described in the prospectus relating to the Company’s initial public offering (“Prospectus”), the holder of a Right shall have no right or interest of any kind in the Company’s trust account established in connection with the Company’s initial public offering.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due presentment for registration of transfer of the Right Certificate at the office or agency of the Rights Agent, a new Right Certificate or Right Certificates of like tenor and evidencing in the aggregate a like number of Rights shall be issued to the transferee in exchange for this Right Certificate, without charge except for any applicable tax or other governmental charge. The Company shall not issue fractional shares upon exchange of Rights. The Company reserves the right to deal with any fractional entitlement at the relevant time in any manner (as provided in the Rights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the Rights Agent may deem and treat the registered holder as the absolute owner of this Right Certificate (notwithstanding any notation of ownership or other writing hereon made by anyone), for the purpose of any conversion hereof, of any distribution to the registered holder, and for all other purposes, and neither the Company nor the Right Agent shall be affected by any notice to the contrary.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Right does not entitle the registered holder to any of the rights of a shareholder of the Company.</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Dated:</w:t>
      </w:r>
    </w:p>
    <w:p>
      <w:pPr>
        <w:spacing w:after="0" w:line="200" w:lineRule="exact"/>
        <w:rPr>
          <w:sz w:val="20"/>
          <w:szCs w:val="20"/>
          <w:color w:val="auto"/>
        </w:rPr>
      </w:pPr>
    </w:p>
    <w:p>
      <w:pPr>
        <w:spacing w:after="0" w:line="257" w:lineRule="exact"/>
        <w:rPr>
          <w:sz w:val="20"/>
          <w:szCs w:val="20"/>
          <w:color w:val="auto"/>
        </w:rPr>
      </w:pPr>
    </w:p>
    <w:p>
      <w:pPr>
        <w:spacing w:after="0"/>
        <w:tabs>
          <w:tab w:leader="none" w:pos="7520" w:val="left"/>
        </w:tabs>
        <w:rPr>
          <w:sz w:val="20"/>
          <w:szCs w:val="20"/>
          <w:color w:val="auto"/>
        </w:rPr>
      </w:pPr>
      <w:r>
        <w:rPr>
          <w:rFonts w:ascii="Times New Roman" w:cs="Times New Roman" w:eastAsia="Times New Roman" w:hAnsi="Times New Roman"/>
          <w:sz w:val="18"/>
          <w:szCs w:val="18"/>
          <w:color w:val="auto"/>
        </w:rPr>
        <w:t>CHAIRMAN</w:t>
      </w:r>
      <w:r>
        <w:rPr>
          <w:sz w:val="20"/>
          <w:szCs w:val="20"/>
          <w:color w:val="auto"/>
        </w:rPr>
        <w:tab/>
      </w:r>
      <w:r>
        <w:rPr>
          <w:rFonts w:ascii="Times New Roman" w:cs="Times New Roman" w:eastAsia="Times New Roman" w:hAnsi="Times New Roman"/>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-127635</wp:posOffset>
            </wp:positionV>
            <wp:extent cx="23488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-127635</wp:posOffset>
            </wp:positionV>
            <wp:extent cx="26403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 as Rights Agent</w:t>
      </w:r>
    </w:p>
    <w:p>
      <w:pPr>
        <w:spacing w:after="0" w:line="20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on the face of this certificate, shall be construed as though they were written out in full according to applicable laws or regulations: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TEN COM – as tenants in common</w:t>
            </w:r>
          </w:p>
        </w:tc>
        <w:tc>
          <w:tcPr>
            <w:tcW w:w="500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UNIF GIFT MIN ACT - __________ Custodian __________</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TEN ENT – as tenants by the entireties</w:t>
            </w:r>
          </w:p>
        </w:tc>
        <w:tc>
          <w:tcPr>
            <w:tcW w:w="5000" w:type="dxa"/>
            <w:vAlign w:val="bottom"/>
          </w:tcPr>
          <w:p>
            <w:pPr>
              <w:jc w:val="center"/>
              <w:ind w:left="2430"/>
              <w:spacing w:after="0"/>
              <w:rPr>
                <w:sz w:val="20"/>
                <w:szCs w:val="20"/>
                <w:color w:val="auto"/>
              </w:rPr>
            </w:pPr>
            <w:r>
              <w:rPr>
                <w:rFonts w:ascii="Times New Roman" w:cs="Times New Roman" w:eastAsia="Times New Roman" w:hAnsi="Times New Roman"/>
                <w:sz w:val="18"/>
                <w:szCs w:val="18"/>
                <w:color w:val="auto"/>
              </w:rPr>
              <w:t>(Cust) (Minor)</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JT TEN – as joint tenants with right of survivorship</w:t>
            </w:r>
          </w:p>
        </w:tc>
        <w:tc>
          <w:tcPr>
            <w:tcW w:w="5000" w:type="dxa"/>
            <w:vAlign w:val="bottom"/>
          </w:tcPr>
          <w:p>
            <w:pPr>
              <w:jc w:val="center"/>
              <w:ind w:left="2430"/>
              <w:spacing w:after="0"/>
              <w:rPr>
                <w:sz w:val="20"/>
                <w:szCs w:val="20"/>
                <w:color w:val="auto"/>
              </w:rPr>
            </w:pPr>
            <w:r>
              <w:rPr>
                <w:rFonts w:ascii="Times New Roman" w:cs="Times New Roman" w:eastAsia="Times New Roman" w:hAnsi="Times New Roman"/>
                <w:sz w:val="18"/>
                <w:szCs w:val="18"/>
                <w:color w:val="auto"/>
              </w:rPr>
              <w:t>under Uniform Gifts to Minors</w:t>
            </w: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and not as tenants in common</w:t>
            </w:r>
          </w:p>
        </w:tc>
        <w:tc>
          <w:tcPr>
            <w:tcW w:w="5000" w:type="dxa"/>
            <w:vAlign w:val="bottom"/>
          </w:tcPr>
          <w:p>
            <w:pPr>
              <w:jc w:val="center"/>
              <w:ind w:left="2430"/>
              <w:spacing w:after="0"/>
              <w:rPr>
                <w:sz w:val="20"/>
                <w:szCs w:val="20"/>
                <w:color w:val="auto"/>
              </w:rPr>
            </w:pPr>
            <w:r>
              <w:rPr>
                <w:rFonts w:ascii="Times New Roman" w:cs="Times New Roman" w:eastAsia="Times New Roman" w:hAnsi="Times New Roman"/>
                <w:sz w:val="18"/>
                <w:szCs w:val="18"/>
                <w:color w:val="auto"/>
                <w:w w:val="99"/>
              </w:rPr>
              <w:t>Act __________</w:t>
            </w:r>
          </w:p>
        </w:tc>
      </w:tr>
      <w:tr>
        <w:trPr>
          <w:trHeight w:val="234"/>
        </w:trPr>
        <w:tc>
          <w:tcPr>
            <w:tcW w:w="4280" w:type="dxa"/>
            <w:vAlign w:val="bottom"/>
          </w:tcPr>
          <w:p>
            <w:pPr>
              <w:spacing w:after="0"/>
              <w:rPr>
                <w:sz w:val="20"/>
                <w:szCs w:val="20"/>
                <w:color w:val="auto"/>
              </w:rPr>
            </w:pPr>
          </w:p>
        </w:tc>
        <w:tc>
          <w:tcPr>
            <w:tcW w:w="5000" w:type="dxa"/>
            <w:vAlign w:val="bottom"/>
          </w:tcPr>
          <w:p>
            <w:pPr>
              <w:jc w:val="center"/>
              <w:ind w:left="2430"/>
              <w:spacing w:after="0"/>
              <w:rPr>
                <w:sz w:val="20"/>
                <w:szCs w:val="20"/>
                <w:color w:val="auto"/>
              </w:rPr>
            </w:pPr>
            <w:r>
              <w:rPr>
                <w:rFonts w:ascii="Times New Roman" w:cs="Times New Roman" w:eastAsia="Times New Roman" w:hAnsi="Times New Roman"/>
                <w:sz w:val="18"/>
                <w:szCs w:val="18"/>
                <w:color w:val="auto"/>
                <w:w w:val="99"/>
              </w:rPr>
              <w:t>(State)</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Additional Abbreviations may also be used though not in the above 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Ventoux CCM Acquisition Corp</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will furnish without charge to each shareholder who so requests the powers, designations, preferences and relative, participating, optional or other special rights of each class of shares or series thereof of the Company and the qualifications, limitations, or restrictions of such preferences and/or rights. This certificate and the rights represented thereby are issued and shall be held subject to all the provisions of the Amended and Restated Certificate of Incorporation and all amendments thereto and resolutions of the Board of Directors providing for the issue of shares of Common Stock (copies of which may be obtained from the secretary of the Company), to all of which the holder of this certificate by acceptance hereof assents.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 value received, ___________________________ hereby sell, assign and transfer unto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 OR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3086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rights</w:t>
            </w:r>
          </w:p>
        </w:tc>
      </w:tr>
      <w:tr>
        <w:trPr>
          <w:trHeight w:val="236"/>
        </w:trPr>
        <w:tc>
          <w:tcPr>
            <w:tcW w:w="9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represented by the within Certificate, and do hereby irrevocably constitute and appoint</w:t>
            </w:r>
          </w:p>
        </w:tc>
        <w:tc>
          <w:tcPr>
            <w:tcW w:w="1740" w:type="dxa"/>
            <w:vAlign w:val="bottom"/>
          </w:tcPr>
          <w:p>
            <w:pPr>
              <w:spacing w:after="0"/>
              <w:rPr>
                <w:sz w:val="20"/>
                <w:szCs w:val="20"/>
                <w:color w:val="auto"/>
              </w:rPr>
            </w:pPr>
          </w:p>
        </w:tc>
      </w:tr>
      <w:tr>
        <w:trPr>
          <w:trHeight w:val="412"/>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Attorney</w:t>
            </w:r>
          </w:p>
        </w:tc>
      </w:tr>
      <w:tr>
        <w:trPr>
          <w:trHeight w:val="236"/>
        </w:trPr>
        <w:tc>
          <w:tcPr>
            <w:tcW w:w="9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 transfer said rights on the books of the within named Company will full power of substitution in the premises.</w:t>
            </w:r>
          </w:p>
        </w:tc>
        <w:tc>
          <w:tcPr>
            <w:tcW w:w="1740" w:type="dxa"/>
            <w:vAlign w:val="bottom"/>
          </w:tcPr>
          <w:p>
            <w:pPr>
              <w:spacing w:after="0"/>
              <w:rPr>
                <w:sz w:val="20"/>
                <w:szCs w:val="20"/>
                <w:color w:val="auto"/>
              </w:rPr>
            </w:pPr>
          </w:p>
        </w:tc>
      </w:tr>
      <w:tr>
        <w:trPr>
          <w:trHeight w:val="648"/>
        </w:trPr>
        <w:tc>
          <w:tcPr>
            <w:tcW w:w="9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Dated _____________________</w:t>
            </w:r>
          </w:p>
        </w:tc>
        <w:tc>
          <w:tcPr>
            <w:tcW w:w="1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5657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Guaranteed:</w:t>
      </w:r>
    </w:p>
    <w:p>
      <w:pPr>
        <w:spacing w:after="0" w:line="225"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The signature to this assignment must correspond</w:t>
      </w:r>
    </w:p>
    <w:p>
      <w:pPr>
        <w:spacing w:after="0" w:line="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the  name  as  written  upon  the  face  of  the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certificate in every particular, without alteration or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enlargement or any change whatever.</w:t>
      </w:r>
    </w:p>
    <w:p>
      <w:pPr>
        <w:spacing w:after="0" w:line="1934" w:lineRule="exact"/>
        <w:rPr>
          <w:sz w:val="20"/>
          <w:szCs w:val="20"/>
          <w:color w:val="auto"/>
        </w:rPr>
      </w:pPr>
    </w:p>
    <w:p>
      <w:pPr>
        <w:sectPr>
          <w:pgSz w:w="11900" w:h="16838" w:orient="portrait"/>
          <w:cols w:equalWidth="0" w:num="2">
            <w:col w:w="6040" w:space="720"/>
            <w:col w:w="4480"/>
          </w:cols>
          <w:pgMar w:left="320" w:top="1157"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As more fully described in the Prospectus, the holder of this certificate shall have no right or interest of any kind in or to the funds held in the Company’s trust account established in connection with the Company’s initial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type w:val="continuous"/>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December 23,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This letter is being delivered to you in accordance with the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entered into by and between Ventoux CCM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Chardan Capital Markets, LLC, as representative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of the Underwriters named in Schedule A thereto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relating to an underwritten initial public offering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of the Company’s units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each comprised of one share of Common Stock of the Company,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one right to receive one-twentieth of one share of Common Stock, and one warrant, with each warrant being exercisable to purchase one-half of one share of Common Stock at a price of $11.50 per full share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Certain capitalized terms used herein are defined in paragraph 11 hereof.</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 order to induce the Company and the Underwriters to enter into the Underwriting Agreement and to proceed with the IPO, and in recognition of the benefit that such IPO will confer upon the undersigned as a stockholder of the Company, and for other good and valuable consideration, the receipt and sufficiency of which are hereby acknowledged, the undersigned hereby agrees with the Company as follows:</w:t>
      </w:r>
    </w:p>
    <w:p>
      <w:pPr>
        <w:spacing w:after="0" w:line="176" w:lineRule="exact"/>
        <w:rPr>
          <w:sz w:val="20"/>
          <w:szCs w:val="20"/>
          <w:color w:val="auto"/>
        </w:rPr>
      </w:pPr>
    </w:p>
    <w:p>
      <w:pPr>
        <w:ind w:firstLine="1304"/>
        <w:spacing w:after="0" w:line="282" w:lineRule="auto"/>
        <w:tabs>
          <w:tab w:leader="none" w:pos="14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solicits approval of its shareholders of a Business Combination, the undersigned will vote all shares of Common Stock beneficially owned by him, her or it, whether acquired before, in or after the IPO, in favor of such Business Combination.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0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event that the Company fails to consummate a Business Combination within 15 months (or in the event the Company extended the time to complete a Business Combination up to 18 months) from the closing of the Company’s IPO, the undersigned shall take all reasonable steps to (i) cause the Trust Fund to be liquidated and distributed to the holders of IPO Shares and (ii) cause the Company to liquidate as promptly as reasonably possible but not more than five business days after the date we are required to consummate a Business Combination.</w:t>
      </w:r>
    </w:p>
    <w:p>
      <w:pPr>
        <w:spacing w:after="0" w:line="179" w:lineRule="exact"/>
        <w:rPr>
          <w:rFonts w:ascii="Times New Roman" w:cs="Times New Roman" w:eastAsia="Times New Roman" w:hAnsi="Times New Roman"/>
          <w:sz w:val="18"/>
          <w:szCs w:val="18"/>
          <w:color w:val="auto"/>
        </w:rPr>
      </w:pPr>
    </w:p>
    <w:p>
      <w:pPr>
        <w:jc w:val="both"/>
        <w:ind w:firstLine="1693"/>
        <w:spacing w:after="0" w:line="258" w:lineRule="auto"/>
        <w:tabs>
          <w:tab w:leader="none" w:pos="19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waives any and all right, title, interest or claim of any kind in or to any distribution of the Trust Fund and any remaining net assets of the Company as a result of such liquidation with respect to any shares he, she or it owns, including his, her or its Insider Shares, IPO Shares and Private Warrants purchased during or after the offering, if any,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and hereby waives any Claim the undersigned may have in the future as a result of, or arising out of, any contracts or agreements with the Company and will not seek recourse against the Trust Fund for any reason whatsoever.</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48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will place into escrow all of his, her or its Insider Shares pursuant to the terms of a Stock Escrow Agreement which the Company will enter into with the undersigned and an escrow agent acceptable to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48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agrees that prior to entering into a Business Combination with a target business that is affiliated with any Insiders of the Company or their affiliates, including any company that is a portfolio company of, or otherwise affiliated with, or has received financial investment from, an entity with which any Insider or their affiliates is affiliated, such transaction must be approved by a majority of the Company’s disinterested independent directors and the Company must obtain an opinion from an independent investment banking firm that such Business Combination is fair to the Company’s unaffiliated stockholders from a financial point of view.</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p>
      <w:pPr>
        <w:jc w:val="both"/>
        <w:ind w:firstLine="1304"/>
        <w:spacing w:after="0" w:line="266" w:lineRule="auto"/>
        <w:tabs>
          <w:tab w:leader="none" w:pos="148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undersigned, any member of the family of the undersigned, nor any affiliate of the undersigned will be entitled to receive or accept a finder’s fee or any other compensation in the event the undersigned, any member of the family of the undersigned or any affiliate of the undersigned originates a Business Combination.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47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agrees to be a director or officer of the Company, as applicable, until the earlier of the consummation by the Company of a Business Combination or the liquidation of the Company. The undersigned’s biographical information previously furnished to the Company and the Representative is true and accurate in all material respects, does not omit any material information with respect to the undersigned’s biography and contains all of the information required to be disclosed pursuant to Item 401 of Regulation S-K, promulgated under the Securities Act of 1933. The undersigned’s FINRA Questionnaire and Director and Officer Questionnaire previously furnished to the Company and the Representative is true and accurate in all material respects. The undersigned represents and warrants that, except as disclosed in the undersigned’s Director and Officer Questionnaire:</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had a petition under the federal bankruptcy laws or any state insolvency law been filed by or against (i) him/her/it or any partnership in which he/she/it was a general partner at or within two years before the time of filing; or (ii) any corporation or business association of which he/she/it was an executive officer at or within two years before the time of such filing;</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had a receiver, fiscal agent or similar officer been appointed by a court for his/her/its business or property, or any such partnership;</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of fraud in a civil or criminal proceeding;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in a criminal proceeding or named the subject of a pending criminal proceeding (excluding traffic violations and minor offenses);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any order, judgment or decree, not subsequently reversed, suspended or vacated, of any court of competent jurisdiction, permanently or temporarily enjoining or otherwise limiting him/her/it from (i) acting as a futures commission merchant, introducing broker, commodity trading advisor, commodity pool operator, floor broker, leverage transaction merchant, any other person regulated by the Commodity Futures Trading Commission (“</w:t>
      </w:r>
      <w:r>
        <w:rPr>
          <w:rFonts w:ascii="Times New Roman" w:cs="Times New Roman" w:eastAsia="Times New Roman" w:hAnsi="Times New Roman"/>
          <w:sz w:val="18"/>
          <w:szCs w:val="18"/>
          <w:b w:val="1"/>
          <w:bCs w:val="1"/>
          <w:i w:val="1"/>
          <w:iCs w:val="1"/>
          <w:color w:val="auto"/>
        </w:rPr>
        <w:t>CFTC</w:t>
      </w:r>
      <w:r>
        <w:rPr>
          <w:rFonts w:ascii="Times New Roman" w:cs="Times New Roman" w:eastAsia="Times New Roman" w:hAnsi="Times New Roman"/>
          <w:sz w:val="18"/>
          <w:szCs w:val="18"/>
          <w:color w:val="auto"/>
        </w:rPr>
        <w:t>”) or an associated person of any of the foregoing, or as an investment adviser, underwriter, broker or dealer in securities, or as an affiliated person, director or employee of any investment company, bank, savings and loan association or insurance company, or from engaging in or continuing any conduct or practice in connection with any such activity; or (ii) engaging in any type of business practice; or (iii) engaging in any activity in connection with the purchase or sale of any security or commodity or in connection with any violation of federal or state securities or federal commodities laws;</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any order, judgment or decree, not subsequently reversed, suspended or vacated, of any federal or state authority barring, suspending or otherwise limiting for more than 60 days his/her/its right to engage in any activity described in 6(e)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above, or to be associated with persons engaged in any such activity;</w:t>
      </w:r>
    </w:p>
    <w:p>
      <w:pPr>
        <w:spacing w:after="0" w:line="20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found by a court of competent jurisdiction in a civil action or by the SEC to have violated any federal or state securities law, where the judgment in such civil action or finding by the SEC has not been subsequently reversed, suspended or vacated;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found by a court of competent jurisdiction in a civil action or by the CFTC to have violated any federal commodities law, where the judgment in such civil action or finding by the CFTC has not been subsequently reversed, suspended or vacated;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left="644" w:hanging="644"/>
        <w:spacing w:after="0" w:line="258" w:lineRule="auto"/>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or a party to, any Federal or State judicial or administrative order, judgment, decree or finding, not subsequently reversed, suspended or vacated, relating to an alleged violation of (i) any Federal or State securities or commodities law or regulation, (ii) any law or regulation respecting financial institutions or insurance companies including, but not limited to, a temporary or permanent injunction, order of disgorgement or restitution, civil money penalty or temporary or permanent cease-and desist order, or removal or prohibition order or (iii) any law or regulation prohibiting mail or wire fraud or fraud in connection with any business entity;</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or party to, any sanction or order, not subsequently reversed, suspended or vacated, or any self-regulatory organization, any registered entity, or any equivalent exchange, association, entity or organization that has disciplinary authority over its members or persons associated with a member;</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of any felony or misdemeanor: (i) in connection with the purchase or sale of any security; (ii) involving the making of any false filing with the SEC; or (iii) arising out of the conduct of the business of an underwriter, broker, dealer, municipal securities dealer, investment advisor or paid solicitor of purchasers of securities;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was never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is based on a violation of any law or regulation that prohibits fraudulent, manipulative, or deceptive conduct;</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any order, judgment or decree of any court of competent jurisdiction, that, at the time of such sale, restrained or enjoined him/her/it from engaging or continuing to engage in any conduct or practice: (i) in connection with the purchase or sale of any security; (ii) involving the making of any false filing with the SEC; or (iii) arising out of the conduct of the business of an underwriter, broker, dealer, municipal securities dealer, investment adviser or paid solicitor of purchasers of securities;</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any order of the SEC that orders him/her/it to cease and desist from committing or causing a future violation of: (i) any scienter-based anti-fraud provision of the federal securities laws, including, but not limited to, Section 17(a)(1) of the Securities Act, Section 10(b) of the Exchange Act and Rule 10b-5 thereunder, and Section 206(1) of the Advisers Act or any other rule or regulation thereunder; or (ii) Section 5 of the Securities Act;</w:t>
      </w:r>
    </w:p>
    <w:p>
      <w:pPr>
        <w:spacing w:after="0" w:line="179" w:lineRule="exact"/>
        <w:rPr>
          <w:rFonts w:ascii="Times New Roman" w:cs="Times New Roman" w:eastAsia="Times New Roman" w:hAnsi="Times New Roman"/>
          <w:sz w:val="18"/>
          <w:szCs w:val="18"/>
          <w:color w:val="auto"/>
        </w:rPr>
      </w:pPr>
    </w:p>
    <w:p>
      <w:pPr>
        <w:jc w:val="both"/>
        <w:ind w:left="644" w:right="20" w:hanging="644"/>
        <w:spacing w:after="0" w:line="266" w:lineRule="auto"/>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named as an underwriter in any registration statement or Regulation A offering statement filed with the SEC that was the subject of a refusal order, stop order, or order suspending the Regulation A exemption, or is, currently, the subject of an investigation or proceeding to determine whether a stop order or suspension order should be issued;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 United States Postal Service false representation order, or is currently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is not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bars the undersigned from: (i) association with an entity regulated by such commission, authority, agency or officer; (ii) engaging in the business of securities, insurance or banking; or (iii) engaging in savings association or credit union activities;</w:t>
      </w:r>
    </w:p>
    <w:p>
      <w:pPr>
        <w:spacing w:after="0" w:line="39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85" w:name="page86"/>
    <w:bookmarkEnd w:id="85"/>
    <w:p>
      <w:pPr>
        <w:jc w:val="both"/>
        <w:ind w:left="1300" w:hanging="644"/>
        <w:spacing w:after="0" w:line="258"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is not subject to an order of the SEC entered pursuant to section 15(b) or 15B(c) of the Securities Exchange Act of 1934 (the “Exchange Act”) or section 203(e) or 203(f) of the Investment Advisers Act of 1940 (the “Advisers Act”) that: (i) suspends or revokes the undersigned’s registration as a broker, dealer, municipal securities dealer or investment adviser; (ii) places limitations on the activities, functions or operations of, or imposes civil money penalties on, such person; or (iii) bars the undersigned from being associated with any entity or from participating in the offering of any penny stock; and</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suspended or expelled from membership in, or suspended or barred from association with a member of, a securities self-regulatory organization (e.g., a registered national securities exchange or a registered national or affiliated securities association) for any act or omission to act constituting conduct inconsistent with just and equitable principles of trade.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4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full right and power, without violating any agreement by which he, she or it is bound, to enter into this letter agreement and to serve as a director or officer of the Company, as applicable.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47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waives his, her or its right to exercise conversion rights with respect to any shares of Common Stock owned or to be owned by the undersigned, directly or indirectly, whether purchased by the undersigned prior to the IPO, in the IPO or in the aftermarket, and agrees that he, she or it will not seek conversion with respect to or otherwise sell, such shares in connection with any vote to approve a Business Combination with respect thereto, a vote to amend the provisions of the Company’s Amended and Restated Certificate of Incorporation, or a tender offer by the Company prior to a Business Combination.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7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agrees to not propose, or vote in favor of, an amendment to the Company’s Amended and Restated Certificate of Incorporation with respect to stockholder’s rights or the Company’s pre-Business Combination activities (including the substance or timing within which we have to complete a business combination) of a Business Combination unless the Company offers holders of IPO Shares the right to receive their pro rata portion of the funds then held in the Trust Fund upon approval of any amendment.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Section 5-1401 of the General Obligations Law of the State of New York, this letter agreement shall be governed by, and construed in accordance with, the laws of the State of New York without regard to principles of conflicts of law that would result in the application of the substantive law of another jurisdiction. The parties hereto agree that any action, proceeding or claim arising out of or relating in any way to this letter agreement shall be resolved through final and binding arbitration in accordance with the International Arbitration Rules of the American Arbitration Association (“</w:t>
      </w:r>
      <w:r>
        <w:rPr>
          <w:rFonts w:ascii="Times New Roman" w:cs="Times New Roman" w:eastAsia="Times New Roman" w:hAnsi="Times New Roman"/>
          <w:sz w:val="18"/>
          <w:szCs w:val="18"/>
          <w:b w:val="1"/>
          <w:bCs w:val="1"/>
          <w:i w:val="1"/>
          <w:iCs w:val="1"/>
          <w:color w:val="auto"/>
        </w:rPr>
        <w:t>AAA</w:t>
      </w:r>
      <w:r>
        <w:rPr>
          <w:rFonts w:ascii="Times New Roman" w:cs="Times New Roman" w:eastAsia="Times New Roman" w:hAnsi="Times New Roman"/>
          <w:sz w:val="18"/>
          <w:szCs w:val="18"/>
          <w:color w:val="auto"/>
        </w:rPr>
        <w:t>”). The arbitration shall be brought before the AAA International Center for Dispute Resolution’s offices in New York City, New York, will be conducted in English and will be decided by a panel of three arbitrators selected from the AAA Commercial Disputes Panel and that the arbitrator panel’s decision shall be final and enforceable by any court having jurisdiction over the party from whom enforcement is sought. The cost of such arbitrators and arbitration services, together with the prevailing party’s legal fees and expenses, shall be borne by the non-prevailing party or as otherwise directed by the arbitrators.</w:t>
      </w:r>
    </w:p>
    <w:p>
      <w:pPr>
        <w:spacing w:after="0" w:line="18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2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(i)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shall mean a merger, share exchange, asset acquisition, stock purchase, recapitalization, reorganization or other similar business combination with one or more businesses or entities; (ii) “</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 shall mean all officers, directors and stockholders of the Company immediately prior to the IPO; (iii) “</w:t>
      </w:r>
      <w:r>
        <w:rPr>
          <w:rFonts w:ascii="Times New Roman" w:cs="Times New Roman" w:eastAsia="Times New Roman" w:hAnsi="Times New Roman"/>
          <w:sz w:val="18"/>
          <w:szCs w:val="18"/>
          <w:b w:val="1"/>
          <w:bCs w:val="1"/>
          <w:i w:val="1"/>
          <w:iCs w:val="1"/>
          <w:color w:val="auto"/>
        </w:rPr>
        <w:t>Insider Shares</w:t>
      </w:r>
      <w:r>
        <w:rPr>
          <w:rFonts w:ascii="Times New Roman" w:cs="Times New Roman" w:eastAsia="Times New Roman" w:hAnsi="Times New Roman"/>
          <w:sz w:val="18"/>
          <w:szCs w:val="18"/>
          <w:color w:val="auto"/>
        </w:rPr>
        <w:t>” shall mean all of the shares of Common Stock of the Company acquired by an Insider prior to the IPO and the purchase of the Private Warrants; (iv) “</w:t>
      </w:r>
      <w:r>
        <w:rPr>
          <w:rFonts w:ascii="Times New Roman" w:cs="Times New Roman" w:eastAsia="Times New Roman" w:hAnsi="Times New Roman"/>
          <w:sz w:val="18"/>
          <w:szCs w:val="18"/>
          <w:b w:val="1"/>
          <w:bCs w:val="1"/>
          <w:i w:val="1"/>
          <w:iCs w:val="1"/>
          <w:color w:val="auto"/>
        </w:rPr>
        <w:t>IPO Shares</w:t>
      </w:r>
      <w:r>
        <w:rPr>
          <w:rFonts w:ascii="Times New Roman" w:cs="Times New Roman" w:eastAsia="Times New Roman" w:hAnsi="Times New Roman"/>
          <w:sz w:val="18"/>
          <w:szCs w:val="18"/>
          <w:color w:val="auto"/>
        </w:rPr>
        <w:t>” shall mean the shares of Common Stock issued in the Company’s IPO; (v) “</w:t>
      </w:r>
      <w:r>
        <w:rPr>
          <w:rFonts w:ascii="Times New Roman" w:cs="Times New Roman" w:eastAsia="Times New Roman" w:hAnsi="Times New Roman"/>
          <w:sz w:val="18"/>
          <w:szCs w:val="18"/>
          <w:b w:val="1"/>
          <w:bCs w:val="1"/>
          <w:i w:val="1"/>
          <w:iCs w:val="1"/>
          <w:color w:val="auto"/>
        </w:rPr>
        <w:t>Private Warrants</w:t>
      </w:r>
      <w:r>
        <w:rPr>
          <w:rFonts w:ascii="Times New Roman" w:cs="Times New Roman" w:eastAsia="Times New Roman" w:hAnsi="Times New Roman"/>
          <w:sz w:val="18"/>
          <w:szCs w:val="18"/>
          <w:color w:val="auto"/>
        </w:rPr>
        <w:t>” shall mean the warrants purchased in the private placement taking place simultaneously with the consummation of the Company’s IPO; (vi)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the registration statement on Form S-1 filed by the Company with respect to the IPO; and (vii) “</w:t>
      </w:r>
      <w:r>
        <w:rPr>
          <w:rFonts w:ascii="Times New Roman" w:cs="Times New Roman" w:eastAsia="Times New Roman" w:hAnsi="Times New Roman"/>
          <w:sz w:val="18"/>
          <w:szCs w:val="18"/>
          <w:b w:val="1"/>
          <w:bCs w:val="1"/>
          <w:i w:val="1"/>
          <w:iCs w:val="1"/>
          <w:color w:val="auto"/>
        </w:rPr>
        <w:t>Trust Fund</w:t>
      </w:r>
      <w:r>
        <w:rPr>
          <w:rFonts w:ascii="Times New Roman" w:cs="Times New Roman" w:eastAsia="Times New Roman" w:hAnsi="Times New Roman"/>
          <w:sz w:val="18"/>
          <w:szCs w:val="18"/>
          <w:color w:val="auto"/>
        </w:rPr>
        <w:t>” shall mean the trust fund into which a portion of the net proceeds of the Company’s IPO will be deposited.</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jc w:val="both"/>
        <w:ind w:right="20" w:firstLine="1304"/>
        <w:spacing w:after="0" w:line="266" w:lineRule="auto"/>
        <w:tabs>
          <w:tab w:leader="none" w:pos="158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Representative: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Jonas Grossman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(646) 465-9002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Greenberg Traurig,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1750 Tysons Boulevard, Suite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 22102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Alan Annex; Jason Simon</w:t>
      </w:r>
    </w:p>
    <w:p>
      <w:pPr>
        <w:spacing w:after="0" w:line="9" w:lineRule="exact"/>
        <w:rPr>
          <w:sz w:val="20"/>
          <w:szCs w:val="20"/>
          <w:color w:val="auto"/>
        </w:rPr>
      </w:pPr>
    </w:p>
    <w:p>
      <w:pPr>
        <w:jc w:val="right"/>
        <w:ind w:right="9160"/>
        <w:spacing w:after="0"/>
        <w:tabs>
          <w:tab w:leader="none" w:pos="105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annexa@gtlaw.com</w:t>
      </w:r>
    </w:p>
    <w:p>
      <w:pPr>
        <w:spacing w:after="0" w:line="9" w:lineRule="exact"/>
        <w:rPr>
          <w:sz w:val="20"/>
          <w:szCs w:val="20"/>
          <w:color w:val="auto"/>
        </w:rPr>
      </w:pPr>
    </w:p>
    <w:p>
      <w:pPr>
        <w:jc w:val="right"/>
        <w:ind w:right="9180"/>
        <w:spacing w:after="0"/>
        <w:rPr>
          <w:sz w:val="20"/>
          <w:szCs w:val="20"/>
          <w:color w:val="auto"/>
        </w:rPr>
      </w:pPr>
      <w:r>
        <w:rPr>
          <w:rFonts w:ascii="Times New Roman" w:cs="Times New Roman" w:eastAsia="Times New Roman" w:hAnsi="Times New Roman"/>
          <w:sz w:val="18"/>
          <w:szCs w:val="18"/>
          <w:color w:val="auto"/>
        </w:rPr>
        <w:t>simonj@gtlaw.com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(212) 801-6400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Edward Scheetz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Mitchell S. Nussbaum and Giovanni Caruso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(212) 504-3013</w:t>
      </w:r>
    </w:p>
    <w:p>
      <w:pPr>
        <w:spacing w:after="0" w:line="207" w:lineRule="exact"/>
        <w:rPr>
          <w:sz w:val="20"/>
          <w:szCs w:val="20"/>
          <w:color w:val="auto"/>
        </w:rPr>
      </w:pPr>
    </w:p>
    <w:p>
      <w:pPr>
        <w:jc w:val="both"/>
        <w:ind w:firstLine="1304"/>
        <w:spacing w:after="0" w:line="266" w:lineRule="auto"/>
        <w:tabs>
          <w:tab w:leader="none" w:pos="156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hereto may assign either this letter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letter agreement shall be binding on the parties hereto and any successors and assigns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3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understands that the Underwriters and the Company will rely upon the agreements, representations and warranties set forth herein in proceeding with the IPO. Nothing contained herein shall be deemed to render the Underwriters a representative of, or a fiduciary with respect to, the Company, its stockholders or any creditor or vendor of the company with respect to the subject matter hereof.</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ind w:left="56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 Christian Ahrens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24765</wp:posOffset>
            </wp:positionV>
            <wp:extent cx="284607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Christian Ahrens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Insider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88" w:name="page89"/>
    <w:bookmarkEnd w:id="88"/>
    <w:p>
      <w:pPr>
        <w:ind w:left="9820"/>
        <w:spacing w:after="0"/>
        <w:rPr>
          <w:sz w:val="20"/>
          <w:szCs w:val="20"/>
          <w:color w:val="auto"/>
        </w:rPr>
      </w:pPr>
      <w:r>
        <w:rPr>
          <w:rFonts w:ascii="Times New Roman" w:cs="Times New Roman" w:eastAsia="Times New Roman" w:hAnsi="Times New Roman"/>
          <w:sz w:val="18"/>
          <w:szCs w:val="18"/>
          <w:color w:val="auto"/>
        </w:rPr>
        <w:t>December 23,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This letter is being delivered to you in accordance with the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entered into by and between Ventoux CCM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Chardan Capital Markets, LLC, as representative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of the Underwriters named in Schedule A thereto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relating to an underwritten initial public offering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of the Company’s units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each comprised of one share of Common Stock of the Company,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one right to receive one-twentieth of one share of Common Stock, and one warrant, with each warrant being exercisable to purchase one-half of one share of Common Stock at a price of $11.50 per full share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Certain capitalized terms used herein are defined in paragraph 12 hereof.</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 order to induce the Company and the Underwriters to enter into the Underwriting Agreement and to proceed with the IPO, and in recognition of the benefit that such IPO will confer upon the undersigned as a stockholder of the Company, and for other good and valuable consideration, the receipt and sufficiency of which are hereby acknowledged, the undersigned hereby agrees with the Company as follows:</w:t>
      </w:r>
    </w:p>
    <w:p>
      <w:pPr>
        <w:spacing w:after="0" w:line="176" w:lineRule="exact"/>
        <w:rPr>
          <w:sz w:val="20"/>
          <w:szCs w:val="20"/>
          <w:color w:val="auto"/>
        </w:rPr>
      </w:pPr>
    </w:p>
    <w:p>
      <w:pPr>
        <w:ind w:firstLine="1304"/>
        <w:spacing w:after="0" w:line="282" w:lineRule="auto"/>
        <w:tabs>
          <w:tab w:leader="none" w:pos="147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solicits approval of its shareholders of a Business Combination, the undersigned will vote all shares of Common Stock beneficially owned by him, her or it, whether acquired before, in or after the IPO, in favor of such Business Combination.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0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event that the Company fails to consummate a Business Combination within 15 months (or in the event the Company extended the time to complete a Business Combination up to 18 months) from the closing of the Company’s IPO, the undersigned shall take all reasonable steps to (i) cause the Trust Fund to be liquidated and distributed to the holders of IPO Shares and (ii) cause the Company to liquidate as promptly as reasonably possible but not more than five business days after the date we are required to consummate a Business Combination.</w:t>
      </w:r>
    </w:p>
    <w:p>
      <w:pPr>
        <w:spacing w:after="0" w:line="179" w:lineRule="exact"/>
        <w:rPr>
          <w:rFonts w:ascii="Times New Roman" w:cs="Times New Roman" w:eastAsia="Times New Roman" w:hAnsi="Times New Roman"/>
          <w:sz w:val="18"/>
          <w:szCs w:val="18"/>
          <w:color w:val="auto"/>
        </w:rPr>
      </w:pPr>
    </w:p>
    <w:p>
      <w:pPr>
        <w:jc w:val="both"/>
        <w:ind w:firstLine="1498"/>
        <w:spacing w:after="0" w:line="258" w:lineRule="auto"/>
        <w:tabs>
          <w:tab w:leader="none" w:pos="175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waives any and all right, title, interest or claim of any kind in or to any distribution of the Trust Fund and any remaining net assets of the Company as a result of such liquidation with respect to any shares he, she or it owns, including his, her or its Insider Shares, IPO Shares and Private Warrants purchased during or after the offering, if any,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and hereby waives any Claim the undersigned may have in the future as a result of, or arising out of, any contracts or agreements with the Company and will not seek recourse against the Trust Fund for any reason whatsoever.</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48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will place into escrow all of his, her or its Insider Shares pursuant to the terms of a Stock Escrow Agreement which the Company will enter into with the undersigned and an escrow agent acceptable to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8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minimize potential conflicts of interest which may arise from multiple affiliations, the undersigned agrees to present to the Company for its consideration, prior to presentation to any other person or entity, any suitable opportunity to acquire a target business, until the earlier of the consummation by the Company of a Business Combination or the liquidation of the Company, subject to any pre-existing fiduciary and contractual obligations the undersigned might have.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1304"/>
        <w:spacing w:after="0" w:line="258" w:lineRule="auto"/>
        <w:tabs>
          <w:tab w:leader="none" w:pos="148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agrees that prior to entering into a Business Combination with a target business that is affiliated with any Insiders of the Company or their affiliates, including any company that is a portfolio company of, or otherwise affiliated with, or has received financial investment from, an entity with which any Insider or their affiliates is affiliated, such transaction must be approved by a majority of the Company’s disinterested independent directors and the Company must obtain an opinion from an independent investment banking firm that such Business Combination is fair to the Company’s unaffiliated stockholders from a financial point of view.</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8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undersigned, any member of the family of the undersigned, nor any affiliate of the undersigned will be entitled to receive or accept a finder’s fee or any other compensation in the event the undersigned, any member of the family of the undersigned or any affiliate of the undersigned originates a Business Combination.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473"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agrees to be a director or officer of the Company, as applicable, until the earlier of the consummation by the Company of a Business Combination or the liquidation of the Company. The undersigned’s biographical information previously furnished to the Company and the Representative is true and accurate in all material respects, does not omit any material information with respect to the undersigned’s biography and contains all of the information required to be disclosed pursuant to Item 401 of Regulation S-K, promulgated under the Securities Act of 1933. The undersigned’s FINRA Questionnaire and Director and Officer Questionnaire previously furnished to the Company and the Representative is true and accurate in all material respects. The undersigned represents and warrants that, except as disclosed in the undersigned’s Director and Officer Questionnaire:</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had a petition under the federal bankruptcy laws or any state insolvency law been filed by or against (i) him/her/it or any partnership in which he/she/it was a general partner at or within two years before the time of filing; or (ii) any corporation or business association of which he/she/it was an executive officer at or within two years before the time of such filing;</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had a receiver, fiscal agent or similar officer been appointed by a court for his/her/its business or property, or any such partnership;</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of fraud in a civil or criminal proceeding;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in a criminal proceeding or named the subject of a pending criminal proceeding (excluding traffic violations and minor offenses);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any order, judgment or decree, not subsequently reversed, suspended or vacated, of any court of competent jurisdiction, permanently or temporarily enjoining or otherwise limiting him/her/it from (i) acting as a futures commission merchant, introducing broker, commodity trading advisor, commodity pool operator, floor broker, leverage transaction merchant, any other person regulated by the Commodity Futures Trading Commission (“</w:t>
      </w:r>
      <w:r>
        <w:rPr>
          <w:rFonts w:ascii="Times New Roman" w:cs="Times New Roman" w:eastAsia="Times New Roman" w:hAnsi="Times New Roman"/>
          <w:sz w:val="18"/>
          <w:szCs w:val="18"/>
          <w:b w:val="1"/>
          <w:bCs w:val="1"/>
          <w:i w:val="1"/>
          <w:iCs w:val="1"/>
          <w:color w:val="auto"/>
        </w:rPr>
        <w:t>CFTC</w:t>
      </w:r>
      <w:r>
        <w:rPr>
          <w:rFonts w:ascii="Times New Roman" w:cs="Times New Roman" w:eastAsia="Times New Roman" w:hAnsi="Times New Roman"/>
          <w:sz w:val="18"/>
          <w:szCs w:val="18"/>
          <w:color w:val="auto"/>
        </w:rPr>
        <w:t>”) or an associated person of any of the foregoing, or as an investment adviser, underwriter, broker or dealer in securities, or as an affiliated person, director or employee of any investment company, bank, savings and loan association or insurance company, or from engaging in or continuing any conduct or practice in connection with any such activity; or (ii) engaging in any type of business practice; or (iii) engaging in any activity in connection with the purchase or sale of any security or commodity or in connection with any violation of federal or state securities or federal commodities laws;</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any order, judgment or decree, not subsequently reversed, suspended or vacated, of any federal or state authority barring, suspending or otherwise limiting for more than 60 days his/her/its right to engage in any activity described in 7(e)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above, or to be associated with persons engaged in any such activity;</w:t>
      </w:r>
    </w:p>
    <w:p>
      <w:pPr>
        <w:spacing w:after="0" w:line="20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found by a court of competent jurisdiction in a civil action or by the SEC to have violated any federal or state securities law, where the judgment in such civil action or finding by the SEC has not been subsequently reversed, suspended or vacated;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left="644" w:hanging="644"/>
        <w:spacing w:after="0" w:line="266" w:lineRule="auto"/>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found by a court of competent jurisdiction in a civil action or by the CFTC to have violated any federal commodities law, where the judgment in such civil action or finding by the CFTC has not been subsequently reversed, suspended or vacated;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or a party to, any Federal or State judicial or administrative order, judgment, decree or finding, not subsequently reversed, suspended or vacated, relating to an alleged violation of (i) any Federal or State securities or commodities law or regulation, (ii) any law or regulation respecting financial institutions or insurance companies including, but not limited to, a temporary or permanent injunction, order of disgorgement or restitution, civil money penalty or temporary or permanent cease-and desist order, or removal or prohibition order or (iii) any law or regulation prohibiting mail or wire fraud or fraud in connection with any business entity;</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or party to, any sanction or order, not subsequently reversed, suspended or vacated, or any self-regulatory organization, any registered entity, or any equivalent exchange, association, entity or organization that has disciplinary authority over its members or persons associated with a member;</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of any felony or misdemeanor: (i) in connection with the purchase or sale of any security; (ii) involving the making of any false filing with the SEC; or (iii) arising out of the conduct of the business of an underwriter, broker, dealer, municipal securities dealer, investment advisor or paid solicitor of purchasers of securities;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was never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is based on a violation of any law or regulation that prohibits fraudulent, manipulative, or deceptive conduct;</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any order, judgment or decree of any court of competent jurisdiction, that, at the time of such sale, restrained or enjoined him/her/it from engaging or continuing to engage in any conduct or practice: (i) in connection with the purchase or sale of any security; (ii) involving the making of any false filing with the SEC; or (iii) arising out of the conduct of the business of an underwriter, broker, dealer, municipal securities dealer, investment adviser or paid solicitor of purchasers of securities;</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any order of the SEC that orders him/her/it to cease and desist from committing or causing a future violation of: (i) any scienter-based anti-fraud provision of the federal securities laws, including, but not limited to, Section 17(a)(1) of the Securities Act, Section 10(b) of the Exchange Act and Rule 10b-5 thereunder, and Section 206(1) of the Advisers Act or any other rule or regulation thereunder; or (ii) Section 5 of the Securities Act;</w:t>
      </w:r>
    </w:p>
    <w:p>
      <w:pPr>
        <w:spacing w:after="0" w:line="179" w:lineRule="exact"/>
        <w:rPr>
          <w:rFonts w:ascii="Times New Roman" w:cs="Times New Roman" w:eastAsia="Times New Roman" w:hAnsi="Times New Roman"/>
          <w:sz w:val="18"/>
          <w:szCs w:val="18"/>
          <w:color w:val="auto"/>
        </w:rPr>
      </w:pPr>
    </w:p>
    <w:p>
      <w:pPr>
        <w:jc w:val="both"/>
        <w:ind w:left="644" w:right="20" w:hanging="644"/>
        <w:spacing w:after="0" w:line="266" w:lineRule="auto"/>
        <w:tabs>
          <w:tab w:leader="none" w:pos="64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named as an underwriter in any registration statement or Regulation A offering statement filed with the SEC that was the subject of a refusal order, stop order, or order suspending the Regulation A exemption, or is, currently, the subject of an investigation or proceeding to determine whether a stop order or suspension order should be issued;</w:t>
      </w:r>
    </w:p>
    <w:p>
      <w:pPr>
        <w:spacing w:after="0" w:line="38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91" w:name="page92"/>
    <w:bookmarkEnd w:id="91"/>
    <w:p>
      <w:pPr>
        <w:jc w:val="both"/>
        <w:ind w:left="1300" w:hanging="644"/>
        <w:spacing w:after="0" w:line="266"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 United States Postal Service false representation order, or is currently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is not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bars the undersigned from: (i) association with an entity regulated by such commission, authority, agency or officer; (ii) engaging in the business of securities, insurance or banking; or (iii) engaging in savings association or credit union activities;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is not subject to an order of the SEC entered pursuant to section 15(b) or 15B(c) of the Securities Exchange Act of 1934 (the “Exchange Act”) or section 203(e) or 203(f) of the Investment Advisers Act of 1940 (the “Advisers Act”) that: (i) suspends or revokes the undersigned’s registration as a broker, dealer, municipal securities dealer or investment adviser; (ii) places limitations on the activities, functions or operations of, or imposes civil money penalties on, such person; or (iii) bars the undersigned from being associated with any entity or from participating in the offering of any penny stock; and</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suspended or expelled from membership in, or suspended or barred from association with a member of, a securities self-regulatory organization (e.g., a registered national securities exchange or a registered national or affiliated securities association) for any act or omission to act constituting conduct inconsistent with just and equitable principles of trade.</w:t>
      </w:r>
    </w:p>
    <w:p>
      <w:pPr>
        <w:spacing w:after="0" w:line="176" w:lineRule="exact"/>
        <w:rPr>
          <w:sz w:val="20"/>
          <w:szCs w:val="20"/>
          <w:color w:val="auto"/>
        </w:rPr>
      </w:pPr>
    </w:p>
    <w:p>
      <w:pPr>
        <w:ind w:right="20" w:firstLine="1304"/>
        <w:spacing w:after="0" w:line="282" w:lineRule="auto"/>
        <w:tabs>
          <w:tab w:leader="none" w:pos="149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full right and power, without violating any agreement by which he, she or it is bound, to enter into this letter agreement and to serve as a director or officer of the Company, as applicable.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47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waives his, her or its right to exercise conversion rights with respect to any shares of Common Stock owned or to be owned by the undersigned, directly or indirectly, whether purchased by the undersigned prior to the IPO, in the IPO or in the aftermarket, and agrees that he, she or it will not seek conversion with respect to or otherwise sell, such shares in connection with any vote to approve a Business Combination with respect thereto, a vote to amend the provisions of the Company’s Amended and Restated Certificate of Incorporation, or a tender offer by the Company prior to a Business Combination.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0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agrees to not propose, or vote in favor of, an amendment to the Company’s Amended and Restated Certificate of Incorporation with respect to stockholder’s rights or the Company’s pre-Business Combination activities (including the substance or timing within which we have to complete a business combination) of a Business Combination unless the Company offers holders of IPO Shares the right to receive their pro rata portion of the funds then held in the Trust Fund upon approval of any amendment.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Section 5-1401 of the General Obligations Law of the State of New York, this letter agreement shall be governed by, and construed in accordance with, the laws of the State of New York without regard to principles of conflicts of law that would result in the application of the substantive law of another jurisdiction. The parties hereto agree that any action, proceeding or claim arising out of or relating in any way to this letter agreement shall be resolved through final and binding arbitration in accordance with the International Arbitration Rules of the American Arbitration Association (“</w:t>
      </w:r>
      <w:r>
        <w:rPr>
          <w:rFonts w:ascii="Times New Roman" w:cs="Times New Roman" w:eastAsia="Times New Roman" w:hAnsi="Times New Roman"/>
          <w:sz w:val="18"/>
          <w:szCs w:val="18"/>
          <w:b w:val="1"/>
          <w:bCs w:val="1"/>
          <w:i w:val="1"/>
          <w:iCs w:val="1"/>
          <w:color w:val="auto"/>
        </w:rPr>
        <w:t>AAA</w:t>
      </w:r>
      <w:r>
        <w:rPr>
          <w:rFonts w:ascii="Times New Roman" w:cs="Times New Roman" w:eastAsia="Times New Roman" w:hAnsi="Times New Roman"/>
          <w:sz w:val="18"/>
          <w:szCs w:val="18"/>
          <w:color w:val="auto"/>
        </w:rPr>
        <w:t>”). The arbitration shall be brought before the AAA International Center for Dispute Resolution’s offices in New York City, New York, will be conducted in English and will be decided by a panel of three arbitrators selected from the AAA Commercial Disputes Panel and that the arbitrator panel’s decision shall be final and enforceable by any court having jurisdiction over the party from whom enforcement is sought. The cost of such arbitrators and arbitration services, together with the prevailing party’s legal fees and expenses, shall be borne by the non-prevailing party or as otherwise directed by the arbitrators.</w:t>
      </w:r>
    </w:p>
    <w:p>
      <w:pPr>
        <w:spacing w:after="0" w:line="18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(i)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shall mean a merger, share exchange, asset acquisition, stock purchase, recapitalization, reorganization or other similar business combination with one or more businesses or entities; (ii) “</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 shall mean all officers, directors and stockholders of the Company immediately prior to the IPO; (iii) “</w:t>
      </w:r>
      <w:r>
        <w:rPr>
          <w:rFonts w:ascii="Times New Roman" w:cs="Times New Roman" w:eastAsia="Times New Roman" w:hAnsi="Times New Roman"/>
          <w:sz w:val="18"/>
          <w:szCs w:val="18"/>
          <w:b w:val="1"/>
          <w:bCs w:val="1"/>
          <w:i w:val="1"/>
          <w:iCs w:val="1"/>
          <w:color w:val="auto"/>
        </w:rPr>
        <w:t>Insider Shares</w:t>
      </w:r>
      <w:r>
        <w:rPr>
          <w:rFonts w:ascii="Times New Roman" w:cs="Times New Roman" w:eastAsia="Times New Roman" w:hAnsi="Times New Roman"/>
          <w:sz w:val="18"/>
          <w:szCs w:val="18"/>
          <w:color w:val="auto"/>
        </w:rPr>
        <w:t>” shall mean all of the shares of Common Stock of the Company acquired by an Insider prior to the IPO and the purchase of the Private Warrants; (iv) “</w:t>
      </w:r>
      <w:r>
        <w:rPr>
          <w:rFonts w:ascii="Times New Roman" w:cs="Times New Roman" w:eastAsia="Times New Roman" w:hAnsi="Times New Roman"/>
          <w:sz w:val="18"/>
          <w:szCs w:val="18"/>
          <w:b w:val="1"/>
          <w:bCs w:val="1"/>
          <w:i w:val="1"/>
          <w:iCs w:val="1"/>
          <w:color w:val="auto"/>
        </w:rPr>
        <w:t>IPO Shares</w:t>
      </w:r>
      <w:r>
        <w:rPr>
          <w:rFonts w:ascii="Times New Roman" w:cs="Times New Roman" w:eastAsia="Times New Roman" w:hAnsi="Times New Roman"/>
          <w:sz w:val="18"/>
          <w:szCs w:val="18"/>
          <w:color w:val="auto"/>
        </w:rPr>
        <w:t>” shall mean the shares of Common Stock issued in the Company’s IPO; (v) “</w:t>
      </w:r>
      <w:r>
        <w:rPr>
          <w:rFonts w:ascii="Times New Roman" w:cs="Times New Roman" w:eastAsia="Times New Roman" w:hAnsi="Times New Roman"/>
          <w:sz w:val="18"/>
          <w:szCs w:val="18"/>
          <w:b w:val="1"/>
          <w:bCs w:val="1"/>
          <w:i w:val="1"/>
          <w:iCs w:val="1"/>
          <w:color w:val="auto"/>
        </w:rPr>
        <w:t>Private Warrants</w:t>
      </w:r>
      <w:r>
        <w:rPr>
          <w:rFonts w:ascii="Times New Roman" w:cs="Times New Roman" w:eastAsia="Times New Roman" w:hAnsi="Times New Roman"/>
          <w:sz w:val="18"/>
          <w:szCs w:val="18"/>
          <w:color w:val="auto"/>
        </w:rPr>
        <w:t>” shall mean the warrants purchased in the private placement taking place simultaneously with the consummation of the Company’s IPO; (vi)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the registration statement on Form S-1 filed by the Company with respect to the IPO; and (vii) “</w:t>
      </w:r>
      <w:r>
        <w:rPr>
          <w:rFonts w:ascii="Times New Roman" w:cs="Times New Roman" w:eastAsia="Times New Roman" w:hAnsi="Times New Roman"/>
          <w:sz w:val="18"/>
          <w:szCs w:val="18"/>
          <w:b w:val="1"/>
          <w:bCs w:val="1"/>
          <w:i w:val="1"/>
          <w:iCs w:val="1"/>
          <w:color w:val="auto"/>
        </w:rPr>
        <w:t>Trust Fund</w:t>
      </w:r>
      <w:r>
        <w:rPr>
          <w:rFonts w:ascii="Times New Roman" w:cs="Times New Roman" w:eastAsia="Times New Roman" w:hAnsi="Times New Roman"/>
          <w:sz w:val="18"/>
          <w:szCs w:val="18"/>
          <w:color w:val="auto"/>
        </w:rPr>
        <w:t>” shall mean the trust fund into which a portion of the net proceeds of the Company’s IPO will be deposited.</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1304"/>
        <w:spacing w:after="0" w:line="266" w:lineRule="auto"/>
        <w:tabs>
          <w:tab w:leader="none" w:pos="157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Representative: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Jonas Grossman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(646) 465-9002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Greenberg Traurig,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1750 Tysons Boulevard, Suite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 22102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Alan Annex; Jason Simon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annexa@gtlaw.com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simonj@gtlaw.com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(212) 801-6400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Edward Scheetz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Mitchell S. Nussbaum and Giovanni Caruso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(212) 504-3013</w:t>
      </w:r>
    </w:p>
    <w:p>
      <w:pPr>
        <w:spacing w:after="0" w:line="207" w:lineRule="exact"/>
        <w:rPr>
          <w:sz w:val="20"/>
          <w:szCs w:val="20"/>
          <w:color w:val="auto"/>
        </w:rPr>
      </w:pPr>
    </w:p>
    <w:p>
      <w:pPr>
        <w:jc w:val="both"/>
        <w:ind w:firstLine="1304"/>
        <w:spacing w:after="0" w:line="266" w:lineRule="auto"/>
        <w:tabs>
          <w:tab w:leader="none" w:pos="156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hereto may assign either this letter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letter agreement shall be binding on the parties hereto and any successors and assigns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2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understands that the Underwriters and the Company will rely upon the agreements, representations and warranties set forth herein in proceeding with the IPO. Nothing contained herein shall be deemed to render the Underwriters a representative of, or a fiduciary with respect to, the Company, its stockholders or any creditor or vendor of the company with respect to the subject matter hereof.</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ind w:left="56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24765</wp:posOffset>
            </wp:positionV>
            <wp:extent cx="284607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Jonas Grossman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Insider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94" w:name="page95"/>
    <w:bookmarkEnd w:id="94"/>
    <w:p>
      <w:pPr>
        <w:ind w:left="9820"/>
        <w:spacing w:after="0"/>
        <w:rPr>
          <w:sz w:val="20"/>
          <w:szCs w:val="20"/>
          <w:color w:val="auto"/>
        </w:rPr>
      </w:pPr>
      <w:r>
        <w:rPr>
          <w:rFonts w:ascii="Times New Roman" w:cs="Times New Roman" w:eastAsia="Times New Roman" w:hAnsi="Times New Roman"/>
          <w:sz w:val="18"/>
          <w:szCs w:val="18"/>
          <w:color w:val="auto"/>
        </w:rPr>
        <w:t>December 23,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This letter is being delivered to you in accordance with the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entered into by and between Ventoux CCM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Chardan Capital Markets, LLC, as representative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of the Underwriters named in Schedule A thereto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relating to an underwritten initial public offering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of the Company’s units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each comprised of one share of Common Stock of the Company,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one right to receive one-twentieth of one share of Common Stock, and one warrant, with each warrant being exercisable to purchase one-half of one share of Common Stock at a price of $11.50 per full share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Certain capitalized terms used herein are defined in paragraph 12 hereof.</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 order to induce the Company and the Underwriters to enter into the Underwriting Agreement and to proceed with the IPO, and in recognition of the benefit that such IPO will confer upon the undersigned as a stockholder of the Company, and for other good and valuable consideration, the receipt and sufficiency of which are hereby acknowledged, the undersigned hereby agrees with the Company as follows:</w:t>
      </w:r>
    </w:p>
    <w:p>
      <w:pPr>
        <w:spacing w:after="0" w:line="176" w:lineRule="exact"/>
        <w:rPr>
          <w:sz w:val="20"/>
          <w:szCs w:val="20"/>
          <w:color w:val="auto"/>
        </w:rPr>
      </w:pPr>
    </w:p>
    <w:p>
      <w:pPr>
        <w:ind w:firstLine="1304"/>
        <w:spacing w:after="0" w:line="282" w:lineRule="auto"/>
        <w:tabs>
          <w:tab w:leader="none" w:pos="147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solicits approval of its shareholders of a Business Combination, the undersigned will vote all shares of Common Stock beneficially owned by him, her or it, whether acquired before, in or after the IPO, in favor of such Business Combination.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0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event that the Company fails to consummate a Business Combination within 15 months (or in the event the Company extended the time to complete a Business Combination up to 18 months) from the closing of the Company’s IPO, the undersigned shall take all reasonable steps to (i) cause the Trust Fund to be liquidated and distributed to the holders of IPO Shares and (ii) cause the Company to liquidate as promptly as reasonably possible but not more than five business days after the date we are required to consummate a Business Combination.</w:t>
      </w:r>
    </w:p>
    <w:p>
      <w:pPr>
        <w:spacing w:after="0" w:line="179" w:lineRule="exact"/>
        <w:rPr>
          <w:rFonts w:ascii="Times New Roman" w:cs="Times New Roman" w:eastAsia="Times New Roman" w:hAnsi="Times New Roman"/>
          <w:sz w:val="18"/>
          <w:szCs w:val="18"/>
          <w:color w:val="auto"/>
        </w:rPr>
      </w:pPr>
    </w:p>
    <w:p>
      <w:pPr>
        <w:jc w:val="both"/>
        <w:ind w:firstLine="1693"/>
        <w:spacing w:after="0" w:line="258" w:lineRule="auto"/>
        <w:tabs>
          <w:tab w:leader="none" w:pos="194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waives any and all right, title, interest or claim of any kind in or to any distribution of the Trust Fund and any remaining net assets of the Company as a result of such liquidation with respect to any shares he, she or it owns, including his, her or its Insider Shares, IPO Shares and Private Warrants purchased during or after the offering, if any,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and hereby waives any Claim the undersigned may have in the future as a result of, or arising out of, any contracts or agreements with the Company and will not seek recourse against the Trust Fund for any reason whatsoever.</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48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will place into escrow all of his, her or its Insider Shares pursuant to the terms of a Stock Escrow Agreement which the Company will enter into with the undersigned and an escrow agent acceptable to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8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minimize potential conflicts of interest which may arise from multiple affiliations, the undersigned agrees to present to the Company for its consideration, prior to presentation to any other person or entity, any suitable opportunity to acquire a target business, until the earlier of the consummation by the Company of a Business Combination or the liquidation of the Company, subject to any pre-existing fiduciary and contractual obligations the undersigned might have.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5" w:name="page96"/>
    <w:bookmarkEnd w:id="95"/>
    <w:p>
      <w:pPr>
        <w:jc w:val="both"/>
        <w:ind w:firstLine="1304"/>
        <w:spacing w:after="0" w:line="258" w:lineRule="auto"/>
        <w:tabs>
          <w:tab w:leader="none" w:pos="1489"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agrees that prior to entering into a Business Combination with a target business that is affiliated with any Insiders of the Company or their affiliates, including any company that is a portfolio company of, or otherwise affiliated with, or has received financial investment from, an entity with which any Insider or their affiliates is affiliated, such transaction must be approved by a majority of the Company’s disinterested independent directors and the Company must obtain an opinion from an independent investment banking firm that such Business Combination is fair to the Company’s unaffiliated stockholders from a financial point of view.</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8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undersigned, any member of the family of the undersigned, nor any affiliate of the undersigned will be entitled to receive or accept a finder’s fee or any other compensation in the event the undersigned, any member of the family of the undersigned or any affiliate of the undersigned originates a Business Combination.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1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agrees to be a director or officer of the Company, as applicable, until the earlier of the consummation by the Company of a Business Combination or the liquidation of the Company. The undersigned’s biographical information previously furnished to the Company and the Representative is true and accurate in all material respects, does not omit any material information with respect to the undersigned’s biography and contains all of the information required to be disclosed pursuant to Item 401 of Regulation S-K, promulgated under the Securities Act of 1933. The undersigned’s FINRA Questionnaire and Director and Officer Questionnaire previously furnished to the Company and the Representative is true and accurate in all material respects. The undersigned represents and warrants that, except as disclosed in the undersigned’s Director and Officer Questionnaire:</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had a petition under the federal bankruptcy laws or any state insolvency law been filed by or against (i) him/her/it or any partnership in which he/she/it was a general partner at or within two years before the time of filing; or (ii) any corporation or business association of which he/she/it was an executive officer at or within two years before the time of such filing;</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had a receiver, fiscal agent or similar officer been appointed by a court for his/her/its business or property, or any such partnership;</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of fraud in a civil or criminal proceeding;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in a criminal proceeding or named the subject of a pending criminal proceeding (excluding traffic violations and minor offenses);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any order, judgment or decree, not subsequently reversed, suspended or vacated, of any court of competent jurisdiction, permanently or temporarily enjoining or otherwise limiting him/her/it from (i) acting as a futures commission merchant, introducing broker, commodity trading advisor, commodity pool operator, floor broker, leverage transaction merchant, any other person regulated by the Commodity Futures Trading Commission (“</w:t>
      </w:r>
      <w:r>
        <w:rPr>
          <w:rFonts w:ascii="Times New Roman" w:cs="Times New Roman" w:eastAsia="Times New Roman" w:hAnsi="Times New Roman"/>
          <w:sz w:val="18"/>
          <w:szCs w:val="18"/>
          <w:b w:val="1"/>
          <w:bCs w:val="1"/>
          <w:i w:val="1"/>
          <w:iCs w:val="1"/>
          <w:color w:val="auto"/>
        </w:rPr>
        <w:t>CFTC</w:t>
      </w:r>
      <w:r>
        <w:rPr>
          <w:rFonts w:ascii="Times New Roman" w:cs="Times New Roman" w:eastAsia="Times New Roman" w:hAnsi="Times New Roman"/>
          <w:sz w:val="18"/>
          <w:szCs w:val="18"/>
          <w:color w:val="auto"/>
        </w:rPr>
        <w:t>”) or an associated person of any of the foregoing, or as an investment adviser, underwriter, broker or dealer in securities, or as an affiliated person, director or employee of any investment company, bank, savings and loan association or insurance company, or from engaging in or continuing any conduct or practice in connection with any such activity; or (ii) engaging in any type of business practice; or (iii) engaging in any activity in connection with the purchase or sale of any security or commodity or in connection with any violation of federal or state securities or federal commodities laws;</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any order, judgment or decree, not subsequently reversed, suspended or vacated, of any federal or state authority barring, suspending or otherwise limiting for more than 60 days his/her/its right to engage in any activity described in 7(e)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above, or to be associated with persons engaged in any such activity;</w:t>
      </w:r>
    </w:p>
    <w:p>
      <w:pPr>
        <w:spacing w:after="0" w:line="20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found by a court of competent jurisdiction in a civil action or by the SEC to have violated any federal or state securities law, where the judgment in such civil action or finding by the SEC has not been subsequently reversed, suspended or vacated;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ind w:left="644" w:hanging="644"/>
        <w:spacing w:after="0" w:line="266" w:lineRule="auto"/>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found by a court of competent jurisdiction in a civil action or by the CFTC to have violated any federal commodities law, where the judgment in such civil action or finding by the CFTC has not been subsequently reversed, suspended or vacated;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or a party to, any Federal or State judicial or administrative order, judgment, decree or finding, not subsequently reversed, suspended or vacated, relating to an alleged violation of (i) any Federal or State securities or commodities law or regulation, (ii) any law or regulation respecting financial institutions or insurance companies including, but not limited to, a temporary or permanent injunction, order of disgorgement or restitution, civil money penalty or temporary or permanent cease-and desist order, or removal or prohibition order or (iii) any law or regulation prohibiting mail or wire fraud or fraud in connection with any business entity;</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or party to, any sanction or order, not subsequently reversed, suspended or vacated, or any self-regulatory organization, any registered entity, or any equivalent exchange, association, entity or organization that has disciplinary authority over its members or persons associated with a member;</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of any felony or misdemeanor: (i) in connection with the purchase or sale of any security; (ii) involving the making of any false filing with the SEC; or (iii) arising out of the conduct of the business of an underwriter, broker, dealer, municipal securities dealer, investment advisor or paid solicitor of purchasers of securities;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was never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is based on a violation of any law or regulation that prohibits fraudulent, manipulative, or deceptive conduct;</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any order, judgment or decree of any court of competent jurisdiction, that, at the time of such sale, restrained or enjoined him/her/it from engaging or continuing to engage in any conduct or practice: (i) in connection with the purchase or sale of any security; (ii) involving the making of any false filing with the SEC; or (iii) arising out of the conduct of the business of an underwriter, broker, dealer, municipal securities dealer, investment adviser or paid solicitor of purchasers of securities;</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any order of the SEC that orders him/her/it to cease and desist from committing or causing a future violation of: (i) any scienter-based anti-fraud provision of the federal securities laws, including, but not limited to, Section 17(a)(1) of the Securities Act, Section 10(b) of the Exchange Act and Rule 10b-5 thereunder, and Section 206(1) of the Advisers Act or any other rule or regulation thereunder; or (ii) Section 5 of the Securities Act;</w:t>
      </w:r>
    </w:p>
    <w:p>
      <w:pPr>
        <w:spacing w:after="0" w:line="179" w:lineRule="exact"/>
        <w:rPr>
          <w:rFonts w:ascii="Times New Roman" w:cs="Times New Roman" w:eastAsia="Times New Roman" w:hAnsi="Times New Roman"/>
          <w:sz w:val="18"/>
          <w:szCs w:val="18"/>
          <w:color w:val="auto"/>
        </w:rPr>
      </w:pPr>
    </w:p>
    <w:p>
      <w:pPr>
        <w:jc w:val="both"/>
        <w:ind w:left="644" w:right="20" w:hanging="644"/>
        <w:spacing w:after="0" w:line="266" w:lineRule="auto"/>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named as an underwriter in any registration statement or Regulation A offering statement filed with the SEC that was the subject of a refusal order, stop order, or order suspending the Regulation A exemption, or is, currently, the subject of an investigation or proceeding to determine whether a stop order or suspension order should be issued;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 United States Postal Service false representation order, or is currently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38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97" w:name="page98"/>
    <w:bookmarkEnd w:id="97"/>
    <w:p>
      <w:pPr>
        <w:jc w:val="both"/>
        <w:ind w:left="1300" w:hanging="644"/>
        <w:spacing w:after="0" w:line="258"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is not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bars the undersigned from: (i) association with an entity regulated by such commission, authority, agency or officer; (ii) engaging in the business of securities, insurance or banking; or (iii) engaging in savings association or credit union activities;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is not subject to an order of the SEC entered pursuant to section 15(b) or 15B(c) of the Securities Exchange Act of 1934 (the “Exchange Act”) or section 203(e) or 203(f) of the Investment Advisers Act of 1940 (the “Advisers Act”) that: (i) suspends or revokes the undersigned’s registration as a broker, dealer, municipal securities dealer or investment adviser; (ii) places limitations on the activities, functions or operations of, or imposes civil money penalties on, such person; or (iii) bars the undersigned from being associated with any entity or from participating in the offering of any penny stock; and</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suspended or expelled from membership in, or suspended or barred from association with a member of, a securities self-regulatory organization (e.g., a registered national securities exchange or a registered national or affiliated securities association) for any act or omission to act constituting conduct inconsistent with just and equitable principles of trade.</w:t>
      </w:r>
    </w:p>
    <w:p>
      <w:pPr>
        <w:spacing w:after="0" w:line="176" w:lineRule="exact"/>
        <w:rPr>
          <w:sz w:val="20"/>
          <w:szCs w:val="20"/>
          <w:color w:val="auto"/>
        </w:rPr>
      </w:pPr>
    </w:p>
    <w:p>
      <w:pPr>
        <w:ind w:firstLine="1304"/>
        <w:spacing w:after="0" w:line="282" w:lineRule="auto"/>
        <w:tabs>
          <w:tab w:leader="none" w:pos="149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full right and power, without violating any agreement by which he, she or it is bound, to enter into this letter agreement and to serve as a director or officer of the Company, as applicable.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47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waives his, her or its right to exercise conversion rights with respect to any shares of Common Stock owned or to be owned by the undersigned, directly or indirectly, whether purchased by the undersigned prior to the IPO, in the IPO or in the aftermarket, and agrees that he, she or it will not seek conversion with respect to or otherwise sell, such shares in connection with any vote to approve a Business Combination with respect thereto, a vote to amend the provisions of the Company’s Amended and Restated Certificate of Incorporation, or a tender offer by the Company prior to a Business Combination.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0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agrees to not propose, or vote in favor of, an amendment to the Company’s Amended and Restated Certificate of Incorporation with respect to stockholder’s rights or the Company’s pre-Business Combination activities (including the substance or timing within which we have to complete a business combination) of a Business Combination unless the Company offers holders of IPO Shares the right to receive their pro rata portion of the funds then held in the Trust Fund upon approval of any amendment.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Section 5-1401 of the General Obligations Law of the State of New York, this letter agreement shall be governed by, and construed in accordance with, the laws of the State of New York without regard to principles of conflicts of law that would result in the application of the substantive law of another jurisdiction. The parties hereto agree that any action, proceeding or claim arising out of or relating in any way to this letter agreement shall be resolved through final and binding arbitration in accordance with the International Arbitration Rules of the American Arbitration Association (“</w:t>
      </w:r>
      <w:r>
        <w:rPr>
          <w:rFonts w:ascii="Times New Roman" w:cs="Times New Roman" w:eastAsia="Times New Roman" w:hAnsi="Times New Roman"/>
          <w:sz w:val="18"/>
          <w:szCs w:val="18"/>
          <w:b w:val="1"/>
          <w:bCs w:val="1"/>
          <w:i w:val="1"/>
          <w:iCs w:val="1"/>
          <w:color w:val="auto"/>
        </w:rPr>
        <w:t>AAA</w:t>
      </w:r>
      <w:r>
        <w:rPr>
          <w:rFonts w:ascii="Times New Roman" w:cs="Times New Roman" w:eastAsia="Times New Roman" w:hAnsi="Times New Roman"/>
          <w:sz w:val="18"/>
          <w:szCs w:val="18"/>
          <w:color w:val="auto"/>
        </w:rPr>
        <w:t>”). The arbitration shall be brought before the AAA International Center for Dispute Resolution’s offices in New York City, New York, will be conducted in English and will be decided by a panel of three arbitrators selected from the AAA Commercial Disputes Panel and that the arbitrator panel’s decision shall be final and enforceable by any court having jurisdiction over the party from whom enforcement is sought. The cost of such arbitrators and arbitration services, together with the prevailing party’s legal fees and expenses, shall be borne by the non-prevailing party or as otherwise directed by the arbitrators.</w:t>
      </w:r>
    </w:p>
    <w:p>
      <w:pPr>
        <w:spacing w:after="0" w:line="18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3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(i)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shall mean a merger, share exchange, asset acquisition, stock purchase, recapitalization, reorganization or other similar business combination with one or more businesses or entities; (ii) “</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 shall mean all officers, directors and stockholders of the Company immediately prior to the IPO; (iii) “</w:t>
      </w:r>
      <w:r>
        <w:rPr>
          <w:rFonts w:ascii="Times New Roman" w:cs="Times New Roman" w:eastAsia="Times New Roman" w:hAnsi="Times New Roman"/>
          <w:sz w:val="18"/>
          <w:szCs w:val="18"/>
          <w:b w:val="1"/>
          <w:bCs w:val="1"/>
          <w:i w:val="1"/>
          <w:iCs w:val="1"/>
          <w:color w:val="auto"/>
        </w:rPr>
        <w:t>Insider Shares</w:t>
      </w:r>
      <w:r>
        <w:rPr>
          <w:rFonts w:ascii="Times New Roman" w:cs="Times New Roman" w:eastAsia="Times New Roman" w:hAnsi="Times New Roman"/>
          <w:sz w:val="18"/>
          <w:szCs w:val="18"/>
          <w:color w:val="auto"/>
        </w:rPr>
        <w:t>” shall mean all of the shares of Common Stock of the Company acquired by an Insider prior to the IPO and the purchase of the Private Warrants; (iv) “</w:t>
      </w:r>
      <w:r>
        <w:rPr>
          <w:rFonts w:ascii="Times New Roman" w:cs="Times New Roman" w:eastAsia="Times New Roman" w:hAnsi="Times New Roman"/>
          <w:sz w:val="18"/>
          <w:szCs w:val="18"/>
          <w:b w:val="1"/>
          <w:bCs w:val="1"/>
          <w:i w:val="1"/>
          <w:iCs w:val="1"/>
          <w:color w:val="auto"/>
        </w:rPr>
        <w:t>IPO Shares</w:t>
      </w:r>
      <w:r>
        <w:rPr>
          <w:rFonts w:ascii="Times New Roman" w:cs="Times New Roman" w:eastAsia="Times New Roman" w:hAnsi="Times New Roman"/>
          <w:sz w:val="18"/>
          <w:szCs w:val="18"/>
          <w:color w:val="auto"/>
        </w:rPr>
        <w:t>” shall mean the shares of Common Stock issued in the Company’s IPO; (v) “</w:t>
      </w:r>
      <w:r>
        <w:rPr>
          <w:rFonts w:ascii="Times New Roman" w:cs="Times New Roman" w:eastAsia="Times New Roman" w:hAnsi="Times New Roman"/>
          <w:sz w:val="18"/>
          <w:szCs w:val="18"/>
          <w:b w:val="1"/>
          <w:bCs w:val="1"/>
          <w:i w:val="1"/>
          <w:iCs w:val="1"/>
          <w:color w:val="auto"/>
        </w:rPr>
        <w:t>Private Warrants</w:t>
      </w:r>
      <w:r>
        <w:rPr>
          <w:rFonts w:ascii="Times New Roman" w:cs="Times New Roman" w:eastAsia="Times New Roman" w:hAnsi="Times New Roman"/>
          <w:sz w:val="18"/>
          <w:szCs w:val="18"/>
          <w:color w:val="auto"/>
        </w:rPr>
        <w:t>” shall mean the warrants purchased in the private placement taking place simultaneously with the consummation of the Company’s IPO; (vi)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the registration statement on Form S-1 filed by the Company with respect to the IPO; and (vii) “</w:t>
      </w:r>
      <w:r>
        <w:rPr>
          <w:rFonts w:ascii="Times New Roman" w:cs="Times New Roman" w:eastAsia="Times New Roman" w:hAnsi="Times New Roman"/>
          <w:sz w:val="18"/>
          <w:szCs w:val="18"/>
          <w:b w:val="1"/>
          <w:bCs w:val="1"/>
          <w:i w:val="1"/>
          <w:iCs w:val="1"/>
          <w:color w:val="auto"/>
        </w:rPr>
        <w:t>Trust Fund</w:t>
      </w:r>
      <w:r>
        <w:rPr>
          <w:rFonts w:ascii="Times New Roman" w:cs="Times New Roman" w:eastAsia="Times New Roman" w:hAnsi="Times New Roman"/>
          <w:sz w:val="18"/>
          <w:szCs w:val="18"/>
          <w:color w:val="auto"/>
        </w:rPr>
        <w:t>” shall mean the trust fund into which a portion of the net proceeds of the Company’s IPO will be deposited.</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both"/>
        <w:ind w:right="20" w:firstLine="1304"/>
        <w:spacing w:after="0" w:line="266" w:lineRule="auto"/>
        <w:tabs>
          <w:tab w:leader="none" w:pos="158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Representative: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Jonas Grossman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(646) 465-9002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Greenberg Traurig,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1750 Tysons Boulevard, Suite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 22102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Alan Annex; Jason Simon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annexa@gtlaw.com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simonj@gtlaw.com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(212) 801-6400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Edward Scheetz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Mitchell S. Nussbaum and Giovanni Caruso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(212) 504-3013</w:t>
      </w:r>
    </w:p>
    <w:p>
      <w:pPr>
        <w:spacing w:after="0" w:line="207" w:lineRule="exact"/>
        <w:rPr>
          <w:sz w:val="20"/>
          <w:szCs w:val="20"/>
          <w:color w:val="auto"/>
        </w:rPr>
      </w:pPr>
    </w:p>
    <w:p>
      <w:pPr>
        <w:jc w:val="both"/>
        <w:ind w:firstLine="1304"/>
        <w:spacing w:after="0" w:line="266" w:lineRule="auto"/>
        <w:tabs>
          <w:tab w:leader="none" w:pos="156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hereto may assign either this letter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letter agreement shall be binding on the parties hereto and any successors and assigns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3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understands that the Underwriters and the Company will rely upon the agreements, representations and warranties set forth herein in proceeding with the IPO. Nothing contained herein shall be deemed to render the Underwriters a representative of, or a fiduciary with respect to, the Company, its stockholders or any creditor or vendor of the company with respect to the subject matter hereof.</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9" w:name="page100"/>
    <w:bookmarkEnd w:id="99"/>
    <w:p>
      <w:pPr>
        <w:ind w:left="56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 Bernard Van der Lande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24765</wp:posOffset>
            </wp:positionV>
            <wp:extent cx="284607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Bernard Van der Lande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Insider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31" w:right="1440" w:bottom="1440" w:gutter="0" w:footer="0" w:header="0"/>
        </w:sectPr>
      </w:pPr>
    </w:p>
    <w:bookmarkStart w:id="100" w:name="page101"/>
    <w:bookmarkEnd w:id="100"/>
    <w:p>
      <w:pPr>
        <w:ind w:left="9820"/>
        <w:spacing w:after="0"/>
        <w:rPr>
          <w:sz w:val="20"/>
          <w:szCs w:val="20"/>
          <w:color w:val="auto"/>
        </w:rPr>
      </w:pPr>
      <w:r>
        <w:rPr>
          <w:rFonts w:ascii="Times New Roman" w:cs="Times New Roman" w:eastAsia="Times New Roman" w:hAnsi="Times New Roman"/>
          <w:sz w:val="18"/>
          <w:szCs w:val="18"/>
          <w:color w:val="auto"/>
        </w:rPr>
        <w:t>December 23,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This letter is being delivered to you in accordance with the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entered into by and between Ventoux CCM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Chardan Capital Markets, LLC, as representative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of the Underwriters named in Schedule A thereto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relating to an underwritten initial public offering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of the Company’s units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each comprised of one share of Common Stock of the Company,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one right to receive one-twentieth of one share of Common Stock, and one warrant, with each warrant being exercisable to purchase one-half of one share of Common Stock at a price of $11.50 per full share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Certain capitalized terms used herein are defined in paragraph 12 hereof.</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 order to induce the Company and the Underwriters to enter into the Underwriting Agreement and to proceed with the IPO, and in recognition of the benefit that such IPO will confer upon each undersigned as a stockholder of the Company, and for other good and valuable consideration, the receipt and sufficiency of which are hereby acknowledged, each undersigned hereby agrees with the Company as follows:</w:t>
      </w:r>
    </w:p>
    <w:p>
      <w:pPr>
        <w:spacing w:after="0" w:line="176" w:lineRule="exact"/>
        <w:rPr>
          <w:sz w:val="20"/>
          <w:szCs w:val="20"/>
          <w:color w:val="auto"/>
        </w:rPr>
      </w:pPr>
    </w:p>
    <w:p>
      <w:pPr>
        <w:ind w:firstLine="1304"/>
        <w:spacing w:after="0" w:line="282" w:lineRule="auto"/>
        <w:tabs>
          <w:tab w:leader="none" w:pos="147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solicits approval of its shareholders of a Business Combination, the undersigned will vote all shares of Common Stock beneficially owned by him, her or it, whether acquired before, in or after the IPO, in favor of such Business Combination.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0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event that the Company fails to consummate a Business Combination within 15 months (or in the event the Company extended the time to complete a Business Combination up to 18 months) from the closing of the Company’s IPO, the undersigned shall take all reasonable steps to (i) cause the Trust Fund to be liquidated and distributed to the holders of IPO Shares and (ii) cause the Company to liquidate as promptly as reasonably possible but not more than five business days after the date we are required to consummate a Business Combination.</w:t>
      </w:r>
    </w:p>
    <w:p>
      <w:pPr>
        <w:spacing w:after="0" w:line="179" w:lineRule="exact"/>
        <w:rPr>
          <w:rFonts w:ascii="Times New Roman" w:cs="Times New Roman" w:eastAsia="Times New Roman" w:hAnsi="Times New Roman"/>
          <w:sz w:val="18"/>
          <w:szCs w:val="18"/>
          <w:color w:val="auto"/>
        </w:rPr>
      </w:pPr>
    </w:p>
    <w:p>
      <w:pPr>
        <w:jc w:val="both"/>
        <w:ind w:firstLine="1498"/>
        <w:spacing w:after="0" w:line="258" w:lineRule="auto"/>
        <w:tabs>
          <w:tab w:leader="none" w:pos="175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waives any and all right, title, interest or claim of any kind in or to any distribution of the Trust Fund and any remaining net assets of the Company as a result of such liquidation with respect to any shares he, she or it owns, including his, her or its Insider Shares, IPO Shares and Private Warrants purchased during or after the offering, if any,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and hereby waives any Claim the undersigned may have in the future as a result of, or arising out of, any contracts or agreements with the Company and will not seek recourse against the Trust Fund for any reason whatsoever.</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481"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will place into escrow all of his, her or its Insider Shares pursuant to the terms of a Stock Escrow Agreement which the Company will enter into with the undersigned and an escrow agent acceptable to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8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minimize potential conflicts of interest which may arise from multiple affiliations, the undersigned agrees to present to the Company for its consideration, prior to presentation to any other person or entity, any suitable opportunity to acquire a target business, until the earlier of the consummation by the Company of a Business Combination or the liquidation of the Company, subject to any pre-existing fiduciary and contractual obligations the undersigned might have.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1" w:name="page102"/>
    <w:bookmarkEnd w:id="101"/>
    <w:p>
      <w:pPr>
        <w:jc w:val="both"/>
        <w:ind w:firstLine="1304"/>
        <w:spacing w:after="0" w:line="258" w:lineRule="auto"/>
        <w:tabs>
          <w:tab w:leader="none" w:pos="1932"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agrees that prior to entering into a Business Combination with a target business that is affiliated with any Insiders of the Company or their affiliates, including any company that is a portfolio company of, or otherwise affiliated with, or has received financial investment from, an entity with which any Insider or their affiliates is affiliated, such transaction must be approved by a majority of the Company’s disinterested independent directors and the Company must obtain an opinion from an independent investment banking firm that such Business Combination is fair to the Company’s unaffiliated stockholders from a financial point of view.</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85"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undersigned, any member of the family of the undersigned, nor any affiliate of the undersigned will be entitled to receive or accept a finder’s fee or any other compensation in the event the undersigned, any member of the family of the undersigned or any affiliate of the undersigned originates a Business Combination.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473"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agrees to be a director or officer of the Company, as applicable, until the earlier of the consummation by the Company of a Business Combination or the liquidation of the Company. The undersigned’s biographical information previously furnished to the Company and the Representative is true and accurate in all material respects, does not omit any material information with respect to the undersigned’s biography and contains all of the information required to be disclosed pursuant to Item 401 of Regulation S-K, promulgated under the Securities Act of 1933. The undersigned’s FINRA Questionnaire and Director and Officer Questionnaire previously furnished to the Company and the Representative is true and accurate in all material respects. The undersigned represents and warrants that, except as disclosed in the undersigned’s Director and Officer Questionnaire:</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had a petition under the federal bankruptcy laws or any state insolvency law been filed by or against (i) him/her/it or any partnership in which he/she/it was a general partner at or within two years before the time of filing; or (ii) any corporation or business association of which he/she/it was an executive officer at or within two years before the time of such filing;</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had a receiver, fiscal agent or similar officer been appointed by a court for his/her/its business or property, or any such partnership;</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of fraud in a civil or criminal proceeding;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in a criminal proceeding or named the subject of a pending criminal proceeding (excluding traffic violations and minor offenses);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any order, judgment or decree, not subsequently reversed, suspended or vacated, of any court of competent jurisdiction, permanently or temporarily enjoining or otherwise limiting him/her/it from (i) acting as a futures commission merchant, introducing broker, commodity trading advisor, commodity pool operator, floor broker, leverage transaction merchant, any other person regulated by the Commodity Futures Trading Commission (“</w:t>
      </w:r>
      <w:r>
        <w:rPr>
          <w:rFonts w:ascii="Times New Roman" w:cs="Times New Roman" w:eastAsia="Times New Roman" w:hAnsi="Times New Roman"/>
          <w:sz w:val="18"/>
          <w:szCs w:val="18"/>
          <w:b w:val="1"/>
          <w:bCs w:val="1"/>
          <w:i w:val="1"/>
          <w:iCs w:val="1"/>
          <w:color w:val="auto"/>
        </w:rPr>
        <w:t>CFTC</w:t>
      </w:r>
      <w:r>
        <w:rPr>
          <w:rFonts w:ascii="Times New Roman" w:cs="Times New Roman" w:eastAsia="Times New Roman" w:hAnsi="Times New Roman"/>
          <w:sz w:val="18"/>
          <w:szCs w:val="18"/>
          <w:color w:val="auto"/>
        </w:rPr>
        <w:t>”) or an associated person of any of the foregoing, or as an investment adviser, underwriter, broker or dealer in securities, or as an affiliated person, director or employee of any investment company, bank, savings and loan association or insurance company, or from engaging in or continuing any conduct or practice in connection with any such activity; or (ii) engaging in any type of business practice; or (iii) engaging in any activity in connection with the purchase or sale of any security or commodity or in connection with any violation of federal or state securities or federal commodities laws;</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any order, judgment or decree, not subsequently reversed, suspended or vacated, of any federal or state authority barring, suspending or otherwise limiting for more than 60 days his/her/its right to engage in any activity described in 7(e)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above, or to be associated with persons engaged in any such activity;</w:t>
      </w:r>
    </w:p>
    <w:p>
      <w:pPr>
        <w:spacing w:after="0" w:line="20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found by a court of competent jurisdiction in a civil action or by the SEC to have violated any federal or state securities law, where the judgment in such civil action or finding by the SEC has not been subsequently reversed, suspended or vacated;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2" w:name="page103"/>
    <w:bookmarkEnd w:id="102"/>
    <w:p>
      <w:pPr>
        <w:jc w:val="both"/>
        <w:ind w:left="644" w:hanging="644"/>
        <w:spacing w:after="0" w:line="266" w:lineRule="auto"/>
        <w:tabs>
          <w:tab w:leader="none" w:pos="6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found by a court of competent jurisdiction in a civil action or by the CFTC to have violated any federal commodities law, where the judgment in such civil action or finding by the CFTC has not been subsequently reversed, suspended or vacated;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or a party to, any Federal or State judicial or administrative order, judgment, decree or finding, not subsequently reversed, suspended or vacated, relating to an alleged violation of (i) any Federal or State securities or commodities law or regulation, (ii) any law or regulation respecting financial institutions or insurance companies including, but not limited to, a temporary or permanent injunction, order of disgorgement or restitution, civil money penalty or temporary or permanent cease-and desist order, or removal or prohibition order or (iii) any law or regulation prohibiting mail or wire fraud or fraud in connection with any business entity;</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or party to, any sanction or order, not subsequently reversed, suspended or vacated, or any self-regulatory organization, any registered entity, or any equivalent exchange, association, entity or organization that has disciplinary authority over its members or persons associated with a member;</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of any felony or misdemeanor: (i) in connection with the purchase or sale of any security; (ii) involving the making of any false filing with the SEC; or (iii) arising out of the conduct of the business of an underwriter, broker, dealer, municipal securities dealer, investment advisor or paid solicitor of purchasers of securities;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was never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is based on a violation of any law or regulation that prohibits fraudulent, manipulative, or deceptive conduct;</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any order, judgment or decree of any court of competent jurisdiction, that, at the time of such sale, restrained or enjoined him/her/it from engaging or continuing to engage in any conduct or practice: (i) in connection with the purchase or sale of any security; (ii) involving the making of any false filing with the SEC; or (iii) arising out of the conduct of the business of an underwriter, broker, dealer, municipal securities dealer, investment adviser or paid solicitor of purchasers of securities;</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any order of the SEC that orders him/her/it to cease and desist from committing or causing a future violation of: (i) any scienter-based anti-fraud provision of the federal securities laws, including, but not limited to, Section 17(a)(1) of the Securities Act, Section 10(b) of the Exchange Act and Rule 10b-5 thereunder, and Section 206(1) of the Advisers Act or any other rule or regulation thereunder; or (ii) Section 5 of the Securities Act;</w:t>
      </w:r>
    </w:p>
    <w:p>
      <w:pPr>
        <w:spacing w:after="0" w:line="179" w:lineRule="exact"/>
        <w:rPr>
          <w:rFonts w:ascii="Times New Roman" w:cs="Times New Roman" w:eastAsia="Times New Roman" w:hAnsi="Times New Roman"/>
          <w:sz w:val="18"/>
          <w:szCs w:val="18"/>
          <w:color w:val="auto"/>
        </w:rPr>
      </w:pPr>
    </w:p>
    <w:p>
      <w:pPr>
        <w:jc w:val="both"/>
        <w:ind w:left="644" w:right="20" w:hanging="644"/>
        <w:spacing w:after="0" w:line="266" w:lineRule="auto"/>
        <w:tabs>
          <w:tab w:leader="none" w:pos="6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named as an underwriter in any registration statement or Regulation A offering statement filed with the SEC that was the subject of a refusal order, stop order, or order suspending the Regulation A exemption, or is, currently, the subject of an investigation or proceeding to determine whether a stop order or suspension order should be issued;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 United States Postal Service false representation order, or is currently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38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3" w:name="page104"/>
    <w:bookmarkEnd w:id="103"/>
    <w:p>
      <w:pPr>
        <w:jc w:val="both"/>
        <w:ind w:left="1300" w:hanging="644"/>
        <w:spacing w:after="0" w:line="258"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is not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bars the undersigned from: (i) association with an entity regulated by such commission, authority, agency or officer; (ii) engaging in the business of securities, insurance or banking; or (iii) engaging in savings association or credit union activities;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is not subject to an order of the SEC entered pursuant to section 15(b) or 15B(c) of the Securities Exchange Act of 1934 (the “Exchange Act”) or section 203(e) or 203(f) of the Investment Advisers Act of 1940 (the “Advisers Act”) that: (i) suspends or revokes the undersigned’s registration as a broker, dealer, municipal securities dealer or investment adviser; (ii) places limitations on the activities, functions or operations of, or imposes civil money penalties on, such person; or (iii) bars the undersigned from being associated with any entity or from participating in the offering of any penny stock; and</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suspended or expelled from membership in, or suspended or barred from association with a member of, a securities self-regulatory organization (e.g., a registered national securities exchange or a registered national or affiliated securities association) for any act or omission to act constituting conduct inconsistent with just and equitable principles of trade.</w:t>
      </w:r>
    </w:p>
    <w:p>
      <w:pPr>
        <w:spacing w:after="0" w:line="176" w:lineRule="exact"/>
        <w:rPr>
          <w:sz w:val="20"/>
          <w:szCs w:val="20"/>
          <w:color w:val="auto"/>
        </w:rPr>
      </w:pPr>
    </w:p>
    <w:p>
      <w:pPr>
        <w:ind w:firstLine="1304"/>
        <w:spacing w:after="0" w:line="282" w:lineRule="auto"/>
        <w:tabs>
          <w:tab w:leader="none" w:pos="1549"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full right and power, without violating any agreement by which he, she or it is bound, to enter into this letter agreement and to serve as a director or officer of the Company, as applicable.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473"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waives his, her or its right to exercise conversion rights with respect to any shares of Common Stock owned or to be owned by the undersigned, directly or indirectly, whether purchased by the undersigned prior to the IPO, in the IPO or in the aftermarket, and agrees that he, she or it will not seek conversion with respect to or otherwise sell, such shares in connection with any vote to approve a Business Combination with respect thereto, a vote to amend the provisions of the Company’s Amended and Restated Certificate of Incorporation, or a tender offer by the Company prior to a Business Combination.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0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agrees to not propose, or vote in favor of, an amendment to the Company’s Amended and Restated Certificate of Incorporation with respect to stockholder’s rights or the Company’s pre-Business Combination activities (including the substance or timing within which we have to complete a business combination) of a Business Combination unless the Company offers holders of IPO Shares the right to receive their pro rata portion of the funds then held in the Trust Fund upon approval of any amendment.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Section 5-1401 of the General Obligations Law of the State of New York, this letter agreement shall be governed by, and construed in accordance with, the laws of the State of New York without regard to principles of conflicts of law that would result in the application of the substantive law of another jurisdiction. The parties hereto agree that any action, proceeding or claim arising out of or relating in any way to this letter agreement shall be resolved through final and binding arbitration in accordance with the International Arbitration Rules of the American Arbitration Association (“</w:t>
      </w:r>
      <w:r>
        <w:rPr>
          <w:rFonts w:ascii="Times New Roman" w:cs="Times New Roman" w:eastAsia="Times New Roman" w:hAnsi="Times New Roman"/>
          <w:sz w:val="18"/>
          <w:szCs w:val="18"/>
          <w:b w:val="1"/>
          <w:bCs w:val="1"/>
          <w:i w:val="1"/>
          <w:iCs w:val="1"/>
          <w:color w:val="auto"/>
        </w:rPr>
        <w:t>AAA</w:t>
      </w:r>
      <w:r>
        <w:rPr>
          <w:rFonts w:ascii="Times New Roman" w:cs="Times New Roman" w:eastAsia="Times New Roman" w:hAnsi="Times New Roman"/>
          <w:sz w:val="18"/>
          <w:szCs w:val="18"/>
          <w:color w:val="auto"/>
        </w:rPr>
        <w:t>”). The arbitration shall be brought before the AAA International Center for Dispute Resolution’s offices in New York City, New York, will be conducted in English and will be decided by a panel of three arbitrators selected from the AAA Commercial Disputes Panel and that the arbitrator panel’s decision shall be final and enforceable by any court having jurisdiction over the party from whom enforcement is sought. The cost of such arbitrators and arbitration services, together with the prevailing party’s legal fees and expenses, shall be borne by the non-prevailing party or as otherwise directed by the arbitrators.</w:t>
      </w:r>
    </w:p>
    <w:p>
      <w:pPr>
        <w:spacing w:after="0" w:line="18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2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(i)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shall mean a merger, share exchange, asset acquisition, stock purchase, recapitalization, reorganization or other similar business combination with one or more businesses or entities; (ii) “</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 shall mean all officers, directors and stockholders of the Company immediately prior to the IPO; (iii) “</w:t>
      </w:r>
      <w:r>
        <w:rPr>
          <w:rFonts w:ascii="Times New Roman" w:cs="Times New Roman" w:eastAsia="Times New Roman" w:hAnsi="Times New Roman"/>
          <w:sz w:val="18"/>
          <w:szCs w:val="18"/>
          <w:b w:val="1"/>
          <w:bCs w:val="1"/>
          <w:i w:val="1"/>
          <w:iCs w:val="1"/>
          <w:color w:val="auto"/>
        </w:rPr>
        <w:t>Insider Shares</w:t>
      </w:r>
      <w:r>
        <w:rPr>
          <w:rFonts w:ascii="Times New Roman" w:cs="Times New Roman" w:eastAsia="Times New Roman" w:hAnsi="Times New Roman"/>
          <w:sz w:val="18"/>
          <w:szCs w:val="18"/>
          <w:color w:val="auto"/>
        </w:rPr>
        <w:t>” shall mean all of the shares of Common Stock of the Company acquired by an Insider prior to the IPO and the purchase of the Private Warrants; (iv) “</w:t>
      </w:r>
      <w:r>
        <w:rPr>
          <w:rFonts w:ascii="Times New Roman" w:cs="Times New Roman" w:eastAsia="Times New Roman" w:hAnsi="Times New Roman"/>
          <w:sz w:val="18"/>
          <w:szCs w:val="18"/>
          <w:b w:val="1"/>
          <w:bCs w:val="1"/>
          <w:i w:val="1"/>
          <w:iCs w:val="1"/>
          <w:color w:val="auto"/>
        </w:rPr>
        <w:t>IPO Shares</w:t>
      </w:r>
      <w:r>
        <w:rPr>
          <w:rFonts w:ascii="Times New Roman" w:cs="Times New Roman" w:eastAsia="Times New Roman" w:hAnsi="Times New Roman"/>
          <w:sz w:val="18"/>
          <w:szCs w:val="18"/>
          <w:color w:val="auto"/>
        </w:rPr>
        <w:t>” shall mean the shares of Common Stock issued in the Company’s IPO; (v) “</w:t>
      </w:r>
      <w:r>
        <w:rPr>
          <w:rFonts w:ascii="Times New Roman" w:cs="Times New Roman" w:eastAsia="Times New Roman" w:hAnsi="Times New Roman"/>
          <w:sz w:val="18"/>
          <w:szCs w:val="18"/>
          <w:b w:val="1"/>
          <w:bCs w:val="1"/>
          <w:i w:val="1"/>
          <w:iCs w:val="1"/>
          <w:color w:val="auto"/>
        </w:rPr>
        <w:t>Private Warrants</w:t>
      </w:r>
      <w:r>
        <w:rPr>
          <w:rFonts w:ascii="Times New Roman" w:cs="Times New Roman" w:eastAsia="Times New Roman" w:hAnsi="Times New Roman"/>
          <w:sz w:val="18"/>
          <w:szCs w:val="18"/>
          <w:color w:val="auto"/>
        </w:rPr>
        <w:t>” shall mean the warrants purchased in the private placement taking place simultaneously with the consummation of the Company’s IPO; (vi)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the registration statement on Form S-1 filed by the Company with respect to the IPO; and (vii) “</w:t>
      </w:r>
      <w:r>
        <w:rPr>
          <w:rFonts w:ascii="Times New Roman" w:cs="Times New Roman" w:eastAsia="Times New Roman" w:hAnsi="Times New Roman"/>
          <w:sz w:val="18"/>
          <w:szCs w:val="18"/>
          <w:b w:val="1"/>
          <w:bCs w:val="1"/>
          <w:i w:val="1"/>
          <w:iCs w:val="1"/>
          <w:color w:val="auto"/>
        </w:rPr>
        <w:t>Trust Fund</w:t>
      </w:r>
      <w:r>
        <w:rPr>
          <w:rFonts w:ascii="Times New Roman" w:cs="Times New Roman" w:eastAsia="Times New Roman" w:hAnsi="Times New Roman"/>
          <w:sz w:val="18"/>
          <w:szCs w:val="18"/>
          <w:color w:val="auto"/>
        </w:rPr>
        <w:t>” shall mean the trust fund into which a portion of the net proceeds of the Company’s IPO will be deposited.</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jc w:val="both"/>
        <w:ind w:firstLine="1304"/>
        <w:spacing w:after="0" w:line="266" w:lineRule="auto"/>
        <w:tabs>
          <w:tab w:leader="none" w:pos="157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Representative: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Jonas Grossman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(646) 465-9002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Greenberg Traurig,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1750 Tysons Boulevard, Suite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 22102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Alan Annex; Jason Simon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annexa@gtlaw.com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simonj@gtlaw.com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(212) 801-6400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Edward Scheetz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Mitchell S. Nussbaum and Giovanni Caruso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(212) 504-3013</w:t>
      </w:r>
    </w:p>
    <w:p>
      <w:pPr>
        <w:spacing w:after="0" w:line="207" w:lineRule="exact"/>
        <w:rPr>
          <w:sz w:val="20"/>
          <w:szCs w:val="20"/>
          <w:color w:val="auto"/>
        </w:rPr>
      </w:pPr>
    </w:p>
    <w:p>
      <w:pPr>
        <w:jc w:val="both"/>
        <w:ind w:firstLine="1304"/>
        <w:spacing w:after="0" w:line="266" w:lineRule="auto"/>
        <w:tabs>
          <w:tab w:leader="none" w:pos="156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hereto may assign either this letter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letter agreement shall be binding on the parties hereto and any successors and assigns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2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understands that the Underwriters and the Company will rely upon the agreements, representations and warranties set forth herein in proceeding with the IPO. Nothing contained herein shall be deemed to render the Underwriters a representative of, or a fiduciary with respect to, the Company, its stockholders or any creditor or vendor of the company with respect to the subject matter hereof.</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ind w:left="56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Woodrow H.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17145</wp:posOffset>
            </wp:positionV>
            <wp:extent cx="284607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Woodrow H. Levin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BLIND 1212, LLC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Woodrow H. Levin</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Woodrow H. Levin</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i w:val="1"/>
          <w:iCs w:val="1"/>
          <w:color w:val="auto"/>
        </w:rPr>
        <w:t>[Signature Page to Insider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06" w:name="page107"/>
    <w:bookmarkEnd w:id="106"/>
    <w:p>
      <w:pPr>
        <w:ind w:left="9820"/>
        <w:spacing w:after="0"/>
        <w:rPr>
          <w:sz w:val="20"/>
          <w:szCs w:val="20"/>
          <w:color w:val="auto"/>
        </w:rPr>
      </w:pPr>
      <w:r>
        <w:rPr>
          <w:rFonts w:ascii="Times New Roman" w:cs="Times New Roman" w:eastAsia="Times New Roman" w:hAnsi="Times New Roman"/>
          <w:sz w:val="18"/>
          <w:szCs w:val="18"/>
          <w:color w:val="auto"/>
        </w:rPr>
        <w:t>December 23,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This letter is being delivered to you in accordance with the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entered into by and between Ventoux CCM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Chardan Capital Markets, LLC, as representative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of the Underwriters named in Schedule A thereto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relating to an underwritten initial public offering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of the Company’s units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each comprised of one share of Common Stock of the Company,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one right to receive one-twentieth of one share of Common Stock, and one warrant, with each warrant being exercisable to purchase one-half of one share of Common Stock at a price of $11.50 per full share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Certain capitalized terms used herein are defined in paragraph 12 hereof.</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 order to induce the Company and the Underwriters to enter into the Underwriting Agreement and to proceed with the IPO, and in recognition of the benefit that such IPO will confer upon the undersigned as a stockholder of the Company, and for other good and valuable consideration, the receipt and sufficiency of which are hereby acknowledged, the undersigned hereby agrees with the Company as follows:</w:t>
      </w:r>
    </w:p>
    <w:p>
      <w:pPr>
        <w:spacing w:after="0" w:line="176" w:lineRule="exact"/>
        <w:rPr>
          <w:sz w:val="20"/>
          <w:szCs w:val="20"/>
          <w:color w:val="auto"/>
        </w:rPr>
      </w:pPr>
    </w:p>
    <w:p>
      <w:pPr>
        <w:ind w:firstLine="1304"/>
        <w:spacing w:after="0" w:line="282" w:lineRule="auto"/>
        <w:tabs>
          <w:tab w:leader="none" w:pos="147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solicits approval of its shareholders of a Business Combination, the undersigned will vote all shares of Common Stock beneficially owned by him, her or it, whether acquired before, in or after the IPO, in favor of such Business Combination.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0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event that the Company fails to consummate a Business Combination within 15 months (or in the event the Company extended the time to complete a Business Combination up to 18 months) from the closing of the Company’s IPO, the undersigned shall take all reasonable steps to (i) cause the Trust Fund to be liquidated and distributed to the holders of IPO Shares and (ii) cause the Company to liquidate as promptly as reasonably possible but not more than five business days after the date we are required to consummate a Business Combination.</w:t>
      </w:r>
    </w:p>
    <w:p>
      <w:pPr>
        <w:spacing w:after="0" w:line="179" w:lineRule="exact"/>
        <w:rPr>
          <w:rFonts w:ascii="Times New Roman" w:cs="Times New Roman" w:eastAsia="Times New Roman" w:hAnsi="Times New Roman"/>
          <w:sz w:val="18"/>
          <w:szCs w:val="18"/>
          <w:color w:val="auto"/>
        </w:rPr>
      </w:pPr>
    </w:p>
    <w:p>
      <w:pPr>
        <w:jc w:val="both"/>
        <w:ind w:firstLine="1693"/>
        <w:spacing w:after="0" w:line="258" w:lineRule="auto"/>
        <w:tabs>
          <w:tab w:leader="none" w:pos="194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waives any and all right, title, interest or claim of any kind in or to any distribution of the Trust Fund and any remaining net assets of the Company as a result of such liquidation with respect to any shares he, she or it owns, including his, her or its Insider Shares, IPO Shares and Private Warrants purchased during or after the offering, if any,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and hereby waives any Claim the undersigned may have in the future as a result of, or arising out of, any contracts or agreements with the Company and will not seek recourse against the Trust Fund for any reason whatsoever.</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48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will place into escrow all of his, her or its Insider Shares pursuant to the terms of a Stock Escrow Agreement which the Company will enter into with the undersigned and an escrow agent acceptable to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3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minimize potential conflicts of interest which may arise from multiple affiliations, the undersigned agrees to present to the Company for its consideration, prior to presentation to any other person or entity, any suitable opportunity to acquire a target business, until the earlier of the consummation by the Company of a Business Combination or the liquidation of the Company, subject to any pre-existing fiduciary and contractual obligations the undersigned might have.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both"/>
        <w:ind w:firstLine="1304"/>
        <w:spacing w:after="0" w:line="258" w:lineRule="auto"/>
        <w:tabs>
          <w:tab w:leader="none" w:pos="1489"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agrees that prior to entering into a Business Combination with a target business that is affiliated with any Insiders of the Company or their affiliates, including any company that is a portfolio company of, or otherwise affiliated with, or has received financial investment from, an entity with which any Insider or their affiliates is affiliated, such transaction must be approved by a majority of the Company’s disinterested independent directors and the Company must obtain an opinion from an independent investment banking firm that such Business Combination is fair to the Company’s unaffiliated stockholders from a financial point of view.</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8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undersigned, any member of the family of the undersigned, nor any affiliate of the undersigned will be entitled to receive or accept a finder’s fee or any other compensation in the event the undersigned, any member of the family of the undersigned or any affiliate of the undersigned originates a Business Combination.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47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agrees to be a director or officer of the Company, as applicable, until the earlier of the consummation by the Company of a Business Combination or the liquidation of the Company. The undersigned’s biographical information previously furnished to the Company and the Representative is true and accurate in all material respects, does not omit any material information with respect to the undersigned’s biography and contains all of the information required to be disclosed pursuant to Item 401 of Regulation S-K, promulgated under the Securities Act of 1933. The undersigned’s FINRA Questionnaire and Director and Officer Questionnaire previously furnished to the Company and the Representative is true and accurate in all material respects. The undersigned represents and warrants that, except as disclosed in the undersigned’s Director and Officer Questionnaire:</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had a petition under the federal bankruptcy laws or any state insolvency law been filed by or against (i) him/her/it or any partnership in which he/she/it was a general partner at or within two years before the time of filing; or (ii) any corporation or business association of which he/she/it was an executive officer at or within two years before the time of such filing;</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had a receiver, fiscal agent or similar officer been appointed by a court for his/her/its business or property, or any such partnership;</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of fraud in a civil or criminal proceeding;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in a criminal proceeding or named the subject of a pending criminal proceeding (excluding traffic violations and minor offenses);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any order, judgment or decree, not subsequently reversed, suspended or vacated, of any court of competent jurisdiction, permanently or temporarily enjoining or otherwise limiting him/her/it from (i) acting as a futures commission merchant, introducing broker, commodity trading advisor, commodity pool operator, floor broker, leverage transaction merchant, any other person regulated by the Commodity Futures Trading Commission (“</w:t>
      </w:r>
      <w:r>
        <w:rPr>
          <w:rFonts w:ascii="Times New Roman" w:cs="Times New Roman" w:eastAsia="Times New Roman" w:hAnsi="Times New Roman"/>
          <w:sz w:val="18"/>
          <w:szCs w:val="18"/>
          <w:b w:val="1"/>
          <w:bCs w:val="1"/>
          <w:i w:val="1"/>
          <w:iCs w:val="1"/>
          <w:color w:val="auto"/>
        </w:rPr>
        <w:t>CFTC</w:t>
      </w:r>
      <w:r>
        <w:rPr>
          <w:rFonts w:ascii="Times New Roman" w:cs="Times New Roman" w:eastAsia="Times New Roman" w:hAnsi="Times New Roman"/>
          <w:sz w:val="18"/>
          <w:szCs w:val="18"/>
          <w:color w:val="auto"/>
        </w:rPr>
        <w:t>”) or an associated person of any of the foregoing, or as an investment adviser, underwriter, broker or dealer in securities, or as an affiliated person, director or employee of any investment company, bank, savings and loan association or insurance company, or from engaging in or continuing any conduct or practice in connection with any such activity; or (ii) engaging in any type of business practice; or (iii) engaging in any activity in connection with the purchase or sale of any security or commodity or in connection with any violation of federal or state securities or federal commodities laws;</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any order, judgment or decree, not subsequently reversed, suspended or vacated, of any federal or state authority barring, suspending or otherwise limiting for more than 60 days his/her/its right to engage in any activity described in 7(e)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above, or to be associated with persons engaged in any such activity;</w:t>
      </w:r>
    </w:p>
    <w:p>
      <w:pPr>
        <w:spacing w:after="0" w:line="20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found by a court of competent jurisdiction in a civil action or by the SEC to have violated any federal or state securities law, where the judgment in such civil action or finding by the SEC has not been subsequently reversed, suspended or vacated;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left="644" w:hanging="644"/>
        <w:spacing w:after="0" w:line="266" w:lineRule="auto"/>
        <w:tabs>
          <w:tab w:leader="none" w:pos="6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found by a court of competent jurisdiction in a civil action or by the CFTC to have violated any federal commodities law, where the judgment in such civil action or finding by the CFTC has not been subsequently reversed, suspended or vacated;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or a party to, any Federal or State judicial or administrative order, judgment, decree or finding, not subsequently reversed, suspended or vacated, relating to an alleged violation of (i) any Federal or State securities or commodities law or regulation, (ii) any law or regulation respecting financial institutions or insurance companies including, but not limited to, a temporary or permanent injunction, order of disgorgement or restitution, civil money penalty or temporary or permanent cease-and desist order, or removal or prohibition order or (iii) any law or regulation prohibiting mail or wire fraud or fraud in connection with any business entity;</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or party to, any sanction or order, not subsequently reversed, suspended or vacated, or any self-regulatory organization, any registered entity, or any equivalent exchange, association, entity or organization that has disciplinary authority over its members or persons associated with a member;</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of any felony or misdemeanor: (i) in connection with the purchase or sale of any security; (ii) involving the making of any false filing with the SEC; or (iii) arising out of the conduct of the business of an underwriter, broker, dealer, municipal securities dealer, investment advisor or paid solicitor of purchasers of securities;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was never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is based on a violation of any law or regulation that prohibits fraudulent, manipulative, or deceptive conduct;</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any order, judgment or decree of any court of competent jurisdiction, that, at the time of such sale, restrained or enjoined him/her/it from engaging or continuing to engage in any conduct or practice: (i) in connection with the purchase or sale of any security; (ii) involving the making of any false filing with the SEC; or (iii) arising out of the conduct of the business of an underwriter, broker, dealer, municipal securities dealer, investment adviser or paid solicitor of purchasers of securities;</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any order of the SEC that orders him/her/it to cease and desist from committing or causing a future violation of: (i) any scienter-based anti-fraud provision of the federal securities laws, including, but not limited to, Section 17(a)(1) of the Securities Act, Section 10(b) of the Exchange Act and Rule 10b-5 thereunder, and Section 206(1) of the Advisers Act or any other rule or regulation thereunder; or (ii) Section 5 of the Securities Act;</w:t>
      </w:r>
    </w:p>
    <w:p>
      <w:pPr>
        <w:spacing w:after="0" w:line="179" w:lineRule="exact"/>
        <w:rPr>
          <w:rFonts w:ascii="Times New Roman" w:cs="Times New Roman" w:eastAsia="Times New Roman" w:hAnsi="Times New Roman"/>
          <w:sz w:val="18"/>
          <w:szCs w:val="18"/>
          <w:color w:val="auto"/>
        </w:rPr>
      </w:pPr>
    </w:p>
    <w:p>
      <w:pPr>
        <w:jc w:val="both"/>
        <w:ind w:left="644" w:right="20" w:hanging="644"/>
        <w:spacing w:after="0" w:line="266" w:lineRule="auto"/>
        <w:tabs>
          <w:tab w:leader="none" w:pos="6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named as an underwriter in any registration statement or Regulation A offering statement filed with the SEC that was the subject of a refusal order, stop order, or order suspending the Regulation A exemption, or is, currently, the subject of an investigation or proceeding to determine whether a stop order or suspension order should be issued;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 United States Postal Service false representation order, or is currently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38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9" w:name="page110"/>
    <w:bookmarkEnd w:id="109"/>
    <w:p>
      <w:pPr>
        <w:jc w:val="both"/>
        <w:ind w:left="1300" w:hanging="644"/>
        <w:spacing w:after="0" w:line="258"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is not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bars the undersigned from: (i) association with an entity regulated by such commission, authority, agency or officer; (ii) engaging in the business of securities, insurance or banking; or (iii) engaging in savings association or credit union activities;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is not subject to an order of the SEC entered pursuant to section 15(b) or 15B(c) of the Securities Exchange Act of 1934 (the “Exchange Act”) or section 203(e) or 203(f) of the Investment Advisers Act of 1940 (the “Advisers Act”) that: (i) suspends or revokes the undersigned’s registration as a broker, dealer, municipal securities dealer or investment adviser; (ii) places limitations on the activities, functions or operations of, or imposes civil money penalties on, such person; or (iii) bars the undersigned from being associated with any entity or from participating in the offering of any penny stock; and</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suspended or expelled from membership in, or suspended or barred from association with a member of, a securities self-regulatory organization (e.g., a registered national securities exchange or a registered national or affiliated securities association) for any act or omission to act constituting conduct inconsistent with just and equitable principles of trade.</w:t>
      </w:r>
    </w:p>
    <w:p>
      <w:pPr>
        <w:spacing w:after="0" w:line="176" w:lineRule="exact"/>
        <w:rPr>
          <w:sz w:val="20"/>
          <w:szCs w:val="20"/>
          <w:color w:val="auto"/>
        </w:rPr>
      </w:pPr>
    </w:p>
    <w:p>
      <w:pPr>
        <w:ind w:firstLine="1304"/>
        <w:spacing w:after="0" w:line="282" w:lineRule="auto"/>
        <w:tabs>
          <w:tab w:leader="none" w:pos="149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full right and power, without violating any agreement by which he, she or it is bound, to enter into this letter agreement and to serve as a director or officer of the Company, as applicable.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47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waives his, her or its right to exercise conversion rights with respect to any shares of Common Stock owned or to be owned by the undersigned, directly or indirectly, whether purchased by the undersigned prior to the IPO, in the IPO or in the aftermarket, and agrees that he, she or it will not seek conversion with respect to or otherwise sell, such shares in connection with any vote to approve a Business Combination with respect thereto, a vote to amend the provisions of the Company’s Amended and Restated Certificate of Incorporation, or a tender offer by the Company prior to a Business Combination.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0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agrees to not propose, or vote in favor of, an amendment to the Company’s Amended and Restated Certificate of Incorporation with respect to stockholder’s rights or the Company’s pre-Business Combination activities (including the substance or timing within which we have to complete a business combination) of a Business Combination unless the Company offers holders of IPO Shares the right to receive their pro rata portion of the funds then held in the Trust Fund upon approval of any amendment.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Section 5-1401 of the General Obligations Law of the State of New York, this letter agreement shall be governed by, and construed in accordance with, the laws of the State of New York without regard to principles of conflicts of law that would result in the application of the substantive law of another jurisdiction. The parties hereto agree that any action, proceeding or claim arising out of or relating in any way to this letter agreement shall be resolved through final and binding arbitration in accordance with the International Arbitration Rules of the American Arbitration Association (“</w:t>
      </w:r>
      <w:r>
        <w:rPr>
          <w:rFonts w:ascii="Times New Roman" w:cs="Times New Roman" w:eastAsia="Times New Roman" w:hAnsi="Times New Roman"/>
          <w:sz w:val="18"/>
          <w:szCs w:val="18"/>
          <w:b w:val="1"/>
          <w:bCs w:val="1"/>
          <w:i w:val="1"/>
          <w:iCs w:val="1"/>
          <w:color w:val="auto"/>
        </w:rPr>
        <w:t>AAA</w:t>
      </w:r>
      <w:r>
        <w:rPr>
          <w:rFonts w:ascii="Times New Roman" w:cs="Times New Roman" w:eastAsia="Times New Roman" w:hAnsi="Times New Roman"/>
          <w:sz w:val="18"/>
          <w:szCs w:val="18"/>
          <w:color w:val="auto"/>
        </w:rPr>
        <w:t>”). The arbitration shall be brought before the AAA International Center for Dispute Resolution’s offices in New York City, New York, will be conducted in English and will be decided by a panel of three arbitrators selected from the AAA Commercial Disputes Panel and that the arbitrator panel’s decision shall be final and enforceable by any court having jurisdiction over the party from whom enforcement is sought. The cost of such arbitrators and arbitration services, together with the prevailing party’s legal fees and expenses, shall be borne by the non-prevailing party or as otherwise directed by the arbitrators.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0" w:name="page111"/>
    <w:bookmarkEnd w:id="110"/>
    <w:p>
      <w:pPr>
        <w:jc w:val="both"/>
        <w:ind w:firstLine="1304"/>
        <w:spacing w:after="0" w:line="256" w:lineRule="auto"/>
        <w:tabs>
          <w:tab w:leader="none" w:pos="1633"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(i)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shall mean a merger, share exchange, asset acquisition, stock purchase, recapitalization, reorganization or other similar business combination with one or more businesses or entities; (ii) “</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 shall mean all officers, directors and stockholders of the Company immediately prior to the IPO; (iii) “</w:t>
      </w:r>
      <w:r>
        <w:rPr>
          <w:rFonts w:ascii="Times New Roman" w:cs="Times New Roman" w:eastAsia="Times New Roman" w:hAnsi="Times New Roman"/>
          <w:sz w:val="18"/>
          <w:szCs w:val="18"/>
          <w:b w:val="1"/>
          <w:bCs w:val="1"/>
          <w:i w:val="1"/>
          <w:iCs w:val="1"/>
          <w:color w:val="auto"/>
        </w:rPr>
        <w:t>Insider Shares</w:t>
      </w:r>
      <w:r>
        <w:rPr>
          <w:rFonts w:ascii="Times New Roman" w:cs="Times New Roman" w:eastAsia="Times New Roman" w:hAnsi="Times New Roman"/>
          <w:sz w:val="18"/>
          <w:szCs w:val="18"/>
          <w:color w:val="auto"/>
        </w:rPr>
        <w:t>” shall mean all of the shares of Common Stock of the Company acquired by an Insider prior to the IPO and the purchase of the Private Warrants; (iv) “</w:t>
      </w:r>
      <w:r>
        <w:rPr>
          <w:rFonts w:ascii="Times New Roman" w:cs="Times New Roman" w:eastAsia="Times New Roman" w:hAnsi="Times New Roman"/>
          <w:sz w:val="18"/>
          <w:szCs w:val="18"/>
          <w:b w:val="1"/>
          <w:bCs w:val="1"/>
          <w:i w:val="1"/>
          <w:iCs w:val="1"/>
          <w:color w:val="auto"/>
        </w:rPr>
        <w:t>IPO Shares</w:t>
      </w:r>
      <w:r>
        <w:rPr>
          <w:rFonts w:ascii="Times New Roman" w:cs="Times New Roman" w:eastAsia="Times New Roman" w:hAnsi="Times New Roman"/>
          <w:sz w:val="18"/>
          <w:szCs w:val="18"/>
          <w:color w:val="auto"/>
        </w:rPr>
        <w:t>” shall mean the shares of Common Stock issued in the Company’s IPO; (v) “</w:t>
      </w:r>
      <w:r>
        <w:rPr>
          <w:rFonts w:ascii="Times New Roman" w:cs="Times New Roman" w:eastAsia="Times New Roman" w:hAnsi="Times New Roman"/>
          <w:sz w:val="18"/>
          <w:szCs w:val="18"/>
          <w:b w:val="1"/>
          <w:bCs w:val="1"/>
          <w:i w:val="1"/>
          <w:iCs w:val="1"/>
          <w:color w:val="auto"/>
        </w:rPr>
        <w:t>Private Warrants</w:t>
      </w:r>
      <w:r>
        <w:rPr>
          <w:rFonts w:ascii="Times New Roman" w:cs="Times New Roman" w:eastAsia="Times New Roman" w:hAnsi="Times New Roman"/>
          <w:sz w:val="18"/>
          <w:szCs w:val="18"/>
          <w:color w:val="auto"/>
        </w:rPr>
        <w:t>” shall mean the warrants purchased in the private placement taking place simultaneously with the consummation of the Company’s IPO; (vi)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the registration statement on Form S-1 filed by the Company with respect to the IPO; and (vii) “</w:t>
      </w:r>
      <w:r>
        <w:rPr>
          <w:rFonts w:ascii="Times New Roman" w:cs="Times New Roman" w:eastAsia="Times New Roman" w:hAnsi="Times New Roman"/>
          <w:sz w:val="18"/>
          <w:szCs w:val="18"/>
          <w:b w:val="1"/>
          <w:bCs w:val="1"/>
          <w:i w:val="1"/>
          <w:iCs w:val="1"/>
          <w:color w:val="auto"/>
        </w:rPr>
        <w:t>Trust Fund</w:t>
      </w:r>
      <w:r>
        <w:rPr>
          <w:rFonts w:ascii="Times New Roman" w:cs="Times New Roman" w:eastAsia="Times New Roman" w:hAnsi="Times New Roman"/>
          <w:sz w:val="18"/>
          <w:szCs w:val="18"/>
          <w:color w:val="auto"/>
        </w:rPr>
        <w:t>” shall mean the trust fund into which a portion of the net proceeds of the Company’s IPO will be deposited.</w:t>
      </w:r>
    </w:p>
    <w:p>
      <w:pPr>
        <w:spacing w:after="0" w:line="186"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8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Representative: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Jonas Grossman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(646) 465-9002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Greenberg Traurig,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1750 Tysons Boulevard, Suite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 22102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Alan Annex; Jason Simon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annexa@gtlaw.com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simonj@gtlaw.com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(212) 801-6400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Edward Scheetz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Mitchell S. Nussbaum and Giovanni Caruso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(212) 504-3013</w:t>
      </w:r>
    </w:p>
    <w:p>
      <w:pPr>
        <w:spacing w:after="0" w:line="207" w:lineRule="exact"/>
        <w:rPr>
          <w:sz w:val="20"/>
          <w:szCs w:val="20"/>
          <w:color w:val="auto"/>
        </w:rPr>
      </w:pPr>
    </w:p>
    <w:p>
      <w:pPr>
        <w:jc w:val="both"/>
        <w:ind w:firstLine="1304"/>
        <w:spacing w:after="0" w:line="266" w:lineRule="auto"/>
        <w:tabs>
          <w:tab w:leader="none" w:pos="156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hereto may assign either this letter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letter agreement shall be binding on the parties hereto and any successors and assigns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3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understands that the Underwriters and the Company will rely upon the agreements, representations and warranties set forth herein in proceeding with the IPO. Nothing contained herein shall be deemed to render the Underwriters a representative of, or a fiduciary with respect to, the Company, its stockholders or any creditor or vendor of the company with respect to the subject matter hereof.</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1" w:name="page112"/>
    <w:bookmarkEnd w:id="111"/>
    <w:p>
      <w:pPr>
        <w:ind w:left="56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24765</wp:posOffset>
            </wp:positionV>
            <wp:extent cx="284607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Matthew MacDonald</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Insider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12" w:name="page113"/>
    <w:bookmarkEnd w:id="112"/>
    <w:p>
      <w:pPr>
        <w:ind w:left="9820"/>
        <w:spacing w:after="0"/>
        <w:rPr>
          <w:sz w:val="20"/>
          <w:szCs w:val="20"/>
          <w:color w:val="auto"/>
        </w:rPr>
      </w:pPr>
      <w:r>
        <w:rPr>
          <w:rFonts w:ascii="Times New Roman" w:cs="Times New Roman" w:eastAsia="Times New Roman" w:hAnsi="Times New Roman"/>
          <w:sz w:val="18"/>
          <w:szCs w:val="18"/>
          <w:color w:val="auto"/>
        </w:rPr>
        <w:t>December 23,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This letter is being delivered to you in accordance with the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entered into by and between Ventoux CCM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Chardan Capital Markets, LLC, as representative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of the Underwriters named in Schedule A thereto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relating to an underwritten initial public offering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of the Company’s units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each comprised of one share of Common Stock of the Company,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one right to receive one-twentieth of one share of Common Stock, and one warrant, with each warrant being exercisable to purchase one-half of one share of Common Stock at a price of $11.50 per full share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Certain capitalized terms used herein are defined in paragraph 12 hereof.</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 order to induce the Company and the Underwriters to enter into the Underwriting Agreement and to proceed with the IPO, and in recognition of the benefit that such IPO will confer upon the undersigned as a stockholder of the Company, and for other good and valuable consideration, the receipt and sufficiency of which are hereby acknowledged, the undersigned hereby agrees with the Company as follows:</w:t>
      </w:r>
    </w:p>
    <w:p>
      <w:pPr>
        <w:spacing w:after="0" w:line="176" w:lineRule="exact"/>
        <w:rPr>
          <w:sz w:val="20"/>
          <w:szCs w:val="20"/>
          <w:color w:val="auto"/>
        </w:rPr>
      </w:pPr>
    </w:p>
    <w:p>
      <w:pPr>
        <w:ind w:firstLine="1304"/>
        <w:spacing w:after="0" w:line="282" w:lineRule="auto"/>
        <w:tabs>
          <w:tab w:leader="none" w:pos="147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solicits approval of its shareholders of a Business Combination, the undersigned will vote all shares of Common Stock beneficially owned by him, her or it, whether acquired before, in or after the IPO, in favor of such Business Combination.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0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event that the Company fails to consummate a Business Combination within 15 months (or in the event the Company extended the time to complete a Business Combination up to 18 months) from the closing of the Company’s IPO, the undersigned shall take all reasonable steps to (i) cause the Trust Fund to be liquidated and distributed to the holders of IPO Shares and (ii) cause the Company to liquidate as promptly as reasonably possible but not more than five business days after the date we are required to consummate a Business Combination.</w:t>
      </w:r>
    </w:p>
    <w:p>
      <w:pPr>
        <w:spacing w:after="0" w:line="179" w:lineRule="exact"/>
        <w:rPr>
          <w:rFonts w:ascii="Times New Roman" w:cs="Times New Roman" w:eastAsia="Times New Roman" w:hAnsi="Times New Roman"/>
          <w:sz w:val="18"/>
          <w:szCs w:val="18"/>
          <w:color w:val="auto"/>
        </w:rPr>
      </w:pPr>
    </w:p>
    <w:p>
      <w:pPr>
        <w:jc w:val="both"/>
        <w:ind w:firstLine="1498"/>
        <w:spacing w:after="0" w:line="258" w:lineRule="auto"/>
        <w:tabs>
          <w:tab w:leader="none" w:pos="175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waives any and all right, title, interest or claim of any kind in or to any distribution of the Trust Fund and any remaining net assets of the Company as a result of such liquidation with respect to any shares he, she or it owns, including his, her or its Insider Shares, IPO Shares and Private Warrants purchased during or after the offering, if any,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and hereby waives any Claim the undersigned may have in the future as a result of, or arising out of, any contracts or agreements with the Company and will not seek recourse against the Trust Fund for any reason whatsoever.</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53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will place into escrow all of his, her or its Insider Shares pursuant to the terms of a Stock Escrow Agreement which the Company will enter into with the undersigned and an escrow agent acceptable to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8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minimize potential conflicts of interest which may arise from multiple affiliations, the undersigned agrees to present to the Company for its consideration, prior to presentation to any other person or entity, any suitable opportunity to acquire a target business, until the earlier of the consummation by the Company of a Business Combination or the liquidation of the Company, subject to any pre-existing fiduciary and contractual obligations the undersigned might have.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13" w:name="page114"/>
    <w:bookmarkEnd w:id="113"/>
    <w:p>
      <w:pPr>
        <w:jc w:val="both"/>
        <w:ind w:firstLine="1304"/>
        <w:spacing w:after="0" w:line="258" w:lineRule="auto"/>
        <w:tabs>
          <w:tab w:leader="none" w:pos="148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agrees that prior to entering into a Business Combination with a target business that is affiliated with any Insiders of the Company or their affiliates, including any company that is a portfolio company of, or otherwise affiliated with, or has received financial investment from, an entity with which any Insider or their affiliates is affiliated, such transaction must be approved by a majority of the Company’s disinterested independent directors and the Company must obtain an opinion from an independent investment banking firm that such Business Combination is fair to the Company’s unaffiliated stockholders from a financial point of view.</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8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undersigned, any member of the family of the undersigned, nor any affiliate of the undersigned will be entitled to receive or accept a finder’s fee or any other compensation in the event the undersigned, any member of the family of the undersigned or any affiliate of the undersigned originates a Business Combination.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473"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agrees to be a director or officer of the Company, as applicable, until the earlier of the consummation by the Company of a Business Combination or the liquidation of the Company. The undersigned’s biographical information previously furnished to the Company and the Representative is true and accurate in all material respects, does not omit any material information with respect to the undersigned’s biography and contains all of the information required to be disclosed pursuant to Item 401 of Regulation S-K, promulgated under the Securities Act of 1933. The undersigned’s FINRA Questionnaire and Director and Officer Questionnaire previously furnished to the Company and the Representative is true and accurate in all material respects. The undersigned represents and warrants that, except as disclosed in the undersigned’s Director and Officer Questionnaire:</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had a petition under the federal bankruptcy laws or any state insolvency law been filed by or against (i) him/her/it or any partnership in which he/she/it was a general partner at or within two years before the time of filing; or (ii) any corporation or business association of which he/she/it was an executive officer at or within two years before the time of such filing;</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had a receiver, fiscal agent or similar officer been appointed by a court for his/her/its business or property, or any such partnership;</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of fraud in a civil or criminal proceeding;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in a criminal proceeding or named the subject of a pending criminal proceeding (excluding traffic violations and minor offenses);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any order, judgment or decree, not subsequently reversed, suspended or vacated, of any court of competent jurisdiction, permanently or temporarily enjoining or otherwise limiting him/her/it from (i) acting as a futures commission merchant, introducing broker, commodity trading advisor, commodity pool operator, floor broker, leverage transaction merchant, any other person regulated by the Commodity Futures Trading Commission (“</w:t>
      </w:r>
      <w:r>
        <w:rPr>
          <w:rFonts w:ascii="Times New Roman" w:cs="Times New Roman" w:eastAsia="Times New Roman" w:hAnsi="Times New Roman"/>
          <w:sz w:val="18"/>
          <w:szCs w:val="18"/>
          <w:b w:val="1"/>
          <w:bCs w:val="1"/>
          <w:i w:val="1"/>
          <w:iCs w:val="1"/>
          <w:color w:val="auto"/>
        </w:rPr>
        <w:t>CFTC</w:t>
      </w:r>
      <w:r>
        <w:rPr>
          <w:rFonts w:ascii="Times New Roman" w:cs="Times New Roman" w:eastAsia="Times New Roman" w:hAnsi="Times New Roman"/>
          <w:sz w:val="18"/>
          <w:szCs w:val="18"/>
          <w:color w:val="auto"/>
        </w:rPr>
        <w:t>”) or an associated person of any of the foregoing, or as an investment adviser, underwriter, broker or dealer in securities, or as an affiliated person, director or employee of any investment company, bank, savings and loan association or insurance company, or from engaging in or continuing any conduct or practice in connection with any such activity; or (ii) engaging in any type of business practice; or (iii) engaging in any activity in connection with the purchase or sale of any security or commodity or in connection with any violation of federal or state securities or federal commodities laws;</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any order, judgment or decree, not subsequently reversed, suspended or vacated, of any federal or state authority barring, suspending or otherwise limiting for more than 60 days his/her/its right to engage in any activity described in 7(e)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above, or to be associated with persons engaged in any such activity;</w:t>
      </w:r>
    </w:p>
    <w:p>
      <w:pPr>
        <w:spacing w:after="0" w:line="20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found by a court of competent jurisdiction in a civil action or by the SEC to have violated any federal or state securities law, where the judgment in such civil action or finding by the SEC has not been subsequently reversed, suspended or vacated;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4" w:name="page115"/>
    <w:bookmarkEnd w:id="114"/>
    <w:p>
      <w:pPr>
        <w:jc w:val="both"/>
        <w:ind w:left="644" w:hanging="644"/>
        <w:spacing w:after="0" w:line="266" w:lineRule="auto"/>
        <w:tabs>
          <w:tab w:leader="none" w:pos="6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found by a court of competent jurisdiction in a civil action or by the CFTC to have violated any federal commodities law, where the judgment in such civil action or finding by the CFTC has not been subsequently reversed, suspended or vacated;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or a party to, any Federal or State judicial or administrative order, judgment, decree or finding, not subsequently reversed, suspended or vacated, relating to an alleged violation of (i) any Federal or State securities or commodities law or regulation, (ii) any law or regulation respecting financial institutions or insurance companies including, but not limited to, a temporary or permanent injunction, order of disgorgement or restitution, civil money penalty or temporary or permanent cease-and desist order, or removal or prohibition order or (iii) any law or regulation prohibiting mail or wire fraud or fraud in connection with any business entity;</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or party to, any sanction or order, not subsequently reversed, suspended or vacated, or any self-regulatory organization, any registered entity, or any equivalent exchange, association, entity or organization that has disciplinary authority over its members or persons associated with a member;</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of any felony or misdemeanor: (i) in connection with the purchase or sale of any security; (ii) involving the making of any false filing with the SEC; or (iii) arising out of the conduct of the business of an underwriter, broker, dealer, municipal securities dealer, investment advisor or paid solicitor of purchasers of securities;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was never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is based on a violation of any law or regulation that prohibits fraudulent, manipulative, or deceptive conduct;</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any order, judgment or decree of any court of competent jurisdiction, that, at the time of such sale, restrained or enjoined him/her/it from engaging or continuing to engage in any conduct or practice: (i) in connection with the purchase or sale of any security; (ii) involving the making of any false filing with the SEC; or (iii) arising out of the conduct of the business of an underwriter, broker, dealer, municipal securities dealer, investment adviser or paid solicitor of purchasers of securities;</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any order of the SEC that orders him/her/it to cease and desist from committing or causing a future violation of: (i) any scienter-based anti-fraud provision of the federal securities laws, including, but not limited to, Section 17(a)(1) of the Securities Act, Section 10(b) of the Exchange Act and Rule 10b-5 thereunder, and Section 206(1) of the Advisers Act or any other rule or regulation thereunder; or (ii) Section 5 of the Securities Act;</w:t>
      </w:r>
    </w:p>
    <w:p>
      <w:pPr>
        <w:spacing w:after="0" w:line="179" w:lineRule="exact"/>
        <w:rPr>
          <w:rFonts w:ascii="Times New Roman" w:cs="Times New Roman" w:eastAsia="Times New Roman" w:hAnsi="Times New Roman"/>
          <w:sz w:val="18"/>
          <w:szCs w:val="18"/>
          <w:color w:val="auto"/>
        </w:rPr>
      </w:pPr>
    </w:p>
    <w:p>
      <w:pPr>
        <w:jc w:val="both"/>
        <w:ind w:left="644" w:right="20" w:hanging="644"/>
        <w:spacing w:after="0" w:line="266" w:lineRule="auto"/>
        <w:tabs>
          <w:tab w:leader="none" w:pos="6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named as an underwriter in any registration statement or Regulation A offering statement filed with the SEC that was the subject of a refusal order, stop order, or order suspending the Regulation A exemption, or is, currently, the subject of an investigation or proceeding to determine whether a stop order or suspension order should be issued;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 United States Postal Service false representation order, or is currently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38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5" w:name="page116"/>
    <w:bookmarkEnd w:id="115"/>
    <w:p>
      <w:pPr>
        <w:jc w:val="both"/>
        <w:ind w:left="1300" w:hanging="644"/>
        <w:spacing w:after="0" w:line="258"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is not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bars the undersigned from: (i) association with an entity regulated by such commission, authority, agency or officer; (ii) engaging in the business of securities, insurance or banking; or (iii) engaging in savings association or credit union activities;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is not subject to an order of the SEC entered pursuant to section 15(b) or 15B(c) of the Securities Exchange Act of 1934 (the “Exchange Act”) or section 203(e) or 203(f) of the Investment Advisers Act of 1940 (the “Advisers Act”) that: (i) suspends or revokes the undersigned’s registration as a broker, dealer, municipal securities dealer or investment adviser; (ii) places limitations on the activities, functions or operations of, or imposes civil money penalties on, such person; or (iii) bars the undersigned from being associated with any entity or from participating in the offering of any penny stock; and</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suspended or expelled from membership in, or suspended or barred from association with a member of, a securities self-regulatory organization (e.g., a registered national securities exchange or a registered national or affiliated securities association) for any act or omission to act constituting conduct inconsistent with just and equitable principles of trade.</w:t>
      </w:r>
    </w:p>
    <w:p>
      <w:pPr>
        <w:spacing w:after="0" w:line="176" w:lineRule="exact"/>
        <w:rPr>
          <w:sz w:val="20"/>
          <w:szCs w:val="20"/>
          <w:color w:val="auto"/>
        </w:rPr>
      </w:pPr>
    </w:p>
    <w:p>
      <w:pPr>
        <w:ind w:firstLine="1304"/>
        <w:spacing w:after="0" w:line="282" w:lineRule="auto"/>
        <w:tabs>
          <w:tab w:leader="none" w:pos="1549"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full right and power, without violating any agreement by which he, she or it is bound, to enter into this letter agreement and to serve as a director or officer of the Company, as applicable.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47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waives his, her or its right to exercise conversion rights with respect to any shares of Common Stock owned or to be owned by the undersigned, directly or indirectly, whether purchased by the undersigned prior to the IPO, in the IPO or in the aftermarket, and agrees that he, she or it will not seek conversion with respect to or otherwise sell, such shares in connection with any vote to approve a Business Combination with respect thereto, a vote to amend the provisions of the Company’s Amended and Restated Certificate of Incorporation, or a tender offer by the Company prior to a Business Combination.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0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agrees to not propose, or vote in favor of, an amendment to the Company’s Amended and Restated Certificate of Incorporation with respect to stockholder’s rights or the Company’s pre-Business Combination activities (including the substance or timing within which we have to complete a business combination) of a Business Combination unless the Company offers holders of IPO Shares the right to receive their pro rata portion of the funds then held in the Trust Fund upon approval of any amendment.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Section 5-1401 of the General Obligations Law of the State of New York, this letter agreement shall be governed by, and construed in accordance with, the laws of the State of New York without regard to principles of conflicts of law that would result in the application of the substantive law of another jurisdiction. The parties hereto agree that any action, proceeding or claim arising out of or relating in any way to this letter agreement shall be resolved through final and binding arbitration in accordance with the International Arbitration Rules of the American Arbitration Association (“</w:t>
      </w:r>
      <w:r>
        <w:rPr>
          <w:rFonts w:ascii="Times New Roman" w:cs="Times New Roman" w:eastAsia="Times New Roman" w:hAnsi="Times New Roman"/>
          <w:sz w:val="18"/>
          <w:szCs w:val="18"/>
          <w:b w:val="1"/>
          <w:bCs w:val="1"/>
          <w:i w:val="1"/>
          <w:iCs w:val="1"/>
          <w:color w:val="auto"/>
        </w:rPr>
        <w:t>AAA</w:t>
      </w:r>
      <w:r>
        <w:rPr>
          <w:rFonts w:ascii="Times New Roman" w:cs="Times New Roman" w:eastAsia="Times New Roman" w:hAnsi="Times New Roman"/>
          <w:sz w:val="18"/>
          <w:szCs w:val="18"/>
          <w:color w:val="auto"/>
        </w:rPr>
        <w:t>”). The arbitration shall be brought before the AAA International Center for Dispute Resolution’s offices in New York City, New York, will be conducted in English and will be decided by a panel of three arbitrators selected from the AAA Commercial Disputes Panel and that the arbitrator panel’s decision shall be final and enforceable by any court having jurisdiction over the party from whom enforcement is sought. The cost of such arbitrators and arbitration services, together with the prevailing party’s legal fees and expenses, shall be borne by the non-prevailing party or as otherwise directed by the arbitrators.</w:t>
      </w:r>
    </w:p>
    <w:p>
      <w:pPr>
        <w:spacing w:after="0" w:line="18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2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(i)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shall mean a merger, share exchange, asset acquisition, stock purchase, recapitalization, reorganization or other similar business combination with one or more businesses or entities; (ii) “</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 shall mean all officers, directors and stockholders of the Company immediately prior to the IPO; (iii) “</w:t>
      </w:r>
      <w:r>
        <w:rPr>
          <w:rFonts w:ascii="Times New Roman" w:cs="Times New Roman" w:eastAsia="Times New Roman" w:hAnsi="Times New Roman"/>
          <w:sz w:val="18"/>
          <w:szCs w:val="18"/>
          <w:b w:val="1"/>
          <w:bCs w:val="1"/>
          <w:i w:val="1"/>
          <w:iCs w:val="1"/>
          <w:color w:val="auto"/>
        </w:rPr>
        <w:t>Insider Shares</w:t>
      </w:r>
      <w:r>
        <w:rPr>
          <w:rFonts w:ascii="Times New Roman" w:cs="Times New Roman" w:eastAsia="Times New Roman" w:hAnsi="Times New Roman"/>
          <w:sz w:val="18"/>
          <w:szCs w:val="18"/>
          <w:color w:val="auto"/>
        </w:rPr>
        <w:t>” shall mean all of the shares of Common Stock of the Company acquired by an Insider prior to the IPO and the purchase of the Private Warrants; (iv) “</w:t>
      </w:r>
      <w:r>
        <w:rPr>
          <w:rFonts w:ascii="Times New Roman" w:cs="Times New Roman" w:eastAsia="Times New Roman" w:hAnsi="Times New Roman"/>
          <w:sz w:val="18"/>
          <w:szCs w:val="18"/>
          <w:b w:val="1"/>
          <w:bCs w:val="1"/>
          <w:i w:val="1"/>
          <w:iCs w:val="1"/>
          <w:color w:val="auto"/>
        </w:rPr>
        <w:t>IPO Shares</w:t>
      </w:r>
      <w:r>
        <w:rPr>
          <w:rFonts w:ascii="Times New Roman" w:cs="Times New Roman" w:eastAsia="Times New Roman" w:hAnsi="Times New Roman"/>
          <w:sz w:val="18"/>
          <w:szCs w:val="18"/>
          <w:color w:val="auto"/>
        </w:rPr>
        <w:t>” shall mean the shares of Common Stock issued in the Company’s IPO; (v) “</w:t>
      </w:r>
      <w:r>
        <w:rPr>
          <w:rFonts w:ascii="Times New Roman" w:cs="Times New Roman" w:eastAsia="Times New Roman" w:hAnsi="Times New Roman"/>
          <w:sz w:val="18"/>
          <w:szCs w:val="18"/>
          <w:b w:val="1"/>
          <w:bCs w:val="1"/>
          <w:i w:val="1"/>
          <w:iCs w:val="1"/>
          <w:color w:val="auto"/>
        </w:rPr>
        <w:t>Private Warrants</w:t>
      </w:r>
      <w:r>
        <w:rPr>
          <w:rFonts w:ascii="Times New Roman" w:cs="Times New Roman" w:eastAsia="Times New Roman" w:hAnsi="Times New Roman"/>
          <w:sz w:val="18"/>
          <w:szCs w:val="18"/>
          <w:color w:val="auto"/>
        </w:rPr>
        <w:t>” shall mean the warrants purchased in the private placement taking place simultaneously with the consummation of the Company’s IPO; (vi)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the registration statement on Form S-1 filed by the Company with respect to the IPO; and (vii) “</w:t>
      </w:r>
      <w:r>
        <w:rPr>
          <w:rFonts w:ascii="Times New Roman" w:cs="Times New Roman" w:eastAsia="Times New Roman" w:hAnsi="Times New Roman"/>
          <w:sz w:val="18"/>
          <w:szCs w:val="18"/>
          <w:b w:val="1"/>
          <w:bCs w:val="1"/>
          <w:i w:val="1"/>
          <w:iCs w:val="1"/>
          <w:color w:val="auto"/>
        </w:rPr>
        <w:t>Trust Fund</w:t>
      </w:r>
      <w:r>
        <w:rPr>
          <w:rFonts w:ascii="Times New Roman" w:cs="Times New Roman" w:eastAsia="Times New Roman" w:hAnsi="Times New Roman"/>
          <w:sz w:val="18"/>
          <w:szCs w:val="18"/>
          <w:color w:val="auto"/>
        </w:rPr>
        <w:t>” shall mean the trust fund into which a portion of the net proceeds of the Company’s IPO will be deposited.</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6" w:name="page117"/>
    <w:bookmarkEnd w:id="116"/>
    <w:p>
      <w:pPr>
        <w:jc w:val="both"/>
        <w:ind w:firstLine="1304"/>
        <w:spacing w:after="0" w:line="266" w:lineRule="auto"/>
        <w:tabs>
          <w:tab w:leader="none" w:pos="157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Representative: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Jonas Grossman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(646) 465-9002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Greenberg Traurig,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1750 Tysons Boulevard, Suite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 22102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Alan Annex; Jason Simon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annexa@gtlaw.com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simonj@gtlaw.com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(212) 801-6400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Edward Scheetz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Mitchell S. Nussbaum and Giovanni Caruso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(212) 504-3013</w:t>
      </w:r>
    </w:p>
    <w:p>
      <w:pPr>
        <w:spacing w:after="0" w:line="207" w:lineRule="exact"/>
        <w:rPr>
          <w:sz w:val="20"/>
          <w:szCs w:val="20"/>
          <w:color w:val="auto"/>
        </w:rPr>
      </w:pPr>
    </w:p>
    <w:p>
      <w:pPr>
        <w:jc w:val="both"/>
        <w:ind w:firstLine="1304"/>
        <w:spacing w:after="0" w:line="266" w:lineRule="auto"/>
        <w:tabs>
          <w:tab w:leader="none" w:pos="1566"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hereto may assign either this letter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letter agreement shall be binding on the parties hereto and any successors and assigns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2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understands that the Underwriters and the Company will rely upon the agreements, representations and warranties set forth herein in proceeding with the IPO. Nothing contained herein shall be deemed to render the Underwriters a representative of, or a fiduciary with respect to, the Company, its stockholders or any creditor or vendor of the company with respect to the subject matter hereof.</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ind w:left="56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 Prasad Phatak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24765</wp:posOffset>
            </wp:positionV>
            <wp:extent cx="284607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Prasad Phatak</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Insider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18" w:name="page119"/>
    <w:bookmarkEnd w:id="118"/>
    <w:p>
      <w:pPr>
        <w:ind w:left="9820"/>
        <w:spacing w:after="0"/>
        <w:rPr>
          <w:sz w:val="20"/>
          <w:szCs w:val="20"/>
          <w:color w:val="auto"/>
        </w:rPr>
      </w:pPr>
      <w:r>
        <w:rPr>
          <w:rFonts w:ascii="Times New Roman" w:cs="Times New Roman" w:eastAsia="Times New Roman" w:hAnsi="Times New Roman"/>
          <w:sz w:val="18"/>
          <w:szCs w:val="18"/>
          <w:color w:val="auto"/>
        </w:rPr>
        <w:t>December 23,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This letter is being delivered to you in accordance with the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entered into by and between Ventoux CCM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Chardan Capital Markets, LLC, as representative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of the Underwriters named in Schedule A thereto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relating to an underwritten initial public offering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of the Company’s units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each comprised of one share of Common Stock of the Company,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one right to receive one-twentieth of one share of Common Stock, and one warrant, with each warrant being exercisable to purchase one-half of one share of Common Stock at a price of $11.50 per full share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Certain capitalized terms used herein are defined in paragraph 12 hereof.</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 order to induce the Company and the Underwriters to enter into the Underwriting Agreement and to proceed with the IPO, and in recognition of the benefit that such IPO will confer upon the undersigned as a stockholder of the Company, and for other good and valuable consideration, the receipt and sufficiency of which are hereby acknowledged, the undersigned hereby agrees with the Company as follows:</w:t>
      </w:r>
    </w:p>
    <w:p>
      <w:pPr>
        <w:spacing w:after="0" w:line="176" w:lineRule="exact"/>
        <w:rPr>
          <w:sz w:val="20"/>
          <w:szCs w:val="20"/>
          <w:color w:val="auto"/>
        </w:rPr>
      </w:pPr>
    </w:p>
    <w:p>
      <w:pPr>
        <w:ind w:firstLine="1304"/>
        <w:spacing w:after="0" w:line="282" w:lineRule="auto"/>
        <w:tabs>
          <w:tab w:leader="none" w:pos="147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solicits approval of its shareholders of a Business Combination, the undersigned will vote all shares of Common Stock beneficially owned by him, her or it, whether acquired before, in or after the IPO, in favor of such Business Combination.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0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event that the Company fails to consummate a Business Combination within 15 months (or in the event the Company extended the time to complete a Business Combination up to 18 months) from the closing of the Company’s IPO, the undersigned shall take all reasonable steps to (i) cause the Trust Fund to be liquidated and distributed to the holders of IPO Shares and (ii) cause the Company to liquidate as promptly as reasonably possible but not more than five business days after the date we are required to consummate a Business Combination.</w:t>
      </w:r>
    </w:p>
    <w:p>
      <w:pPr>
        <w:spacing w:after="0" w:line="179" w:lineRule="exact"/>
        <w:rPr>
          <w:rFonts w:ascii="Times New Roman" w:cs="Times New Roman" w:eastAsia="Times New Roman" w:hAnsi="Times New Roman"/>
          <w:sz w:val="18"/>
          <w:szCs w:val="18"/>
          <w:color w:val="auto"/>
        </w:rPr>
      </w:pPr>
    </w:p>
    <w:p>
      <w:pPr>
        <w:jc w:val="both"/>
        <w:ind w:firstLine="1693"/>
        <w:spacing w:after="0" w:line="258" w:lineRule="auto"/>
        <w:tabs>
          <w:tab w:leader="none" w:pos="195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waives any and all right, title, interest or claim of any kind in or to any distribution of the Trust Fund and any remaining net assets of the Company as a result of such liquidation with respect to any shares he, she or it owns, including his, her or its Insider Shares, IPO Shares and Private Warrants purchased during or after the offering, if any,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and hereby waives any Claim the undersigned may have in the future as a result of, or arising out of, any contracts or agreements with the Company and will not seek recourse against the Trust Fund for any reason whatsoever.</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48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will place into escrow all of his, her or its Insider Shares pursuant to the terms of a Stock Escrow Agreement which the Company will enter into with the undersigned and an escrow agent acceptable to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3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minimize potential conflicts of interest which may arise from multiple affiliations, the undersigned agrees to present to the Company for its consideration, prior to presentation to any other person or entity, any suitable opportunity to acquire a target business, until the earlier of the consummation by the Company of a Business Combination or the liquidation of the Company, subject to any pre-existing fiduciary and contractual obligations the undersigned might have.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firstLine="1304"/>
        <w:spacing w:after="0" w:line="258" w:lineRule="auto"/>
        <w:tabs>
          <w:tab w:leader="none" w:pos="148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agrees that prior to entering into a Business Combination with a target business that is affiliated with any Insiders of the Company or their affiliates, including any company that is a portfolio company of, or otherwise affiliated with, or has received financial investment from, an entity with which any Insider or their affiliates is affiliated, such transaction must be approved by a majority of the Company’s disinterested independent directors and the Company must obtain an opinion from an independent investment banking firm that such Business Combination is fair to the Company’s unaffiliated stockholders from a financial point of view.</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8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undersigned, any member of the family of the undersigned, nor any affiliate of the undersigned will be entitled to receive or accept a finder’s fee or any other compensation in the event the undersigned, any member of the family of the undersigned or any affiliate of the undersigned originates a Business Combination.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473"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agrees to be a director or officer of the Company, as applicable, until the earlier of the consummation by the Company of a Business Combination or the liquidation of the Company. The undersigned’s biographical information previously furnished to the Company and the Representative is true and accurate in all material respects, does not omit any material information with respect to the undersigned’s biography and contains all of the information required to be disclosed pursuant to Item 401 of Regulation S-K, promulgated under the Securities Act of 1933. The undersigned’s FINRA Questionnaire and Director and Officer Questionnaire previously furnished to the Company and the Representative is true and accurate in all material respects. The undersigned represents and warrants that, except as disclosed in the undersigned’s Director and Officer Questionnaire:</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had a petition under the federal bankruptcy laws or any state insolvency law been filed by or against (i) him/her/it or any partnership in which he/she/it was a general partner at or within two years before the time of filing; or (ii) any corporation or business association of which he/she/it was an executive officer at or within two years before the time of such filing;</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had a receiver, fiscal agent or similar officer been appointed by a court for his/her/its business or property, or any such partnership;</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of fraud in a civil or criminal proceeding;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in a criminal proceeding or named the subject of a pending criminal proceeding (excluding traffic violations and minor offenses);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any order, judgment or decree, not subsequently reversed, suspended or vacated, of any court of competent jurisdiction, permanently or temporarily enjoining or otherwise limiting him/her/it from (i) acting as a futures commission merchant, introducing broker, commodity trading advisor, commodity pool operator, floor broker, leverage transaction merchant, any other person regulated by the Commodity Futures Trading Commission (“</w:t>
      </w:r>
      <w:r>
        <w:rPr>
          <w:rFonts w:ascii="Times New Roman" w:cs="Times New Roman" w:eastAsia="Times New Roman" w:hAnsi="Times New Roman"/>
          <w:sz w:val="18"/>
          <w:szCs w:val="18"/>
          <w:b w:val="1"/>
          <w:bCs w:val="1"/>
          <w:i w:val="1"/>
          <w:iCs w:val="1"/>
          <w:color w:val="auto"/>
        </w:rPr>
        <w:t>CFTC</w:t>
      </w:r>
      <w:r>
        <w:rPr>
          <w:rFonts w:ascii="Times New Roman" w:cs="Times New Roman" w:eastAsia="Times New Roman" w:hAnsi="Times New Roman"/>
          <w:sz w:val="18"/>
          <w:szCs w:val="18"/>
          <w:color w:val="auto"/>
        </w:rPr>
        <w:t>”) or an associated person of any of the foregoing, or as an investment adviser, underwriter, broker or dealer in securities, or as an affiliated person, director or employee of any investment company, bank, savings and loan association or insurance company, or from engaging in or continuing any conduct or practice in connection with any such activity; or (ii) engaging in any type of business practice; or (iii) engaging in any activity in connection with the purchase or sale of any security or commodity or in connection with any violation of federal or state securities or federal commodities laws;</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any order, judgment or decree, not subsequently reversed, suspended or vacated, of any federal or state authority barring, suspending or otherwise limiting for more than 60 days his/her/its right to engage in any activity described in 7(e)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above, or to be associated with persons engaged in any such activity;</w:t>
      </w:r>
    </w:p>
    <w:p>
      <w:pPr>
        <w:spacing w:after="0" w:line="20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found by a court of competent jurisdiction in a civil action or by the SEC to have violated any federal or state securities law, where the judgment in such civil action or finding by the SEC has not been subsequently reversed, suspended or vacated;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left="644" w:hanging="644"/>
        <w:spacing w:after="0" w:line="266" w:lineRule="auto"/>
        <w:tabs>
          <w:tab w:leader="none" w:pos="6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found by a court of competent jurisdiction in a civil action or by the CFTC to have violated any federal commodities law, where the judgment in such civil action or finding by the CFTC has not been subsequently reversed, suspended or vacated;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or a party to, any Federal or State judicial or administrative order, judgment, decree or finding, not subsequently reversed, suspended or vacated, relating to an alleged violation of (i) any Federal or State securities or commodities law or regulation, (ii) any law or regulation respecting financial institutions or insurance companies including, but not limited to, a temporary or permanent injunction, order of disgorgement or restitution, civil money penalty or temporary or permanent cease-and desist order, or removal or prohibition order or (iii) any law or regulation prohibiting mail or wire fraud or fraud in connection with any business entity;</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or party to, any sanction or order, not subsequently reversed, suspended or vacated, or any self-regulatory organization, any registered entity, or any equivalent exchange, association, entity or organization that has disciplinary authority over its members or persons associated with a member;</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of any felony or misdemeanor: (i) in connection with the purchase or sale of any security; (ii) involving the making of any false filing with the SEC; or (iii) arising out of the conduct of the business of an underwriter, broker, dealer, municipal securities dealer, investment advisor or paid solicitor of purchasers of securities;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was never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is based on a violation of any law or regulation that prohibits fraudulent, manipulative, or deceptive conduct;</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any order, judgment or decree of any court of competent jurisdiction, that, at the time of such sale, restrained or enjoined him/her/it from engaging or continuing to engage in any conduct or practice: (i) in connection with the purchase or sale of any security; (ii) involving the making of any false filing with the SEC; or (iii) arising out of the conduct of the business of an underwriter, broker, dealer, municipal securities dealer, investment adviser or paid solicitor of purchasers of securities;</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any order of the SEC that orders him/her/it to cease and desist from committing or causing a future violation of: (i) any scienter-based anti-fraud provision of the federal securities laws, including, but not limited to, Section 17(a)(1) of the Securities Act, Section 10(b) of the Exchange Act and Rule 10b-5 thereunder, and Section 206(1) of the Advisers Act or any other rule or regulation thereunder; or (ii) Section 5 of the Securities Act;</w:t>
      </w:r>
    </w:p>
    <w:p>
      <w:pPr>
        <w:spacing w:after="0" w:line="179" w:lineRule="exact"/>
        <w:rPr>
          <w:rFonts w:ascii="Times New Roman" w:cs="Times New Roman" w:eastAsia="Times New Roman" w:hAnsi="Times New Roman"/>
          <w:sz w:val="18"/>
          <w:szCs w:val="18"/>
          <w:color w:val="auto"/>
        </w:rPr>
      </w:pPr>
    </w:p>
    <w:p>
      <w:pPr>
        <w:jc w:val="both"/>
        <w:ind w:left="644" w:right="20" w:hanging="644"/>
        <w:spacing w:after="0" w:line="266" w:lineRule="auto"/>
        <w:tabs>
          <w:tab w:leader="none" w:pos="6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named as an underwriter in any registration statement or Regulation A offering statement filed with the SEC that was the subject of a refusal order, stop order, or order suspending the Regulation A exemption, or is, currently, the subject of an investigation or proceeding to determine whether a stop order or suspension order should be issued;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 United States Postal Service false representation order, or is currently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38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21" w:name="page122"/>
    <w:bookmarkEnd w:id="121"/>
    <w:p>
      <w:pPr>
        <w:jc w:val="both"/>
        <w:ind w:left="1300" w:hanging="644"/>
        <w:spacing w:after="0" w:line="258"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is not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bars the undersigned from: (i) association with an entity regulated by such commission, authority, agency or officer; (ii) engaging in the business of securities, insurance or banking; or (iii) engaging in savings association or credit union activities;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is not subject to an order of the SEC entered pursuant to section 15(b) or 15B(c) of the Securities Exchange Act of 1934 (the “Exchange Act”) or section 203(e) or 203(f) of the Investment Advisers Act of 1940 (the “Advisers Act”) that: (i) suspends or revokes the undersigned’s registration as a broker, dealer, municipal securities dealer or investment adviser; (ii) places limitations on the activities, functions or operations of, or imposes civil money penalties on, such person; or (iii) bars the undersigned from being associated with any entity or from participating in the offering of any penny stock; and</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suspended or expelled from membership in, or suspended or barred from association with a member of, a securities self-regulatory organization (e.g., a registered national securities exchange or a registered national or affiliated securities association) for any act or omission to act constituting conduct inconsistent with just and equitable principles of trade.</w:t>
      </w:r>
    </w:p>
    <w:p>
      <w:pPr>
        <w:spacing w:after="0" w:line="176" w:lineRule="exact"/>
        <w:rPr>
          <w:sz w:val="20"/>
          <w:szCs w:val="20"/>
          <w:color w:val="auto"/>
        </w:rPr>
      </w:pPr>
    </w:p>
    <w:p>
      <w:pPr>
        <w:ind w:firstLine="1304"/>
        <w:spacing w:after="0" w:line="282" w:lineRule="auto"/>
        <w:tabs>
          <w:tab w:leader="none" w:pos="149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full right and power, without violating any agreement by which he, she or it is bound, to enter into this letter agreement and to serve as a director or officer of the Company, as applicable.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47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waives his, her or its right to exercise conversion rights with respect to any shares of Common Stock owned or to be owned by the undersigned, directly or indirectly, whether purchased by the undersigned prior to the IPO, in the IPO or in the aftermarket, and agrees that he, she or it will not seek conversion with respect to or otherwise sell, such shares in connection with any vote to approve a Business Combination with respect thereto, a vote to amend the provisions of the Company’s Amended and Restated Certificate of Incorporation, or a tender offer by the Company prior to a Business Combination.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0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agrees to not propose, or vote in favor of, an amendment to the Company’s Amended and Restated Certificate of Incorporation with respect to stockholder’s rights or the Company’s pre-Business Combination activities (including the substance or timing within which we have to complete a business combination) of a Business Combination unless the Company offers holders of IPO Shares the right to receive their pro rata portion of the funds then held in the Trust Fund upon approval of any amendment.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Section 5-1401 of the General Obligations Law of the State of New York, this letter agreement shall be governed by, and construed in accordance with, the laws of the State of New York without regard to principles of conflicts of law that would result in the application of the substantive law of another jurisdiction. The parties hereto agree that any action, proceeding or claim arising out of or relating in any way to this letter agreement shall be resolved through final and binding arbitration in accordance with the International Arbitration Rules of the American Arbitration Association (“</w:t>
      </w:r>
      <w:r>
        <w:rPr>
          <w:rFonts w:ascii="Times New Roman" w:cs="Times New Roman" w:eastAsia="Times New Roman" w:hAnsi="Times New Roman"/>
          <w:sz w:val="18"/>
          <w:szCs w:val="18"/>
          <w:b w:val="1"/>
          <w:bCs w:val="1"/>
          <w:i w:val="1"/>
          <w:iCs w:val="1"/>
          <w:color w:val="auto"/>
        </w:rPr>
        <w:t>AAA</w:t>
      </w:r>
      <w:r>
        <w:rPr>
          <w:rFonts w:ascii="Times New Roman" w:cs="Times New Roman" w:eastAsia="Times New Roman" w:hAnsi="Times New Roman"/>
          <w:sz w:val="18"/>
          <w:szCs w:val="18"/>
          <w:color w:val="auto"/>
        </w:rPr>
        <w:t>”). The arbitration shall be brought before the AAA International Center for Dispute Resolution’s offices in New York City, New York, will be conducted in English and will be decided by a panel of three arbitrators selected from the AAA Commercial Disputes Panel and that the arbitrator panel’s decision shall be final and enforceable by any court having jurisdiction over the party from whom enforcement is sought. The cost of such arbitrators and arbitration services, together with the prevailing party’s legal fees and expenses, shall be borne by the non-prevailing party or as otherwise directed by the arbitrators.</w:t>
      </w:r>
    </w:p>
    <w:p>
      <w:pPr>
        <w:spacing w:after="0" w:line="18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3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(i)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shall mean a merger, share exchange, asset acquisition, stock purchase, recapitalization, reorganization or other similar business combination with one or more businesses or entities; (ii) “</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 shall mean all officers, directors and stockholders of the Company immediately prior to the IPO; (iii) “</w:t>
      </w:r>
      <w:r>
        <w:rPr>
          <w:rFonts w:ascii="Times New Roman" w:cs="Times New Roman" w:eastAsia="Times New Roman" w:hAnsi="Times New Roman"/>
          <w:sz w:val="18"/>
          <w:szCs w:val="18"/>
          <w:b w:val="1"/>
          <w:bCs w:val="1"/>
          <w:i w:val="1"/>
          <w:iCs w:val="1"/>
          <w:color w:val="auto"/>
        </w:rPr>
        <w:t>Insider Shares</w:t>
      </w:r>
      <w:r>
        <w:rPr>
          <w:rFonts w:ascii="Times New Roman" w:cs="Times New Roman" w:eastAsia="Times New Roman" w:hAnsi="Times New Roman"/>
          <w:sz w:val="18"/>
          <w:szCs w:val="18"/>
          <w:color w:val="auto"/>
        </w:rPr>
        <w:t>” shall mean all of the shares of Common Stock of the Company acquired by an Insider prior to the IPO and the purchase of the Private Warrants; (iv) “</w:t>
      </w:r>
      <w:r>
        <w:rPr>
          <w:rFonts w:ascii="Times New Roman" w:cs="Times New Roman" w:eastAsia="Times New Roman" w:hAnsi="Times New Roman"/>
          <w:sz w:val="18"/>
          <w:szCs w:val="18"/>
          <w:b w:val="1"/>
          <w:bCs w:val="1"/>
          <w:i w:val="1"/>
          <w:iCs w:val="1"/>
          <w:color w:val="auto"/>
        </w:rPr>
        <w:t>IPO Shares</w:t>
      </w:r>
      <w:r>
        <w:rPr>
          <w:rFonts w:ascii="Times New Roman" w:cs="Times New Roman" w:eastAsia="Times New Roman" w:hAnsi="Times New Roman"/>
          <w:sz w:val="18"/>
          <w:szCs w:val="18"/>
          <w:color w:val="auto"/>
        </w:rPr>
        <w:t>” shall mean the shares of Common Stock issued in the Company’s IPO; (v) “</w:t>
      </w:r>
      <w:r>
        <w:rPr>
          <w:rFonts w:ascii="Times New Roman" w:cs="Times New Roman" w:eastAsia="Times New Roman" w:hAnsi="Times New Roman"/>
          <w:sz w:val="18"/>
          <w:szCs w:val="18"/>
          <w:b w:val="1"/>
          <w:bCs w:val="1"/>
          <w:i w:val="1"/>
          <w:iCs w:val="1"/>
          <w:color w:val="auto"/>
        </w:rPr>
        <w:t>Private Warrants</w:t>
      </w:r>
      <w:r>
        <w:rPr>
          <w:rFonts w:ascii="Times New Roman" w:cs="Times New Roman" w:eastAsia="Times New Roman" w:hAnsi="Times New Roman"/>
          <w:sz w:val="18"/>
          <w:szCs w:val="18"/>
          <w:color w:val="auto"/>
        </w:rPr>
        <w:t>” shall mean the warrants purchased in the private placement taking place simultaneously with the consummation of the Company’s IPO; (vi)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the registration statement on Form S-1 filed by the Company with respect to the IPO; and (vii) “</w:t>
      </w:r>
      <w:r>
        <w:rPr>
          <w:rFonts w:ascii="Times New Roman" w:cs="Times New Roman" w:eastAsia="Times New Roman" w:hAnsi="Times New Roman"/>
          <w:sz w:val="18"/>
          <w:szCs w:val="18"/>
          <w:b w:val="1"/>
          <w:bCs w:val="1"/>
          <w:i w:val="1"/>
          <w:iCs w:val="1"/>
          <w:color w:val="auto"/>
        </w:rPr>
        <w:t>Trust Fund</w:t>
      </w:r>
      <w:r>
        <w:rPr>
          <w:rFonts w:ascii="Times New Roman" w:cs="Times New Roman" w:eastAsia="Times New Roman" w:hAnsi="Times New Roman"/>
          <w:sz w:val="18"/>
          <w:szCs w:val="18"/>
          <w:color w:val="auto"/>
        </w:rPr>
        <w:t>” shall mean the trust fund into which a portion of the net proceeds of the Company’s IPO will be deposited.</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jc w:val="both"/>
        <w:ind w:right="20" w:firstLine="1304"/>
        <w:spacing w:after="0" w:line="266" w:lineRule="auto"/>
        <w:tabs>
          <w:tab w:leader="none" w:pos="158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Representative: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Jonas Grossman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(646) 465-9002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Greenberg Traurig,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1750 Tysons Boulevard, Suite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 22102</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Attn:</w:t>
        <w:tab/>
        <w:t>Alan Annex; Jason Simon</w:t>
      </w:r>
    </w:p>
    <w:p>
      <w:pPr>
        <w:spacing w:after="0" w:line="9" w:lineRule="exact"/>
        <w:rPr>
          <w:sz w:val="20"/>
          <w:szCs w:val="20"/>
          <w:color w:val="auto"/>
        </w:rPr>
      </w:pPr>
    </w:p>
    <w:p>
      <w:pPr>
        <w:jc w:val="right"/>
        <w:ind w:right="9160"/>
        <w:spacing w:after="0"/>
        <w:tabs>
          <w:tab w:leader="none" w:pos="105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annexa@gtlaw.com</w:t>
      </w:r>
    </w:p>
    <w:p>
      <w:pPr>
        <w:spacing w:after="0" w:line="9" w:lineRule="exact"/>
        <w:rPr>
          <w:sz w:val="20"/>
          <w:szCs w:val="20"/>
          <w:color w:val="auto"/>
        </w:rPr>
      </w:pPr>
    </w:p>
    <w:p>
      <w:pPr>
        <w:jc w:val="right"/>
        <w:ind w:right="9180"/>
        <w:spacing w:after="0"/>
        <w:rPr>
          <w:sz w:val="20"/>
          <w:szCs w:val="20"/>
          <w:color w:val="auto"/>
        </w:rPr>
      </w:pPr>
      <w:r>
        <w:rPr>
          <w:rFonts w:ascii="Times New Roman" w:cs="Times New Roman" w:eastAsia="Times New Roman" w:hAnsi="Times New Roman"/>
          <w:sz w:val="18"/>
          <w:szCs w:val="18"/>
          <w:color w:val="auto"/>
        </w:rPr>
        <w:t>simonj@gtlaw.com</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Fax:</w:t>
      </w:r>
      <w:r>
        <w:rPr>
          <w:sz w:val="20"/>
          <w:szCs w:val="20"/>
          <w:color w:val="auto"/>
        </w:rPr>
        <w:tab/>
      </w:r>
      <w:r>
        <w:rPr>
          <w:rFonts w:ascii="Times New Roman" w:cs="Times New Roman" w:eastAsia="Times New Roman" w:hAnsi="Times New Roman"/>
          <w:sz w:val="18"/>
          <w:szCs w:val="18"/>
          <w:color w:val="auto"/>
        </w:rPr>
        <w:t>(212) 801-6400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Attn:</w:t>
        <w:tab/>
        <w:t>Edward Scheetz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Attn:</w:t>
        <w:tab/>
        <w:t>Mitchell S. Nussbaum and Giovanni Caruso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Facsimile:(212) 504-3013</w:t>
      </w:r>
    </w:p>
    <w:p>
      <w:pPr>
        <w:spacing w:after="0" w:line="207" w:lineRule="exact"/>
        <w:rPr>
          <w:sz w:val="20"/>
          <w:szCs w:val="20"/>
          <w:color w:val="auto"/>
        </w:rPr>
      </w:pPr>
    </w:p>
    <w:p>
      <w:pPr>
        <w:jc w:val="both"/>
        <w:ind w:firstLine="1304"/>
        <w:spacing w:after="0" w:line="266" w:lineRule="auto"/>
        <w:tabs>
          <w:tab w:leader="none" w:pos="156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hereto may assign either this letter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letter agreement shall be binding on the parties hereto and any successors and assigns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33"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understands that the Underwriters and the Company will rely upon the agreements, representations and warranties set forth herein in proceeding with the IPO. Nothing contained herein shall be deemed to render the Underwriters a representative of, or a fiduciary with respect to, the Company, its stockholders or any creditor or vendor of the company with respect to the subject matter hereof.</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ind w:left="56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24765</wp:posOffset>
            </wp:positionV>
            <wp:extent cx="284607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Edward Scheetz</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Insider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24" w:name="page125"/>
    <w:bookmarkEnd w:id="124"/>
    <w:p>
      <w:pPr>
        <w:ind w:left="9820"/>
        <w:spacing w:after="0"/>
        <w:rPr>
          <w:sz w:val="20"/>
          <w:szCs w:val="20"/>
          <w:color w:val="auto"/>
        </w:rPr>
      </w:pPr>
      <w:r>
        <w:rPr>
          <w:rFonts w:ascii="Times New Roman" w:cs="Times New Roman" w:eastAsia="Times New Roman" w:hAnsi="Times New Roman"/>
          <w:sz w:val="18"/>
          <w:szCs w:val="18"/>
          <w:color w:val="auto"/>
        </w:rPr>
        <w:t>December 23,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This letter is being delivered to you in accordance with the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entered into by and between Ventoux CCM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Chardan Capital Markets, LLC, as representative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of the Underwriters named in Schedule A thereto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relating to an underwritten initial public offering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of the Company’s units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each comprised of one share of Common Stock of the Company,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one right to receive one-twentieth of one share of Common Stock, and one warrant, with each warrant being exercisable to purchase one-half of one share of Common Stock at a price of $11.50 per full share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Certain capitalized terms used herein are defined in paragraph 12 hereof.</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 order to induce the Company and the Underwriters to enter into the Underwriting Agreement and to proceed with the IPO, and in recognition of the benefit that such IPO will confer upon the undersigned as a stockholder of the Company, and for other good and valuable consideration, the receipt and sufficiency of which are hereby acknowledged, the undersigned hereby agrees with the Company as follows:</w:t>
      </w:r>
    </w:p>
    <w:p>
      <w:pPr>
        <w:spacing w:after="0" w:line="176" w:lineRule="exact"/>
        <w:rPr>
          <w:sz w:val="20"/>
          <w:szCs w:val="20"/>
          <w:color w:val="auto"/>
        </w:rPr>
      </w:pPr>
    </w:p>
    <w:p>
      <w:pPr>
        <w:ind w:firstLine="1304"/>
        <w:spacing w:after="0" w:line="282" w:lineRule="auto"/>
        <w:tabs>
          <w:tab w:leader="none" w:pos="147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solicits approval of its shareholders of a Business Combination, the undersigned will vote all shares of Common Stock beneficially owned by him, her or it, whether acquired before, in or after the IPO, in favor of such Business Combination.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03"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event that the Company fails to consummate a Business Combination within 15 months (or in the event the Company extended the time to complete a Business Combination up to 18 months) from the closing of the Company’s IPO, the undersigned shall take all reasonable steps to (i) cause the Trust Fund to be liquidated and distributed to the holders of IPO Shares and (ii) cause the Company to liquidate as promptly as reasonably possible but not more than five business days after the date we are required to consummate a Business Combination.</w:t>
      </w:r>
    </w:p>
    <w:p>
      <w:pPr>
        <w:spacing w:after="0" w:line="179" w:lineRule="exact"/>
        <w:rPr>
          <w:rFonts w:ascii="Times New Roman" w:cs="Times New Roman" w:eastAsia="Times New Roman" w:hAnsi="Times New Roman"/>
          <w:sz w:val="18"/>
          <w:szCs w:val="18"/>
          <w:color w:val="auto"/>
        </w:rPr>
      </w:pPr>
    </w:p>
    <w:p>
      <w:pPr>
        <w:jc w:val="both"/>
        <w:ind w:firstLine="1485"/>
        <w:spacing w:after="0" w:line="258" w:lineRule="auto"/>
        <w:tabs>
          <w:tab w:leader="none" w:pos="1739"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waives any and all right, title, interest or claim of any kind in or to any distribution of the Trust Fund and any remaining net assets of the Company as a result of such liquidation with respect to any shares he, she or it owns, including his, her or its Insider Shares, IPO Shares and Private Warrants purchased during or after the offering, if any,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and hereby waives any Claim the undersigned may have in the future as a result of, or arising out of, any contracts or agreements with the Company and will not seek recourse against the Trust Fund for any reason whatsoever.</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48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will place into escrow all of his, her or its Insider Shares pursuant to the terms of a Stock Escrow Agreement which the Company will enter into with the undersigned and an escrow agent acceptable to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8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minimize potential conflicts of interest which may arise from multiple affiliations, the undersigned agrees to present to the Company for its consideration, prior to presentation to any other person or entity, any suitable opportunity to acquire a target business, until the earlier of the consummation by the Company of a Business Combination or the liquidation of the Company, subject to any pre-existing fiduciary and contractual obligations the undersigned might have.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5" w:name="page126"/>
    <w:bookmarkEnd w:id="125"/>
    <w:p>
      <w:pPr>
        <w:jc w:val="both"/>
        <w:ind w:firstLine="1304"/>
        <w:spacing w:after="0" w:line="258" w:lineRule="auto"/>
        <w:tabs>
          <w:tab w:leader="none" w:pos="148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agrees that prior to entering into a Business Combination with a target business that is affiliated with any Insiders of the Company or their affiliates, including any company that is a portfolio company of, or otherwise affiliated with, or has received financial investment from, an entity with which any Insider or their affiliates is affiliated, such transaction must be approved by a majority of the Company’s disinterested independent directors and the Company must obtain an opinion from an independent investment banking firm that such Business Combination is fair to the Company’s unaffiliated stockholders from a financial point of view.</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8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undersigned, any member of the family of the undersigned, nor any affiliate of the undersigned will be entitled to receive or accept a finder’s fee or any other compensation in the event the undersigned, any member of the family of the undersigned or any affiliate of the undersigned originates a Business Combination.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473"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agrees to be a director or officer of the Company, as applicable, until the earlier of the consummation by the Company of a Business Combination or the liquidation of the Company. The undersigned’s biographical information previously furnished to the Company and the Representative is true and accurate in all material respects, does not omit any material information with respect to the undersigned’s biography and contains all of the information required to be disclosed pursuant to Item 401 of Regulation S-K, promulgated under the Securities Act of 1933. The undersigned’s FINRA Questionnaire and Director and Officer Questionnaire previously furnished to the Company and the Representative is true and accurate in all material respects. The undersigned represents and warrants that, except as disclosed in the undersigned’s Director and Officer Questionnaire:</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had a petition under the federal bankruptcy laws or any state insolvency law been filed by or against (i) him/her/it or any partnership in which he/she/it was a general partner at or within two years before the time of filing; or (ii) any corporation or business association of which he/she/it was an executive officer at or within two years before the time of such filing;</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had a receiver, fiscal agent or similar officer been appointed by a court for his/her/its business or property, or any such partnership;</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of fraud in a civil or criminal proceeding;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in a criminal proceeding or named the subject of a pending criminal proceeding (excluding traffic violations and minor offenses);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any order, judgment or decree, not subsequently reversed, suspended or vacated, of any court of competent jurisdiction, permanently or temporarily enjoining or otherwise limiting him/her/it from (i) acting as a futures commission merchant, introducing broker, commodity trading advisor, commodity pool operator, floor broker, leverage transaction merchant, any other person regulated by the Commodity Futures Trading Commission (“</w:t>
      </w:r>
      <w:r>
        <w:rPr>
          <w:rFonts w:ascii="Times New Roman" w:cs="Times New Roman" w:eastAsia="Times New Roman" w:hAnsi="Times New Roman"/>
          <w:sz w:val="18"/>
          <w:szCs w:val="18"/>
          <w:b w:val="1"/>
          <w:bCs w:val="1"/>
          <w:i w:val="1"/>
          <w:iCs w:val="1"/>
          <w:color w:val="auto"/>
        </w:rPr>
        <w:t>CFTC</w:t>
      </w:r>
      <w:r>
        <w:rPr>
          <w:rFonts w:ascii="Times New Roman" w:cs="Times New Roman" w:eastAsia="Times New Roman" w:hAnsi="Times New Roman"/>
          <w:sz w:val="18"/>
          <w:szCs w:val="18"/>
          <w:color w:val="auto"/>
        </w:rPr>
        <w:t>”) or an associated person of any of the foregoing, or as an investment adviser, underwriter, broker or dealer in securities, or as an affiliated person, director or employee of any investment company, bank, savings and loan association or insurance company, or from engaging in or continuing any conduct or practice in connection with any such activity; or (ii) engaging in any type of business practice; or (iii) engaging in any activity in connection with the purchase or sale of any security or commodity or in connection with any violation of federal or state securities or federal commodities laws;</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any order, judgment or decree, not subsequently reversed, suspended or vacated, of any federal or state authority barring, suspending or otherwise limiting for more than 60 days his/her/its right to engage in any activity described in 7(e)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above, or to be associated with persons engaged in any such activity;</w:t>
      </w:r>
    </w:p>
    <w:p>
      <w:pPr>
        <w:spacing w:after="0" w:line="20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found by a court of competent jurisdiction in a civil action or by the SEC to have violated any federal or state securities law, where the judgment in such civil action or finding by the SEC has not been subsequently reversed, suspended or vacated;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ind w:left="644" w:hanging="644"/>
        <w:spacing w:after="0" w:line="266" w:lineRule="auto"/>
        <w:tabs>
          <w:tab w:leader="none" w:pos="64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found by a court of competent jurisdiction in a civil action or by the CFTC to have violated any federal commodities law, where the judgment in such civil action or finding by the CFTC has not been subsequently reversed, suspended or vacated;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or a party to, any Federal or State judicial or administrative order, judgment, decree or finding, not subsequently reversed, suspended or vacated, relating to an alleged violation of (i) any Federal or State securities or commodities law or regulation, (ii) any law or regulation respecting financial institutions or insurance companies including, but not limited to, a temporary or permanent injunction, order of disgorgement or restitution, civil money penalty or temporary or permanent cease-and desist order, or removal or prohibition order or (iii) any law or regulation prohibiting mail or wire fraud or fraud in connection with any business entity;</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or party to, any sanction or order, not subsequently reversed, suspended or vacated, or any self-regulatory organization, any registered entity, or any equivalent exchange, association, entity or organization that has disciplinary authority over its members or persons associated with a member;</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of any felony or misdemeanor: (i) in connection with the purchase or sale of any security; (ii) involving the making of any false filing with the SEC; or (iii) arising out of the conduct of the business of an underwriter, broker, dealer, municipal securities dealer, investment advisor or paid solicitor of purchasers of securities;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was never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is based on a violation of any law or regulation that prohibits fraudulent, manipulative, or deceptive conduct;</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any order, judgment or decree of any court of competent jurisdiction, that, at the time of such sale, restrained or enjoined him/her/it from engaging or continuing to engage in any conduct or practice: (i) in connection with the purchase or sale of any security; (ii) involving the making of any false filing with the SEC; or (iii) arising out of the conduct of the business of an underwriter, broker, dealer, municipal securities dealer, investment adviser or paid solicitor of purchasers of securities;</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any order of the SEC that orders him/her/it to cease and desist from committing or causing a future violation of: (i) any scienter-based anti-fraud provision of the federal securities laws, including, but not limited to, Section 17(a)(1) of the Securities Act, Section 10(b) of the Exchange Act and Rule 10b-5 thereunder, and Section 206(1) of the Advisers Act or any other rule or regulation thereunder; or (ii) Section 5 of the Securities Act;</w:t>
      </w:r>
    </w:p>
    <w:p>
      <w:pPr>
        <w:spacing w:after="0" w:line="179" w:lineRule="exact"/>
        <w:rPr>
          <w:rFonts w:ascii="Times New Roman" w:cs="Times New Roman" w:eastAsia="Times New Roman" w:hAnsi="Times New Roman"/>
          <w:sz w:val="18"/>
          <w:szCs w:val="18"/>
          <w:color w:val="auto"/>
        </w:rPr>
      </w:pPr>
    </w:p>
    <w:p>
      <w:pPr>
        <w:jc w:val="both"/>
        <w:ind w:left="644" w:right="20" w:hanging="644"/>
        <w:spacing w:after="0" w:line="266" w:lineRule="auto"/>
        <w:tabs>
          <w:tab w:leader="none" w:pos="64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named as an underwriter in any registration statement or Regulation A offering statement filed with the SEC that was the subject of a refusal order, stop order, or order suspending the Regulation A exemption, or is, currently, the subject of an investigation or proceeding to determine whether a stop order or suspension order should be issued;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 United States Postal Service false representation order, or is currently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38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27" w:name="page128"/>
    <w:bookmarkEnd w:id="127"/>
    <w:p>
      <w:pPr>
        <w:jc w:val="both"/>
        <w:ind w:left="1300" w:hanging="644"/>
        <w:spacing w:after="0" w:line="258" w:lineRule="auto"/>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is not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bars the undersigned from: (i) association with an entity regulated by such commission, authority, agency or officer; (ii) engaging in the business of securities, insurance or banking; or (iii) engaging in savings association or credit union activities;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is not subject to an order of the SEC entered pursuant to section 15(b) or 15B(c) of the Securities Exchange Act of 1934 (the “Exchange Act”) or section 203(e) or 203(f) of the Investment Advisers Act of 1940 (the “Advisers Act”) that: (i) suspends or revokes the undersigned’s registration as a broker, dealer, municipal securities dealer or investment adviser; (ii) places limitations on the activities, functions or operations of, or imposes civil money penalties on, such person; or (iii) bars the undersigned from being associated with any entity or from participating in the offering of any penny stock; and</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suspended or expelled from membership in, or suspended or barred from association with a member of, a securities self-regulatory organization (e.g., a registered national securities exchange or a registered national or affiliated securities association) for any act or omission to act constituting conduct inconsistent with just and equitable principles of trade.</w:t>
      </w:r>
    </w:p>
    <w:p>
      <w:pPr>
        <w:spacing w:after="0" w:line="176" w:lineRule="exact"/>
        <w:rPr>
          <w:sz w:val="20"/>
          <w:szCs w:val="20"/>
          <w:color w:val="auto"/>
        </w:rPr>
      </w:pPr>
    </w:p>
    <w:p>
      <w:pPr>
        <w:ind w:right="20" w:firstLine="1304"/>
        <w:spacing w:after="0" w:line="282" w:lineRule="auto"/>
        <w:tabs>
          <w:tab w:leader="none" w:pos="149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full right and power, without violating any agreement by which he, she or it is bound, to enter into this letter agreement and to serve as a director or officer of the Company, as applicable.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473"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waives his, her or its right to exercise conversion rights with respect to any shares of Common Stock owned or to be owned by the undersigned, directly or indirectly, whether purchased by the undersigned prior to the IPO, in the IPO or in the aftermarket, and agrees that he, she or it will not seek conversion with respect to or otherwise sell, such shares in connection with any vote to approve a Business Combination with respect thereto, a vote to amend the provisions of the Company’s Amended and Restated Certificate of Incorporation, or a tender offer by the Company prior to a Business Combination.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0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agrees to not propose, or vote in favor of, an amendment to the Company’s Amended and Restated Certificate of Incorporation with respect to stockholder’s rights or the Company’s pre-Business Combination activities (including the substance or timing within which we have to complete a business combination) of a Business Combination unless the Company offers holders of IPO Shares the right to receive their pro rata portion of the funds then held in the Trust Fund upon approval of any amendment.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5"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Section 5-1401 of the General Obligations Law of the State of New York, this letter agreement shall be governed by, and construed in accordance with, the laws of the State of New York without regard to principles of conflicts of law that would result in the application of the substantive law of another jurisdiction. The parties hereto agree that any action, proceeding or claim arising out of or relating in any way to this letter agreement shall be resolved through final and binding arbitration in accordance with the International Arbitration Rules of the American Arbitration Association (“</w:t>
      </w:r>
      <w:r>
        <w:rPr>
          <w:rFonts w:ascii="Times New Roman" w:cs="Times New Roman" w:eastAsia="Times New Roman" w:hAnsi="Times New Roman"/>
          <w:sz w:val="18"/>
          <w:szCs w:val="18"/>
          <w:b w:val="1"/>
          <w:bCs w:val="1"/>
          <w:i w:val="1"/>
          <w:iCs w:val="1"/>
          <w:color w:val="auto"/>
        </w:rPr>
        <w:t>AAA</w:t>
      </w:r>
      <w:r>
        <w:rPr>
          <w:rFonts w:ascii="Times New Roman" w:cs="Times New Roman" w:eastAsia="Times New Roman" w:hAnsi="Times New Roman"/>
          <w:sz w:val="18"/>
          <w:szCs w:val="18"/>
          <w:color w:val="auto"/>
        </w:rPr>
        <w:t>”). The arbitration shall be brought before the AAA International Center for Dispute Resolution’s offices in New York City, New York, will be conducted in English and will be decided by a panel of three arbitrators selected from the AAA Commercial Disputes Panel and that the arbitrator panel’s decision shall be final and enforceable by any court having jurisdiction over the party from whom enforcement is sought. The cost of such arbitrators and arbitration services, together with the prevailing party’s legal fees and expenses, shall be borne by the non-prevailing party or as otherwise directed by the arbitrators.</w:t>
      </w:r>
    </w:p>
    <w:p>
      <w:pPr>
        <w:spacing w:after="0" w:line="18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2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(i)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shall mean a merger, share exchange, asset acquisition, stock purchase, recapitalization, reorganization or other similar business combination with one or more businesses or entities; (ii) “</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 shall mean all officers, directors and stockholders of the Company immediately prior to the IPO; (iii) “</w:t>
      </w:r>
      <w:r>
        <w:rPr>
          <w:rFonts w:ascii="Times New Roman" w:cs="Times New Roman" w:eastAsia="Times New Roman" w:hAnsi="Times New Roman"/>
          <w:sz w:val="18"/>
          <w:szCs w:val="18"/>
          <w:b w:val="1"/>
          <w:bCs w:val="1"/>
          <w:i w:val="1"/>
          <w:iCs w:val="1"/>
          <w:color w:val="auto"/>
        </w:rPr>
        <w:t>Insider Shares</w:t>
      </w:r>
      <w:r>
        <w:rPr>
          <w:rFonts w:ascii="Times New Roman" w:cs="Times New Roman" w:eastAsia="Times New Roman" w:hAnsi="Times New Roman"/>
          <w:sz w:val="18"/>
          <w:szCs w:val="18"/>
          <w:color w:val="auto"/>
        </w:rPr>
        <w:t>” shall mean all of the shares of Common Stock of the Company acquired by an Insider prior to the IPO and the purchase of the Private Warrants; (iv) “</w:t>
      </w:r>
      <w:r>
        <w:rPr>
          <w:rFonts w:ascii="Times New Roman" w:cs="Times New Roman" w:eastAsia="Times New Roman" w:hAnsi="Times New Roman"/>
          <w:sz w:val="18"/>
          <w:szCs w:val="18"/>
          <w:b w:val="1"/>
          <w:bCs w:val="1"/>
          <w:i w:val="1"/>
          <w:iCs w:val="1"/>
          <w:color w:val="auto"/>
        </w:rPr>
        <w:t>IPO Shares</w:t>
      </w:r>
      <w:r>
        <w:rPr>
          <w:rFonts w:ascii="Times New Roman" w:cs="Times New Roman" w:eastAsia="Times New Roman" w:hAnsi="Times New Roman"/>
          <w:sz w:val="18"/>
          <w:szCs w:val="18"/>
          <w:color w:val="auto"/>
        </w:rPr>
        <w:t>” shall mean the shares of Common Stock issued in the Company’s IPO; (v) “</w:t>
      </w:r>
      <w:r>
        <w:rPr>
          <w:rFonts w:ascii="Times New Roman" w:cs="Times New Roman" w:eastAsia="Times New Roman" w:hAnsi="Times New Roman"/>
          <w:sz w:val="18"/>
          <w:szCs w:val="18"/>
          <w:b w:val="1"/>
          <w:bCs w:val="1"/>
          <w:i w:val="1"/>
          <w:iCs w:val="1"/>
          <w:color w:val="auto"/>
        </w:rPr>
        <w:t>Private Warrants</w:t>
      </w:r>
      <w:r>
        <w:rPr>
          <w:rFonts w:ascii="Times New Roman" w:cs="Times New Roman" w:eastAsia="Times New Roman" w:hAnsi="Times New Roman"/>
          <w:sz w:val="18"/>
          <w:szCs w:val="18"/>
          <w:color w:val="auto"/>
        </w:rPr>
        <w:t>” shall mean the warrants purchased in the private placement taking place simultaneously with the consummation of the Company’s IPO; (vi)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the registration statement on Form S-1 filed by the Company with respect to the IPO; and (vii) “</w:t>
      </w:r>
      <w:r>
        <w:rPr>
          <w:rFonts w:ascii="Times New Roman" w:cs="Times New Roman" w:eastAsia="Times New Roman" w:hAnsi="Times New Roman"/>
          <w:sz w:val="18"/>
          <w:szCs w:val="18"/>
          <w:b w:val="1"/>
          <w:bCs w:val="1"/>
          <w:i w:val="1"/>
          <w:iCs w:val="1"/>
          <w:color w:val="auto"/>
        </w:rPr>
        <w:t>Trust Fund</w:t>
      </w:r>
      <w:r>
        <w:rPr>
          <w:rFonts w:ascii="Times New Roman" w:cs="Times New Roman" w:eastAsia="Times New Roman" w:hAnsi="Times New Roman"/>
          <w:sz w:val="18"/>
          <w:szCs w:val="18"/>
          <w:color w:val="auto"/>
        </w:rPr>
        <w:t>” shall mean the trust fund into which a portion of the net proceeds of the Company’s IPO will be deposited.</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8" w:name="page129"/>
    <w:bookmarkEnd w:id="128"/>
    <w:p>
      <w:pPr>
        <w:jc w:val="both"/>
        <w:ind w:firstLine="1304"/>
        <w:spacing w:after="0" w:line="266" w:lineRule="auto"/>
        <w:tabs>
          <w:tab w:leader="none" w:pos="189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Representative: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Jonas Grossman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(646) 465-9002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Greenberg Traurig,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1750 Tysons Boulevard, Suite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 22102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Alan Annex; Jason Simon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annexa@gtlaw.com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simonj@gtlaw.com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(212) 801-6400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Edward Scheetz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Mitchell S. Nussbaum and Giovanni Caruso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(212) 504-3013</w:t>
      </w:r>
    </w:p>
    <w:p>
      <w:pPr>
        <w:spacing w:after="0" w:line="207" w:lineRule="exact"/>
        <w:rPr>
          <w:sz w:val="20"/>
          <w:szCs w:val="20"/>
          <w:color w:val="auto"/>
        </w:rPr>
      </w:pPr>
    </w:p>
    <w:p>
      <w:pPr>
        <w:jc w:val="both"/>
        <w:ind w:firstLine="1304"/>
        <w:spacing w:after="0" w:line="266" w:lineRule="auto"/>
        <w:tabs>
          <w:tab w:leader="none" w:pos="156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hereto may assign either this letter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letter agreement shall be binding on the parties hereto and any successors and assigns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2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understands that the Underwriters and the Company will rely upon the agreements, representations and warranties set forth herein in proceeding with the IPO. Nothing contained herein shall be deemed to render the Underwriters a representative of, or a fiduciary with respect to, the Company, its stockholders or any creditor or vendor of the company with respect to the subject matter hereof.</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9" w:name="page130"/>
    <w:bookmarkEnd w:id="129"/>
    <w:p>
      <w:pPr>
        <w:ind w:left="56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 Brock Strasbourger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24765</wp:posOffset>
            </wp:positionV>
            <wp:extent cx="284607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Brock Strasbourger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Insider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30" w:name="page131"/>
    <w:bookmarkEnd w:id="130"/>
    <w:p>
      <w:pPr>
        <w:ind w:left="9820"/>
        <w:spacing w:after="0"/>
        <w:rPr>
          <w:sz w:val="20"/>
          <w:szCs w:val="20"/>
          <w:color w:val="auto"/>
        </w:rPr>
      </w:pPr>
      <w:r>
        <w:rPr>
          <w:rFonts w:ascii="Times New Roman" w:cs="Times New Roman" w:eastAsia="Times New Roman" w:hAnsi="Times New Roman"/>
          <w:sz w:val="18"/>
          <w:szCs w:val="18"/>
          <w:color w:val="auto"/>
        </w:rPr>
        <w:t>December 23,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This letter is being delivered to you in accordance with the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entered into by and between Ventoux CCM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Chardan Capital Markets, LLC, as representative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of the Underwriters named in Schedule A thereto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relating to an underwritten initial public offering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of the Company’s units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each comprised of one share of Common Stock of the Company,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one right to receive one-twentieth of one share of Common Stock, and one warrant, with each warrant being exercisable to purchase one-half of one share of Common Stock at a price of $11.50 per full share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Certain capitalized terms used herein are defined in paragraph 12 hereof.</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 order to induce the Company and the Underwriters to enter into the Underwriting Agreement and to proceed with the IPO, and in recognition of the benefit that such IPO will confer upon each undersigned as a stockholder of the Company, and for other good and valuable consideration, the receipt and sufficiency of which are hereby acknowledged, each undersigned hereby agrees with the Company as follows:</w:t>
      </w:r>
    </w:p>
    <w:p>
      <w:pPr>
        <w:spacing w:after="0" w:line="176" w:lineRule="exact"/>
        <w:rPr>
          <w:sz w:val="20"/>
          <w:szCs w:val="20"/>
          <w:color w:val="auto"/>
        </w:rPr>
      </w:pPr>
    </w:p>
    <w:p>
      <w:pPr>
        <w:ind w:firstLine="1304"/>
        <w:spacing w:after="0" w:line="282" w:lineRule="auto"/>
        <w:tabs>
          <w:tab w:leader="none" w:pos="147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solicits approval of its shareholders of a Business Combination, the undersigned will vote all shares of Common Stock beneficially owned by him, her or it, whether acquired before, in or after the IPO, in favor of such Business Combination.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03"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event that the Company fails to consummate a Business Combination within 15 months (or in the event the Company extended the time to complete a Business Combination up to 18 months) from the closing of the Company’s IPO, the undersigned shall take all reasonable steps to (i) cause the Trust Fund to be liquidated and distributed to the holders of IPO Shares and (ii) cause the Company to liquidate as promptly as reasonably possible but not more than five business days after the date we are required to consummate a Business Combination.</w:t>
      </w:r>
    </w:p>
    <w:p>
      <w:pPr>
        <w:spacing w:after="0" w:line="179" w:lineRule="exact"/>
        <w:rPr>
          <w:rFonts w:ascii="Times New Roman" w:cs="Times New Roman" w:eastAsia="Times New Roman" w:hAnsi="Times New Roman"/>
          <w:sz w:val="18"/>
          <w:szCs w:val="18"/>
          <w:color w:val="auto"/>
        </w:rPr>
      </w:pPr>
    </w:p>
    <w:p>
      <w:pPr>
        <w:jc w:val="both"/>
        <w:ind w:firstLine="1693"/>
        <w:spacing w:after="0" w:line="258" w:lineRule="auto"/>
        <w:tabs>
          <w:tab w:leader="none" w:pos="194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waives any and all right, title, interest or claim of any kind in or to any distribution of the Trust Fund and any remaining net assets of the Company as a result of such liquidation with respect to any shares he, she or it owns, including his, her or its Insider Shares, IPO Shares and Private Warrants purchased during or after the offering, if any,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and hereby waives any Claim the undersigned may have in the future as a result of, or arising out of, any contracts or agreements with the Company and will not seek recourse against the Trust Fund for any reason whatsoever.</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48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will place into escrow all of his, her or its Insider Shares pursuant to the terms of a Stock Escrow Agreement which the Company will enter into with the undersigned and an escrow agent acceptable to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8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minimize potential conflicts of interest which may arise from multiple affiliations, the undersigned agrees to present to the Company for its consideration, prior to presentation to any other person or entity, any suitable opportunity to acquire a target business, until the earlier of the consummation by the Company of a Business Combination or the liquidation of the Company, subject to any pre-existing fiduciary and contractual obligations the undersigned might have.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1" w:name="page132"/>
    <w:bookmarkEnd w:id="131"/>
    <w:p>
      <w:pPr>
        <w:jc w:val="both"/>
        <w:ind w:firstLine="1304"/>
        <w:spacing w:after="0" w:line="258" w:lineRule="auto"/>
        <w:tabs>
          <w:tab w:leader="none" w:pos="1489"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agrees that prior to entering into a Business Combination with a target business that is affiliated with any Insiders of the Company or their affiliates, including any company that is a portfolio company of, or otherwise affiliated with, or has received financial investment from, an entity with which any Insider or their affiliates is affiliated, such transaction must be approved by a majority of the Company’s disinterested independent directors and the Company must obtain an opinion from an independent investment banking firm that such Business Combination is fair to the Company’s unaffiliated stockholders from a financial point of view.</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85"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undersigned, any member of the family of the undersigned, nor any affiliate of the undersigned will be entitled to receive or accept a finder’s fee or any other compensation in the event the undersigned, any member of the family of the undersigned or any affiliate of the undersigned originates a Business Combination.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473"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agrees to be a director or officer of the Company, as applicable, until the earlier of the consummation by the Company of a Business Combination or the liquidation of the Company. The undersigned’s biographical information previously furnished to the Company and the Representative is true and accurate in all material respects, does not omit any material information with respect to the undersigned’s biography and contains all of the information required to be disclosed pursuant to Item 401 of Regulation S-K, promulgated under the Securities Act of 1933. The undersigned’s FINRA Questionnaire and Director and Officer Questionnaire previously furnished to the Company and the Representative is true and accurate in all material respects. The undersigned represents and warrants that, except as disclosed in the undersigned’s Director and Officer Questionnaire:</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had a petition under the federal bankruptcy laws or any state insolvency law been filed by or against (i) him/her/it or any partnership in which he/she/it was a general partner at or within two years before the time of filing; or (ii) any corporation or business association of which he/she/it was an executive officer at or within two years before the time of such filing;</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had a receiver, fiscal agent or similar officer been appointed by a court for his/her/its business or property, or any such partnership;</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of fraud in a civil or criminal proceeding;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in a criminal proceeding or named the subject of a pending criminal proceeding (excluding traffic violations and minor offenses);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any order, judgment or decree, not subsequently reversed, suspended or vacated, of any court of competent jurisdiction, permanently or temporarily enjoining or otherwise limiting him/her/it from (i) acting as a futures commission merchant, introducing broker, commodity trading advisor, commodity pool operator, floor broker, leverage transaction merchant, any other person regulated by the Commodity Futures Trading Commission (“</w:t>
      </w:r>
      <w:r>
        <w:rPr>
          <w:rFonts w:ascii="Times New Roman" w:cs="Times New Roman" w:eastAsia="Times New Roman" w:hAnsi="Times New Roman"/>
          <w:sz w:val="18"/>
          <w:szCs w:val="18"/>
          <w:b w:val="1"/>
          <w:bCs w:val="1"/>
          <w:i w:val="1"/>
          <w:iCs w:val="1"/>
          <w:color w:val="auto"/>
        </w:rPr>
        <w:t>CFTC</w:t>
      </w:r>
      <w:r>
        <w:rPr>
          <w:rFonts w:ascii="Times New Roman" w:cs="Times New Roman" w:eastAsia="Times New Roman" w:hAnsi="Times New Roman"/>
          <w:sz w:val="18"/>
          <w:szCs w:val="18"/>
          <w:color w:val="auto"/>
        </w:rPr>
        <w:t>”) or an associated person of any of the foregoing, or as an investment adviser, underwriter, broker or dealer in securities, or as an affiliated person, director or employee of any investment company, bank, savings and loan association or insurance company, or from engaging in or continuing any conduct or practice in connection with any such activity; or (ii) engaging in any type of business practice; or (iii) engaging in any activity in connection with the purchase or sale of any security or commodity or in connection with any violation of federal or state securities or federal commodities laws;</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any order, judgment or decree, not subsequently reversed, suspended or vacated, of any federal or state authority barring, suspending or otherwise limiting for more than 60 days his/her/its right to engage in any activity described in 7(e)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above, or to be associated with persons engaged in any such activity;</w:t>
      </w:r>
    </w:p>
    <w:p>
      <w:pPr>
        <w:spacing w:after="0" w:line="20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found by a court of competent jurisdiction in a civil action or by the SEC to have violated any federal or state securities law, where the judgment in such civil action or finding by the SEC has not been subsequently reversed, suspended or vacated;</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ind w:left="644" w:hanging="644"/>
        <w:spacing w:after="0" w:line="266" w:lineRule="auto"/>
        <w:tabs>
          <w:tab w:leader="none" w:pos="64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found by a court of competent jurisdiction in a civil action or by the CFTC to have violated any federal commodities law, where the judgment in such civil action or finding by the CFTC has not been subsequently reversed, suspended or vacated;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or a party to, any Federal or State judicial or administrative order, judgment, decree or finding, not subsequently reversed, suspended or vacated, relating to an alleged violation of (i) any Federal or State securities or commodities law or regulation, (ii) any law or regulation respecting financial institutions or insurance companies including, but not limited to, a temporary or permanent injunction, order of disgorgement or restitution, civil money penalty or temporary or permanent cease-and desist order, or removal or prohibition order or (iii) any law or regulation prohibiting mail or wire fraud or fraud in connection with any business entity;</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or party to, any sanction or order, not subsequently reversed, suspended or vacated, or any self-regulatory organization, any registered entity, or any equivalent exchange, association, entity or organization that has disciplinary authority over its members or persons associated with a member;</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of any felony or misdemeanor: (i) in connection with the purchase or sale of any security; (ii) involving the making of any false filing with the SEC; or (iii) arising out of the conduct of the business of an underwriter, broker, dealer, municipal securities dealer, investment advisor or paid solicitor of purchasers of securities;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was never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is based on a violation of any law or regulation that prohibits fraudulent, manipulative, or deceptive conduct;</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any order, judgment or decree of any court of competent jurisdiction, that, at the time of such sale, restrained or enjoined him/her/it from engaging or continuing to engage in any conduct or practice: (i) in connection with the purchase or sale of any security; (ii) involving the making of any false filing with the SEC; or (iii) arising out of the conduct of the business of an underwriter, broker, dealer, municipal securities dealer, investment adviser or paid solicitor of purchasers of securities;</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any order of the SEC that orders him/her/it to cease and desist from committing or causing a future violation of: (i) any scienter-based anti-fraud provision of the federal securities laws, including, but not limited to, Section 17(a)(1) of the Securities Act, Section 10(b) of the Exchange Act and Rule 10b-5 thereunder, and Section 206(1) of the Advisers Act or any other rule or regulation thereunder; or (ii) Section 5 of the Securities Act;</w:t>
      </w:r>
    </w:p>
    <w:p>
      <w:pPr>
        <w:spacing w:after="0" w:line="179" w:lineRule="exact"/>
        <w:rPr>
          <w:rFonts w:ascii="Times New Roman" w:cs="Times New Roman" w:eastAsia="Times New Roman" w:hAnsi="Times New Roman"/>
          <w:sz w:val="18"/>
          <w:szCs w:val="18"/>
          <w:color w:val="auto"/>
        </w:rPr>
      </w:pPr>
    </w:p>
    <w:p>
      <w:pPr>
        <w:jc w:val="both"/>
        <w:ind w:left="644" w:right="20" w:hanging="644"/>
        <w:spacing w:after="0" w:line="266" w:lineRule="auto"/>
        <w:tabs>
          <w:tab w:leader="none" w:pos="64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named as an underwriter in any registration statement or Regulation A offering statement filed with the SEC that was the subject of a refusal order, stop order, or order suspending the Regulation A exemption, or is, currently, the subject of an investigation or proceeding to determine whether a stop order or suspension order should be issued;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 United States Postal Service false representation order, or is currently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is not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bars the undersigned from: (i) association with an entity regulated by such commission, authority, agency or officer; (ii) engaging in the business of securities, insurance or banking; or (iii) engaging in savings association or credit union activities;</w:t>
      </w:r>
    </w:p>
    <w:p>
      <w:pPr>
        <w:spacing w:after="0" w:line="39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3" w:name="page134"/>
    <w:bookmarkEnd w:id="133"/>
    <w:p>
      <w:pPr>
        <w:jc w:val="both"/>
        <w:ind w:left="1300" w:hanging="644"/>
        <w:spacing w:after="0" w:line="258" w:lineRule="auto"/>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is not subject to an order of the SEC entered pursuant to section 15(b) or 15B(c) of the Securities Exchange Act of 1934 (the “Exchange Act”) or section 203(e) or 203(f) of the Investment Advisers Act of 1940 (the “Advisers Act”) that: (i) suspends or revokes the undersigned’s registration as a broker, dealer, municipal securities dealer or investment adviser; (ii) places limitations on the activities, functions or operations of, or imposes civil money penalties on, such person; or (iii) bars the undersigned from being associated with any entity or from participating in the offering of any penny stock; and</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suspended or expelled from membership in, or suspended or barred from association with a member of, a securities self-regulatory organization (e.g., a registered national securities exchange or a registered national or affiliated securities association) for any act or omission to act constituting conduct inconsistent with just and equitable principles of trade.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49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full right and power, without violating any agreement by which he, she or it is bound, to enter into this letter agreement and to serve as a director or officer of the Company, as applicable.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476"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waives his, her or its right to exercise conversion rights with respect to any shares of Common Stock owned or to be owned by the undersigned, directly or indirectly, whether purchased by the undersigned prior to the IPO, in the IPO or in the aftermarket, and agrees that he, she or it will not seek conversion with respect to or otherwise sell, such shares in connection with any vote to approve a Business Combination with respect thereto, a vote to amend the provisions of the Company’s Amended and Restated Certificate of Incorporation, or a tender offer by the Company prior to a Business Combination.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0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agrees to not propose, or vote in favor of, an amendment to the Company’s Amended and Restated Certificate of Incorporation with respect to stockholder’s rights or the Company’s pre-Business Combination activities (including the substance or timing within which we have to complete a business combination) of a Business Combination unless the Company offers holders of IPO Shares the right to receive their pro rata portion of the funds then held in the Trust Fund upon approval of any amendment.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Section 5-1401 of the General Obligations Law of the State of New York, this letter agreement shall be governed by, and construed in accordance with, the laws of the State of New York without regard to principles of conflicts of law that would result in the application of the substantive law of another jurisdiction. The parties hereto agree that any action, proceeding or claim arising out of or relating in any way to this letter agreement shall be resolved through final and binding arbitration in accordance with the International Arbitration Rules of the American Arbitration Association (“</w:t>
      </w:r>
      <w:r>
        <w:rPr>
          <w:rFonts w:ascii="Times New Roman" w:cs="Times New Roman" w:eastAsia="Times New Roman" w:hAnsi="Times New Roman"/>
          <w:sz w:val="18"/>
          <w:szCs w:val="18"/>
          <w:b w:val="1"/>
          <w:bCs w:val="1"/>
          <w:i w:val="1"/>
          <w:iCs w:val="1"/>
          <w:color w:val="auto"/>
        </w:rPr>
        <w:t>AAA</w:t>
      </w:r>
      <w:r>
        <w:rPr>
          <w:rFonts w:ascii="Times New Roman" w:cs="Times New Roman" w:eastAsia="Times New Roman" w:hAnsi="Times New Roman"/>
          <w:sz w:val="18"/>
          <w:szCs w:val="18"/>
          <w:color w:val="auto"/>
        </w:rPr>
        <w:t>”). The arbitration shall be brought before the AAA International Center for Dispute Resolution’s offices in New York City, New York, will be conducted in English and will be decided by a panel of three arbitrators selected from the AAA Commercial Disputes Panel and that the arbitrator panel’s decision shall be final and enforceable by any court having jurisdiction over the party from whom enforcement is sought. The cost of such arbitrators and arbitration services, together with the prevailing party’s legal fees and expenses, shall be borne by the non-prevailing party or as otherwise directed by the arbitrators.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both"/>
        <w:ind w:firstLine="1304"/>
        <w:spacing w:after="0" w:line="256" w:lineRule="auto"/>
        <w:tabs>
          <w:tab w:leader="none" w:pos="163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(i)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shall mean a merger, share exchange, asset acquisition, stock purchase, recapitalization, reorganization or other similar business combination with one or more businesses or entities; (ii) “</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 shall mean all officers, directors and stockholders of the Company immediately prior to the IPO; (iii) “</w:t>
      </w:r>
      <w:r>
        <w:rPr>
          <w:rFonts w:ascii="Times New Roman" w:cs="Times New Roman" w:eastAsia="Times New Roman" w:hAnsi="Times New Roman"/>
          <w:sz w:val="18"/>
          <w:szCs w:val="18"/>
          <w:b w:val="1"/>
          <w:bCs w:val="1"/>
          <w:i w:val="1"/>
          <w:iCs w:val="1"/>
          <w:color w:val="auto"/>
        </w:rPr>
        <w:t>Insider Shares</w:t>
      </w:r>
      <w:r>
        <w:rPr>
          <w:rFonts w:ascii="Times New Roman" w:cs="Times New Roman" w:eastAsia="Times New Roman" w:hAnsi="Times New Roman"/>
          <w:sz w:val="18"/>
          <w:szCs w:val="18"/>
          <w:color w:val="auto"/>
        </w:rPr>
        <w:t>” shall mean all of the shares of Common Stock of the Company acquired by an Insider prior to the IPO and the purchase of the Private Warrants; (iv) “</w:t>
      </w:r>
      <w:r>
        <w:rPr>
          <w:rFonts w:ascii="Times New Roman" w:cs="Times New Roman" w:eastAsia="Times New Roman" w:hAnsi="Times New Roman"/>
          <w:sz w:val="18"/>
          <w:szCs w:val="18"/>
          <w:b w:val="1"/>
          <w:bCs w:val="1"/>
          <w:i w:val="1"/>
          <w:iCs w:val="1"/>
          <w:color w:val="auto"/>
        </w:rPr>
        <w:t>IPO Shares</w:t>
      </w:r>
      <w:r>
        <w:rPr>
          <w:rFonts w:ascii="Times New Roman" w:cs="Times New Roman" w:eastAsia="Times New Roman" w:hAnsi="Times New Roman"/>
          <w:sz w:val="18"/>
          <w:szCs w:val="18"/>
          <w:color w:val="auto"/>
        </w:rPr>
        <w:t>” shall mean the shares of Common Stock issued in the Company’s IPO; (v) “</w:t>
      </w:r>
      <w:r>
        <w:rPr>
          <w:rFonts w:ascii="Times New Roman" w:cs="Times New Roman" w:eastAsia="Times New Roman" w:hAnsi="Times New Roman"/>
          <w:sz w:val="18"/>
          <w:szCs w:val="18"/>
          <w:b w:val="1"/>
          <w:bCs w:val="1"/>
          <w:i w:val="1"/>
          <w:iCs w:val="1"/>
          <w:color w:val="auto"/>
        </w:rPr>
        <w:t>Private Warrants</w:t>
      </w:r>
      <w:r>
        <w:rPr>
          <w:rFonts w:ascii="Times New Roman" w:cs="Times New Roman" w:eastAsia="Times New Roman" w:hAnsi="Times New Roman"/>
          <w:sz w:val="18"/>
          <w:szCs w:val="18"/>
          <w:color w:val="auto"/>
        </w:rPr>
        <w:t>” shall mean the warrants purchased in the private placement taking place simultaneously with the consummation of the Company’s IPO; (vi)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the registration statement on Form S-1 filed by the Company with respect to the IPO; and (vii) “</w:t>
      </w:r>
      <w:r>
        <w:rPr>
          <w:rFonts w:ascii="Times New Roman" w:cs="Times New Roman" w:eastAsia="Times New Roman" w:hAnsi="Times New Roman"/>
          <w:sz w:val="18"/>
          <w:szCs w:val="18"/>
          <w:b w:val="1"/>
          <w:bCs w:val="1"/>
          <w:i w:val="1"/>
          <w:iCs w:val="1"/>
          <w:color w:val="auto"/>
        </w:rPr>
        <w:t>Trust Fund</w:t>
      </w:r>
      <w:r>
        <w:rPr>
          <w:rFonts w:ascii="Times New Roman" w:cs="Times New Roman" w:eastAsia="Times New Roman" w:hAnsi="Times New Roman"/>
          <w:sz w:val="18"/>
          <w:szCs w:val="18"/>
          <w:color w:val="auto"/>
        </w:rPr>
        <w:t>” shall mean the trust fund into which a portion of the net proceeds of the Company’s IPO will be deposited.</w:t>
      </w:r>
    </w:p>
    <w:p>
      <w:pPr>
        <w:spacing w:after="0" w:line="186"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58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Representative: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Jonas Grossman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(646) 465-9002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Greenberg Traurig,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1750 Tysons Boulevard, Suite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 22102</w:t>
      </w:r>
    </w:p>
    <w:p>
      <w:pPr>
        <w:spacing w:after="0" w:line="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Alan Annex; Jason Simon</w:t>
      </w:r>
    </w:p>
    <w:p>
      <w:pPr>
        <w:spacing w:after="0" w:line="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annexa@gtlaw.com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simonj@gtlaw.com</w:t>
      </w:r>
    </w:p>
    <w:p>
      <w:pPr>
        <w:spacing w:after="0" w:line="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Fax:</w:t>
      </w:r>
      <w:r>
        <w:rPr>
          <w:sz w:val="20"/>
          <w:szCs w:val="20"/>
          <w:color w:val="auto"/>
        </w:rPr>
        <w:tab/>
      </w:r>
      <w:r>
        <w:rPr>
          <w:rFonts w:ascii="Times New Roman" w:cs="Times New Roman" w:eastAsia="Times New Roman" w:hAnsi="Times New Roman"/>
          <w:sz w:val="18"/>
          <w:szCs w:val="18"/>
          <w:color w:val="auto"/>
        </w:rPr>
        <w:t>(212) 801-6400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Edward Scheetz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Mitchell S. Nussbaum and Giovanni Caruso</w:t>
      </w:r>
    </w:p>
    <w:p>
      <w:pPr>
        <w:spacing w:after="0" w:line="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Facsimile:</w:t>
        <w:tab/>
        <w:t>(212) 504-3013</w:t>
      </w:r>
    </w:p>
    <w:p>
      <w:pPr>
        <w:spacing w:after="0" w:line="207" w:lineRule="exact"/>
        <w:rPr>
          <w:sz w:val="20"/>
          <w:szCs w:val="20"/>
          <w:color w:val="auto"/>
        </w:rPr>
      </w:pPr>
    </w:p>
    <w:p>
      <w:pPr>
        <w:jc w:val="both"/>
        <w:ind w:firstLine="1304"/>
        <w:spacing w:after="0" w:line="266" w:lineRule="auto"/>
        <w:tabs>
          <w:tab w:leader="none" w:pos="156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hereto may assign either this letter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letter agreement shall be binding on the parties hereto and any successors and assigns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33"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understands that the Underwriters and the Company will rely upon the agreements, representations and warranties set forth herein in proceeding with the IPO. Nothing contained herein shall be deemed to render the Underwriters a representative of, or a fiduciary with respect to, the Company, its stockholders or any creditor or vendor of the company with respect to the subject matter hereof.</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5" w:name="page136"/>
    <w:bookmarkEnd w:id="135"/>
    <w:p>
      <w:pPr>
        <w:ind w:left="56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 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24765</wp:posOffset>
            </wp:positionV>
            <wp:extent cx="284607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Alex Weil</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Insider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36" w:name="page137"/>
    <w:bookmarkEnd w:id="136"/>
    <w:p>
      <w:pPr>
        <w:ind w:left="9820"/>
        <w:spacing w:after="0"/>
        <w:rPr>
          <w:sz w:val="20"/>
          <w:szCs w:val="20"/>
          <w:color w:val="auto"/>
        </w:rPr>
      </w:pPr>
      <w:r>
        <w:rPr>
          <w:rFonts w:ascii="Times New Roman" w:cs="Times New Roman" w:eastAsia="Times New Roman" w:hAnsi="Times New Roman"/>
          <w:sz w:val="18"/>
          <w:szCs w:val="18"/>
          <w:color w:val="auto"/>
        </w:rPr>
        <w:t>December 23,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This letter is being delivered to you in accordance with the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entered into by and between Ventoux CCM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Chardan Capital Markets, LLC, as representative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of the Underwriters named in Schedule A thereto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relating to an underwritten initial public offering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of the Company’s units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each comprised of one share of Common Stock of the Company,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one right to receive one-twentieth of one share of Common Stock, and one warrant, with each warrant being exercisable to purchase one-half of one share of Common Stock at a price of $11.50 per full share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Certain capitalized terms used herein are defined in paragraph 13 hereof.</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 order to induce the Company and the Underwriters to enter into the Underwriting Agreement and to proceed with the IPO, and in recognition of the benefit that such IPO will confer upon the undersigned as a stockholder of the Company, and for other good and valuable consideration, the receipt and sufficiency of which are hereby acknowledged, the undersigned hereby agrees with the Company as follows:</w:t>
      </w:r>
    </w:p>
    <w:p>
      <w:pPr>
        <w:spacing w:after="0" w:line="176" w:lineRule="exact"/>
        <w:rPr>
          <w:sz w:val="20"/>
          <w:szCs w:val="20"/>
          <w:color w:val="auto"/>
        </w:rPr>
      </w:pPr>
    </w:p>
    <w:p>
      <w:pPr>
        <w:ind w:firstLine="1304"/>
        <w:spacing w:after="0" w:line="282" w:lineRule="auto"/>
        <w:tabs>
          <w:tab w:leader="none" w:pos="1478"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solicits approval of its shareholders of a Business Combination, the undersigned will vote all shares of Common Stock beneficially owned by him, her or it, whether acquired before, in or after the IPO, in favor of such Business Combination.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0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event that the Company fails to consummate a Business Combination within 15 months (or in the event the Company extended the time to complete a Business Combination up to 18 months) from the closing of the Company’s IPO, the undersigned shall take all reasonable steps to (i) cause the Trust Fund to be liquidated and distributed to the holders of IPO Shares and (ii) cause the Company to liquidate as promptly as reasonably possible but not more than five business days after the date we are required to consummate a Business Combination.</w:t>
      </w:r>
    </w:p>
    <w:p>
      <w:pPr>
        <w:spacing w:after="0" w:line="179" w:lineRule="exact"/>
        <w:rPr>
          <w:rFonts w:ascii="Times New Roman" w:cs="Times New Roman" w:eastAsia="Times New Roman" w:hAnsi="Times New Roman"/>
          <w:sz w:val="18"/>
          <w:szCs w:val="18"/>
          <w:color w:val="auto"/>
        </w:rPr>
      </w:pPr>
    </w:p>
    <w:p>
      <w:pPr>
        <w:jc w:val="both"/>
        <w:ind w:firstLine="1628"/>
        <w:spacing w:after="0" w:line="256" w:lineRule="auto"/>
        <w:tabs>
          <w:tab w:leader="none" w:pos="1875"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waives any and all right, title, interest or claim of any kind in or to any distribution of the Trust Fund and any remaining net assets of the Company as a result of such liquidation with respect to any shares he, she or it owns, including his, her or its Insider Shares, IPO Shares and Private Warrants purchased during or after the offering, if any,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and hereby waives any Claim the undersigned may have in the future as a result of, or arising out of, any contracts or agreements with the Company and will not seek recourse against the Trust Fund for any reason whatsoever. The undersigned acknowledges and agrees that there will be no distribution from the Trust Fund with respect to any Common Stock underlying the Private Warrants, all rights of which will terminate on the Company’s liquidation.</w:t>
      </w:r>
    </w:p>
    <w:p>
      <w:pPr>
        <w:spacing w:after="0" w:line="187" w:lineRule="exact"/>
        <w:rPr>
          <w:rFonts w:ascii="Times New Roman" w:cs="Times New Roman" w:eastAsia="Times New Roman" w:hAnsi="Times New Roman"/>
          <w:sz w:val="18"/>
          <w:szCs w:val="18"/>
          <w:color w:val="auto"/>
        </w:rPr>
      </w:pPr>
    </w:p>
    <w:p>
      <w:pPr>
        <w:jc w:val="both"/>
        <w:ind w:firstLine="1628"/>
        <w:spacing w:after="0" w:line="256" w:lineRule="auto"/>
        <w:tabs>
          <w:tab w:leader="none" w:pos="1865"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the liquidation of the Trust Fund, the undersigned agrees to indemnify and hold harmless the Company against any and all loss, liability, claims, damage and expense whatsoever (including, but not limited to, any and all legal or other expenses reasonably incurred in investigating, preparing or defending against any litigation, whether pending or threatened, or any claim whatsoever) which the Company may become subject as a result of any claim by any vendor or other person who is owed money by the Company for services rendered or products sold or contracted for, but only to the extent necessary to ensure that such loss, liability, claim, damage or expense does not reduce the amount of funds in the Trust 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indemnity shall not apply if such vendor or other person has executed an agreement waiving any claims against the Trust Fund.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37" w:name="page138"/>
    <w:bookmarkEnd w:id="137"/>
    <w:p>
      <w:pPr>
        <w:jc w:val="both"/>
        <w:ind w:firstLine="1628"/>
        <w:spacing w:after="0" w:line="266" w:lineRule="auto"/>
        <w:tabs>
          <w:tab w:leader="none" w:pos="1881"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does not consummate a Business Combination and must liquidate and its remaining net assets are insufficient to complete such liquidation, the undersigned agrees to advance such funds necessary to complete such liquidation and agrees not to seek repayment for such expenses.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481"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will place into escrow all of his, her or its Insider Shares pursuant to the terms of a Stock Escrow Agreement which the Company will enter into with the undersigned and an escrow agent acceptable to the Company.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49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agrees that until the Company consummates a Business Combination, the undersigned’s Private Warrants will be subject to the transfer restrictions described in the Subscription Agreement relating to the undersigned’s Private Warrants.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82"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minimize potential conflicts of interest which may arise from multiple affiliations, the undersigned agrees to present to the Company for its consideration, prior to presentation to any other person or entity, any suitable opportunity to acquire a target business, until the earlier of the consummation by the Company of a Business Combination or the liquidation of the Company, subject to any pre-existing fiduciary and contractual obligations the undersigned might have.</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486"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agrees that prior to entering into a Business Combination with a target business that is affiliated with any Insiders of the Company or their affiliates, including any company that is a portfolio company of, or otherwise affiliated with, or has received financial investment from, an entity with which any Insider or their affiliates is affiliated, such transaction must be approved by a majority of the Company’s disinterested independent directors and the Company must obtain an opinion from an independent investment banking firm that such Business Combination is fair to the Company’s unaffiliated stockholders from a financial point of view.</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85"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undersigned, any member of the family of the undersigned, nor any affiliate of the undersigned will be entitled to receive or accept a finder’s fee or any other compensation in the event the undersigned, any member of the family of the undersigned or any affiliate of the undersigned originates a Business Combination.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1"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undersigned’s FINRA Questionnaire and Director and Officer Questionnaire previously furnished to the Company and the Representative is true and accurate in all material respects. The undersigned represents and warrants that, except as disclosed in the undersigned’s Director and Officer Questionnaire: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had a petition under the federal bankruptcy laws or any state insolvency law been filed by or against (i) him/her/it or any partnership in which he/she/it was a general partner at or within two years before the time of filing; or (ii) any corporation or business association of which he/she/it was an executive officer at or within two years before the time of such filing;</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had a receiver, fiscal agent or similar officer been appointed by a court for his/her/its business or property, or any such partnership;</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of fraud in a civil or criminal proceeding;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in a criminal proceeding or named the subject of a pending criminal proceeding (excluding traffic violations and minor offenses);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both"/>
        <w:ind w:left="644" w:hanging="644"/>
        <w:spacing w:after="0" w:line="254" w:lineRule="auto"/>
        <w:tabs>
          <w:tab w:leader="none" w:pos="6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any order, judgment or decree, not subsequently reversed, suspended or vacated, of any court of competent jurisdiction, permanently or temporarily enjoining or otherwise limiting him/her/it from (i) acting as a futures commission merchant, introducing broker, commodity trading advisor, commodity pool operator, floor broker, leverage transaction merchant, any other person regulated by the Commodity Futures Trading Commission (“</w:t>
      </w:r>
      <w:r>
        <w:rPr>
          <w:rFonts w:ascii="Times New Roman" w:cs="Times New Roman" w:eastAsia="Times New Roman" w:hAnsi="Times New Roman"/>
          <w:sz w:val="18"/>
          <w:szCs w:val="18"/>
          <w:b w:val="1"/>
          <w:bCs w:val="1"/>
          <w:i w:val="1"/>
          <w:iCs w:val="1"/>
          <w:color w:val="auto"/>
        </w:rPr>
        <w:t>CFTC</w:t>
      </w:r>
      <w:r>
        <w:rPr>
          <w:rFonts w:ascii="Times New Roman" w:cs="Times New Roman" w:eastAsia="Times New Roman" w:hAnsi="Times New Roman"/>
          <w:sz w:val="18"/>
          <w:szCs w:val="18"/>
          <w:color w:val="auto"/>
        </w:rPr>
        <w:t>”) or an associated person of any of the foregoing, or as an investment adviser, underwriter, broker or dealer in securities, or as an affiliated person, director or employee of any investment company, bank, savings and loan association or insurance company, or from engaging in or continuing any conduct or practice in connection with any such activity; or (ii) engaging in any type of business practice; or (iii) engaging in any activity in connection with the purchase or sale of any security or commodity or in connection with any violation of federal or state securities or federal commodities laws;</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any order, judgment or decree, not subsequently reversed, suspended or vacated, of any federal or state authority barring, suspending or otherwise limiting for more than 60 days his/her/its right to engage in any activity described in 8(e)</w:t>
      </w: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above, or to be associated with persons engaged in any such activity;</w:t>
      </w:r>
    </w:p>
    <w:p>
      <w:pPr>
        <w:spacing w:after="0" w:line="206"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found by a court of competent jurisdiction in a civil action or by the SEC to have violated any federal or state securities law, where the judgment in such civil action or finding by the SEC has not been subsequently reversed, suspended or vacated;</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found by a court of competent jurisdiction in a civil action or by the CFTC to have violated any federal commodities law, where the judgment in such civil action or finding by the CFTC has not been subsequently reversed, suspended or vacated;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or a party to, any Federal or State judicial or administrative order, judgment, decree or finding, not subsequently reversed, suspended or vacated, relating to an alleged violation of (i) any Federal or State securities or commodities law or regulation, (ii) any law or regulation respecting financial institutions or insurance companies including, but not limited to, a temporary or permanent injunction, order of disgorgement or restitution, civil money penalty or temporary or permanent cease-and desist order, or removal or prohibition order or (iii) any law or regulation prohibiting mail or wire fraud or fraud in connection with any business entity;</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or party to, any sanction or order, not subsequently reversed, suspended or vacated, or any self-regulatory organization, any registered entity, or any equivalent exchange, association, entity or organization that has disciplinary authority over its members or persons associated with a member;</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of any felony or misdemeanor: (i) in connection with the purchase or sale of any security; (ii) involving the making of any false filing with the SEC; or (iii) arising out of the conduct of the business of an underwriter, broker, dealer, municipal securities dealer, investment advisor or paid solicitor of purchasers of securities;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was never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is based on a violation of any law or regulation that prohibits fraudulent, manipulative, or deceptive conduct;</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any order, judgment or decree of any court of competent jurisdiction, that, at the time of such sale, restrained or enjoined him/her/it from engaging or continuing to engage in any conduct or practice: (i) in connection with the purchase or sale of any security; (ii) involving the making of any false filing with the SEC; or (iii) arising out of the conduct of the business of an underwriter, broker, dealer, municipal securities dealer, investment adviser or paid solicitor of purchasers of securities;</w:t>
      </w:r>
    </w:p>
    <w:p>
      <w:pPr>
        <w:spacing w:after="0" w:line="38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39" w:name="page140"/>
    <w:bookmarkEnd w:id="139"/>
    <w:p>
      <w:pPr>
        <w:jc w:val="both"/>
        <w:ind w:left="1300" w:hanging="644"/>
        <w:spacing w:after="0" w:line="261" w:lineRule="auto"/>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any order of the SEC that orders him/her/it to cease and desist from committing or causing a future violation of: (i) any scienter-based anti-fraud provision of the federal securities laws, including, but not limited to, Section 17(a)(1) of the Securities Act, Section 10(b) of the Exchange Act and Rule 10b-5 thereunder, and Section 206(1) of the Advisers Act or any other rule or regulation thereunder; or (ii) Section 5 of the Securities Act;</w:t>
      </w:r>
    </w:p>
    <w:p>
      <w:pPr>
        <w:spacing w:after="0" w:line="179"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named as an underwriter in any registration statement or Regulation A offering statement filed with the SEC that was the subject of a refusal order, stop order, or order suspending the Regulation A exemption, or is, currently, the subject of an investigation or proceeding to determine whether a stop order or suspension order should be issued;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 United States Postal Service false representation order, or is currently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is not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bars the undersigned from: (i) association with an entity regulated by such commission, authority, agency or officer; (ii) engaging in the business of securities, insurance or banking; or (iii) engaging in savings association or credit union activities;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is not subject to an order of the SEC entered pursuant to section 15(b) or 15B(c) of the Securities Exchange Act of 1934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section 203(e) or 203(f) of the Investment Advisers Act of 1940 (the “</w:t>
      </w:r>
      <w:r>
        <w:rPr>
          <w:rFonts w:ascii="Times New Roman" w:cs="Times New Roman" w:eastAsia="Times New Roman" w:hAnsi="Times New Roman"/>
          <w:sz w:val="18"/>
          <w:szCs w:val="18"/>
          <w:b w:val="1"/>
          <w:bCs w:val="1"/>
          <w:i w:val="1"/>
          <w:iCs w:val="1"/>
          <w:color w:val="auto"/>
        </w:rPr>
        <w:t>Advisers Act</w:t>
      </w:r>
      <w:r>
        <w:rPr>
          <w:rFonts w:ascii="Times New Roman" w:cs="Times New Roman" w:eastAsia="Times New Roman" w:hAnsi="Times New Roman"/>
          <w:sz w:val="18"/>
          <w:szCs w:val="18"/>
          <w:color w:val="auto"/>
        </w:rPr>
        <w:t>”) that: (i) suspends or revokes the undersigned’s registration as a broker, dealer, municipal securities dealer or investment adviser; (ii) places limitations on the activities, functions or operations of, or imposes civil money penalties on, such person; or (iii) bars the undersigned from being associated with any entity or from participating in the offering of any penny stock; and</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suspended or expelled from membership in, or suspended or barred from association with a member of, a securities self-regulatory organization (e.g., a registered national securities exchange or a registered national or affiliated securities association) for any act or omission to act constituting conduct inconsistent with just and equitable principles of trade.</w:t>
      </w:r>
    </w:p>
    <w:p>
      <w:pPr>
        <w:spacing w:after="0" w:line="176" w:lineRule="exact"/>
        <w:rPr>
          <w:sz w:val="20"/>
          <w:szCs w:val="20"/>
          <w:color w:val="auto"/>
        </w:rPr>
      </w:pPr>
    </w:p>
    <w:p>
      <w:pPr>
        <w:ind w:right="20" w:firstLine="1304"/>
        <w:spacing w:after="0" w:line="282" w:lineRule="auto"/>
        <w:tabs>
          <w:tab w:leader="none" w:pos="149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full right and power, without violating any agreement by which he, she or it is bound, to enter into this letter agreement and to serve as a director or officer of the Company, as applicable.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waives his, her or its right to exercise conversion rights with respect to any shares of Common Stock owned or to be owned by the undersigned, directly or indirectly, whether purchased by the undersigned prior to the IPO, in the IPO or in the aftermarket, and agrees that he, she or it will not seek conversion with respect to or otherwise sell, such shares in connection with any vote to approve a Business Combination with respect thereto, a vote to amend the provisions of the Company’s Amended and Restated Certificate of Incorporation, or a tender offer by the Company prior to a Business Combination.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9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agrees to not propose, or vote in favor of, an amendment to the Company’s Amended and Restated Certificate of Incorporation with respect to stockholder’s rights or the Company’s pre-Business Combination activities (including the substance or timing within which we have to complete a business combination) of a Business Combination unless the Company offers holders of IPO Shares the right to receive their pro rata portion of the funds then held in the Trust Fund upon approval of any amendment.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ind w:firstLine="1304"/>
        <w:spacing w:after="0" w:line="254" w:lineRule="auto"/>
        <w:tabs>
          <w:tab w:leader="none" w:pos="157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Section 5-1401 of the General Obligations Law of the State of New York, this letter agreement shall be governed by, and construed in accordance with, the laws of the State of New York without regard to principles of conflicts of law that would result in the application of the substantive law of another jurisdiction. The parties hereto agree that any action, proceeding or claim arising out of or relating in any way to this letter agreement shall be resolved through final and binding arbitration in accordance with the International Arbitration Rules of the American Arbitration Association (“</w:t>
      </w:r>
      <w:r>
        <w:rPr>
          <w:rFonts w:ascii="Times New Roman" w:cs="Times New Roman" w:eastAsia="Times New Roman" w:hAnsi="Times New Roman"/>
          <w:sz w:val="18"/>
          <w:szCs w:val="18"/>
          <w:b w:val="1"/>
          <w:bCs w:val="1"/>
          <w:i w:val="1"/>
          <w:iCs w:val="1"/>
          <w:color w:val="auto"/>
        </w:rPr>
        <w:t>AAA</w:t>
      </w:r>
      <w:r>
        <w:rPr>
          <w:rFonts w:ascii="Times New Roman" w:cs="Times New Roman" w:eastAsia="Times New Roman" w:hAnsi="Times New Roman"/>
          <w:sz w:val="18"/>
          <w:szCs w:val="18"/>
          <w:color w:val="auto"/>
        </w:rPr>
        <w:t>”). The arbitration shall be brought before the AAA International Center for Dispute Resolution’s offices in New York City, New York, will be conducted in English and will be decided by a panel of three arbitrators selected from the AAA Commercial Disputes Panel and that the arbitrator panel’s decision shall be final and enforceable by any court having jurisdiction over the party from whom enforcement is sought. The cost of such arbitrators and arbitration services, together with the prevailing party’s legal fees and expenses, shall be borne by the non-prevailing party or as otherwise directed by the arbitrators.</w:t>
      </w:r>
    </w:p>
    <w:p>
      <w:pPr>
        <w:spacing w:after="0" w:line="184" w:lineRule="exact"/>
        <w:rPr>
          <w:rFonts w:ascii="Times New Roman" w:cs="Times New Roman" w:eastAsia="Times New Roman" w:hAnsi="Times New Roman"/>
          <w:sz w:val="18"/>
          <w:szCs w:val="18"/>
          <w:color w:val="auto"/>
        </w:rPr>
      </w:pPr>
    </w:p>
    <w:p>
      <w:pPr>
        <w:jc w:val="both"/>
        <w:ind w:firstLine="1304"/>
        <w:spacing w:after="0" w:line="256" w:lineRule="auto"/>
        <w:tabs>
          <w:tab w:leader="none" w:pos="210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(i)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shall mean a merger, share exchange, asset acquisition, stock purchase, recapitalization, reorganization or other similar business combination with one or more businesses or entities; (ii) “</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 shall mean all officers, directors and stockholders of the Company immediately prior to the IPO; (iii) “</w:t>
      </w:r>
      <w:r>
        <w:rPr>
          <w:rFonts w:ascii="Times New Roman" w:cs="Times New Roman" w:eastAsia="Times New Roman" w:hAnsi="Times New Roman"/>
          <w:sz w:val="18"/>
          <w:szCs w:val="18"/>
          <w:b w:val="1"/>
          <w:bCs w:val="1"/>
          <w:i w:val="1"/>
          <w:iCs w:val="1"/>
          <w:color w:val="auto"/>
        </w:rPr>
        <w:t>Insider Shares</w:t>
      </w:r>
      <w:r>
        <w:rPr>
          <w:rFonts w:ascii="Times New Roman" w:cs="Times New Roman" w:eastAsia="Times New Roman" w:hAnsi="Times New Roman"/>
          <w:sz w:val="18"/>
          <w:szCs w:val="18"/>
          <w:color w:val="auto"/>
        </w:rPr>
        <w:t>” shall mean all of the shares of Common Stock of the Company acquired by an Insider prior to the IPO and the purchase of the Private Warrants; (iv) “</w:t>
      </w:r>
      <w:r>
        <w:rPr>
          <w:rFonts w:ascii="Times New Roman" w:cs="Times New Roman" w:eastAsia="Times New Roman" w:hAnsi="Times New Roman"/>
          <w:sz w:val="18"/>
          <w:szCs w:val="18"/>
          <w:b w:val="1"/>
          <w:bCs w:val="1"/>
          <w:i w:val="1"/>
          <w:iCs w:val="1"/>
          <w:color w:val="auto"/>
        </w:rPr>
        <w:t>IPO Shares</w:t>
      </w:r>
      <w:r>
        <w:rPr>
          <w:rFonts w:ascii="Times New Roman" w:cs="Times New Roman" w:eastAsia="Times New Roman" w:hAnsi="Times New Roman"/>
          <w:sz w:val="18"/>
          <w:szCs w:val="18"/>
          <w:color w:val="auto"/>
        </w:rPr>
        <w:t>” shall mean the shares of Common Stock issued in the Company’s IPO; (v) “</w:t>
      </w:r>
      <w:r>
        <w:rPr>
          <w:rFonts w:ascii="Times New Roman" w:cs="Times New Roman" w:eastAsia="Times New Roman" w:hAnsi="Times New Roman"/>
          <w:sz w:val="18"/>
          <w:szCs w:val="18"/>
          <w:b w:val="1"/>
          <w:bCs w:val="1"/>
          <w:i w:val="1"/>
          <w:iCs w:val="1"/>
          <w:color w:val="auto"/>
        </w:rPr>
        <w:t>Private Warrants</w:t>
      </w:r>
      <w:r>
        <w:rPr>
          <w:rFonts w:ascii="Times New Roman" w:cs="Times New Roman" w:eastAsia="Times New Roman" w:hAnsi="Times New Roman"/>
          <w:sz w:val="18"/>
          <w:szCs w:val="18"/>
          <w:color w:val="auto"/>
        </w:rPr>
        <w:t>” shall mean the warrants purchased in the private placement taking place simultaneously with the consummation of the Company’s IPO; (vi)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the registration statement on Form S-1 filed by the Company with respect to the IPO; and (vii) “</w:t>
      </w:r>
      <w:r>
        <w:rPr>
          <w:rFonts w:ascii="Times New Roman" w:cs="Times New Roman" w:eastAsia="Times New Roman" w:hAnsi="Times New Roman"/>
          <w:sz w:val="18"/>
          <w:szCs w:val="18"/>
          <w:b w:val="1"/>
          <w:bCs w:val="1"/>
          <w:i w:val="1"/>
          <w:iCs w:val="1"/>
          <w:color w:val="auto"/>
        </w:rPr>
        <w:t>Trust Fund</w:t>
      </w:r>
      <w:r>
        <w:rPr>
          <w:rFonts w:ascii="Times New Roman" w:cs="Times New Roman" w:eastAsia="Times New Roman" w:hAnsi="Times New Roman"/>
          <w:sz w:val="18"/>
          <w:szCs w:val="18"/>
          <w:color w:val="auto"/>
        </w:rPr>
        <w:t>” shall mean the trust fund into which a portion of the net proceeds of the Company’s IPO will be deposited.</w:t>
      </w:r>
    </w:p>
    <w:p>
      <w:pPr>
        <w:spacing w:after="0" w:line="18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Representative: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Jonas Grossman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(646) 465-9002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Greenberg Traurig,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1750 Tysons Boulevard, Suite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 22102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Alan Annex; Jason Simon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annexa@gtlaw.com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simonj@gtlaw.com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(212) 801-6400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Edward Scheetz</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Mitchell S. Nussbaum and Giovanni Caruso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(212) 504-3013</w:t>
      </w:r>
    </w:p>
    <w:p>
      <w:pPr>
        <w:spacing w:after="0" w:line="207" w:lineRule="exact"/>
        <w:rPr>
          <w:sz w:val="20"/>
          <w:szCs w:val="20"/>
          <w:color w:val="auto"/>
        </w:rPr>
      </w:pPr>
    </w:p>
    <w:p>
      <w:pPr>
        <w:jc w:val="both"/>
        <w:ind w:firstLine="1304"/>
        <w:spacing w:after="0" w:line="266" w:lineRule="auto"/>
        <w:tabs>
          <w:tab w:leader="none" w:pos="156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hereto may assign either this letter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letter agreement shall be binding on the parties hereto and any successors and assigns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2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understands that the Underwriters and the Company will rely upon the agreements, representations and warranties set forth herein in proceeding with the IPO. Nothing contained herein shall be deemed to render the Underwriters a representative of, or a fiduciary with respect to, the Company, its stockholders or any creditor or vendor of the company with respect to the subject matter hereof.</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653" w:gutter="0" w:footer="0" w:header="0"/>
        </w:sectPr>
      </w:pPr>
    </w:p>
    <w:bookmarkStart w:id="141" w:name="page142"/>
    <w:bookmarkEnd w:id="141"/>
    <w:p>
      <w:pPr>
        <w:ind w:left="56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CHARDAN INTERNATIONAL INVESTMENTS, LLC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Jonas Grossman</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Jonas Grossman</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bl>
    <w:p>
      <w:pPr>
        <w:spacing w:after="0" w:line="19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i w:val="1"/>
          <w:iCs w:val="1"/>
          <w:color w:val="auto"/>
        </w:rPr>
        <w:t>[Signature Page to Insider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42" w:name="page143"/>
    <w:bookmarkEnd w:id="142"/>
    <w:p>
      <w:pPr>
        <w:ind w:left="9820"/>
        <w:spacing w:after="0"/>
        <w:rPr>
          <w:sz w:val="20"/>
          <w:szCs w:val="20"/>
          <w:color w:val="auto"/>
        </w:rPr>
      </w:pPr>
      <w:r>
        <w:rPr>
          <w:rFonts w:ascii="Times New Roman" w:cs="Times New Roman" w:eastAsia="Times New Roman" w:hAnsi="Times New Roman"/>
          <w:sz w:val="18"/>
          <w:szCs w:val="18"/>
          <w:color w:val="auto"/>
        </w:rPr>
        <w:t>December 23,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This letter is being delivered to you in accordance with the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entered into by and between Ventoux CCM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Chardan Capital Markets, LLC, as representative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of the Underwriters named in Schedule A thereto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relating to an underwritten initial public offering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of the Company’s units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each comprised of one share of Common Stock of the Company,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one right to receive one-twentieth of one share of Common Stock, and one warrant, with each warrant being exercisable to purchase one-half of one share of Common Stock at a price of $11.50 per full share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Certain capitalized terms used herein are defined in paragraph 12 hereof.</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 order to induce the Company and the Underwriters to enter into the Underwriting Agreement and to proceed with the IPO, and in recognition of the benefit that such IPO will confer upon the undersigned as a stockholder of the Company, and for other good and valuable consideration, the receipt and sufficiency of which are hereby acknowledged, the undersigned hereby agrees with the Company as follows:</w:t>
      </w:r>
    </w:p>
    <w:p>
      <w:pPr>
        <w:spacing w:after="0" w:line="176" w:lineRule="exact"/>
        <w:rPr>
          <w:sz w:val="20"/>
          <w:szCs w:val="20"/>
          <w:color w:val="auto"/>
        </w:rPr>
      </w:pPr>
    </w:p>
    <w:p>
      <w:pPr>
        <w:ind w:firstLine="1304"/>
        <w:spacing w:after="0" w:line="282" w:lineRule="auto"/>
        <w:tabs>
          <w:tab w:leader="none" w:pos="147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solicits approval of its shareholders of a Business Combination, the undersigned will vote all shares of Common Stock beneficially owned by him, her or it, whether acquired before, in or after the IPO, in favor of such Business Combination.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03"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event that the Company fails to consummate a Business Combination within 15 months (or in the event the Company extended the time to complete a Business Combination up to 18 months) from the closing of the Company’s IPO, the undersigned shall take all reasonable steps to (i) cause the Trust Fund to be liquidated and distributed to the holders of IPO Shares and (ii) cause the Company to liquidate as promptly as reasonably possible but not more than five business days after the date we are required to consummate a Business Combination.</w:t>
      </w:r>
    </w:p>
    <w:p>
      <w:pPr>
        <w:spacing w:after="0" w:line="179" w:lineRule="exact"/>
        <w:rPr>
          <w:rFonts w:ascii="Times New Roman" w:cs="Times New Roman" w:eastAsia="Times New Roman" w:hAnsi="Times New Roman"/>
          <w:sz w:val="18"/>
          <w:szCs w:val="18"/>
          <w:color w:val="auto"/>
        </w:rPr>
      </w:pPr>
    </w:p>
    <w:p>
      <w:pPr>
        <w:jc w:val="both"/>
        <w:ind w:firstLine="1693"/>
        <w:spacing w:after="0" w:line="258" w:lineRule="auto"/>
        <w:tabs>
          <w:tab w:leader="none" w:pos="1947"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waives any and all right, title, interest or claim of any kind in or to any distribution of the Trust Fund and any remaining net assets of the Company as a result of such liquidation with respect to any shares he, she or it owns, including his, her or its Insider Shares, IPO Shares and Private Warrants purchased during or after the offering, if any,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and hereby waives any Claim the undersigned may have in the future as a result of, or arising out of, any contracts or agreements with the Company and will not seek recourse against the Trust Fund for any reason whatsoever.</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484"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will place into escrow all of his, her or its Insider Shares pursuant to the terms of a Stock Escrow Agreement which the Company will enter into with the undersigned and an escrow agent acceptable to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8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minimize potential conflicts of interest which may arise from multiple affiliations, the undersigned agrees to present to the Company for its consideration, prior to presentation to any other person or entity, any suitable opportunity to acquire a target business, until the earlier of the consummation by the Company of a Business Combination or the liquidation of the Company, subject to any pre-existing fiduciary and contractual obligations the undersigned might have.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3" w:name="page144"/>
    <w:bookmarkEnd w:id="143"/>
    <w:p>
      <w:pPr>
        <w:jc w:val="both"/>
        <w:ind w:firstLine="1304"/>
        <w:spacing w:after="0" w:line="258" w:lineRule="auto"/>
        <w:tabs>
          <w:tab w:leader="none" w:pos="148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agrees that prior to entering into a Business Combination with a target business that is affiliated with any Insiders of the Company or their affiliates, including any company that is a portfolio company of, or otherwise affiliated with, or has received financial investment from, an entity with which any Insider or their affiliates is affiliated, such transaction must be approved by a majority of the Company’s disinterested independent directors and the Company must obtain an opinion from an independent investment banking firm that such Business Combination is fair to the Company’s unaffiliated stockholders from a financial point of view.</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8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undersigned, any member of the family of the undersigned, nor any affiliate of the undersigned will be entitled to receive or accept a finder’s fee or any other compensation in the event the undersigned, any member of the family of the undersigned or any affiliate of the undersigned originates a Business Combination.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undersigned’s FINRA Questionnaire and Director and Officer Questionnaire previously furnished to the Company and the Representative is true and accurate in all material respects. The undersigned represents and warrants that, except as disclosed in the undersigned’s Director and Officer Questionnaire: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had a petition under the federal bankruptcy laws or any state insolvency law been filed by or against (i) him/her/it or any partnership in which he/she/it was a general partner at or within two years before the time of filing; or (ii) any corporation or business association of which he/she/it was an executive officer at or within two years before the time of such filing;</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had a receiver, fiscal agent or similar officer been appointed by a court for his/her/its business or property, or any such partnership;</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of fraud in a civil or criminal proceeding;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in a criminal proceeding or named the subject of a pending criminal proceeding (excluding traffic violations and minor offenses);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any order, judgment or decree, not subsequently reversed, suspended or vacated, of any court of competent jurisdiction, permanently or temporarily enjoining or otherwise limiting him/her/it from (i) acting as a futures commission merchant, introducing broker, commodity trading advisor, commodity pool operator, floor broker, leverage transaction merchant, any other person regulated by the Commodity Futures Trading Commission (“</w:t>
      </w:r>
      <w:r>
        <w:rPr>
          <w:rFonts w:ascii="Times New Roman" w:cs="Times New Roman" w:eastAsia="Times New Roman" w:hAnsi="Times New Roman"/>
          <w:sz w:val="18"/>
          <w:szCs w:val="18"/>
          <w:b w:val="1"/>
          <w:bCs w:val="1"/>
          <w:i w:val="1"/>
          <w:iCs w:val="1"/>
          <w:color w:val="auto"/>
        </w:rPr>
        <w:t>CFTC</w:t>
      </w:r>
      <w:r>
        <w:rPr>
          <w:rFonts w:ascii="Times New Roman" w:cs="Times New Roman" w:eastAsia="Times New Roman" w:hAnsi="Times New Roman"/>
          <w:sz w:val="18"/>
          <w:szCs w:val="18"/>
          <w:color w:val="auto"/>
        </w:rPr>
        <w:t>”) or an associated person of any of the foregoing, or as an investment adviser, underwriter, broker or dealer in securities, or as an affiliated person, director or employee of any investment company, bank, savings and loan association or insurance company, or from engaging in or continuing any conduct or practice in connection with any such activity; or (ii) engaging in any type of business practice; or (iii) engaging in any activity in connection with the purchase or sale of any security or commodity or in connection with any violation of federal or state securities or federal commodities laws;</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any order, judgment or decree, not subsequently reversed, suspended or vacated, of any federal or state authority barring, suspending or otherwise limiting for more than 60 days his/her/its right to engage in any activity described in 7(e)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above, or to be associated with persons engaged in any such activity;</w:t>
      </w:r>
    </w:p>
    <w:p>
      <w:pPr>
        <w:spacing w:after="0" w:line="206"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found by a court of competent jurisdiction in a civil action or by the SEC to have violated any federal or state securities law, where the judgment in such civil action or finding by the SEC has not been subsequently reversed, suspended or vacated;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found by a court of competent jurisdiction in a civil action or by the CFTC to have violated any federal commodities law, where the judgment in such civil action or finding by the CFTC has not been subsequently reversed, suspended or vacated;</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4" w:name="page145"/>
    <w:bookmarkEnd w:id="144"/>
    <w:p>
      <w:pPr>
        <w:jc w:val="both"/>
        <w:ind w:left="644" w:hanging="644"/>
        <w:spacing w:after="0" w:line="258" w:lineRule="auto"/>
        <w:tabs>
          <w:tab w:leader="none" w:pos="64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or a party to, any Federal or State judicial or administrative order, judgment, decree or finding, not subsequently reversed, suspended or vacated, relating to an alleged violation of (i) any Federal or State securities or commodities law or regulation, (ii) any law or regulation respecting financial institutions or insurance companies including, but not limited to, a temporary or permanent injunction, order of disgorgement or restitution, civil money penalty or temporary or permanent cease-and desist order, or removal or prohibition order or (iii) any law or regulation prohibiting mail or wire fraud or fraud in connection with any business entity;</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or party to, any sanction or order, not subsequently reversed, suspended or vacated, or any self-regulatory organization, any registered entity, or any equivalent exchange, association, entity or organization that has disciplinary authority over its members or persons associated with a member;</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of any felony or misdemeanor: (i) in connection with the purchase or sale of any security; (ii) involving the making of any false filing with the SEC; or (iii) arising out of the conduct of the business of an underwriter, broker, dealer, municipal securities dealer, investment advisor or paid solicitor of purchasers of securities;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was never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is based on a violation of any law or regulation that prohibits fraudulent, manipulative, or deceptive conduct;</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any order, judgment or decree of any court of competent jurisdiction, that, at the time of such sale, restrained or enjoined him/her/it from engaging or continuing to engage in any conduct or practice: (i) in connection with the purchase or sale of any security; (ii) involving the making of any false filing with the SEC; or (iii) arising out of the conduct of the business of an underwriter, broker, dealer, municipal securities dealer, investment adviser or paid solicitor of purchasers of securities;</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any order of the SEC that orders him/her/it to cease and desist from committing or causing a future violation of: (i) any scienter-based anti-fraud provision of the federal securities laws, including, but not limited to, Section 17(a)(1) of the Securities Act, Section 10(b) of the Exchange Act and Rule 10b-5 thereunder, and Section 206(1) of the Advisers Act or any other rule or regulation thereunder; or (ii) Section 5 of the Securities Act;</w:t>
      </w:r>
    </w:p>
    <w:p>
      <w:pPr>
        <w:spacing w:after="0" w:line="179" w:lineRule="exact"/>
        <w:rPr>
          <w:rFonts w:ascii="Times New Roman" w:cs="Times New Roman" w:eastAsia="Times New Roman" w:hAnsi="Times New Roman"/>
          <w:sz w:val="18"/>
          <w:szCs w:val="18"/>
          <w:color w:val="auto"/>
        </w:rPr>
      </w:pPr>
    </w:p>
    <w:p>
      <w:pPr>
        <w:jc w:val="both"/>
        <w:ind w:left="644" w:right="20" w:hanging="644"/>
        <w:spacing w:after="0" w:line="266" w:lineRule="auto"/>
        <w:tabs>
          <w:tab w:leader="none" w:pos="64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named as an underwriter in any registration statement or Regulation A offering statement filed with the SEC that was the subject of a refusal order, stop order, or order suspending the Regulation A exemption, or is, currently, the subject of an investigation or proceeding to determine whether a stop order or suspension order should be issued;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 United States Postal Service false representation order, or is currently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is not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bars the undersigned from: (i) association with an entity regulated by such commission, authority, agency or officer; (ii) engaging in the business of securities, insurance or banking; or (iii) engaging in savings association or credit union activities;</w:t>
      </w:r>
    </w:p>
    <w:p>
      <w:pPr>
        <w:spacing w:after="0" w:line="39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5" w:name="page146"/>
    <w:bookmarkEnd w:id="145"/>
    <w:p>
      <w:pPr>
        <w:jc w:val="both"/>
        <w:ind w:left="1300" w:hanging="644"/>
        <w:spacing w:after="0" w:line="258" w:lineRule="auto"/>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is not subject to an order of the SEC entered pursuant to section 15(b) or 15B(c) of the Securities Exchange Act of 1934 (the “Exchange Act”) or section 203(e) or 203(f) of the Investment Advisers Act of 1940 (the “Advisers Act”) that: (i) suspends or revokes the undersigned’s registration as a broker, dealer, municipal securities dealer or investment adviser; (ii) places limitations on the activities, functions or operations of, or imposes civil money penalties on, such person; or (iii) bars the undersigned from being associated with any entity or from participating in the offering of any penny stock; and</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suspended or expelled from membership in, or suspended or barred from association with a member of, a securities self-regulatory organization (e.g., a registered national securities exchange or a registered national or affiliated securities association) for any act or omission to act constituting conduct inconsistent with just and equitable principles of trade.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49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full right and power, without violating any agreement by which he, she or it is bound, to enter into this letter agreement and to serve as a director or officer of the Company, as applicable.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47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waives his, her or its right to exercise conversion rights with respect to any shares of Common Stock owned or to be owned by the undersigned, directly or indirectly, whether purchased by the undersigned prior to the IPO, in the IPO or in the aftermarket, and agrees that he, she or it will not seek conversion with respect to or otherwise sell, such shares in connection with any vote to approve a Business Combination with respect thereto, a vote to amend the provisions of the Company’s Amended and Restated Certificate of Incorporation, or a tender offer by the Company prior to a Business Combination.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04"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agrees to not propose, or vote in favor of, an amendment to the Company’s Amended and Restated Certificate of Incorporation with respect to stockholder’s rights or the Company’s pre-Business Combination activities (including the substance or timing within which we have to complete a business combination) of a Business Combination unless the Company offers holders of IPO Shares the right to receive their pro rata portion of the funds then held in the Trust Fund upon approval of any amendment.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5"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Section 5-1401 of the General Obligations Law of the State of New York, this letter agreement shall be governed by, and construed in accordance with, the laws of the State of New York without regard to principles of conflicts of law that would result in the application of the substantive law of another jurisdiction. The parties hereto agree that any action, proceeding or claim arising out of or relating in any way to this letter agreement shall be resolved through final and binding arbitration in accordance with the International Arbitration Rules of the American Arbitration Association (“</w:t>
      </w:r>
      <w:r>
        <w:rPr>
          <w:rFonts w:ascii="Times New Roman" w:cs="Times New Roman" w:eastAsia="Times New Roman" w:hAnsi="Times New Roman"/>
          <w:sz w:val="18"/>
          <w:szCs w:val="18"/>
          <w:b w:val="1"/>
          <w:bCs w:val="1"/>
          <w:i w:val="1"/>
          <w:iCs w:val="1"/>
          <w:color w:val="auto"/>
        </w:rPr>
        <w:t>AAA</w:t>
      </w:r>
      <w:r>
        <w:rPr>
          <w:rFonts w:ascii="Times New Roman" w:cs="Times New Roman" w:eastAsia="Times New Roman" w:hAnsi="Times New Roman"/>
          <w:sz w:val="18"/>
          <w:szCs w:val="18"/>
          <w:color w:val="auto"/>
        </w:rPr>
        <w:t>”). The arbitration shall be brought before the AAA International Center for Dispute Resolution’s offices in New York City, New York, will be conducted in English and will be decided by a panel of three arbitrators selected from the AAA Commercial Disputes Panel and that the arbitrator panel’s decision shall be final and enforceable by any court having jurisdiction over the party from whom enforcement is sought. The cost of such arbitrators and arbitration services, together with the prevailing party’s legal fees and expenses, shall be borne by the non-prevailing party or as otherwise directed by the arbitrators.</w:t>
      </w:r>
    </w:p>
    <w:p>
      <w:pPr>
        <w:spacing w:after="0" w:line="18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33"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(i)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shall mean a merger, share exchange, asset acquisition, stock purchase, recapitalization, reorganization or other similar business combination with one or more businesses or entities; (ii) “</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 shall mean all officers, directors and stockholders of the Company immediately prior to the IPO; (iii) “</w:t>
      </w:r>
      <w:r>
        <w:rPr>
          <w:rFonts w:ascii="Times New Roman" w:cs="Times New Roman" w:eastAsia="Times New Roman" w:hAnsi="Times New Roman"/>
          <w:sz w:val="18"/>
          <w:szCs w:val="18"/>
          <w:b w:val="1"/>
          <w:bCs w:val="1"/>
          <w:i w:val="1"/>
          <w:iCs w:val="1"/>
          <w:color w:val="auto"/>
        </w:rPr>
        <w:t>Insider Shares</w:t>
      </w:r>
      <w:r>
        <w:rPr>
          <w:rFonts w:ascii="Times New Roman" w:cs="Times New Roman" w:eastAsia="Times New Roman" w:hAnsi="Times New Roman"/>
          <w:sz w:val="18"/>
          <w:szCs w:val="18"/>
          <w:color w:val="auto"/>
        </w:rPr>
        <w:t>” shall mean all of the shares of Common Stock of the Company acquired by an Insider prior to the IPO and the purchase of the Private Warrants; (iv) “</w:t>
      </w:r>
      <w:r>
        <w:rPr>
          <w:rFonts w:ascii="Times New Roman" w:cs="Times New Roman" w:eastAsia="Times New Roman" w:hAnsi="Times New Roman"/>
          <w:sz w:val="18"/>
          <w:szCs w:val="18"/>
          <w:b w:val="1"/>
          <w:bCs w:val="1"/>
          <w:i w:val="1"/>
          <w:iCs w:val="1"/>
          <w:color w:val="auto"/>
        </w:rPr>
        <w:t>IPO Shares</w:t>
      </w:r>
      <w:r>
        <w:rPr>
          <w:rFonts w:ascii="Times New Roman" w:cs="Times New Roman" w:eastAsia="Times New Roman" w:hAnsi="Times New Roman"/>
          <w:sz w:val="18"/>
          <w:szCs w:val="18"/>
          <w:color w:val="auto"/>
        </w:rPr>
        <w:t>” shall mean the shares of Common Stock issued in the Company’s IPO; (v) “</w:t>
      </w:r>
      <w:r>
        <w:rPr>
          <w:rFonts w:ascii="Times New Roman" w:cs="Times New Roman" w:eastAsia="Times New Roman" w:hAnsi="Times New Roman"/>
          <w:sz w:val="18"/>
          <w:szCs w:val="18"/>
          <w:b w:val="1"/>
          <w:bCs w:val="1"/>
          <w:i w:val="1"/>
          <w:iCs w:val="1"/>
          <w:color w:val="auto"/>
        </w:rPr>
        <w:t>Private Warrants</w:t>
      </w:r>
      <w:r>
        <w:rPr>
          <w:rFonts w:ascii="Times New Roman" w:cs="Times New Roman" w:eastAsia="Times New Roman" w:hAnsi="Times New Roman"/>
          <w:sz w:val="18"/>
          <w:szCs w:val="18"/>
          <w:color w:val="auto"/>
        </w:rPr>
        <w:t>” shall mean the warrants purchased in the private placement taking place simultaneously with the consummation of the Company’s IPO; (vi)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the registration statement on Form S-1 filed by the Company with respect to the IPO; and (vii) “</w:t>
      </w:r>
      <w:r>
        <w:rPr>
          <w:rFonts w:ascii="Times New Roman" w:cs="Times New Roman" w:eastAsia="Times New Roman" w:hAnsi="Times New Roman"/>
          <w:sz w:val="18"/>
          <w:szCs w:val="18"/>
          <w:b w:val="1"/>
          <w:bCs w:val="1"/>
          <w:i w:val="1"/>
          <w:iCs w:val="1"/>
          <w:color w:val="auto"/>
        </w:rPr>
        <w:t>Trust Fund</w:t>
      </w:r>
      <w:r>
        <w:rPr>
          <w:rFonts w:ascii="Times New Roman" w:cs="Times New Roman" w:eastAsia="Times New Roman" w:hAnsi="Times New Roman"/>
          <w:sz w:val="18"/>
          <w:szCs w:val="18"/>
          <w:color w:val="auto"/>
        </w:rPr>
        <w:t>” shall mean the trust fund into which a portion of the net proceeds of the Company’s IPO will be deposited.</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jc w:val="both"/>
        <w:ind w:right="20" w:firstLine="1304"/>
        <w:spacing w:after="0" w:line="266" w:lineRule="auto"/>
        <w:tabs>
          <w:tab w:leader="none" w:pos="158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Representative: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Jonas Grossman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(646) 465-9002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Greenberg Traurig,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1750 Tysons Boulevard, Suite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 22102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Alan Annex; Jason Simon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annexa@gtlaw.com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simonj@gtlaw.com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(212) 801-6400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Edward Scheetz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Mitchell S. Nussbaum and Giovanni Caruso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(212) 504-3013</w:t>
      </w:r>
    </w:p>
    <w:p>
      <w:pPr>
        <w:spacing w:after="0" w:line="207" w:lineRule="exact"/>
        <w:rPr>
          <w:sz w:val="20"/>
          <w:szCs w:val="20"/>
          <w:color w:val="auto"/>
        </w:rPr>
      </w:pPr>
    </w:p>
    <w:p>
      <w:pPr>
        <w:jc w:val="both"/>
        <w:ind w:firstLine="1304"/>
        <w:spacing w:after="0" w:line="266" w:lineRule="auto"/>
        <w:tabs>
          <w:tab w:leader="none" w:pos="156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hereto may assign either this letter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letter agreement shall be binding on the parties hereto and any successors and assigns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33"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understands that the Underwriters and the Company will rely upon the agreements, representations and warranties set forth herein in proceeding with the IPO. Nothing contained herein shall be deemed to render the Underwriters a representative of, or a fiduciary with respect to, the Company, its stockholders or any creditor or vendor of the company with respect to the subject matter hereof.</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7" w:name="page148"/>
    <w:bookmarkEnd w:id="147"/>
    <w:p>
      <w:pPr>
        <w:ind w:left="56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CINDAT USA LLC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Gang Peng</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Gang (Greg) Peng</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i w:val="1"/>
          <w:iCs w:val="1"/>
          <w:color w:val="auto"/>
        </w:rPr>
        <w:t>[Signature Page to Insider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31" w:right="339" w:bottom="1440" w:gutter="0" w:footer="0" w:header="0"/>
        </w:sectPr>
      </w:pPr>
    </w:p>
    <w:bookmarkStart w:id="148" w:name="page149"/>
    <w:bookmarkEnd w:id="148"/>
    <w:p>
      <w:pPr>
        <w:ind w:left="9820"/>
        <w:spacing w:after="0"/>
        <w:rPr>
          <w:sz w:val="20"/>
          <w:szCs w:val="20"/>
          <w:color w:val="auto"/>
        </w:rPr>
      </w:pPr>
      <w:r>
        <w:rPr>
          <w:rFonts w:ascii="Times New Roman" w:cs="Times New Roman" w:eastAsia="Times New Roman" w:hAnsi="Times New Roman"/>
          <w:sz w:val="18"/>
          <w:szCs w:val="18"/>
          <w:color w:val="auto"/>
        </w:rPr>
        <w:t>December 23,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This letter is being delivered to you in accordance with the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entered into by and between Ventoux CCM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Chardan Capital Markets, LLC, as representative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of the Underwriters named in Schedule A thereto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relating to an underwritten initial public offering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of the Company’s units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each comprised of one share of Common Stock of the Company,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one right to receive one-twentieth of one share of Common Stock, and one warrant, with each warrant being exercisable to purchase one-half of one share of Common Stock at a price of $11.50 per full share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Certain capitalized terms used herein are defined in paragraph 13 hereof.</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 order to induce the Company and the Underwriters to enter into the Underwriting Agreement and to proceed with the IPO, and in recognition of the benefit that such IPO will confer upon the undersigned as a stockholder of the Company, and for other good and valuable consideration, the receipt and sufficiency of which are hereby acknowledged, the undersigned hereby agrees with the Company as follows:</w:t>
      </w:r>
    </w:p>
    <w:p>
      <w:pPr>
        <w:spacing w:after="0" w:line="176" w:lineRule="exact"/>
        <w:rPr>
          <w:sz w:val="20"/>
          <w:szCs w:val="20"/>
          <w:color w:val="auto"/>
        </w:rPr>
      </w:pPr>
    </w:p>
    <w:p>
      <w:pPr>
        <w:ind w:firstLine="1304"/>
        <w:spacing w:after="0" w:line="282" w:lineRule="auto"/>
        <w:tabs>
          <w:tab w:leader="none" w:pos="1478"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solicits approval of its shareholders of a Business Combination, the undersigned will vote all shares of Common Stock beneficially owned by him, her or it, whether acquired before, in or after the IPO, in favor of such Business Combination.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03"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event that the Company fails to consummate a Business Combination within 15 months (or in the event the Company extended the time to complete a Business Combination up to 18 months) from the closing of the Company’s IPO, the undersigned shall take all reasonable steps to (i) cause the Trust Fund to be liquidated and distributed to the holders of IPO Shares and (ii) cause the Company to liquidate as promptly as reasonably possible but not more than five business days after the date we are required to consummate a Business Combination.</w:t>
      </w:r>
    </w:p>
    <w:p>
      <w:pPr>
        <w:spacing w:after="0" w:line="179" w:lineRule="exact"/>
        <w:rPr>
          <w:rFonts w:ascii="Times New Roman" w:cs="Times New Roman" w:eastAsia="Times New Roman" w:hAnsi="Times New Roman"/>
          <w:sz w:val="18"/>
          <w:szCs w:val="18"/>
          <w:color w:val="auto"/>
        </w:rPr>
      </w:pPr>
    </w:p>
    <w:p>
      <w:pPr>
        <w:jc w:val="both"/>
        <w:ind w:firstLine="1498"/>
        <w:spacing w:after="0" w:line="256" w:lineRule="auto"/>
        <w:tabs>
          <w:tab w:leader="none" w:pos="1751"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waives any and all right, title, interest or claim of any kind in or to any distribution of the Trust Fund and any remaining net assets of the Company as a result of such liquidation with respect to any shares he, she or it owns, including his, her or its Insider Shares, IPO Shares and Private Warrants purchased during or after the offering, if any,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and hereby waives any Claim the undersigned may have in the future as a result of, or arising out of, any contracts or agreements with the Company and will not seek recourse against the Trust Fund for any reason whatsoever. The undersigned acknowledges and agrees that there will be no distribution from the Trust Fund with respect to any Common Stock underlying the Private Warrants, all rights of which will terminate on the Company’s liquidation.</w:t>
      </w:r>
    </w:p>
    <w:p>
      <w:pPr>
        <w:spacing w:after="0" w:line="187" w:lineRule="exact"/>
        <w:rPr>
          <w:rFonts w:ascii="Times New Roman" w:cs="Times New Roman" w:eastAsia="Times New Roman" w:hAnsi="Times New Roman"/>
          <w:sz w:val="18"/>
          <w:szCs w:val="18"/>
          <w:color w:val="auto"/>
        </w:rPr>
      </w:pPr>
    </w:p>
    <w:p>
      <w:pPr>
        <w:jc w:val="both"/>
        <w:ind w:firstLine="1498"/>
        <w:spacing w:after="0" w:line="256" w:lineRule="auto"/>
        <w:tabs>
          <w:tab w:leader="none" w:pos="1741"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the liquidation of the Trust Fund, the undersigned agrees to indemnify and hold harmless the Company against any and all loss, liability, claims, damage and expense whatsoever (including, but not limited to, any and all legal or other expenses reasonably incurred in investigating, preparing or defending against any litigation, whether pending or threatened, or any claim whatsoever) which the Company may become subject as a result of any claim by any vendor or other person who is owed money by the Company for services rendered or products sold or contracted for, but only to the extent necessary to ensure that such loss, liability, claim, damage or expense does not reduce the amount of funds in the Trust 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indemnity shall not apply if such vendor or other person has executed an agreement waiving any claims against the Trust Fund.</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jc w:val="both"/>
        <w:ind w:firstLine="1498"/>
        <w:spacing w:after="0" w:line="266" w:lineRule="auto"/>
        <w:tabs>
          <w:tab w:leader="none" w:pos="1757"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does not consummate a Business Combination and must liquidate and its remaining net assets are insufficient to complete such liquidation, the undersigned agrees to advance such funds necessary to complete such liquidation and agrees not to seek repayment for such expenses.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481"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will place into escrow all of his, her or its Insider Shares pursuant to the terms of a Stock Escrow Agreement which the Company will enter into with the undersigned and an escrow agent acceptable to the Company.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49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agrees that until the Company consummates a Business Combination, the undersigned’s Private Warrants will be subject to the transfer restrictions described in the Subscription Agreement relating to the undersigned’s Private Warrants.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82"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minimize potential conflicts of interest which may arise from multiple affiliations, the undersigned agrees to present to the Company for its consideration, prior to presentation to any other person or entity, any suitable opportunity to acquire a target business, until the earlier of the consummation by the Company of a Business Combination or the liquidation of the Company, subject to any pre-existing fiduciary and contractual obligations the undersigned might have.</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486"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agrees that prior to entering into a Business Combination with a target business that is affiliated with any Insiders of the Company or their affiliates, including any company that is a portfolio company of, or otherwise affiliated with, or has received financial investment from, an entity with which any Insider or their affiliates is affiliated, such transaction must be approved by a majority of the Company’s disinterested independent directors and the Company must obtain an opinion from an independent investment banking firm that such Business Combination is fair to the Company’s unaffiliated stockholders from a financial point of view.</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85"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undersigned, any member of the family of the undersigned, nor any affiliate of the undersigned will be entitled to receive or accept a finder’s fee or any other compensation in the event the undersigned, any member of the family of the undersigned or any affiliate of the undersigned originates a Business Combination.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11"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undersigned’s FINRA Questionnaire and Director and Officer Questionnaire previously furnished to the Company and the Representative is true and accurate in all material respects. The undersigned represents and warrants that, except as disclosed in the undersigned’s Director and Officer Questionnaire: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had a petition under the federal bankruptcy laws or any state insolvency law been filed by or against (i) him/her/it or any partnership in which he/she/it was a general partner at or within two years before the time of filing; or (ii) any corporation or business association of which he/she/it was an executive officer at or within two years before the time of such filing;</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had a receiver, fiscal agent or similar officer been appointed by a court for his/her/its business or property, or any such partnership;</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of fraud in a civil or criminal proceeding;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in a criminal proceeding or named the subject of a pending criminal proceeding (excluding traffic violations and minor offenses);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0" w:name="page151"/>
    <w:bookmarkEnd w:id="150"/>
    <w:p>
      <w:pPr>
        <w:jc w:val="both"/>
        <w:ind w:left="644" w:hanging="644"/>
        <w:spacing w:after="0" w:line="254" w:lineRule="auto"/>
        <w:tabs>
          <w:tab w:leader="none" w:pos="64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any order, judgment or decree, not subsequently reversed, suspended or vacated, of any court of competent jurisdiction, permanently or temporarily enjoining or otherwise limiting him/her/it from (i) acting as a futures commission merchant, introducing broker, commodity trading advisor, commodity pool operator, floor broker, leverage transaction merchant, any other person regulated by the Commodity Futures Trading Commission (“</w:t>
      </w:r>
      <w:r>
        <w:rPr>
          <w:rFonts w:ascii="Times New Roman" w:cs="Times New Roman" w:eastAsia="Times New Roman" w:hAnsi="Times New Roman"/>
          <w:sz w:val="18"/>
          <w:szCs w:val="18"/>
          <w:b w:val="1"/>
          <w:bCs w:val="1"/>
          <w:i w:val="1"/>
          <w:iCs w:val="1"/>
          <w:color w:val="auto"/>
        </w:rPr>
        <w:t>CFTC</w:t>
      </w:r>
      <w:r>
        <w:rPr>
          <w:rFonts w:ascii="Times New Roman" w:cs="Times New Roman" w:eastAsia="Times New Roman" w:hAnsi="Times New Roman"/>
          <w:sz w:val="18"/>
          <w:szCs w:val="18"/>
          <w:color w:val="auto"/>
        </w:rPr>
        <w:t>”) or an associated person of any of the foregoing, or as an investment adviser, underwriter, broker or dealer in securities, or as an affiliated person, director or employee of any investment company, bank, savings and loan association or insurance company, or from engaging in or continuing any conduct or practice in connection with any such activity; or (ii) engaging in any type of business practice; or (iii) engaging in any activity in connection with the purchase or sale of any security or commodity or in connection with any violation of federal or state securities or federal commodities laws;</w:t>
      </w:r>
    </w:p>
    <w:p>
      <w:pPr>
        <w:spacing w:after="0" w:line="188"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any order, judgment or decree, not subsequently reversed, suspended or vacated, of any federal or state authority barring, suspending or otherwise limiting for more than 60 days his/her/its right to engage in any activity described in 8(e)</w:t>
      </w: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above, or to be associated with persons engaged in any such activity;</w:t>
      </w:r>
    </w:p>
    <w:p>
      <w:pPr>
        <w:spacing w:after="0" w:line="206"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found by a court of competent jurisdiction in a civil action or by the SEC to have violated any federal or state securities law, where the judgment in such civil action or finding by the SEC has not been subsequently reversed, suspended or vacated;</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found by a court of competent jurisdiction in a civil action or by the CFTC to have violated any federal commodities law, where the judgment in such civil action or finding by the CFTC has not been subsequently reversed, suspended or vacated;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or a party to, any Federal or State judicial or administrative order, judgment, decree or finding, not subsequently reversed, suspended or vacated, relating to an alleged violation of (i) any Federal or State securities or commodities law or regulation, (ii) any law or regulation respecting financial institutions or insurance companies including, but not limited to, a temporary or permanent injunction, order of disgorgement or restitution, civil money penalty or temporary or permanent cease-and desist order, or removal or prohibition order or (iii) any law or regulation prohibiting mail or wire fraud or fraud in connection with any business entity;</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or party to, any sanction or order, not subsequently reversed, suspended or vacated, or any self-regulatory organization, any registered entity, or any equivalent exchange, association, entity or organization that has disciplinary authority over its members or persons associated with a member;</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of any felony or misdemeanor: (i) in connection with the purchase or sale of any security; (ii) involving the making of any false filing with the SEC; or (iii) arising out of the conduct of the business of an underwriter, broker, dealer, municipal securities dealer, investment advisor or paid solicitor of purchasers of securities;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was never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is based on a violation of any law or regulation that prohibits fraudulent, manipulative, or deceptive conduct;</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any order, judgment or decree of any court of competent jurisdiction, that, at the time of such sale, restrained or enjoined him/her/it from engaging or continuing to engage in any conduct or practice: (i) in connection with the purchase or sale of any security; (ii) involving the making of any false filing with the SEC; or (iii) arising out of the conduct of the business of an underwriter, broker, dealer, municipal securities dealer, investment adviser or paid solicitor of purchasers of securities;</w:t>
      </w:r>
    </w:p>
    <w:p>
      <w:pPr>
        <w:spacing w:after="0" w:line="38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51" w:name="page152"/>
    <w:bookmarkEnd w:id="151"/>
    <w:p>
      <w:pPr>
        <w:jc w:val="both"/>
        <w:ind w:left="1300" w:hanging="644"/>
        <w:spacing w:after="0" w:line="261" w:lineRule="auto"/>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any order of the SEC that orders him/her/it to cease and desist from committing or causing a future violation of: (i) any scienter-based anti-fraud provision of the federal securities laws, including, but not limited to, Section 17(a)(1) of the Securities Act, Section 10(b) of the Exchange Act and Rule 10b-5 thereunder, and Section 206(1) of the Advisers Act or any other rule or regulation thereunder; or (ii) Section 5 of the Securities Act;</w:t>
      </w:r>
    </w:p>
    <w:p>
      <w:pPr>
        <w:spacing w:after="0" w:line="179"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named as an underwriter in any registration statement or Regulation A offering statement filed with the SEC that was the subject of a refusal order, stop order, or order suspending the Regulation A exemption, or is, currently, the subject of an investigation or proceeding to determine whether a stop order or suspension order should be issued;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 United States Postal Service false representation order, or is currently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is not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bars the undersigned from: (i) association with an entity regulated by such commission, authority, agency or officer; (ii) engaging in the business of securities, insurance or banking; or (iii) engaging in savings association or credit union activities;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is not subject to an order of the SEC entered pursuant to section 15(b) or 15B(c) of the Securities Exchange Act of 1934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section 203(e) or 203(f) of the Investment Advisers Act of 1940 (the “</w:t>
      </w:r>
      <w:r>
        <w:rPr>
          <w:rFonts w:ascii="Times New Roman" w:cs="Times New Roman" w:eastAsia="Times New Roman" w:hAnsi="Times New Roman"/>
          <w:sz w:val="18"/>
          <w:szCs w:val="18"/>
          <w:b w:val="1"/>
          <w:bCs w:val="1"/>
          <w:i w:val="1"/>
          <w:iCs w:val="1"/>
          <w:color w:val="auto"/>
        </w:rPr>
        <w:t>Advisers Act</w:t>
      </w:r>
      <w:r>
        <w:rPr>
          <w:rFonts w:ascii="Times New Roman" w:cs="Times New Roman" w:eastAsia="Times New Roman" w:hAnsi="Times New Roman"/>
          <w:sz w:val="18"/>
          <w:szCs w:val="18"/>
          <w:color w:val="auto"/>
        </w:rPr>
        <w:t>”) that: (i) suspends or revokes the undersigned’s registration as a broker, dealer, municipal securities dealer or investment adviser; (ii) places limitations on the activities, functions or operations of, or imposes civil money penalties on, such person; or (iii) bars the undersigned from being associated with any entity or from participating in the offering of any penny stock; and</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suspended or expelled from membership in, or suspended or barred from association with a member of, a securities self-regulatory organization (e.g., a registered national securities exchange or a registered national or affiliated securities association) for any act or omission to act constituting conduct inconsistent with just and equitable principles of trade.</w:t>
      </w:r>
    </w:p>
    <w:p>
      <w:pPr>
        <w:spacing w:after="0" w:line="176" w:lineRule="exact"/>
        <w:rPr>
          <w:sz w:val="20"/>
          <w:szCs w:val="20"/>
          <w:color w:val="auto"/>
        </w:rPr>
      </w:pPr>
    </w:p>
    <w:p>
      <w:pPr>
        <w:ind w:right="20" w:firstLine="1304"/>
        <w:spacing w:after="0" w:line="282" w:lineRule="auto"/>
        <w:tabs>
          <w:tab w:leader="none" w:pos="1491"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full right and power, without violating any agreement by which he, she or it is bound, to enter into this letter agreement and to serve as a director or officer of the Company, as applicable.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waives his, her or its right to exercise conversion rights with respect to any shares of Common Stock owned or to be owned by the undersigned, directly or indirectly, whether purchased by the undersigned prior to the IPO, in the IPO or in the aftermarket, and agrees that he, she or it will not seek conversion with respect to or otherwise sell, such shares in connection with any vote to approve a Business Combination with respect thereto, a vote to amend the provisions of the Company’s Amended and Restated Certificate of Incorporation, or a tender offer by the Company prior to a Business Combination.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9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agrees to not propose, or vote in favor of, an amendment to the Company’s Amended and Restated Certificate of Incorporation with respect to stockholder’s rights or the Company’s pre-Business Combination activities (including the substance or timing within which we have to complete a business combination) of a Business Combination unless the Company offers holders of IPO Shares the right to receive their pro rata portion of the funds then held in the Trust Fund upon approval of any amendment.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2"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Section 5-1401 of the General Obligations Law of the State of New York, this letter agreement shall be governed by, and construed in accordance with, the laws of the State of New York without regard to principles of conflicts of law that would result in the application of the substantive law of another jurisdiction. The parties hereto agree that any action, proceeding or claim arising out of or relating in any way to this letter agreement shall be resolved through final and binding arbitration in accordance with the International Arbitration Rules of the American Arbitration Association (“</w:t>
      </w:r>
      <w:r>
        <w:rPr>
          <w:rFonts w:ascii="Times New Roman" w:cs="Times New Roman" w:eastAsia="Times New Roman" w:hAnsi="Times New Roman"/>
          <w:sz w:val="18"/>
          <w:szCs w:val="18"/>
          <w:b w:val="1"/>
          <w:bCs w:val="1"/>
          <w:i w:val="1"/>
          <w:iCs w:val="1"/>
          <w:color w:val="auto"/>
        </w:rPr>
        <w:t>AAA</w:t>
      </w:r>
      <w:r>
        <w:rPr>
          <w:rFonts w:ascii="Times New Roman" w:cs="Times New Roman" w:eastAsia="Times New Roman" w:hAnsi="Times New Roman"/>
          <w:sz w:val="18"/>
          <w:szCs w:val="18"/>
          <w:color w:val="auto"/>
        </w:rPr>
        <w:t>”). The arbitration shall be brought before the AAA International Center for Dispute Resolution’s offices in New York City, New York, will be conducted in English and will be decided by a panel of three arbitrators selected from the AAA Commercial Disputes Panel and that the arbitrator panel’s decision shall be final and enforceable by any court having jurisdiction over the party from whom enforcement is sought. The cost of such arbitrators and arbitration services, together with the prevailing party’s legal fees and expenses, shall be borne by the non-prevailing party or as otherwise directed by the arbitrators.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2" w:name="page153"/>
    <w:bookmarkEnd w:id="152"/>
    <w:p>
      <w:pPr>
        <w:jc w:val="both"/>
        <w:ind w:firstLine="1304"/>
        <w:spacing w:after="0" w:line="256" w:lineRule="auto"/>
        <w:tabs>
          <w:tab w:leader="none" w:pos="210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(i)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shall mean a merger, share exchange, asset acquisition, stock purchase, recapitalization, reorganization or other similar business combination with one or more businesses or entities; (ii) “</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 shall mean all officers, directors and stockholders of the Company immediately prior to the IPO; (iii) “</w:t>
      </w:r>
      <w:r>
        <w:rPr>
          <w:rFonts w:ascii="Times New Roman" w:cs="Times New Roman" w:eastAsia="Times New Roman" w:hAnsi="Times New Roman"/>
          <w:sz w:val="18"/>
          <w:szCs w:val="18"/>
          <w:b w:val="1"/>
          <w:bCs w:val="1"/>
          <w:i w:val="1"/>
          <w:iCs w:val="1"/>
          <w:color w:val="auto"/>
        </w:rPr>
        <w:t>Insider Shares</w:t>
      </w:r>
      <w:r>
        <w:rPr>
          <w:rFonts w:ascii="Times New Roman" w:cs="Times New Roman" w:eastAsia="Times New Roman" w:hAnsi="Times New Roman"/>
          <w:sz w:val="18"/>
          <w:szCs w:val="18"/>
          <w:color w:val="auto"/>
        </w:rPr>
        <w:t>” shall mean all of the shares of Common Stock of the Company acquired by an Insider prior to the IPO and the purchase of the Private Warrants; (iv) “</w:t>
      </w:r>
      <w:r>
        <w:rPr>
          <w:rFonts w:ascii="Times New Roman" w:cs="Times New Roman" w:eastAsia="Times New Roman" w:hAnsi="Times New Roman"/>
          <w:sz w:val="18"/>
          <w:szCs w:val="18"/>
          <w:b w:val="1"/>
          <w:bCs w:val="1"/>
          <w:i w:val="1"/>
          <w:iCs w:val="1"/>
          <w:color w:val="auto"/>
        </w:rPr>
        <w:t>IPO Shares</w:t>
      </w:r>
      <w:r>
        <w:rPr>
          <w:rFonts w:ascii="Times New Roman" w:cs="Times New Roman" w:eastAsia="Times New Roman" w:hAnsi="Times New Roman"/>
          <w:sz w:val="18"/>
          <w:szCs w:val="18"/>
          <w:color w:val="auto"/>
        </w:rPr>
        <w:t>” shall mean the shares of Common Stock issued in the Company’s IPO; (v) “</w:t>
      </w:r>
      <w:r>
        <w:rPr>
          <w:rFonts w:ascii="Times New Roman" w:cs="Times New Roman" w:eastAsia="Times New Roman" w:hAnsi="Times New Roman"/>
          <w:sz w:val="18"/>
          <w:szCs w:val="18"/>
          <w:b w:val="1"/>
          <w:bCs w:val="1"/>
          <w:i w:val="1"/>
          <w:iCs w:val="1"/>
          <w:color w:val="auto"/>
        </w:rPr>
        <w:t>Private Warrants</w:t>
      </w:r>
      <w:r>
        <w:rPr>
          <w:rFonts w:ascii="Times New Roman" w:cs="Times New Roman" w:eastAsia="Times New Roman" w:hAnsi="Times New Roman"/>
          <w:sz w:val="18"/>
          <w:szCs w:val="18"/>
          <w:color w:val="auto"/>
        </w:rPr>
        <w:t>” shall mean the warrants purchased in the private placement taking place simultaneously with the consummation of the Company’s IPO; (vi)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the registration statement on Form S-1 filed by the Company with respect to the IPO; and (vii) “</w:t>
      </w:r>
      <w:r>
        <w:rPr>
          <w:rFonts w:ascii="Times New Roman" w:cs="Times New Roman" w:eastAsia="Times New Roman" w:hAnsi="Times New Roman"/>
          <w:sz w:val="18"/>
          <w:szCs w:val="18"/>
          <w:b w:val="1"/>
          <w:bCs w:val="1"/>
          <w:i w:val="1"/>
          <w:iCs w:val="1"/>
          <w:color w:val="auto"/>
        </w:rPr>
        <w:t>Trust Fund</w:t>
      </w:r>
      <w:r>
        <w:rPr>
          <w:rFonts w:ascii="Times New Roman" w:cs="Times New Roman" w:eastAsia="Times New Roman" w:hAnsi="Times New Roman"/>
          <w:sz w:val="18"/>
          <w:szCs w:val="18"/>
          <w:color w:val="auto"/>
        </w:rPr>
        <w:t>” shall mean the trust fund into which a portion of the net proceeds of the Company’s IPO will be deposited.</w:t>
      </w:r>
    </w:p>
    <w:p>
      <w:pPr>
        <w:spacing w:after="0" w:line="18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Representative: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Jonas Grossman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(646) 465-9002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Greenberg Traurig,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1750 Tysons Boulevard, Suite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 22102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Alan Annex; Jason Simon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annexa@gtlaw.com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simonj@gtlaw.com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(212) 801-6400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Edward Scheetz</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Mitchell S. Nussbaum and Giovanni Caruso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(212) 504-3013</w:t>
      </w:r>
    </w:p>
    <w:p>
      <w:pPr>
        <w:spacing w:after="0" w:line="207" w:lineRule="exact"/>
        <w:rPr>
          <w:sz w:val="20"/>
          <w:szCs w:val="20"/>
          <w:color w:val="auto"/>
        </w:rPr>
      </w:pPr>
    </w:p>
    <w:p>
      <w:pPr>
        <w:jc w:val="both"/>
        <w:ind w:firstLine="1304"/>
        <w:spacing w:after="0" w:line="266" w:lineRule="auto"/>
        <w:tabs>
          <w:tab w:leader="none" w:pos="1566"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hereto may assign either this letter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letter agreement shall be binding on the parties hereto and any successors and assigns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2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understands that the Underwriters and the Company will rely upon the agreements, representations and warranties set forth herein in proceeding with the IPO. Nothing contained herein shall be deemed to render the Underwriters a representative of, or a fiduciary with respect to, the Company, its stockholders or any creditor or vendor of the company with respect to the subject matter hereof.</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3" w:name="page154"/>
    <w:bookmarkEnd w:id="153"/>
    <w:p>
      <w:pPr>
        <w:ind w:left="56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VENTOUX ACQUISITION HOLDINGS LLC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Scheetz</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Edward Scheetz</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MacDonald</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Matthew MacDonald</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6"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i w:val="1"/>
          <w:iCs w:val="1"/>
          <w:color w:val="auto"/>
        </w:rPr>
        <w:t>[Signature Page to Insider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447040</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54" w:name="page155"/>
    <w:bookmarkEnd w:id="154"/>
    <w:p>
      <w:pPr>
        <w:ind w:left="9820"/>
        <w:spacing w:after="0"/>
        <w:rPr>
          <w:sz w:val="20"/>
          <w:szCs w:val="20"/>
          <w:color w:val="auto"/>
        </w:rPr>
      </w:pPr>
      <w:r>
        <w:rPr>
          <w:rFonts w:ascii="Times New Roman" w:cs="Times New Roman" w:eastAsia="Times New Roman" w:hAnsi="Times New Roman"/>
          <w:sz w:val="18"/>
          <w:szCs w:val="18"/>
          <w:color w:val="auto"/>
        </w:rPr>
        <w:t>December 23,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Initial Public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Gentlemen:</w:t>
      </w:r>
    </w:p>
    <w:p>
      <w:pPr>
        <w:spacing w:after="0" w:line="221"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This letter is being delivered to you in accordance with the Underwriting Agreement (the “</w:t>
      </w:r>
      <w:r>
        <w:rPr>
          <w:rFonts w:ascii="Times New Roman" w:cs="Times New Roman" w:eastAsia="Times New Roman" w:hAnsi="Times New Roman"/>
          <w:sz w:val="18"/>
          <w:szCs w:val="18"/>
          <w:b w:val="1"/>
          <w:bCs w:val="1"/>
          <w:i w:val="1"/>
          <w:iCs w:val="1"/>
          <w:color w:val="auto"/>
        </w:rPr>
        <w:t>Underwriting Agreement</w:t>
      </w:r>
      <w:r>
        <w:rPr>
          <w:rFonts w:ascii="Times New Roman" w:cs="Times New Roman" w:eastAsia="Times New Roman" w:hAnsi="Times New Roman"/>
          <w:sz w:val="18"/>
          <w:szCs w:val="18"/>
          <w:color w:val="auto"/>
        </w:rPr>
        <w:t>”) entered into by and between Ventoux CCM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Chardan Capital Markets, LLC, as representative (the “</w:t>
      </w:r>
      <w:r>
        <w:rPr>
          <w:rFonts w:ascii="Times New Roman" w:cs="Times New Roman" w:eastAsia="Times New Roman" w:hAnsi="Times New Roman"/>
          <w:sz w:val="18"/>
          <w:szCs w:val="18"/>
          <w:b w:val="1"/>
          <w:bCs w:val="1"/>
          <w:i w:val="1"/>
          <w:iCs w:val="1"/>
          <w:color w:val="auto"/>
        </w:rPr>
        <w:t>Representative</w:t>
      </w:r>
      <w:r>
        <w:rPr>
          <w:rFonts w:ascii="Times New Roman" w:cs="Times New Roman" w:eastAsia="Times New Roman" w:hAnsi="Times New Roman"/>
          <w:sz w:val="18"/>
          <w:szCs w:val="18"/>
          <w:color w:val="auto"/>
        </w:rPr>
        <w:t>”) of the Underwriters named in Schedule A thereto (the “</w:t>
      </w:r>
      <w:r>
        <w:rPr>
          <w:rFonts w:ascii="Times New Roman" w:cs="Times New Roman" w:eastAsia="Times New Roman" w:hAnsi="Times New Roman"/>
          <w:sz w:val="18"/>
          <w:szCs w:val="18"/>
          <w:b w:val="1"/>
          <w:bCs w:val="1"/>
          <w:i w:val="1"/>
          <w:iCs w:val="1"/>
          <w:color w:val="auto"/>
        </w:rPr>
        <w:t>Underwriters</w:t>
      </w:r>
      <w:r>
        <w:rPr>
          <w:rFonts w:ascii="Times New Roman" w:cs="Times New Roman" w:eastAsia="Times New Roman" w:hAnsi="Times New Roman"/>
          <w:sz w:val="18"/>
          <w:szCs w:val="18"/>
          <w:color w:val="auto"/>
        </w:rPr>
        <w:t>”), relating to an underwritten initial public offering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of the Company’s units (the “</w:t>
      </w:r>
      <w:r>
        <w:rPr>
          <w:rFonts w:ascii="Times New Roman" w:cs="Times New Roman" w:eastAsia="Times New Roman" w:hAnsi="Times New Roman"/>
          <w:sz w:val="18"/>
          <w:szCs w:val="18"/>
          <w:b w:val="1"/>
          <w:bCs w:val="1"/>
          <w:i w:val="1"/>
          <w:iCs w:val="1"/>
          <w:color w:val="auto"/>
        </w:rPr>
        <w:t>Units</w:t>
      </w:r>
      <w:r>
        <w:rPr>
          <w:rFonts w:ascii="Times New Roman" w:cs="Times New Roman" w:eastAsia="Times New Roman" w:hAnsi="Times New Roman"/>
          <w:sz w:val="18"/>
          <w:szCs w:val="18"/>
          <w:color w:val="auto"/>
        </w:rPr>
        <w:t>”), each comprised of one share of Common Stock of the Company, par value $0.0001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one right to receive one-twentieth of one share of Common Stock, and one warrant, with each warrant being exercisable to purchase one-half of one share of Common Stock at a price of $11.50 per full share (“</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Certain capitalized terms used herein are defined in paragraph 12 hereof.</w:t>
      </w:r>
    </w:p>
    <w:p>
      <w:pPr>
        <w:spacing w:after="0" w:line="18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In order to induce the Company and the Underwriters to enter into the Underwriting Agreement and to proceed with the IPO, and in recognition of the benefit that such IPO will confer upon each undersigned as a stockholder of the Company, and for other good and valuable consideration, the receipt and sufficiency of which are hereby acknowledged, each undersigned hereby agrees with the Company as follows:</w:t>
      </w:r>
    </w:p>
    <w:p>
      <w:pPr>
        <w:spacing w:after="0" w:line="176" w:lineRule="exact"/>
        <w:rPr>
          <w:sz w:val="20"/>
          <w:szCs w:val="20"/>
          <w:color w:val="auto"/>
        </w:rPr>
      </w:pPr>
    </w:p>
    <w:p>
      <w:pPr>
        <w:ind w:firstLine="1304"/>
        <w:spacing w:after="0" w:line="282" w:lineRule="auto"/>
        <w:tabs>
          <w:tab w:leader="none" w:pos="152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solicits approval of its shareholders of a Business Combination, the undersigned will vote all shares of Common Stock beneficially owned by him, her or it, whether acquired before, in or after the IPO, in favor of such Business Combination.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0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event that the Company fails to consummate a Business Combination within 15 months (or in the event the Company extended the time to complete a Business Combination up to 18 months) from the closing of the Company’s IPO, the undersigned shall take all reasonable steps to (i) cause the Trust Fund to be liquidated and distributed to the holders of IPO Shares and (ii) cause the Company to liquidate as promptly as reasonably possible but not more than five business days after the date we are required to consummate a Business Combination.</w:t>
      </w:r>
    </w:p>
    <w:p>
      <w:pPr>
        <w:spacing w:after="0" w:line="179" w:lineRule="exact"/>
        <w:rPr>
          <w:rFonts w:ascii="Times New Roman" w:cs="Times New Roman" w:eastAsia="Times New Roman" w:hAnsi="Times New Roman"/>
          <w:sz w:val="18"/>
          <w:szCs w:val="18"/>
          <w:color w:val="auto"/>
        </w:rPr>
      </w:pPr>
    </w:p>
    <w:p>
      <w:pPr>
        <w:jc w:val="both"/>
        <w:ind w:firstLine="1693"/>
        <w:spacing w:after="0" w:line="258" w:lineRule="auto"/>
        <w:tabs>
          <w:tab w:leader="none" w:pos="195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waives any and all right, title, interest or claim of any kind in or to any distribution of the Trust Fund and any remaining net assets of the Company as a result of such liquidation with respect to any shares he, she or it owns, including his, her or its Insider Shares, IPO Shares and Private Warrants purchased during or after the offering, if any,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and hereby waives any Claim the undersigned may have in the future as a result of, or arising out of, any contracts or agreements with the Company and will not seek recourse against the Trust Fund for any reason whatsoever.</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481"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will place into escrow all of his, her or its Insider Shares pursuant to the terms of a Stock Escrow Agreement which the Company will enter into with the undersigned and an escrow agent acceptable to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48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minimize potential conflicts of interest which may arise from multiple affiliations, the undersigned agrees to present to the Company for its consideration, prior to presentation to any other person or entity, any suitable opportunity to acquire a target business, until the earlier of the consummation by the Company of a Business Combination or the liquidation of the Company, subject to any pre-existing fiduciary and contractual obligations the undersigned might have.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p>
      <w:pPr>
        <w:jc w:val="both"/>
        <w:ind w:firstLine="1304"/>
        <w:spacing w:after="0" w:line="258" w:lineRule="auto"/>
        <w:tabs>
          <w:tab w:leader="none" w:pos="1486"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agrees that prior to entering into a Business Combination with a target business that is affiliated with any Insiders of the Company or their affiliates, including any company that is a portfolio company of, or otherwise affiliated with, or has received financial investment from, an entity with which any Insider or their affiliates is affiliated, such transaction must be approved by a majority of the Company’s disinterested independent directors and the Company must obtain an opinion from an independent investment banking firm that such Business Combination is fair to the Company’s unaffiliated stockholders from a financial point of view.</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485"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undersigned, any member of the family of the undersigned, nor any affiliate of the undersigned will be entitled to receive or accept a finder’s fee or any other compensation in the event the undersigned, any member of the family of the undersigned or any affiliate of the undersigned originates a Business Combination.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78"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agrees to be a director or officer of the Company, as applicable, until the earlier of the consummation by the Company of a Business Combination or the liquidation of the Company. The undersigned’s biographical information previously furnished to the Company and the Representative is true and accurate in all material respects, does not omit any material information with respect to the undersigned’s biography and contains all of the information required to be disclosed pursuant to Item 401 of Regulation S-K, promulgated under the Securities Act of 1933. The undersigned’s FINRA Questionnaire and Director and Officer Questionnaire previously furnished to the Company and the Representative is true and accurate in all material respects. The undersigned represents and warrants that, except as disclosed in the undersigned’s Director and Officer Questionnaire:</w:t>
      </w:r>
    </w:p>
    <w:p>
      <w:pPr>
        <w:spacing w:after="0" w:line="18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had a petition under the federal bankruptcy laws or any state insolvency law been filed by or against (i) him/her/it or any partnership in which he/she/it was a general partner at or within two years before the time of filing; or (ii) any corporation or business association of which he/she/it was an executive officer at or within two years before the time of such filing;</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had a receiver, fiscal agent or similar officer been appointed by a court for his/her/its business or property, or any such partnership;</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of fraud in a civil or criminal proceeding;</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in a criminal proceeding or named the subject of a pending criminal proceeding (excluding traffic violations and minor offenses);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any order, judgment or decree, not subsequently reversed, suspended or vacated, of any court of competent jurisdiction, permanently or temporarily enjoining or otherwise limiting him/her/it from (i) acting as a futures commission merchant, introducing broker, commodity trading advisor, commodity pool operator, floor broker, leverage transaction merchant, any other person regulated by the Commodity Futures Trading Commission (“</w:t>
      </w:r>
      <w:r>
        <w:rPr>
          <w:rFonts w:ascii="Times New Roman" w:cs="Times New Roman" w:eastAsia="Times New Roman" w:hAnsi="Times New Roman"/>
          <w:sz w:val="18"/>
          <w:szCs w:val="18"/>
          <w:b w:val="1"/>
          <w:bCs w:val="1"/>
          <w:i w:val="1"/>
          <w:iCs w:val="1"/>
          <w:color w:val="auto"/>
        </w:rPr>
        <w:t>CFTC</w:t>
      </w:r>
      <w:r>
        <w:rPr>
          <w:rFonts w:ascii="Times New Roman" w:cs="Times New Roman" w:eastAsia="Times New Roman" w:hAnsi="Times New Roman"/>
          <w:sz w:val="18"/>
          <w:szCs w:val="18"/>
          <w:color w:val="auto"/>
        </w:rPr>
        <w:t>”) or an associated person of any of the foregoing, or as an investment adviser, underwriter, broker or dealer in securities, or as an affiliated person, director or employee of any investment company, bank, savings and loan association or insurance company, or from engaging in or continuing any conduct or practice in connection with any such activity; or (ii) engaging in any type of business practice; or (iii) engaging in any activity in connection with the purchase or sale of any security or commodity or in connection with any violation of federal or state securities or federal commodities laws;</w:t>
      </w:r>
    </w:p>
    <w:p>
      <w:pPr>
        <w:spacing w:after="0" w:line="188"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any order, judgment or decree, not subsequently reversed, suspended or vacated, of any federal or state authority barring, suspending or otherwise limiting for more than 60 days his/her/its right to engage in any activity described in 7(e)</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above, or to be associated with persons engaged in any such activity;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6" w:name="page157"/>
    <w:bookmarkEnd w:id="156"/>
    <w:p>
      <w:pPr>
        <w:ind w:left="644" w:hanging="644"/>
        <w:spacing w:after="0" w:line="282" w:lineRule="auto"/>
        <w:tabs>
          <w:tab w:leader="none" w:pos="64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found by a court of competent jurisdiction in a civil action or by the SEC to have violated any federal or state securities law, where the judgment in such civil action or finding by the SEC has not been subsequently reversed, suspended or vacated;</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found by a court of competent jurisdiction in a civil action or by the CFTC to have violated any federal commodities law, where the judgment in such civil action or finding by the CFTC has not been subsequently reversed, suspended or vacated;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or a party to, any Federal or State judicial or administrative order, judgment, decree or finding, not subsequently reversed, suspended or vacated, relating to an alleged violation of (i) any Federal or State securities or commodities law or regulation, (ii) any law or regulation respecting financial institutions or insurance companies including, but not limited to, a temporary or permanent injunction, order of disgorgement or restitution, civil money penalty or temporary or permanent cease-and desist order, or removal or prohibition order or (iii) any law or regulation prohibiting mail or wire fraud or fraud in connection with any business entity;</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the subject of, or party to, any sanction or order, not subsequently reversed, suspended or vacated, or any self-regulatory organization, any registered entity, or any equivalent exchange, association, entity or organization that has disciplinary authority over its members or persons associated with a member;</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convicted of any felony or misdemeanor: (i) in connection with the purchase or sale of any security; (ii) involving the making of any false filing with the SEC; or (iii) arising out of the conduct of the business of an underwriter, broker, dealer, municipal securities dealer, investment advisor or paid solicitor of purchasers of securities;</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was never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is based on a violation of any law or regulation that prohibits fraudulent, manipulative, or deceptive conduct;</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any order, judgment or decree of any court of competent jurisdiction, that, at the time of such sale, restrained or enjoined him/her/it from engaging or continuing to engage in any conduct or practice: (i) in connection with the purchase or sale of any security; (ii) involving the making of any false filing with the SEC; or (iii) arising out of the conduct of the business of an underwriter, broker, dealer, municipal securities dealer, investment adviser or paid solicitor of purchasers of securities;</w:t>
      </w:r>
    </w:p>
    <w:p>
      <w:pPr>
        <w:spacing w:after="0" w:line="179"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any order of the SEC that orders him/her/it to cease and desist from committing or causing a future violation of: (i) any scienter-based anti-fraud provision of the federal securities laws, including, but not limited to, Section 17(a)(1) of the Securities Act, Section 10(b) of the Exchange Act and Rule 10b-5 thereunder, and Section 206(1) of the Advisers Act or any other rule or regulation thereunder; or (ii) Section 5 of the Securities Act;</w:t>
      </w:r>
    </w:p>
    <w:p>
      <w:pPr>
        <w:spacing w:after="0" w:line="179" w:lineRule="exact"/>
        <w:rPr>
          <w:rFonts w:ascii="Times New Roman" w:cs="Times New Roman" w:eastAsia="Times New Roman" w:hAnsi="Times New Roman"/>
          <w:sz w:val="18"/>
          <w:szCs w:val="18"/>
          <w:color w:val="auto"/>
        </w:rPr>
      </w:pPr>
    </w:p>
    <w:p>
      <w:pPr>
        <w:jc w:val="both"/>
        <w:ind w:left="644" w:right="20" w:hanging="644"/>
        <w:spacing w:after="0" w:line="266" w:lineRule="auto"/>
        <w:tabs>
          <w:tab w:leader="none" w:pos="64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named as an underwriter in any registration statement or Regulation A offering statement filed with the SEC that was the subject of a refusal order, stop order, or order suspending the Regulation A exemption, or is, currently, the subject of an investigation or proceeding to determine whether a stop order or suspension order should be issued;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subject to a United States Postal Service false representation order, or is currently subject to a temporary restraining order or preliminary injunction with respect to conduct alleged by the United States Postal Service to constitute a scheme or device for obtaining money or property through the mail by means of false representations;</w:t>
      </w:r>
    </w:p>
    <w:p>
      <w:pPr>
        <w:spacing w:after="0" w:line="38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57" w:name="page158"/>
    <w:bookmarkEnd w:id="157"/>
    <w:p>
      <w:pPr>
        <w:jc w:val="both"/>
        <w:ind w:left="1300" w:hanging="644"/>
        <w:spacing w:after="0" w:line="258" w:lineRule="auto"/>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is not subject to a final order of a state securities commission (or an agency of officer of a state performing like functions); a state authority that supervises or examines banks, savings associations, or credit unions; a state insurance commission (or an agency or officer of a state performing like functions); an appropriate federal banking agency; the CFTC; or the National Credit Union Administration that bars the undersigned from: (i) association with an entity regulated by such commission, authority, agency or officer; (ii) engaging in the business of securities, insurance or banking; or (iii) engaging in savings association or credit union activities;</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is not subject to an order of the SEC entered pursuant to section 15(b) or 15B(c) of the Securities Exchange Act of 1934 (the “Exchange Act”) or section 203(e) or 203(f) of the Investment Advisers Act of 1940 (the “Advisers Act”) that: (i) suspends or revokes the undersigned’s registration as a broker, dealer, municipal securities dealer or investment adviser; (ii) places limitations on the activities, functions or operations of, or imposes civil money penalties on, such person; or (iii) bars the undersigned from being associated with any entity or from participating in the offering of any penny stock; and</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he/she/it has never been suspended or expelled from membership in, or suspended or barred from association with a member of, a securities self-regulatory organization (e.g., a registered national securities exchange or a registered national or affiliated securities association) for any act or omission to act constituting conduct inconsistent with just and equitable principles of trade.</w:t>
      </w:r>
    </w:p>
    <w:p>
      <w:pPr>
        <w:spacing w:after="0" w:line="176" w:lineRule="exact"/>
        <w:rPr>
          <w:sz w:val="20"/>
          <w:szCs w:val="20"/>
          <w:color w:val="auto"/>
        </w:rPr>
      </w:pPr>
    </w:p>
    <w:p>
      <w:pPr>
        <w:ind w:right="20" w:firstLine="1304"/>
        <w:spacing w:after="0" w:line="282" w:lineRule="auto"/>
        <w:tabs>
          <w:tab w:leader="none" w:pos="149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has full right and power, without violating any agreement by which he, she or it is bound, to enter into this letter agreement and to serve as a director or officer of the Company, as applicable.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47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waives his, her or its right to exercise conversion rights with respect to any shares of Common Stock owned or to be owned by the undersigned, directly or indirectly, whether purchased by the undersigned prior to the IPO, in the IPO or in the aftermarket, and agrees that he, she or it will not seek conversion with respect to or otherwise sell, such shares in connection with any vote to approve a Business Combination with respect thereto, a vote to amend the provisions of the Company’s Amended and Restated Certificate of Incorporation, or a tender offer by the Company prior to a Business Combination.</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0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agrees to not propose, or vote in favor of, an amendment to the Company’s Amended and Restated Certificate of Incorporation with respect to stockholder’s rights or the Company’s pre-Business Combination activities (including the substance or timing within which we have to complete a business combination) of a Business Combination unless the Company offers holders of IPO Shares the right to receive their pro rata portion of the funds then held in the Trust Fund upon approval of any amendment.</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5"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Section 5-1401 of the General Obligations Law of the State of New York, this letter agreement shall be governed by, and construed in accordance with, the laws of the State of New York without regard to principles of conflicts of law that would result in the application of the substantive law of another jurisdiction. The parties hereto agree that any action, proceeding or claim arising out of or relating in any way to this letter agreement shall be resolved through final and binding arbitration in accordance with the International Arbitration Rules of the American Arbitration Association (“</w:t>
      </w:r>
      <w:r>
        <w:rPr>
          <w:rFonts w:ascii="Times New Roman" w:cs="Times New Roman" w:eastAsia="Times New Roman" w:hAnsi="Times New Roman"/>
          <w:sz w:val="18"/>
          <w:szCs w:val="18"/>
          <w:b w:val="1"/>
          <w:bCs w:val="1"/>
          <w:i w:val="1"/>
          <w:iCs w:val="1"/>
          <w:color w:val="auto"/>
        </w:rPr>
        <w:t>AAA</w:t>
      </w:r>
      <w:r>
        <w:rPr>
          <w:rFonts w:ascii="Times New Roman" w:cs="Times New Roman" w:eastAsia="Times New Roman" w:hAnsi="Times New Roman"/>
          <w:sz w:val="18"/>
          <w:szCs w:val="18"/>
          <w:color w:val="auto"/>
        </w:rPr>
        <w:t>”). The arbitration shall be brought before the AAA International Center for Dispute Resolution’s offices in New York City, New York, will be conducted in English and will be decided by a panel of three arbitrators selected from the AAA Commercial Disputes Panel and that the arbitrator panel’s decision shall be final and enforceable by any court having jurisdiction over the party from whom enforcement is sought. The cost of such arbitrators and arbitration services, together with the prevailing party’s legal fees and expenses, shall be borne by the non-prevailing party or as otherwise directed by the arbitrators.</w:t>
      </w:r>
    </w:p>
    <w:p>
      <w:pPr>
        <w:spacing w:after="0" w:line="18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2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herein, (i)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shall mean a merger, share exchange, asset acquisition, stock purchase, recapitalization, reorganization or other similar business combination with one or more businesses or entities; (ii) “</w:t>
      </w:r>
      <w:r>
        <w:rPr>
          <w:rFonts w:ascii="Times New Roman" w:cs="Times New Roman" w:eastAsia="Times New Roman" w:hAnsi="Times New Roman"/>
          <w:sz w:val="18"/>
          <w:szCs w:val="18"/>
          <w:b w:val="1"/>
          <w:bCs w:val="1"/>
          <w:i w:val="1"/>
          <w:iCs w:val="1"/>
          <w:color w:val="auto"/>
        </w:rPr>
        <w:t>Insiders</w:t>
      </w:r>
      <w:r>
        <w:rPr>
          <w:rFonts w:ascii="Times New Roman" w:cs="Times New Roman" w:eastAsia="Times New Roman" w:hAnsi="Times New Roman"/>
          <w:sz w:val="18"/>
          <w:szCs w:val="18"/>
          <w:color w:val="auto"/>
        </w:rPr>
        <w:t>” shall mean all officers, directors and stockholders of the Company immediately prior to the IPO; (iii) “</w:t>
      </w:r>
      <w:r>
        <w:rPr>
          <w:rFonts w:ascii="Times New Roman" w:cs="Times New Roman" w:eastAsia="Times New Roman" w:hAnsi="Times New Roman"/>
          <w:sz w:val="18"/>
          <w:szCs w:val="18"/>
          <w:b w:val="1"/>
          <w:bCs w:val="1"/>
          <w:i w:val="1"/>
          <w:iCs w:val="1"/>
          <w:color w:val="auto"/>
        </w:rPr>
        <w:t>Insider Shares</w:t>
      </w:r>
      <w:r>
        <w:rPr>
          <w:rFonts w:ascii="Times New Roman" w:cs="Times New Roman" w:eastAsia="Times New Roman" w:hAnsi="Times New Roman"/>
          <w:sz w:val="18"/>
          <w:szCs w:val="18"/>
          <w:color w:val="auto"/>
        </w:rPr>
        <w:t>” shall mean all of the shares of Common Stock of the Company acquired by an Insider prior to the IPO and the purchase of the Private Warrants; (iv) “</w:t>
      </w:r>
      <w:r>
        <w:rPr>
          <w:rFonts w:ascii="Times New Roman" w:cs="Times New Roman" w:eastAsia="Times New Roman" w:hAnsi="Times New Roman"/>
          <w:sz w:val="18"/>
          <w:szCs w:val="18"/>
          <w:b w:val="1"/>
          <w:bCs w:val="1"/>
          <w:i w:val="1"/>
          <w:iCs w:val="1"/>
          <w:color w:val="auto"/>
        </w:rPr>
        <w:t>IPO Shares</w:t>
      </w:r>
      <w:r>
        <w:rPr>
          <w:rFonts w:ascii="Times New Roman" w:cs="Times New Roman" w:eastAsia="Times New Roman" w:hAnsi="Times New Roman"/>
          <w:sz w:val="18"/>
          <w:szCs w:val="18"/>
          <w:color w:val="auto"/>
        </w:rPr>
        <w:t>” shall mean the shares of Common Stock issued in the Company’s IPO; (v) “</w:t>
      </w:r>
      <w:r>
        <w:rPr>
          <w:rFonts w:ascii="Times New Roman" w:cs="Times New Roman" w:eastAsia="Times New Roman" w:hAnsi="Times New Roman"/>
          <w:sz w:val="18"/>
          <w:szCs w:val="18"/>
          <w:b w:val="1"/>
          <w:bCs w:val="1"/>
          <w:i w:val="1"/>
          <w:iCs w:val="1"/>
          <w:color w:val="auto"/>
        </w:rPr>
        <w:t>Private Warrants</w:t>
      </w:r>
      <w:r>
        <w:rPr>
          <w:rFonts w:ascii="Times New Roman" w:cs="Times New Roman" w:eastAsia="Times New Roman" w:hAnsi="Times New Roman"/>
          <w:sz w:val="18"/>
          <w:szCs w:val="18"/>
          <w:color w:val="auto"/>
        </w:rPr>
        <w:t>” shall mean the warrants purchased in the private placement taking place simultaneously with the consummation of the Company’s IPO; (vi)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means the registration statement on Form S-1 filed by the Company with respect to the IPO; and (vii) “</w:t>
      </w:r>
      <w:r>
        <w:rPr>
          <w:rFonts w:ascii="Times New Roman" w:cs="Times New Roman" w:eastAsia="Times New Roman" w:hAnsi="Times New Roman"/>
          <w:sz w:val="18"/>
          <w:szCs w:val="18"/>
          <w:b w:val="1"/>
          <w:bCs w:val="1"/>
          <w:i w:val="1"/>
          <w:iCs w:val="1"/>
          <w:color w:val="auto"/>
        </w:rPr>
        <w:t>Trust Fund</w:t>
      </w:r>
      <w:r>
        <w:rPr>
          <w:rFonts w:ascii="Times New Roman" w:cs="Times New Roman" w:eastAsia="Times New Roman" w:hAnsi="Times New Roman"/>
          <w:sz w:val="18"/>
          <w:szCs w:val="18"/>
          <w:color w:val="auto"/>
        </w:rPr>
        <w:t>” shall mean the trust fund into which a portion of the net proceeds of the Company’s IPO will be deposited.</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8" w:name="page159"/>
    <w:bookmarkEnd w:id="158"/>
    <w:p>
      <w:pPr>
        <w:jc w:val="both"/>
        <w:ind w:firstLine="1304"/>
        <w:spacing w:after="0" w:line="266" w:lineRule="auto"/>
        <w:tabs>
          <w:tab w:leader="none" w:pos="157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consent or request to be given in connection with any of the terms or provisions of this letter agreement shall be in writing and shall be sent by express mail or similar private courier service, by certified mail (return receipt requested), by hand delivery or facsimile transmission.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Representative: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Jonas Grossman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(646) 465-9002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Greenberg Traurig,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1750 Tysons Boulevard, Suite 1000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 22102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Alan Annex; Jason Simon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annexa@gtlaw.com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simonj@gtlaw.com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(212) 801-6400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Edward Scheetz</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Copy (which copy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Mitchell S. Nussbaum and Giovanni Caruso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(212) 504-3013</w:t>
      </w:r>
    </w:p>
    <w:p>
      <w:pPr>
        <w:spacing w:after="0" w:line="207" w:lineRule="exact"/>
        <w:rPr>
          <w:sz w:val="20"/>
          <w:szCs w:val="20"/>
          <w:color w:val="auto"/>
        </w:rPr>
      </w:pPr>
    </w:p>
    <w:p>
      <w:pPr>
        <w:jc w:val="both"/>
        <w:ind w:firstLine="1304"/>
        <w:spacing w:after="0" w:line="266" w:lineRule="auto"/>
        <w:tabs>
          <w:tab w:leader="none" w:pos="156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party hereto may assign either this letter agreement or any of its rights, interests, or obligations hereunder without the prior written consent of the other party. Any purported assignment in violation of this paragraph shall be void and ineffectual and shall not operate to transfer or assign any interest or title to the purported assignee. This letter agreement shall be binding on the parties hereto and any successors and assigns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2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acknowledges and understands that the Underwriters and the Company will rely upon the agreements, representations and warranties set forth herein in proceeding with the IPO. Nothing contained herein shall be deemed to render the Underwriters a representative of, or a fiduciary with respect to, the Company, its stockholders or any creditor or vendor of the company with respect to the subject matter hereof.</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9" w:name="page160"/>
    <w:bookmarkEnd w:id="159"/>
    <w:p>
      <w:pPr>
        <w:ind w:left="564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/s/ Julie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33020</wp:posOffset>
            </wp:positionV>
            <wp:extent cx="284607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Julie Atkinson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Insider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437515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60" w:name="page161"/>
    <w:bookmarkEnd w:id="160"/>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INVESTMENT MANAGEMENT TRUST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is made as of December 23, 2020 by and between Ventoux CCM Acquisition Corp. (the “Company”) and Continental Stock Transfer &amp; Trust Company (“Trustee”).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Company’s registration statement on Form S-1, No. 333-251048 (“Registration Statement”) for its initial public offering of securities (“IPO”) has been declared effective as of the date hereof (“Effective Date”) by the Securities and Exchange Commission (capitalized terms used herein and not otherwise defined shall have the meanings set forth in the Registration Statement); and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Chardan Capital Markets, LLC (“Chardan”) is acting as the underwriter in the IPO; and</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WHEREAS, as described in the Registration Statement, and in accordance with the Company’s Amended and Restated Certificate of Incorporation, $151,500,000 ($174,225,000 if the over-allotment option is exercised in full) will be delivered to the Trustee to be deposited and held in a trust account for the benefit of the Company and the holders of the Company’s common stock, par value $.0001 per share (“Common Stock”), issued in the IPO as hereinafter provided (the proceeds to be delivered to the Trustee will be referred to herein as the “Property”; the shareholders for whose benefit the Trustee shall hold the Property will be referred to as the “Public Shareholders,” and the Public Shareholders and the Company will be referred to together as the “Beneficiaries”); and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Trustee desire to enter into this Agreement to set forth the terms and conditions pursuant to which the Trustee shall hold the Property.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THEREFORE, IT IS AGREED:</w:t>
      </w:r>
    </w:p>
    <w:p>
      <w:pPr>
        <w:spacing w:after="0" w:line="225" w:lineRule="exact"/>
        <w:rPr>
          <w:sz w:val="20"/>
          <w:szCs w:val="20"/>
          <w:color w:val="auto"/>
        </w:rPr>
      </w:pPr>
    </w:p>
    <w:p>
      <w:pPr>
        <w:ind w:left="840" w:hanging="184"/>
        <w:spacing w:after="0"/>
        <w:tabs>
          <w:tab w:leader="none" w:pos="8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and Covenants of Trustee</w:t>
      </w:r>
      <w:r>
        <w:rPr>
          <w:rFonts w:ascii="Times New Roman" w:cs="Times New Roman" w:eastAsia="Times New Roman" w:hAnsi="Times New Roman"/>
          <w:sz w:val="18"/>
          <w:szCs w:val="18"/>
          <w:color w:val="auto"/>
        </w:rPr>
        <w:t>. The Trustee hereby agrees and covenants to:</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the Property in trust for the Beneficiaries in accordance with the terms of this Agreement in a segregated trust account (“Trust Account”) established by the Trustee at JPMorgan Chase Bank, N.A. (or at another U.S. chartered commercial bank with consolidated assets of $100 billion or more) in the United States, maintained by Trustee, and at a brokerage institution selected by the Trustee that is reasonably satisfactory to the Company;</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supervise and administer the Trust Account subject to the terms and conditions set forth herein;</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5"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timely manner, upon the instruction of the Company, invest and reinvest the Property (i) in United States government treasury bills, notes or bonds having a maturity of 183 days or less and/or (ii) in money market funds meeting certain conditions under Rule 2a-7 promulgated under the Investment Company Act of 1940, as amended, and that invest solely in U.S. treasuries, as determined by the Company, it being understood that the Trust Account will earn no interest while the account funds are uninvested awaiting the Company’s instructions hereunder and the Trustee may earn bank credits and other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1" w:name="page162"/>
    <w:bookmarkEnd w:id="161"/>
    <w:p>
      <w:pPr>
        <w:ind w:left="1560" w:hanging="256"/>
        <w:spacing w:after="0"/>
        <w:tabs>
          <w:tab w:leader="none" w:pos="156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and receive, when due, all principal and income arising from the Property, which shall become part of the “Property,” as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is used herein;</w:t>
      </w:r>
    </w:p>
    <w:p>
      <w:pPr>
        <w:spacing w:after="0" w:line="206"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Company and Chardan of all communications received by it with respect to any Property requiring action by the Company;</w:t>
      </w:r>
    </w:p>
    <w:p>
      <w:pPr>
        <w:spacing w:after="0" w:line="22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any necessary information or documents as may be requested by the Company in connection with the Company’s preparation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its tax returns;</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578"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any plan or proceeding for protecting or enforcing any right or interest arising from the Property if, as and when instructed by the Company to do so;</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3"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Render to the Company monthly written statements of the activities of and amounts in the Trust Account reflecting all receipts and disbursements of the Trust Account;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1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liquidation of the Trust Account only after and promptly after receipt of, and only in accordance with, the terms of a letter (“Termination Letter”), in a form substantially similar to that attached hereto as either Exhibit A or Exhibit B, signed on behalf of the Company by its President, Chief Executive Officer or Chairman of the Board and Secretary or Assistant Secretary and, in the case of a Termination Letter in a form substantially similar to that attached hereto as Exhibit A,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 the 15-month anniversary of the closing of the IPO (“Closing”) or, in the event that the Company extended the time to complete the Business Combination for up to 18 months from the closing of the IPO but has not completed the Business Combination within such 18-month period, the 18-month anniversary of the Closing (the “Last Date”), the Trust Account shall be liquidated in accordance with the procedures set forth in the Termination Letter attached as Exhibit B hereto and distributed to the Public Shareholders as of the Last Date.</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75"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an extension letter (“Extension Letter”) substantially similar to Exhibit D hereto at least five business days prior to the Applicable Deadline, signed on behalf of the Company by an executive officer, and receipt of the dollar amount specified in the Extension Letter on or prior to the Applicable Deadline, to follow the instructions set forth in the Extension Letter.</w:t>
      </w:r>
    </w:p>
    <w:p>
      <w:pPr>
        <w:spacing w:after="0" w:line="39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Distributions of Income from Trust Account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4"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written request from the Company, which may be given from time to time in a form substantially similar to that attached hereto as Exhibit C, the Trustee shall distribute to the Company the amount of interest income earned on the Trust Account requested by the Company to cover any income or other tax obligation owed by the Company.</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73"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distributions referred to in Section 2(a) above shall be made only from income collected on the Property. Except as provided in Section 2(a) above, no other distributions from the Trust Account shall be permitted except in accordance with Section 1(i) hereof.</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5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Chardan with a copy of any Termination Letters and/or any other correspondence that it issues to the Trustee with respect to any proposed withdrawal from the Trust Account promptly after such issuance.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2" w:name="page163"/>
    <w:bookmarkEnd w:id="162"/>
    <w:p>
      <w:pPr>
        <w:ind w:left="840" w:hanging="184"/>
        <w:spacing w:after="0"/>
        <w:tabs>
          <w:tab w:leader="none" w:pos="84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Agreements and Covenants of the Company</w:t>
      </w:r>
      <w:r>
        <w:rPr>
          <w:rFonts w:ascii="Times New Roman" w:cs="Times New Roman" w:eastAsia="Times New Roman" w:hAnsi="Times New Roman"/>
          <w:sz w:val="18"/>
          <w:szCs w:val="18"/>
          <w:color w:val="auto"/>
        </w:rPr>
        <w:t>. The Company hereby agrees and covenants to:</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all instructions to the Trustee hereunder in writing, signed by the Company’s Chairman of the Board, Chief Executive Officer, President or Chief Financial Officer. In addition, except with respect to its duties under paragraphs 1(i) and 2(a) above, the Trustee shall be entitled to rely on, and shall be protected in relying on, any verbal or telephonic advice or instruction which it in good faith believes to be given by any one of the persons authorized above to give written instructions, provided that the Company shall promptly confirm such instructions in writing;</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6"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Sections 5 and 7(g) of this Agreement, hold the Trustee harmless and indemnify the Trustee from and against, any and all expenses, including reasonable counsel fees and disbursements, or loss suffered by the Trustee in connection with any claim, potential claim, action, suit or other proceeding brought against the Trustee involving any claim, or in connection with any claim or demand which in any way arises out of or relates to this Agreement, the services of the Trustee hereunder, or the Property or any income earned from investment of the Property, except for expenses and losses resulting from the Trustee’s gross negligence or willful misconduct. Promptly after the receipt by the Trustee of notice of demand or claim or the commencement of any action, suit or proceeding, pursuant to which the Trustee intends to seek indemnification under this paragraph, it shall notify the Company in writing of such claim (hereinafter referred to as the “Indemnified Claim”). The Trustee shall have the right to conduct and manage the defense against such Indemnified Claim, provided, that the Trustee shall obtain the consent of the Company with respect to the selection of counsel, which consent shall not be unreasonably withheld. The Trustee may not agree to settle any Indemnified Claim without the prior written consent of the Company, which consent shall not be unreasonably withheld. The Company may participate in such action with its own counsel;</w:t>
      </w:r>
    </w:p>
    <w:p>
      <w:pPr>
        <w:spacing w:after="0" w:line="19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Trustee an initial acceptance fee, an annual fee and a transaction processing fee for each disbursement made pursuant to Section 2(a) as set forth on Schedule A hereto, which fees shall be subject to modification by the parties from time to time. It is expressly understood that the Property shall not be used to pay such fees except for disbursements made to the Company pursuant to Sections 1(i) solely in connection with the consummation of a Business Combination. The Company shall pay the Trustee the initial acceptance fee and first year’s fee at the consummation of the IPO and thereafter on the anniversary of the Effective Date. Except as set forth in this Section 3(c) and Section 3(b) hereof, the Company shall not be responsible for any other fees or charges of the Trustee.</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8"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vote of the Company’s shareholders regarding a Business Combination, provide to the Trustee an affidavit or certificate of a firm regularly engaged in the business of soliciting proxies and/or tabulating shareholder votes verifying the vote of the Company’s shareholders regarding such Business Combination; and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75"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directs the Trustee to commence liquidation of the Trust Account pursuant to Section 1(i), the Company agrees that it will not direct the Trustee to make any payments that are not specifically authorized by this Agreement.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3" w:name="page164"/>
    <w:bookmarkEnd w:id="163"/>
    <w:p>
      <w:pPr>
        <w:ind w:left="840" w:hanging="184"/>
        <w:spacing w:after="0"/>
        <w:tabs>
          <w:tab w:leader="none" w:pos="8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of Liability</w:t>
      </w:r>
      <w:r>
        <w:rPr>
          <w:rFonts w:ascii="Times New Roman" w:cs="Times New Roman" w:eastAsia="Times New Roman" w:hAnsi="Times New Roman"/>
          <w:sz w:val="18"/>
          <w:szCs w:val="18"/>
          <w:color w:val="auto"/>
        </w:rPr>
        <w:t>. The Trustee shall have no responsibility or liability to:</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with respect to the Property, other than as directed in paragraphs 1 and 2 hereof and the Trustee shall have no liability to any party except for liability arising out of its own gross negligence or willful misconduct;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9"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any proceeding for the collection of any principal and income arising from, or institute, appear in or defend any proceeding of any kind with respect to, any of the Property unless and until it shall have received instructions from the Company given as provided herein to do so and the Company shall have advanced or guaranteed to it funds sufficient to pay any expenses incident thereto;</w:t>
      </w:r>
    </w:p>
    <w:p>
      <w:pPr>
        <w:spacing w:after="0" w:line="175"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investment of any Property, other than in compliance with paragraph 1(c);</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Refund any depreciation in principal of any Property;</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5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that the authority of any person designated by the Company to give instructions hereunder shall not be continuing unless provided otherwise in such designation, or unless the Company shall have delivered a written revocation of such authority to the Trustee;</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25"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parties hereto or to anyone else for any action taken or omitted by it, or any action suffered by it to be taken or omitted, in good faith and in the exercise of its own best judgment, except for its gross negligence or willful misconduct. The Trustee may rely conclusively and shall be protected in acting upon any order, notice, demand, certificate, opinion or advice of counsel (including counsel chosen by the Trustee), statement, instrument, report or other paper or document (not only as to its due execution and the validity and effectiveness of its provisions, but also as to the truth and acceptability of any information therein contained) which is believed by the Trustee, in good faith, to be genuine and to be signed or presented by the proper person or persons. The Trustee shall not be bound by any notice or demand, or any waiver, modification, termination or rescission of this Agreement or any of the terms hereof, unless evidenced by a written instrument delivered to the Trustee signed by the proper party or parties and, if the duties or rights of the Trustee are affected, unless it shall give its prior written consent thereto;</w:t>
      </w:r>
    </w:p>
    <w:p>
      <w:pPr>
        <w:spacing w:after="0" w:line="191" w:lineRule="exact"/>
        <w:rPr>
          <w:rFonts w:ascii="Times New Roman" w:cs="Times New Roman" w:eastAsia="Times New Roman" w:hAnsi="Times New Roman"/>
          <w:sz w:val="18"/>
          <w:szCs w:val="18"/>
          <w:color w:val="auto"/>
        </w:rPr>
      </w:pPr>
    </w:p>
    <w:p>
      <w:pPr>
        <w:ind w:right="20" w:firstLine="1304"/>
        <w:spacing w:after="0" w:line="282" w:lineRule="auto"/>
        <w:tabs>
          <w:tab w:leader="none" w:pos="1556"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 the correctness of the information set forth in the Registration Statement or to confirm or assure that any acquisition made by the Company or any other action taken by it is as contemplated by the Registration Statement;</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6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local, state and/or federal tax returns or information returns with any taxing authority on behalf of the Trust Account and payee statements with the Company documenting the taxes, if any, payable by the Company or the Trust Account, relating to the income earned on the Property;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4" w:name="page165"/>
    <w:bookmarkEnd w:id="164"/>
    <w:p>
      <w:pPr>
        <w:ind w:firstLine="1304"/>
        <w:spacing w:after="0" w:line="282" w:lineRule="auto"/>
        <w:tabs>
          <w:tab w:leader="none" w:pos="1518"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any taxes on behalf of the Trust Account (it being expressly understood that the Property shall not be used to pay any such taxes and that such taxes, if any, shall be paid by the Company from funds not held in the Trust Account or released to it under Section 2(a) hereof);</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32"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Imply obligations, perform duties, inquire or otherwise be subject to the provisions of any agreement or document other than this agreement and that which is expressly set forth herein; and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 calculations, qualify or otherwise approve Company requests for distributions pursuant to Section 1(i) or 2(a) above.</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82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 Account Waiver</w:t>
      </w:r>
      <w:r>
        <w:rPr>
          <w:rFonts w:ascii="Times New Roman" w:cs="Times New Roman" w:eastAsia="Times New Roman" w:hAnsi="Times New Roman"/>
          <w:sz w:val="18"/>
          <w:szCs w:val="18"/>
          <w:color w:val="auto"/>
        </w:rPr>
        <w:t>. The Trustee has no right of set-off or any right, title, interest or claim of any kind (“Claim”) to, or to any monies in, the Trust Account, and hereby irrevocably waives any Claim to, or to any monies in, the Trust Account that it may have now or in the future. In the event the Trustee has any Claim against the Company under this Agreement, including, without limitation, under Section 3(b) or Section 3(c) hereof, the Trustee shall pursue such Claim solely against the Company and its assets outside the Trust Account and not against the Property or any monies in the Trust Account.</w:t>
      </w:r>
    </w:p>
    <w:p>
      <w:pPr>
        <w:spacing w:after="0" w:line="183"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as follows:</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42"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gives written notice to the Company that it desires to resign under this Agreement, the Company shall use its reasonable efforts to locate a successor trustee during which time the Trustee shall act in accordance with this Agreement. At such time that the Company notifies the Trustee that a successor trustee has been appointed by the Company and has agreed to become subject to the terms of this Agreement, the Trustee shall transfer the management of the Trust Account to the successor trustee, including but not limited to the transfer of copies of the reports and statements relating to the Trust Account, whereupon this Agreement shall terminate; provided, however, that, in the event that the Company does not locate a successor trustee within ninety days of receipt of the resignation notice from the Trustee, the Trustee may submit an application to have the Property deposited with any court in the State of New York or with the United States District Court for the Southern District of New York and upon such deposit, the Trustee shall be immune from any liability whatsoever; or</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49"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such time that the Trustee has completed the liquidation of the Trust Account in accordance with the provisions of paragraph 1(i) hereof, and distributed the Property in accordance with the provisions of the Termination Letter, this Agreement shall terminate except with respect to Paragraph 3(b).</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20" w:firstLine="1304"/>
        <w:spacing w:after="0" w:line="256" w:lineRule="auto"/>
        <w:tabs>
          <w:tab w:leader="none" w:pos="1547"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Trustee each acknowledge that the Trustee will follow the security procedures set forth below with respect to funds transferred from the Trust Account. The Company and the Trustee will each restrict access to confidential information relating to such security procedures to authorized persons. Each party must notify the other party immediately if it has reason to believe unauthorized persons may have obtained access to such information, or of any change in its authorized personnel. In executing funds transfers, the Trustee will rely upon all information supplied to it by the Company, including account names, account numbers and all other identifying information relating to a beneficiary, beneficiary’s bank or intermediary bank. The Trustee shall not be liable for any loss, liability or expense resulting from any error in the information or transmission of the wire.</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5" w:name="page166"/>
    <w:bookmarkEnd w:id="165"/>
    <w:p>
      <w:pPr>
        <w:jc w:val="both"/>
        <w:ind w:firstLine="1304"/>
        <w:spacing w:after="0" w:line="266" w:lineRule="auto"/>
        <w:tabs>
          <w:tab w:leader="none" w:pos="156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and enforced in accordance with the laws of the State of New York, without giving effect to conflicts of law principles that would result in the application of the substantive laws of another jurisdiction. It may be executed in several original or facsimile counterparts, each one of which shall constitute an original, and together shall constitute but one instrument.</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37"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contains the entire agreement and understanding of the parties hereto with respect to the subject matter hereof. Except for Section 1(i) and 1(j) (which may only be amended with the approval of the holders of a majority of the outstanding shares of Common Stock sold in the IPO), this Agreement or any provision hereof may only be changed, amended or modified by a writing signed by each of the parties hereto; provided, however, that no such change, amendment or modification may be made without the prior written consent of Chardan. As to any claim, cross-claim or counterclaim in any way relating to this Agreement, each party waives the right to trial by jury. The Trustee may require from Company counsel an opinion as to the propriety of any proposed amendment.</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consent to the jurisdiction and venue of any state or federal court located in the City of New York, Borough of Manhattan, for purposes of resolving any disputes hereunder.</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3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consent or request to be given in connection with any of the terms or provisions of this Agreement shall be in writing and shall be sent by express mail or similar private courier service, by certified mail (return receipt requested), by hand delivery or by facsimile transmission: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Trustee,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ind w:left="1960"/>
        <w:spacing w:after="0" w:line="205" w:lineRule="auto"/>
        <w:rPr>
          <w:sz w:val="20"/>
          <w:szCs w:val="20"/>
          <w:color w:val="auto"/>
        </w:rPr>
      </w:pPr>
      <w:r>
        <w:rPr>
          <w:rFonts w:ascii="Times New Roman" w:cs="Times New Roman" w:eastAsia="Times New Roman" w:hAnsi="Times New Roman"/>
          <w:sz w:val="18"/>
          <w:szCs w:val="18"/>
          <w:color w:val="auto"/>
        </w:rPr>
        <w:t>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Francis Wolf and Celeste Gonzalez</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fwolf@continentalstock.com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cgonzalez@continentalstock.com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Edward Scheetz</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either case with a copy (which copy shall not constitute notice)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17 State Street, 21st Floor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Jonas Grossman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(646) 465-9002</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New York, New York 10154</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Attn: Mitchell S. Nussbaum, Esq. and Giovanni Caruso, Esq.</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Fax No.: (212) 407-4990</w:t>
      </w:r>
    </w:p>
    <w:p>
      <w:pPr>
        <w:spacing w:after="0" w:line="207" w:lineRule="exact"/>
        <w:rPr>
          <w:sz w:val="20"/>
          <w:szCs w:val="20"/>
          <w:color w:val="auto"/>
        </w:rPr>
      </w:pPr>
    </w:p>
    <w:p>
      <w:pPr>
        <w:ind w:left="1520" w:hanging="216"/>
        <w:spacing w:after="0"/>
        <w:tabs>
          <w:tab w:leader="none" w:pos="15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not be assigned by the Trustee without the prior consent of the Company.</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5"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Trustee and the Company hereby represents that it has the full right and power and has been duly authorized to enter into this Agreement and to perform its respective obligations as contemplated hereunder.</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Trustee hereby acknowledge that Chardan is a third party beneficiary of this Agreement.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color w:val="auto"/>
        </w:rPr>
        <w:t>IN WITNESS WHEREOF, the parties have duly executed this Investment Management Trust Agreement as of the date first written above.</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CONTINENTAL STOCK TRANSFER &amp; TRUST</w:t>
      </w:r>
    </w:p>
    <w:p>
      <w:pPr>
        <w:spacing w:after="0" w:line="3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COMPANY, as Trustee</w:t>
      </w:r>
    </w:p>
    <w:p>
      <w:pPr>
        <w:spacing w:after="0" w:line="20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Francis E.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Francis E. Wolf, Jr.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25"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i w:val="1"/>
          <w:iCs w:val="1"/>
          <w:color w:val="auto"/>
        </w:rPr>
        <w:t>[Signature Page to Investment Management Trust Agreement]</w:t>
      </w:r>
    </w:p>
    <w:p>
      <w:pPr>
        <w:spacing w:after="0" w:line="200" w:lineRule="exact"/>
        <w:rPr>
          <w:sz w:val="20"/>
          <w:szCs w:val="20"/>
          <w:color w:val="auto"/>
        </w:rPr>
      </w:pPr>
    </w:p>
    <w:p>
      <w:pPr>
        <w:spacing w:after="0" w:line="23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320" w:top="904" w:right="117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2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SCHEDULE A</w:t>
            </w:r>
          </w:p>
        </w:tc>
        <w:tc>
          <w:tcPr>
            <w:tcW w:w="1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Fee Item</w:t>
            </w:r>
          </w:p>
        </w:tc>
        <w:tc>
          <w:tcPr>
            <w:tcW w:w="41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Time and method of payment</w:t>
            </w:r>
          </w:p>
        </w:tc>
        <w:tc>
          <w:tcPr>
            <w:tcW w:w="1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acceptance fee</w:t>
            </w:r>
          </w:p>
        </w:tc>
        <w:tc>
          <w:tcPr>
            <w:tcW w:w="140" w:type="dxa"/>
            <w:vAlign w:val="bottom"/>
            <w:tcBorders>
              <w:top w:val="single" w:sz="8" w:color="CCEEFF"/>
            </w:tcBorders>
            <w:shd w:val="clear" w:color="auto" w:fill="CCEEFF"/>
          </w:tcPr>
          <w:p>
            <w:pPr>
              <w:spacing w:after="0"/>
              <w:rPr>
                <w:sz w:val="18"/>
                <w:szCs w:val="18"/>
                <w:color w:val="auto"/>
              </w:rPr>
            </w:pPr>
          </w:p>
        </w:tc>
        <w:tc>
          <w:tcPr>
            <w:tcW w:w="3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closing of IPO by wire transfer</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Annual fee</w:t>
            </w:r>
          </w:p>
        </w:tc>
        <w:tc>
          <w:tcPr>
            <w:tcW w:w="416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First year, initial closing of IPO by wire transfer;</w:t>
            </w:r>
          </w:p>
        </w:tc>
        <w:tc>
          <w:tcPr>
            <w:tcW w:w="13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40" w:type="dxa"/>
            <w:vAlign w:val="bottom"/>
          </w:tcPr>
          <w:p>
            <w:pPr>
              <w:spacing w:after="0"/>
              <w:rPr>
                <w:sz w:val="18"/>
                <w:szCs w:val="18"/>
                <w:color w:val="auto"/>
              </w:rPr>
            </w:pPr>
          </w:p>
        </w:tc>
        <w:tc>
          <w:tcPr>
            <w:tcW w:w="4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thereafter on the anniversary of the effective date of</w:t>
            </w:r>
          </w:p>
        </w:tc>
        <w:tc>
          <w:tcPr>
            <w:tcW w:w="1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940" w:type="dxa"/>
            <w:vAlign w:val="bottom"/>
          </w:tcPr>
          <w:p>
            <w:pPr>
              <w:spacing w:after="0"/>
              <w:rPr>
                <w:sz w:val="20"/>
                <w:szCs w:val="20"/>
                <w:color w:val="auto"/>
              </w:rPr>
            </w:pPr>
          </w:p>
        </w:tc>
        <w:tc>
          <w:tcPr>
            <w:tcW w:w="4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the IPO by wire transfer or check</w:t>
            </w:r>
          </w:p>
        </w:tc>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198"/>
        </w:trPr>
        <w:tc>
          <w:tcPr>
            <w:tcW w:w="3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Transaction processing fee for disbursements to</w:t>
            </w:r>
          </w:p>
        </w:tc>
        <w:tc>
          <w:tcPr>
            <w:tcW w:w="4160" w:type="dxa"/>
            <w:vAlign w:val="bottom"/>
            <w:gridSpan w:val="3"/>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Deduction by Trustee from accumulated income</w:t>
            </w:r>
          </w:p>
        </w:tc>
        <w:tc>
          <w:tcPr>
            <w:tcW w:w="13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under Section 2</w:t>
            </w:r>
          </w:p>
        </w:tc>
        <w:tc>
          <w:tcPr>
            <w:tcW w:w="41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following disbursement made to Company under</w:t>
            </w:r>
          </w:p>
        </w:tc>
        <w:tc>
          <w:tcPr>
            <w:tcW w:w="13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940" w:type="dxa"/>
            <w:vAlign w:val="bottom"/>
            <w:shd w:val="clear" w:color="auto" w:fill="CCEEFF"/>
          </w:tcPr>
          <w:p>
            <w:pPr>
              <w:spacing w:after="0"/>
              <w:rPr>
                <w:sz w:val="20"/>
                <w:szCs w:val="20"/>
                <w:color w:val="auto"/>
              </w:rPr>
            </w:pPr>
          </w:p>
        </w:tc>
        <w:tc>
          <w:tcPr>
            <w:tcW w:w="41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Section 2</w:t>
            </w:r>
          </w:p>
        </w:tc>
        <w:tc>
          <w:tcPr>
            <w:tcW w:w="1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Paying Agent services as required pursuant to section</w:t>
            </w:r>
          </w:p>
        </w:tc>
        <w:tc>
          <w:tcPr>
            <w:tcW w:w="4160" w:type="dxa"/>
            <w:vAlign w:val="bottom"/>
            <w:gridSpan w:val="3"/>
          </w:tcPr>
          <w:p>
            <w:pPr>
              <w:ind w:left="140"/>
              <w:spacing w:after="0" w:line="198" w:lineRule="exact"/>
              <w:rPr>
                <w:sz w:val="20"/>
                <w:szCs w:val="20"/>
                <w:color w:val="auto"/>
              </w:rPr>
            </w:pPr>
            <w:r>
              <w:rPr>
                <w:rFonts w:ascii="Times New Roman" w:cs="Times New Roman" w:eastAsia="Times New Roman" w:hAnsi="Times New Roman"/>
                <w:sz w:val="18"/>
                <w:szCs w:val="18"/>
                <w:color w:val="auto"/>
              </w:rPr>
              <w:t>Billed to Company upon delivery of service pursuant</w:t>
            </w:r>
          </w:p>
        </w:tc>
        <w:tc>
          <w:tcPr>
            <w:tcW w:w="13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1(i)</w:t>
            </w:r>
          </w:p>
        </w:tc>
        <w:tc>
          <w:tcPr>
            <w:tcW w:w="4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 section 1(i)</w:t>
            </w:r>
          </w:p>
        </w:tc>
        <w:tc>
          <w:tcPr>
            <w:tcW w:w="1380" w:type="dxa"/>
            <w:vAlign w:val="bottom"/>
          </w:tcPr>
          <w:p>
            <w:pPr>
              <w:spacing w:after="0"/>
              <w:rPr>
                <w:sz w:val="20"/>
                <w:szCs w:val="20"/>
                <w:color w:val="auto"/>
              </w:rPr>
            </w:pPr>
          </w:p>
        </w:tc>
        <w:tc>
          <w:tcPr>
            <w:tcW w:w="17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Market Rate</w:t>
            </w: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05" w:lineRule="auto"/>
        <w:rPr>
          <w:sz w:val="20"/>
          <w:szCs w:val="20"/>
          <w:color w:val="auto"/>
        </w:rPr>
      </w:pPr>
      <w:r>
        <w:rPr>
          <w:rFonts w:ascii="Times New Roman" w:cs="Times New Roman" w:eastAsia="Times New Roman" w:hAnsi="Times New Roman"/>
          <w:sz w:val="18"/>
          <w:szCs w:val="18"/>
          <w:color w:val="auto"/>
        </w:rPr>
        <w:t>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Francis Wolf and Celeste Gonzalez</w:t>
      </w:r>
    </w:p>
    <w:p>
      <w:pPr>
        <w:spacing w:after="0" w:line="207"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Trust Account - Termination Letter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Wolf and Ms. Gonzalez:</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paragraph 1(i) of the Investment Management Trust Agreement between Ventoux CCM Acquisition Corp. (“Company”) and Continental Stock Transfer &amp; Trust Company (“Trustee”), dated as of [______________], 2020 (“Trust Agreement”), this is to advise you that the</w:t>
      </w:r>
    </w:p>
    <w:p>
      <w:pPr>
        <w:spacing w:after="0"/>
        <w:rPr>
          <w:sz w:val="20"/>
          <w:szCs w:val="20"/>
          <w:color w:val="auto"/>
        </w:rPr>
      </w:pPr>
      <w:r>
        <w:rPr>
          <w:rFonts w:ascii="Times New Roman" w:cs="Times New Roman" w:eastAsia="Times New Roman" w:hAnsi="Times New Roman"/>
          <w:sz w:val="18"/>
          <w:szCs w:val="18"/>
          <w:color w:val="auto"/>
        </w:rPr>
        <w:t>Company has entered into an agreement with [__________________] (“Target Business”) to consummate a business combination with Target Business</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(“Business Combination”) on or about </w:t>
      </w:r>
      <w:r>
        <w:rPr>
          <w:rFonts w:ascii="Times New Roman" w:cs="Times New Roman" w:eastAsia="Times New Roman" w:hAnsi="Times New Roman"/>
          <w:sz w:val="18"/>
          <w:szCs w:val="18"/>
          <w:b w:val="1"/>
          <w:bCs w:val="1"/>
          <w:color w:val="auto"/>
        </w:rPr>
        <w:t>[insert date]</w:t>
      </w:r>
      <w:r>
        <w:rPr>
          <w:rFonts w:ascii="Times New Roman" w:cs="Times New Roman" w:eastAsia="Times New Roman" w:hAnsi="Times New Roman"/>
          <w:sz w:val="18"/>
          <w:szCs w:val="18"/>
          <w:color w:val="auto"/>
        </w:rPr>
        <w:t>. The Company shall notify you at least 72 hours in advance of the actual date of the consummation of the Business Combination (“Consummation Date”). Capitalized terms used herein and not otherwise defined shall have the meanings set forth in the Trust Agreement.</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the terms of the Trust Agreement, we hereby authorize you to liquidate the Trust Account investments and to transfer the proceeds to the above-referenced account at JPMorgan Chase Bank, N.A to the effect that, on the Consummation Date, all of funds held in the Trust Account will be immediately available for transfer to the account or accounts that the Company shall direct on the Consummation Date. It is acknowledged and agreed that while the funds are on deposit in the trust operating account at JPMorgan Chase Bank, N.A. awaiting distribution, the Company will not earn any interest or dividends.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the Consummation Date (i) counsel for the Company shall deliver to you written notification that the Business Combination has been consummated and (ii) the Company shall deliver to you (a) [an affidavit] [a certificate] of [__________________], which verifies the vote of the</w:t>
      </w:r>
    </w:p>
    <w:p>
      <w:pPr>
        <w:jc w:val="both"/>
        <w:spacing w:after="0" w:line="252" w:lineRule="auto"/>
        <w:rPr>
          <w:sz w:val="20"/>
          <w:szCs w:val="20"/>
          <w:color w:val="auto"/>
        </w:rPr>
      </w:pPr>
      <w:r>
        <w:rPr>
          <w:rFonts w:ascii="Times New Roman" w:cs="Times New Roman" w:eastAsia="Times New Roman" w:hAnsi="Times New Roman"/>
          <w:sz w:val="18"/>
          <w:szCs w:val="18"/>
          <w:color w:val="auto"/>
        </w:rPr>
        <w:t>Company’s shareholders in connection with the Business Combination if a vote is held and (b) joint written instructions from the Company and Chardan Capital Markets LLC with respect to the transfer of the funds held in the Trust Account (“Instruction Letter”). You are hereby directed and authorized to transfer the funds held in the Trust Account immediately upon your receipt of the counsel’s letter and the Instruction Letter, in accordance with the terms of the Instruction Letter. In the event that certain deposits held in the Trust Account may not be liquidated by the Consummation Date without penalty, you will notify the Company of the same and the Company shall direct you as to whether such funds should remain in the Trust Account and distributed after the Consummation Date to the Company. Upon the distribution of all the funds in the Trust Account pursuant to the terms hereof, the Trust Agreement shall be terminated.</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event that the Business Combination is not consummated on the Consummation Date described in the notice thereof and we have not notified you on or before the original Consummation Date of a new Consummation Date, then upon receipt by the Trustee of written instructions from the Company, the funds held in the Trust Account shall be reinvested as provided in the Trust Agreement on the business day immediately following the Consummation Date as set forth in the notice.</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 Chief Executive Officer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 Secretary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Chardan Capital Markets, LLC</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05" w:lineRule="auto"/>
        <w:rPr>
          <w:sz w:val="20"/>
          <w:szCs w:val="20"/>
          <w:color w:val="auto"/>
        </w:rPr>
      </w:pPr>
      <w:r>
        <w:rPr>
          <w:rFonts w:ascii="Times New Roman" w:cs="Times New Roman" w:eastAsia="Times New Roman" w:hAnsi="Times New Roman"/>
          <w:sz w:val="18"/>
          <w:szCs w:val="18"/>
          <w:color w:val="auto"/>
        </w:rPr>
        <w:t>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Francis Wolf and Celeste Gonzalez</w:t>
      </w:r>
    </w:p>
    <w:p>
      <w:pPr>
        <w:spacing w:after="0" w:line="207"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Trust Account - Termination Letter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Wolf and Ms. Gonzalez:</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paragraph 1(i) of the Investment Management Trust Agreement between Ventoux CCM Acquisition Corp. (“Company”) and Continental Stock Transfer &amp; Trust Company (“Trustee”), dated as of [______________], 2020 (“Trust Agreement”), this is to advise you that the</w:t>
      </w:r>
    </w:p>
    <w:p>
      <w:pPr>
        <w:jc w:val="both"/>
        <w:spacing w:after="0" w:line="255" w:lineRule="auto"/>
        <w:rPr>
          <w:sz w:val="20"/>
          <w:szCs w:val="20"/>
          <w:color w:val="auto"/>
        </w:rPr>
      </w:pPr>
      <w:r>
        <w:rPr>
          <w:rFonts w:ascii="Times New Roman" w:cs="Times New Roman" w:eastAsia="Times New Roman" w:hAnsi="Times New Roman"/>
          <w:sz w:val="18"/>
          <w:szCs w:val="18"/>
          <w:color w:val="auto"/>
        </w:rPr>
        <w:t>Company has been unable to effect a Business Combination with a Target Company within the time frame specified in the Company’s Amended and Restated Certificate of Incorporation, as described in the Company’s prospectus relating to its IPO. Capitalized terms used herein and not otherwise defined shall have the meanings set forth in the Trust Agreement.</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In accordance with the terms of the Trust Agreement, we hereby authorize you to liquidate all the Trust Account investments and to transfer the total proceeds to the Trust Operating Account at JPMorgan Chase Bank, N.A to await distribution to the Public Shareholders. The Company has selected [____________, 20__] as the effective date for the purpose of determining when the Public Shareholders will be entitled to receive their share of the</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liquidation proceeds. It is acknowledged that no interest will be earned by the Company on the liquidation proceeds while on deposit in the Trust Checking Account. You agree to be the Paying Agent of record and in your separate capacity as Paying Agent, to distribute said funds directly to the Public Shareholders in accordance with the terms of the Trust Agreement and the Amended and Restated Certificate of Incorporation of the Company. Upon the distribution of all the funds in the Trust Account, your obligations under the Trust Agreement shall be terminated.</w:t>
      </w:r>
    </w:p>
    <w:p>
      <w:pPr>
        <w:spacing w:after="0" w:line="1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 Chief Executive Officer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 Secretary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Chardan Capital Markets, LLC</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05" w:lineRule="auto"/>
        <w:rPr>
          <w:sz w:val="20"/>
          <w:szCs w:val="20"/>
          <w:color w:val="auto"/>
        </w:rPr>
      </w:pPr>
      <w:r>
        <w:rPr>
          <w:rFonts w:ascii="Times New Roman" w:cs="Times New Roman" w:eastAsia="Times New Roman" w:hAnsi="Times New Roman"/>
          <w:sz w:val="18"/>
          <w:szCs w:val="18"/>
          <w:color w:val="auto"/>
        </w:rPr>
        <w:t>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Francis Wolf and Celeste Gonzalez</w:t>
      </w:r>
    </w:p>
    <w:p>
      <w:pPr>
        <w:spacing w:after="0" w:line="207"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Trust Account Withdrawal Instructions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Wolf and Ms. Gonzalez:</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Pursuant to paragraph 2(a) of the Investment Management Trust Agreement between Ventoux CCM Acquisition Corp. (“Company”) and Continental Stock Transfer &amp; Trust Company (“Trustee”), dated as of [______________], 2020 (“Trust Agreement”), the Company hereby requests that</w:t>
      </w:r>
    </w:p>
    <w:p>
      <w:pPr>
        <w:spacing w:after="0"/>
        <w:rPr>
          <w:sz w:val="20"/>
          <w:szCs w:val="20"/>
          <w:color w:val="auto"/>
        </w:rPr>
      </w:pPr>
      <w:r>
        <w:rPr>
          <w:rFonts w:ascii="Times New Roman" w:cs="Times New Roman" w:eastAsia="Times New Roman" w:hAnsi="Times New Roman"/>
          <w:sz w:val="18"/>
          <w:szCs w:val="18"/>
          <w:color w:val="auto"/>
        </w:rPr>
        <w:t>you deliver to the Company [$_______] of the interest income earned on the Property as of the date hereof. The Company needs such funds to pay for its</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tax obligations. In accordance with the terms of the Trust Agreement, you are hereby directed and authorized to transfer (via wire transfer) such funds promptly upon your receipt of this letter to the Company’s operating account at: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[WIRE INSTRUCTION INFORMATION]</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Chardan Capital Markets, LLC</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1" w:name="page172"/>
    <w:bookmarkEnd w:id="171"/>
    <w:p>
      <w:pPr>
        <w:jc w:val="right"/>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[Letterhead of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[Insert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05" w:lineRule="auto"/>
        <w:rPr>
          <w:sz w:val="20"/>
          <w:szCs w:val="20"/>
          <w:color w:val="auto"/>
        </w:rPr>
      </w:pPr>
      <w:r>
        <w:rPr>
          <w:rFonts w:ascii="Times New Roman" w:cs="Times New Roman" w:eastAsia="Times New Roman" w:hAnsi="Times New Roman"/>
          <w:sz w:val="18"/>
          <w:szCs w:val="18"/>
          <w:color w:val="auto"/>
        </w:rPr>
        <w:t>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Francis Wolf and Celeste Gonzalez</w:t>
      </w:r>
    </w:p>
    <w:p>
      <w:pPr>
        <w:spacing w:after="0" w:line="207" w:lineRule="exact"/>
        <w:rPr>
          <w:sz w:val="20"/>
          <w:szCs w:val="20"/>
          <w:color w:val="auto"/>
        </w:rPr>
      </w:pPr>
    </w:p>
    <w:p>
      <w:pPr>
        <w:ind w:left="1300"/>
        <w:spacing w:after="0"/>
        <w:tabs>
          <w:tab w:leader="none" w:pos="172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Trust Account - Extension Letter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Wolf and Ms. Gonzalez:</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paragraph 1(j) of the Investment Management Trust Agreement between Ventoux CCM Acquisition Corp. (“Company”) and Continental Stock Transfer &amp; Trust Company (“Trustee”), dated as of [______________], 2020 (“Trust Agreement”), this is to advise you that the Company is extending the</w:t>
      </w:r>
    </w:p>
    <w:p>
      <w:pPr>
        <w:spacing w:after="0"/>
        <w:rPr>
          <w:sz w:val="20"/>
          <w:szCs w:val="20"/>
          <w:color w:val="auto"/>
        </w:rPr>
      </w:pPr>
      <w:r>
        <w:rPr>
          <w:rFonts w:ascii="Times New Roman" w:cs="Times New Roman" w:eastAsia="Times New Roman" w:hAnsi="Times New Roman"/>
          <w:sz w:val="18"/>
          <w:szCs w:val="18"/>
          <w:color w:val="auto"/>
        </w:rPr>
        <w:t>time available in order to consummate a Business Combination with the Target Businesses for an additional three (3) months, from ______________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 (the “Extension”). Capitalized words used herein and not otherwise defined shall have the meanings ascribed to them in the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Extension Letter shall serve as the notice required with respect to Extension prior to the Applicable Deadline.</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the terms of the Trust Agreement, we hereby authorize you to deposit $1,500,000 [(or $1,725,000 if the underwriters’ over-allotment option was exercised in full)], which will be wired to you, into the Trust Account investments upon receipt.</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 Chief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 Chardan Capital Markets, LLC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ESCROW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STOCK ESCROW AGREEMENT, dated as of December 23, 2020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VENTOUX CCM ACQUISITION CORP., a Delaware corporation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initial shareholders listed on the signature pages hereto (collectively, the “</w:t>
      </w:r>
      <w:r>
        <w:rPr>
          <w:rFonts w:ascii="Times New Roman" w:cs="Times New Roman" w:eastAsia="Times New Roman" w:hAnsi="Times New Roman"/>
          <w:sz w:val="18"/>
          <w:szCs w:val="18"/>
          <w:b w:val="1"/>
          <w:bCs w:val="1"/>
          <w:color w:val="auto"/>
        </w:rPr>
        <w:t>Initial Shareholders</w:t>
      </w:r>
      <w:r>
        <w:rPr>
          <w:rFonts w:ascii="Times New Roman" w:cs="Times New Roman" w:eastAsia="Times New Roman" w:hAnsi="Times New Roman"/>
          <w:sz w:val="18"/>
          <w:szCs w:val="18"/>
          <w:color w:val="auto"/>
        </w:rPr>
        <w:t>”), and CONTINENTAL STOCK TRANSFER &amp; TRUST COMPANY, a New York corporation (“</w:t>
      </w:r>
      <w:r>
        <w:rPr>
          <w:rFonts w:ascii="Times New Roman" w:cs="Times New Roman" w:eastAsia="Times New Roman" w:hAnsi="Times New Roman"/>
          <w:sz w:val="18"/>
          <w:szCs w:val="18"/>
          <w:b w:val="1"/>
          <w:bCs w:val="1"/>
          <w:color w:val="auto"/>
        </w:rPr>
        <w:t>Escrow Agent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WHEREAS, the Company has entered into an Underwriting Agreement, dated as of December 23, 2020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with Chardan Capital Markets, LLC (“</w:t>
      </w:r>
      <w:r>
        <w:rPr>
          <w:rFonts w:ascii="Times New Roman" w:cs="Times New Roman" w:eastAsia="Times New Roman" w:hAnsi="Times New Roman"/>
          <w:sz w:val="18"/>
          <w:szCs w:val="18"/>
          <w:b w:val="1"/>
          <w:bCs w:val="1"/>
          <w:color w:val="auto"/>
        </w:rPr>
        <w:t>Chardan</w:t>
      </w:r>
      <w:r>
        <w:rPr>
          <w:rFonts w:ascii="Times New Roman" w:cs="Times New Roman" w:eastAsia="Times New Roman" w:hAnsi="Times New Roman"/>
          <w:sz w:val="18"/>
          <w:szCs w:val="18"/>
          <w:color w:val="auto"/>
        </w:rPr>
        <w:t>”) acting as representative of the several underwriters (collectively,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pursuant to which, among other matters, the Underwriters have agreed to purchase 15,000,000 units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of the Company, plus an additional 2,250,000 Units if the Underwriters exercise their over-allotment option in full. Each Unit consists of one share of common stock of the Company, par value $0.0001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one right, with each right entitling the holder thereof to purchase one-twentieth of one share of Common Stock, and one warrant, with each warrant entitling the holder thereof to purchase one-half of one share of the Common Stock at an exercise price of $11.50 per share, all as more fully described in the Company’s final Prospectus, dated December 23, 2020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comprising part of the Company’s Registration Statement on Form S-1 (File No. 333-251048) under the Securities Act of 1933, as amended (“Registration Statement”), declared effective on December 23, 2020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WHEREAS, the Initial Shareholders have agreed as a condition of the sale of the Units to deposit their Insider Shares (as defined in the Prospectus), as set forth opposite their respective names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(collectively “</w:t>
      </w:r>
      <w:r>
        <w:rPr>
          <w:rFonts w:ascii="Times New Roman" w:cs="Times New Roman" w:eastAsia="Times New Roman" w:hAnsi="Times New Roman"/>
          <w:sz w:val="18"/>
          <w:szCs w:val="18"/>
          <w:b w:val="1"/>
          <w:bCs w:val="1"/>
          <w:color w:val="auto"/>
        </w:rPr>
        <w:t>Escrow Shares</w:t>
      </w:r>
      <w:r>
        <w:rPr>
          <w:rFonts w:ascii="Times New Roman" w:cs="Times New Roman" w:eastAsia="Times New Roman" w:hAnsi="Times New Roman"/>
          <w:sz w:val="18"/>
          <w:szCs w:val="18"/>
          <w:color w:val="auto"/>
        </w:rPr>
        <w:t>”), in escrow as hereinafter provided.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and the Initial Shareholders desire that the Escrow Agent accept the Escrow Shares, in escrow, to be held and disbursed as hereinafter provided.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AGREED:</w:t>
      </w:r>
    </w:p>
    <w:p>
      <w:pPr>
        <w:spacing w:after="0" w:line="225" w:lineRule="exact"/>
        <w:rPr>
          <w:sz w:val="20"/>
          <w:szCs w:val="20"/>
          <w:color w:val="auto"/>
        </w:rPr>
      </w:pPr>
    </w:p>
    <w:p>
      <w:pPr>
        <w:jc w:val="both"/>
        <w:ind w:firstLine="656"/>
        <w:spacing w:after="0" w:line="266" w:lineRule="auto"/>
        <w:tabs>
          <w:tab w:leader="none" w:pos="84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Escrow Agent</w:t>
      </w:r>
      <w:r>
        <w:rPr>
          <w:rFonts w:ascii="Times New Roman" w:cs="Times New Roman" w:eastAsia="Times New Roman" w:hAnsi="Times New Roman"/>
          <w:sz w:val="18"/>
          <w:szCs w:val="18"/>
          <w:color w:val="auto"/>
        </w:rPr>
        <w:t>. The Company and the Initial Shareholders hereby appoint the Escrow Agent to act in accordance with and subject to the terms of this Agreement, and the Escrow Agent hereby accepts such appointment and agrees to act in accordance with and subject to such terms.</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Deposit of Escrow Shares</w:t>
      </w:r>
      <w:r>
        <w:rPr>
          <w:rFonts w:ascii="Times New Roman" w:cs="Times New Roman" w:eastAsia="Times New Roman" w:hAnsi="Times New Roman"/>
          <w:sz w:val="18"/>
          <w:szCs w:val="18"/>
          <w:color w:val="auto"/>
        </w:rPr>
        <w:t>. On or prior to the date hereof, each of the Initial Shareholders delivered to the Escrow Agent certificates representing such Initial Shareholder’s respective Escrow Shares, together with applicable share powers, to be held and disbursed subject to the terms and conditions of this Agreement. Each of the Initial Shareholders acknowledges that the certificate representing such Initial Shareholder’s Escrow Shares is legended to reflect the deposit of such Escrow Shares under this Agreement.</w:t>
      </w:r>
    </w:p>
    <w:p>
      <w:pPr>
        <w:spacing w:after="0" w:line="17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of the Escrow Shares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3.1 The Escrow Agent shall hold the Escrow Shares during the period (the “</w:t>
      </w:r>
      <w:r>
        <w:rPr>
          <w:rFonts w:ascii="Times New Roman" w:cs="Times New Roman" w:eastAsia="Times New Roman" w:hAnsi="Times New Roman"/>
          <w:sz w:val="18"/>
          <w:szCs w:val="18"/>
          <w:b w:val="1"/>
          <w:bCs w:val="1"/>
          <w:color w:val="auto"/>
        </w:rPr>
        <w:t>Escrow Period</w:t>
      </w:r>
      <w:r>
        <w:rPr>
          <w:rFonts w:ascii="Times New Roman" w:cs="Times New Roman" w:eastAsia="Times New Roman" w:hAnsi="Times New Roman"/>
          <w:sz w:val="18"/>
          <w:szCs w:val="18"/>
          <w:color w:val="auto"/>
        </w:rPr>
        <w:t>”) commencing on the date hereof and (i) for 50% of the Escrow Shares, ending on the earlier of (x) six months after the date of the consummation of the Company’s initial business combination (as described in the Registration Statement, hereinafter a “Business Combination”) and (y) the date on which the closing price of the Common Stock equals or exceeds $12.50 per share (as adjusted for stock splits, stock dividends, reorganizations and recapitalizations) for any 20 trading days within any 30-trading day period commencing after the Company’s initial Business Combination and (ii) for the remaining 50% of the Escrow Shares, ending six months after the date of the consummation of an initial Business Combination. The Company shall promptly provide notice of the consummation of a Business Combination to the Escrow Agent. Upon completion of the Escrow Period, the Escrow Agent shall disburse such amount of each Initial Shareholder’s Escrow Shares (and any applicable share power) to such Initial Shareholder; provided, however, that if the Escrow Agent is notified by the Company pursuant to Section 6.7 hereof that the Company is being liquidated at any time during the Escrow Period, then the Escrow Agent shall promptly destroy the certificates representing the Escrow Shares; provided further, however, that if, within six months after the Company consummates an initial Business Combination, the Company (or the surviving entity) subsequently consummates a liquidation, merger, stock exchange or other similar transaction which results in all of the shareholders of such entity having the right to exchange their shares of Common Stock for cash, securities or other property, then the Escrow Agent will, upon receipt of a notice executed by the Chairman of the Board, Chief Executive Officer or other authorized officer of the Company, in form reasonably acceptable to the Escrow Agent, certifying that such transaction is then being consummated or such conditions have been achieved, as applicable, release the Escrow Shares to the Initial Shareholders. The Escrow Agent shall have no further duties hereunder after the disbursement or destruction of the Escrow Shares in accordance with this Section 3.1.</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3" w:name="page174"/>
    <w:bookmarkEnd w:id="173"/>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3.2 Notwithstanding Section 3.1, if the Underwriters do not exercise their over-allotment option to purchase an additional 2,250,000 Units of the Company in full within 45 days of the date of the Prospectus (as described in the Underwriting Agreement), the Initial Shareholders agree that the Escrow Agent shall return to the Company for cancellation, at no cost, the number of Escrow Shares held by the Initial Shareholders listed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determined by multiplying (a) the product of (i) 562,500 multiplied by (ii) a fraction, (x) the numerator of which is the number of Escrow Shares held by each such holder, and (y) the denominator of which is the total number of Escrow Shares, by (b) a fraction, (i) the numerator of which is 2,250,000 minus the number of shares of Common Stock purchased by the Underwriters upon the exercise of their over-allotment option, and (ii) the denominator of which is 2,250,000. The Company shall promptly provide notice to the Escrow Agent of the expiration or termination of the Underwriters’ over-allotment option and the number of Units, if any, purchased by the Underwriters in connection with their exercise thereof.</w:t>
      </w:r>
    </w:p>
    <w:p>
      <w:pPr>
        <w:spacing w:after="0" w:line="192" w:lineRule="exact"/>
        <w:rPr>
          <w:sz w:val="20"/>
          <w:szCs w:val="20"/>
          <w:color w:val="auto"/>
        </w:rPr>
      </w:pPr>
    </w:p>
    <w:p>
      <w:pPr>
        <w:ind w:left="840" w:hanging="184"/>
        <w:spacing w:after="0"/>
        <w:tabs>
          <w:tab w:leader="none" w:pos="8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of Initial Shareholders in Escrow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Voting Rights as a Shareholder</w:t>
      </w:r>
      <w:r>
        <w:rPr>
          <w:rFonts w:ascii="Times New Roman" w:cs="Times New Roman" w:eastAsia="Times New Roman" w:hAnsi="Times New Roman"/>
          <w:sz w:val="18"/>
          <w:szCs w:val="18"/>
          <w:color w:val="auto"/>
        </w:rPr>
        <w:t>. Subject to the terms of the Insider Letters described in Section 4.4 hereof and except as herein provided, the Initial Shareholders shall retain all of their rights as shareholders of the Company during the Escrow Period, including, without limitation, the right to vote such shares.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Dividends and Other Distributions in Respect of the Escrow Shares</w:t>
      </w:r>
      <w:r>
        <w:rPr>
          <w:rFonts w:ascii="Times New Roman" w:cs="Times New Roman" w:eastAsia="Times New Roman" w:hAnsi="Times New Roman"/>
          <w:sz w:val="18"/>
          <w:szCs w:val="18"/>
          <w:color w:val="auto"/>
        </w:rPr>
        <w:t>. During the Escrow Period, all dividends payable in cash with respect to the Escrow Shares shall be paid to the Initial Shareholders, but all dividends payable in stock or other non-cash property (“</w:t>
      </w:r>
      <w:r>
        <w:rPr>
          <w:rFonts w:ascii="Times New Roman" w:cs="Times New Roman" w:eastAsia="Times New Roman" w:hAnsi="Times New Roman"/>
          <w:sz w:val="18"/>
          <w:szCs w:val="18"/>
          <w:b w:val="1"/>
          <w:bCs w:val="1"/>
          <w:color w:val="auto"/>
        </w:rPr>
        <w:t>Non-Cash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Dividends</w:t>
      </w:r>
      <w:r>
        <w:rPr>
          <w:rFonts w:ascii="Times New Roman" w:cs="Times New Roman" w:eastAsia="Times New Roman" w:hAnsi="Times New Roman"/>
          <w:sz w:val="18"/>
          <w:szCs w:val="18"/>
          <w:color w:val="auto"/>
        </w:rPr>
        <w:t>”) shall be delivered to the Escrow Agent to hold in accordance with the terms hereof. As used herein, the term “Escrow Shares”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include the Non-Cash Dividends distributed thereon, if any.</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During the Escrow Period, the only permitted transfers of the Escrow Shares will be to (1) any person (including their affiliates and stockholders) participating in the private placement of the private warrants, officers, directors, stockholders, employees and members of Ventoux Acquisition Holdings LLC and Chardan International Investments, LLC, (2) to the Company’s pre-IPO stockholders or their respective affiliates, or to the Company’s offices, directors, advisors and employees (3) if the Initial Shareholder is an entity, as a distribution to its, partners, stockholders or members upon its liquidation, (4) by bona fide gift to a member of the Initial Shareholder’s immediate family or to a trust, the beneficiary of which is the Initial Shareholder or a member of the Initial Shareholder’s immediate family for estate planning purposes, (5) by virtue of the laws of descent and distribution upon death of the Initial Shareholder, (6) pursuant to a qualified domestic relations order, (7) by certain pledges to secure obligations incurred in connection with purchases of the Company’s securities, (8) by private sales at prices no greater than the price at which the Insider Shares were originally purchased or (9) for the cancellation of up to 562,500 shares of Common Stock subject to forfeiture to the extent that the Underwriters’ over-allotment is not exercised in full or in part or in connection with the consummation of our initial Business Combination, in each case (except for clause 9 or with our prior consent) on the condition that such transfers may be implemented only upon the respective transferee’s written agreement to be bound by the terms and conditions of this Agreement and of the Insider Letter (as defined below) signed by the Initial Shareholder transferring the Escrow Shares.</w:t>
      </w:r>
    </w:p>
    <w:p>
      <w:pPr>
        <w:spacing w:after="0" w:line="187"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Insider Letters</w:t>
      </w:r>
      <w:r>
        <w:rPr>
          <w:rFonts w:ascii="Times New Roman" w:cs="Times New Roman" w:eastAsia="Times New Roman" w:hAnsi="Times New Roman"/>
          <w:sz w:val="18"/>
          <w:szCs w:val="18"/>
          <w:color w:val="auto"/>
        </w:rPr>
        <w:t>. Each of the Initial Shareholders has executed a letter agreement with Chardan and the Company, the form of which is filed as an exhibit to the Registration Statement (“</w:t>
      </w:r>
      <w:r>
        <w:rPr>
          <w:rFonts w:ascii="Times New Roman" w:cs="Times New Roman" w:eastAsia="Times New Roman" w:hAnsi="Times New Roman"/>
          <w:sz w:val="18"/>
          <w:szCs w:val="18"/>
          <w:b w:val="1"/>
          <w:bCs w:val="1"/>
          <w:color w:val="auto"/>
        </w:rPr>
        <w:t>Insider Letter</w:t>
      </w:r>
      <w:r>
        <w:rPr>
          <w:rFonts w:ascii="Times New Roman" w:cs="Times New Roman" w:eastAsia="Times New Roman" w:hAnsi="Times New Roman"/>
          <w:sz w:val="18"/>
          <w:szCs w:val="18"/>
          <w:color w:val="auto"/>
        </w:rPr>
        <w:t>”), respecting the rights and obligations of such Initial Shareholder in certain events, including but not limited to the liquidation of the Company.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4" w:name="page175"/>
    <w:bookmarkEnd w:id="174"/>
    <w:p>
      <w:pPr>
        <w:ind w:left="840" w:hanging="184"/>
        <w:spacing w:after="0"/>
        <w:tabs>
          <w:tab w:leader="none" w:pos="8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Concerning the Escrow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Good Faith Reliance</w:t>
      </w:r>
      <w:r>
        <w:rPr>
          <w:rFonts w:ascii="Times New Roman" w:cs="Times New Roman" w:eastAsia="Times New Roman" w:hAnsi="Times New Roman"/>
          <w:sz w:val="18"/>
          <w:szCs w:val="18"/>
          <w:color w:val="auto"/>
        </w:rPr>
        <w:t>. The Escrow Agent shall not be liable for any action taken or omitted by it in good faith and in the exercise of its own best judgment, and may rely conclusively and shall be protected in acting upon any order, notice, demand, certificate, opinion or advice of counsel (including counsel chosen by the Escrow Agent), statement, instrument, report or other paper or document (not only as to its due execution and the validity and effectiveness of its provisions, but also as to the truth and acceptability of any information therein contained) which is believed by the Escrow Agent to be genuine and to be signed or presented by the proper person or persons. The Escrow Agent shall not be bound by any notice or demand, or any waiver, modification, termination or rescission of this Agreement unless evidenced by a writing delivered to the Escrow Agent signed by the proper party or parties and, if the duties or rights of the Escrow Agent are affected, unless it shall have given its prior written consent thereto.</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Escrow Agent shall be indemnified and held harmless by the Company from and against any expenses, including counsel fees and disbursements, or loss suffered by the Escrow Agent in connection with any action, suit or other proceeding involving any claim which in any way, directly or indirectly, arises out of or relates to this Agreement, the services of the Escrow Agent hereunder, or the Escrow Shares held by it hereunder, other than expenses or losses arising from the gross negligence or willful misconduct of the Escrow Agent. Promptly after the receipt by the Escrow Agent of notice of any demand or claim or the commencement of any action, suit or proceeding, the Escrow Agent shall notify the other parties hereto in writing. In the event of the receipt of such notice, the Escrow Agent, in its sole discretion, may commence an action in the nature of interpleader in an appropriate court to determine ownership or disposition of the Escrow Shares or it may deposit the Escrow Shares with the clerk of any appropriate court or it may retain the Escrow Shares pending receipt of a final, non-appealable order of a court having jurisdiction over all of the parties hereto directing to whom and under what circumstances the Escrow Shares are to be disbursed and delivered. The provisions of this Section 5.2 shall survive in the event the Escrow Agent resigns or is discharged pursuant to Sections 5.5 or 5.6 below.</w:t>
      </w:r>
    </w:p>
    <w:p>
      <w:pPr>
        <w:spacing w:after="0" w:line="19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Escrow Agent shall be entitled to reasonable compensation from the Company for all services rendered by it hereunder. The Escrow Agent shall also be entitled to reimbursement from the Company for all expenses paid or incurred by it in the administration of its duties hereunder including, but not limited to, all counsel, advisors’ and agents’ fees and disbursements and all taxes or other governmental charges.</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From time to time on and after the date hereof, the Company and the Initial Shareholders shall deliver or cause to be delivered to the Escrow Agent such further documents and instruments and shall do or cause to be done such further acts as the Escrow Agent shall reasonably request to carry out more effectively the provisions and purposes of this Agreement, to evidence compliance herewith or to assure itself that it is protected in acting hereunder.</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The Escrow Agent may resign at any time and be discharged from its duties as escrow agent hereunder by its giving the other parties hereto written notice and such resignation shall become effective as hereinafter provided. Such resignation shall become effective at such time that the Escrow Agent shall turn over to a successor escrow agent appointed by the Company, the Escrow Shares held hereunder. If no new escrow agent is so appointed within the 60 day period following the giving of such notice of resignation, the Escrow Agent may deposit the Escrow Shares with any court it reasonably deems appropriate.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Discharge of Escrow Agent</w:t>
      </w:r>
      <w:r>
        <w:rPr>
          <w:rFonts w:ascii="Times New Roman" w:cs="Times New Roman" w:eastAsia="Times New Roman" w:hAnsi="Times New Roman"/>
          <w:sz w:val="18"/>
          <w:szCs w:val="18"/>
          <w:color w:val="auto"/>
        </w:rPr>
        <w:t>. The Escrow Agent shall resign and be discharged from its duties as escrow agent hereunder if so requested in writing at any time by the other parties hereto, jointly, provided, however, that such resignation shall become effective only upon acceptance of appointment by a successor escrow agent as provided in Section 5.5.</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Notwithstanding anything herein to the contrary, the Escrow Agent shall not be relieved from liability hereunder for its own gross negligence or its own willful misconduct.</w:t>
      </w:r>
    </w:p>
    <w:p>
      <w:pPr>
        <w:spacing w:after="0" w:line="158" w:lineRule="exact"/>
        <w:rPr>
          <w:sz w:val="20"/>
          <w:szCs w:val="20"/>
          <w:color w:val="auto"/>
        </w:rPr>
      </w:pPr>
    </w:p>
    <w:p>
      <w:pPr>
        <w:jc w:val="both"/>
        <w:ind w:firstLine="1296"/>
        <w:spacing w:after="0" w:line="262"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The Escrow Agent hereby waives any right of set-off or any other right, title, interest or claim of any kind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in, or to any distribution of, the Trust Account (as defined in that certain Investment Management Trust Agreement, dated as of the date hereof, by and between the Company and the Escrow Agent as trustee thereunder) and hereby agrees not to seek recourse, reimbursement, payment or satisfaction for any Claim against the Trust Account for any reason whatsoever.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5" w:name="page176"/>
    <w:bookmarkEnd w:id="175"/>
    <w:p>
      <w:pPr>
        <w:ind w:left="840" w:hanging="184"/>
        <w:spacing w:after="0"/>
        <w:tabs>
          <w:tab w:leader="none" w:pos="8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for all purposes be deemed to be made under and shall be construed in accordance with the laws of the State of New York, without giving effect to conflicts of law principles that would result in the application of the substantive laws of another jurisdiction.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 Each of the Initial Shareholders hereby acknowledges that Chardan is a third party beneficiary of this Agreement and this Agreement may not be modified or changed without the prior written consent of Chardan.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contains the entire agreement of the parties hereto with respect to the subject matter hereof and, except as expressly provided herein, may not be changed or modified except by an instrument in writing signed by the party to the charged.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contained in this Agreement are for reference purposes only and shall not affect in any way the meaning or interpretation thereof.</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inure to the benefit of the respective parties hereto and their legal representatives, successors and assigns.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other communication required or which may be given hereunder shall be in writing and either be delivered personally or be mailed, certified or registered mail, or by private national courier service, return receipt requested, postage prepaid, and shall be deemed given when so delivered personally or, if mailed, two days after the date of mailing, as follows:</w:t>
      </w:r>
    </w:p>
    <w:p>
      <w:pPr>
        <w:sectPr>
          <w:pgSz w:w="11900" w:h="16838" w:orient="portrait"/>
          <w:cols w:equalWidth="0" w:num="1">
            <w:col w:w="11240"/>
          </w:cols>
          <w:pgMar w:left="320" w:top="904" w:right="339" w:bottom="1045" w:gutter="0" w:footer="0" w:header="0"/>
        </w:sectPr>
      </w:pP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If to the Company, to:</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Ventoux CCM Acquisition Corp.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Edward Scheetz</w:t>
      </w:r>
    </w:p>
    <w:p>
      <w:pPr>
        <w:spacing w:after="0" w:line="200" w:lineRule="exact"/>
        <w:rPr>
          <w:sz w:val="20"/>
          <w:szCs w:val="20"/>
          <w:color w:val="auto"/>
        </w:rPr>
      </w:pPr>
    </w:p>
    <w:p>
      <w:pPr>
        <w:sectPr>
          <w:pgSz w:w="11900" w:h="16838" w:orient="portrait"/>
          <w:cols w:equalWidth="0" w:num="2">
            <w:col w:w="4020" w:space="720"/>
            <w:col w:w="6500"/>
          </w:cols>
          <w:pgMar w:left="320" w:top="904" w:right="339" w:bottom="1045" w:gutter="0" w:footer="0" w:header="0"/>
          <w:type w:val="continuous"/>
        </w:sectPr>
      </w:pPr>
    </w:p>
    <w:p>
      <w:pPr>
        <w:spacing w:after="0" w:line="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 xml:space="preserve">If to a Shareholder, to his address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spacing w:after="0"/>
        <w:tabs>
          <w:tab w:leader="none" w:pos="4720" w:val="left"/>
        </w:tabs>
        <w:rPr>
          <w:sz w:val="20"/>
          <w:szCs w:val="20"/>
          <w:color w:val="auto"/>
        </w:rPr>
      </w:pPr>
      <w:r>
        <w:rPr>
          <w:rFonts w:ascii="Times New Roman" w:cs="Times New Roman" w:eastAsia="Times New Roman" w:hAnsi="Times New Roman"/>
          <w:sz w:val="18"/>
          <w:szCs w:val="18"/>
          <w:color w:val="auto"/>
        </w:rPr>
        <w:t>and if to the Escrow Agent, to:</w:t>
      </w:r>
      <w:r>
        <w:rPr>
          <w:sz w:val="20"/>
          <w:szCs w:val="20"/>
          <w:color w:val="auto"/>
        </w:rPr>
        <w:tab/>
      </w:r>
      <w:r>
        <w:rPr>
          <w:rFonts w:ascii="Times New Roman" w:cs="Times New Roman" w:eastAsia="Times New Roman" w:hAnsi="Times New Roman"/>
          <w:sz w:val="17"/>
          <w:szCs w:val="17"/>
          <w:color w:val="auto"/>
        </w:rPr>
        <w:t>Continental Stock Transfer &amp; Trust Company</w:t>
      </w:r>
    </w:p>
    <w:p>
      <w:pPr>
        <w:ind w:left="4740"/>
        <w:spacing w:after="0" w:line="205" w:lineRule="auto"/>
        <w:rPr>
          <w:sz w:val="20"/>
          <w:szCs w:val="20"/>
          <w:color w:val="auto"/>
        </w:rPr>
      </w:pPr>
      <w:r>
        <w:rPr>
          <w:rFonts w:ascii="Times New Roman" w:cs="Times New Roman" w:eastAsia="Times New Roman" w:hAnsi="Times New Roman"/>
          <w:sz w:val="18"/>
          <w:szCs w:val="18"/>
          <w:color w:val="auto"/>
        </w:rPr>
        <w:t>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New York, New York 10004</w:t>
      </w:r>
    </w:p>
    <w:p>
      <w:pPr>
        <w:spacing w:after="0" w:line="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Attn: Isaac Kagan</w:t>
      </w:r>
    </w:p>
    <w:p>
      <w:pPr>
        <w:spacing w:after="0" w:line="20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A copy (which copy shall not constitute notice) sent hereunder shall be sent to:</w:t>
      </w:r>
    </w:p>
    <w:p>
      <w:pPr>
        <w:spacing w:after="0" w:line="225" w:lineRule="exact"/>
        <w:rPr>
          <w:sz w:val="20"/>
          <w:szCs w:val="20"/>
          <w:color w:val="auto"/>
        </w:rPr>
      </w:pPr>
    </w:p>
    <w:tbl>
      <w:tblPr>
        <w:tblLayout w:type="fixed"/>
        <w:tblInd w:w="254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4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Chardan Capital Markets LLC</w:t>
            </w:r>
          </w:p>
        </w:tc>
      </w:tr>
      <w:tr>
        <w:trPr>
          <w:trHeight w:val="216"/>
        </w:trPr>
        <w:tc>
          <w:tcPr>
            <w:tcW w:w="1260" w:type="dxa"/>
            <w:vAlign w:val="bottom"/>
          </w:tcPr>
          <w:p>
            <w:pPr>
              <w:spacing w:after="0"/>
              <w:rPr>
                <w:sz w:val="18"/>
                <w:szCs w:val="18"/>
                <w:color w:val="auto"/>
              </w:rPr>
            </w:pPr>
          </w:p>
        </w:tc>
        <w:tc>
          <w:tcPr>
            <w:tcW w:w="4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17 State Street, 21st Floor</w:t>
            </w:r>
          </w:p>
        </w:tc>
      </w:tr>
      <w:tr>
        <w:trPr>
          <w:trHeight w:val="216"/>
        </w:trPr>
        <w:tc>
          <w:tcPr>
            <w:tcW w:w="1260" w:type="dxa"/>
            <w:vAlign w:val="bottom"/>
          </w:tcPr>
          <w:p>
            <w:pPr>
              <w:spacing w:after="0"/>
              <w:rPr>
                <w:sz w:val="18"/>
                <w:szCs w:val="18"/>
                <w:color w:val="auto"/>
              </w:rPr>
            </w:pPr>
          </w:p>
        </w:tc>
        <w:tc>
          <w:tcPr>
            <w:tcW w:w="4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New York, NY 10004</w:t>
            </w:r>
          </w:p>
        </w:tc>
      </w:tr>
      <w:tr>
        <w:trPr>
          <w:trHeight w:val="216"/>
        </w:trPr>
        <w:tc>
          <w:tcPr>
            <w:tcW w:w="1260" w:type="dxa"/>
            <w:vAlign w:val="bottom"/>
          </w:tcPr>
          <w:p>
            <w:pPr>
              <w:spacing w:after="0"/>
              <w:rPr>
                <w:sz w:val="18"/>
                <w:szCs w:val="18"/>
                <w:color w:val="auto"/>
              </w:rPr>
            </w:pPr>
          </w:p>
        </w:tc>
        <w:tc>
          <w:tcPr>
            <w:tcW w:w="4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Attn: Jonas Grossman</w:t>
            </w:r>
          </w:p>
        </w:tc>
      </w:tr>
      <w:tr>
        <w:trPr>
          <w:trHeight w:val="234"/>
        </w:trPr>
        <w:tc>
          <w:tcPr>
            <w:tcW w:w="1260" w:type="dxa"/>
            <w:vAlign w:val="bottom"/>
          </w:tcPr>
          <w:p>
            <w:pPr>
              <w:spacing w:after="0"/>
              <w:rPr>
                <w:sz w:val="20"/>
                <w:szCs w:val="20"/>
                <w:color w:val="auto"/>
              </w:rPr>
            </w:pPr>
          </w:p>
        </w:tc>
        <w:tc>
          <w:tcPr>
            <w:tcW w:w="4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Fax: (646) 465-9002</w:t>
            </w:r>
          </w:p>
        </w:tc>
      </w:tr>
      <w:tr>
        <w:trPr>
          <w:trHeight w:val="414"/>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w:t>
            </w:r>
          </w:p>
        </w:tc>
        <w:tc>
          <w:tcPr>
            <w:tcW w:w="4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Greenberg Traurig, LLP</w:t>
            </w:r>
          </w:p>
        </w:tc>
      </w:tr>
      <w:tr>
        <w:trPr>
          <w:trHeight w:val="216"/>
        </w:trPr>
        <w:tc>
          <w:tcPr>
            <w:tcW w:w="1260" w:type="dxa"/>
            <w:vAlign w:val="bottom"/>
          </w:tcPr>
          <w:p>
            <w:pPr>
              <w:spacing w:after="0"/>
              <w:rPr>
                <w:sz w:val="18"/>
                <w:szCs w:val="18"/>
                <w:color w:val="auto"/>
              </w:rPr>
            </w:pPr>
          </w:p>
        </w:tc>
        <w:tc>
          <w:tcPr>
            <w:tcW w:w="4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1750 Tysons Boulevard, Suite 1000</w:t>
            </w:r>
          </w:p>
        </w:tc>
      </w:tr>
      <w:tr>
        <w:trPr>
          <w:trHeight w:val="216"/>
        </w:trPr>
        <w:tc>
          <w:tcPr>
            <w:tcW w:w="1260" w:type="dxa"/>
            <w:vAlign w:val="bottom"/>
          </w:tcPr>
          <w:p>
            <w:pPr>
              <w:spacing w:after="0"/>
              <w:rPr>
                <w:sz w:val="18"/>
                <w:szCs w:val="18"/>
                <w:color w:val="auto"/>
              </w:rPr>
            </w:pPr>
          </w:p>
        </w:tc>
        <w:tc>
          <w:tcPr>
            <w:tcW w:w="4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McLean, Virginia 22102</w:t>
            </w:r>
          </w:p>
        </w:tc>
      </w:tr>
      <w:tr>
        <w:trPr>
          <w:trHeight w:val="216"/>
        </w:trPr>
        <w:tc>
          <w:tcPr>
            <w:tcW w:w="1260" w:type="dxa"/>
            <w:vAlign w:val="bottom"/>
          </w:tcPr>
          <w:p>
            <w:pPr>
              <w:spacing w:after="0"/>
              <w:rPr>
                <w:sz w:val="18"/>
                <w:szCs w:val="18"/>
                <w:color w:val="auto"/>
              </w:rPr>
            </w:pPr>
          </w:p>
        </w:tc>
        <w:tc>
          <w:tcPr>
            <w:tcW w:w="4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Attn: Alan Annex; Jason Simon</w:t>
            </w:r>
          </w:p>
        </w:tc>
      </w:tr>
      <w:tr>
        <w:trPr>
          <w:trHeight w:val="216"/>
        </w:trPr>
        <w:tc>
          <w:tcPr>
            <w:tcW w:w="1260" w:type="dxa"/>
            <w:vAlign w:val="bottom"/>
          </w:tcPr>
          <w:p>
            <w:pPr>
              <w:spacing w:after="0"/>
              <w:rPr>
                <w:sz w:val="18"/>
                <w:szCs w:val="18"/>
                <w:color w:val="auto"/>
              </w:rPr>
            </w:pPr>
          </w:p>
        </w:tc>
        <w:tc>
          <w:tcPr>
            <w:tcW w:w="4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Email: annexa@gtlaw.com</w:t>
            </w:r>
          </w:p>
        </w:tc>
      </w:tr>
      <w:tr>
        <w:trPr>
          <w:trHeight w:val="216"/>
        </w:trPr>
        <w:tc>
          <w:tcPr>
            <w:tcW w:w="1260" w:type="dxa"/>
            <w:vAlign w:val="bottom"/>
          </w:tcPr>
          <w:p>
            <w:pPr>
              <w:spacing w:after="0"/>
              <w:rPr>
                <w:sz w:val="18"/>
                <w:szCs w:val="18"/>
                <w:color w:val="auto"/>
              </w:rPr>
            </w:pPr>
          </w:p>
        </w:tc>
        <w:tc>
          <w:tcPr>
            <w:tcW w:w="4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simonj@gtlaw.com</w:t>
            </w:r>
          </w:p>
        </w:tc>
      </w:tr>
      <w:tr>
        <w:trPr>
          <w:trHeight w:val="234"/>
        </w:trPr>
        <w:tc>
          <w:tcPr>
            <w:tcW w:w="1260" w:type="dxa"/>
            <w:vAlign w:val="bottom"/>
          </w:tcPr>
          <w:p>
            <w:pPr>
              <w:spacing w:after="0"/>
              <w:rPr>
                <w:sz w:val="20"/>
                <w:szCs w:val="20"/>
                <w:color w:val="auto"/>
              </w:rPr>
            </w:pPr>
          </w:p>
        </w:tc>
        <w:tc>
          <w:tcPr>
            <w:tcW w:w="4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Fax: (212) 801-6400</w:t>
            </w:r>
          </w:p>
        </w:tc>
      </w:tr>
      <w:tr>
        <w:trPr>
          <w:trHeight w:val="41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and:</w:t>
            </w:r>
          </w:p>
        </w:tc>
        <w:tc>
          <w:tcPr>
            <w:tcW w:w="4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Loeb &amp; Loeb LLP</w:t>
            </w:r>
          </w:p>
        </w:tc>
      </w:tr>
      <w:tr>
        <w:trPr>
          <w:trHeight w:val="216"/>
        </w:trPr>
        <w:tc>
          <w:tcPr>
            <w:tcW w:w="1260" w:type="dxa"/>
            <w:vAlign w:val="bottom"/>
          </w:tcPr>
          <w:p>
            <w:pPr>
              <w:spacing w:after="0"/>
              <w:rPr>
                <w:sz w:val="18"/>
                <w:szCs w:val="18"/>
                <w:color w:val="auto"/>
              </w:rPr>
            </w:pPr>
          </w:p>
        </w:tc>
        <w:tc>
          <w:tcPr>
            <w:tcW w:w="4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345 Park Avenue</w:t>
            </w:r>
          </w:p>
        </w:tc>
      </w:tr>
      <w:tr>
        <w:trPr>
          <w:trHeight w:val="216"/>
        </w:trPr>
        <w:tc>
          <w:tcPr>
            <w:tcW w:w="1260" w:type="dxa"/>
            <w:vAlign w:val="bottom"/>
          </w:tcPr>
          <w:p>
            <w:pPr>
              <w:spacing w:after="0"/>
              <w:rPr>
                <w:sz w:val="18"/>
                <w:szCs w:val="18"/>
                <w:color w:val="auto"/>
              </w:rPr>
            </w:pPr>
          </w:p>
        </w:tc>
        <w:tc>
          <w:tcPr>
            <w:tcW w:w="4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New York, New York 10154</w:t>
            </w:r>
          </w:p>
        </w:tc>
      </w:tr>
      <w:tr>
        <w:trPr>
          <w:trHeight w:val="216"/>
        </w:trPr>
        <w:tc>
          <w:tcPr>
            <w:tcW w:w="1260" w:type="dxa"/>
            <w:vAlign w:val="bottom"/>
          </w:tcPr>
          <w:p>
            <w:pPr>
              <w:spacing w:after="0"/>
              <w:rPr>
                <w:sz w:val="18"/>
                <w:szCs w:val="18"/>
                <w:color w:val="auto"/>
              </w:rPr>
            </w:pPr>
          </w:p>
        </w:tc>
        <w:tc>
          <w:tcPr>
            <w:tcW w:w="452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9"/>
              </w:rPr>
              <w:t>Attn: Mitchell S. Nussbaum and Giovanni Caruso</w:t>
            </w:r>
          </w:p>
        </w:tc>
      </w:tr>
      <w:tr>
        <w:trPr>
          <w:trHeight w:val="234"/>
        </w:trPr>
        <w:tc>
          <w:tcPr>
            <w:tcW w:w="1260" w:type="dxa"/>
            <w:vAlign w:val="bottom"/>
          </w:tcPr>
          <w:p>
            <w:pPr>
              <w:spacing w:after="0"/>
              <w:rPr>
                <w:sz w:val="20"/>
                <w:szCs w:val="20"/>
                <w:color w:val="auto"/>
              </w:rPr>
            </w:pPr>
          </w:p>
        </w:tc>
        <w:tc>
          <w:tcPr>
            <w:tcW w:w="452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Fax: (212) 407-4000</w:t>
            </w: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parties may change the persons and addresses to which the notices or other communications are to be sent by giving written notice to any such change in the manner provided herein for giving notice.</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Liquidation of the Company</w:t>
      </w:r>
      <w:r>
        <w:rPr>
          <w:rFonts w:ascii="Times New Roman" w:cs="Times New Roman" w:eastAsia="Times New Roman" w:hAnsi="Times New Roman"/>
          <w:sz w:val="18"/>
          <w:szCs w:val="18"/>
          <w:color w:val="auto"/>
        </w:rPr>
        <w:t>. The Company shall give the Escrow Agent written notification of the liquidation and dissolution of the Company in the event that the Company fails to consummate a Business Combination within the time period specified in the 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045" w:gutter="0" w:footer="0" w:header="0"/>
          <w:type w:val="continuous"/>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color w:val="auto"/>
        </w:rPr>
        <w:t>WITNESS the execution of this Agreement as of the date first above written.</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CONTINENTAL STOCK TRANSFER &amp; TRUST</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Isaac J.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Isaac J. Kagan</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INITIAL SHAREHOLDERS:</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VENTOUX ACQUISITION HOLDINGS LLC</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tab/>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Matthew MacDonald</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7"/>
          <w:szCs w:val="17"/>
          <w:color w:val="auto"/>
        </w:rPr>
        <w:t>CHARDAN INTERNATIONAL INVESTMENTS, LLC</w:t>
      </w:r>
    </w:p>
    <w:p>
      <w:pPr>
        <w:spacing w:after="0" w:line="237"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tab/>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Jonas Grossman</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CINDAT USA LLC</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tab/>
        <w:t>/s/ Gang Peng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Gang (Greg) Peng</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BLIND 1212, LLC</w:t>
      </w:r>
    </w:p>
    <w:p>
      <w:pPr>
        <w:spacing w:after="0" w:line="225"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Woodrow H.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Woodrow H. Levin</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Manager</w:t>
      </w:r>
    </w:p>
    <w:p>
      <w:pPr>
        <w:spacing w:after="0" w:line="20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Julie Atkinson</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Julie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Christian Ahrens</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 Christian Ahrens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17145</wp:posOffset>
            </wp:positionV>
            <wp:extent cx="284607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0"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i w:val="1"/>
          <w:iCs w:val="1"/>
          <w:color w:val="auto"/>
        </w:rPr>
        <w:t>[Signature Page to Escrow Agreement]</w:t>
      </w:r>
    </w:p>
    <w:p>
      <w:pPr>
        <w:spacing w:after="0" w:line="200" w:lineRule="exact"/>
        <w:rPr>
          <w:sz w:val="20"/>
          <w:szCs w:val="20"/>
          <w:color w:val="auto"/>
        </w:rPr>
      </w:pPr>
    </w:p>
    <w:p>
      <w:pPr>
        <w:spacing w:after="0" w:line="23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10795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00"/>
          </w:cols>
          <w:pgMar w:left="980" w:top="904" w:right="71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07"/>
        </w:trPr>
        <w:tc>
          <w:tcPr>
            <w:tcW w:w="39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EXHIBIT A</w:t>
            </w:r>
          </w:p>
        </w:tc>
        <w:tc>
          <w:tcPr>
            <w:tcW w:w="5140" w:type="dxa"/>
            <w:vAlign w:val="bottom"/>
            <w:gridSpan w:val="4"/>
          </w:tcPr>
          <w:p>
            <w:pPr>
              <w:spacing w:after="0"/>
              <w:rPr>
                <w:sz w:val="17"/>
                <w:szCs w:val="17"/>
                <w:color w:val="auto"/>
              </w:rPr>
            </w:pPr>
          </w:p>
        </w:tc>
      </w:tr>
      <w:tr>
        <w:trPr>
          <w:trHeight w:val="453"/>
        </w:trPr>
        <w:tc>
          <w:tcPr>
            <w:tcW w:w="3940" w:type="dxa"/>
            <w:vAlign w:val="bottom"/>
          </w:tcPr>
          <w:p>
            <w:pPr>
              <w:spacing w:after="0"/>
              <w:rPr>
                <w:sz w:val="24"/>
                <w:szCs w:val="24"/>
                <w:color w:val="auto"/>
              </w:rPr>
            </w:pPr>
          </w:p>
        </w:tc>
        <w:tc>
          <w:tcPr>
            <w:tcW w:w="7300" w:type="dxa"/>
            <w:vAlign w:val="bottom"/>
            <w:gridSpan w:val="6"/>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w w:val="98"/>
              </w:rPr>
              <w:t>Initial Shareholders</w:t>
            </w:r>
          </w:p>
        </w:tc>
      </w:tr>
      <w:tr>
        <w:trPr>
          <w:trHeight w:val="414"/>
        </w:trPr>
        <w:tc>
          <w:tcPr>
            <w:tcW w:w="3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Number</w:t>
            </w:r>
          </w:p>
        </w:tc>
      </w:tr>
      <w:tr>
        <w:trPr>
          <w:trHeight w:val="241"/>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Name of Initial Shareholder</w:t>
            </w:r>
          </w:p>
        </w:tc>
        <w:tc>
          <w:tcPr>
            <w:tcW w:w="1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of Shares</w:t>
            </w:r>
          </w:p>
        </w:tc>
      </w:tr>
      <w:tr>
        <w:trPr>
          <w:trHeight w:val="216"/>
        </w:trPr>
        <w:tc>
          <w:tcPr>
            <w:tcW w:w="39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Ventoux Acquisition Holdings LLC</w:t>
            </w:r>
          </w:p>
        </w:tc>
        <w:tc>
          <w:tcPr>
            <w:tcW w:w="1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2,728,875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Chardan International Investments, LLC</w:t>
            </w:r>
          </w:p>
        </w:tc>
        <w:tc>
          <w:tcPr>
            <w:tcW w:w="730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1,493,625</w:t>
            </w:r>
          </w:p>
        </w:tc>
      </w:tr>
      <w:tr>
        <w:trPr>
          <w:trHeight w:val="216"/>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Cindat USA LLC</w:t>
            </w:r>
          </w:p>
        </w:tc>
        <w:tc>
          <w:tcPr>
            <w:tcW w:w="73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22,500</w:t>
            </w:r>
          </w:p>
        </w:tc>
      </w:tr>
      <w:tr>
        <w:trPr>
          <w:trHeight w:val="216"/>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Blind 1212, LLC</w:t>
            </w:r>
          </w:p>
        </w:tc>
        <w:tc>
          <w:tcPr>
            <w:tcW w:w="730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22,500</w:t>
            </w:r>
          </w:p>
        </w:tc>
      </w:tr>
      <w:tr>
        <w:trPr>
          <w:trHeight w:val="216"/>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Julie Atkinson</w:t>
            </w:r>
          </w:p>
        </w:tc>
        <w:tc>
          <w:tcPr>
            <w:tcW w:w="7300" w:type="dxa"/>
            <w:vAlign w:val="bottom"/>
            <w:gridSpan w:val="6"/>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22,500</w:t>
            </w:r>
          </w:p>
        </w:tc>
      </w:tr>
      <w:tr>
        <w:trPr>
          <w:trHeight w:val="234"/>
        </w:trPr>
        <w:tc>
          <w:tcPr>
            <w:tcW w:w="3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Christian Ahrens</w:t>
            </w:r>
          </w:p>
        </w:tc>
        <w:tc>
          <w:tcPr>
            <w:tcW w:w="7300" w:type="dxa"/>
            <w:vAlign w:val="bottom"/>
            <w:gridSpan w:val="6"/>
          </w:tcPr>
          <w:p>
            <w:pPr>
              <w:jc w:val="right"/>
              <w:ind w:right="100"/>
              <w:spacing w:after="0"/>
              <w:rPr>
                <w:sz w:val="20"/>
                <w:szCs w:val="20"/>
                <w:color w:val="auto"/>
              </w:rPr>
            </w:pPr>
            <w:r>
              <w:rPr>
                <w:rFonts w:ascii="Times New Roman" w:cs="Times New Roman" w:eastAsia="Times New Roman" w:hAnsi="Times New Roman"/>
                <w:sz w:val="18"/>
                <w:szCs w:val="18"/>
                <w:color w:val="auto"/>
              </w:rPr>
              <w:t>22,500</w:t>
            </w:r>
          </w:p>
        </w:tc>
      </w:tr>
      <w:tr>
        <w:trPr>
          <w:trHeight w:val="664"/>
        </w:trPr>
        <w:tc>
          <w:tcPr>
            <w:tcW w:w="39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178" w:name="page179"/>
    <w:bookmarkEnd w:id="178"/>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right"/>
        <w:ind w:right="3959"/>
        <w:spacing w:after="0"/>
        <w:rPr>
          <w:sz w:val="20"/>
          <w:szCs w:val="20"/>
          <w:color w:val="auto"/>
        </w:rPr>
      </w:pPr>
      <w:r>
        <w:rPr>
          <w:rFonts w:ascii="Times New Roman" w:cs="Times New Roman" w:eastAsia="Times New Roman" w:hAnsi="Times New Roman"/>
          <w:sz w:val="18"/>
          <w:szCs w:val="18"/>
          <w:b w:val="1"/>
          <w:bCs w:val="1"/>
          <w:color w:val="auto"/>
        </w:rPr>
        <w:t>Escrow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Acquisition Holdings LLC – 363,527</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International Investments, LLC – 198,973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79" w:name="page180"/>
    <w:bookmarkEnd w:id="179"/>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is entered into as of December 23, 2020, by and among Ventoux CCM Acquisition Corp.,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the undersigned parties listed under Investor on the signature page hereto (each, an “</w:t>
      </w: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u w:val="single" w:color="auto"/>
          <w:color w:val="auto"/>
        </w:rPr>
        <w:t>Investors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Investors and the Company desire to enter into this Agreement to provide the Investors with certain rights relating to the registration of the securities held by them as of the date 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capitalized terms used herein have the following meanings: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means this Agreement, as amended, restated, supplemented, or otherwise modified from time to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Combination</w:t>
      </w:r>
      <w:r>
        <w:rPr>
          <w:rFonts w:ascii="Times New Roman" w:cs="Times New Roman" w:eastAsia="Times New Roman" w:hAnsi="Times New Roman"/>
          <w:sz w:val="18"/>
          <w:szCs w:val="18"/>
          <w:color w:val="auto"/>
        </w:rPr>
        <w:t>” means the acquisition of direct or indirect ownership through a merger, share exchange, asset acquisition, share purchase, recapitalization, reorganization or other similar type of transaction, of one or more businesses or entities.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means the Securities and Exchange Commission, or any other Federal agency then administering the Securities Act or the Exchange Act.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means the common stock, par value $0.0001 per share, of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Demand Registration</w:t>
      </w:r>
      <w:r>
        <w:rPr>
          <w:rFonts w:ascii="Times New Roman" w:cs="Times New Roman" w:eastAsia="Times New Roman" w:hAnsi="Times New Roman"/>
          <w:sz w:val="18"/>
          <w:szCs w:val="18"/>
          <w:color w:val="auto"/>
        </w:rPr>
        <w:t>” is defined in Section 2.1.1.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Demanding Holder</w:t>
      </w:r>
      <w:r>
        <w:rPr>
          <w:rFonts w:ascii="Times New Roman" w:cs="Times New Roman" w:eastAsia="Times New Roman" w:hAnsi="Times New Roman"/>
          <w:sz w:val="18"/>
          <w:szCs w:val="18"/>
          <w:color w:val="auto"/>
        </w:rPr>
        <w:t>” is defined in Section 2.1.1.</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promulgated thereunder, all as the same shall be in effect at the time.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Form S-3</w:t>
      </w:r>
      <w:r>
        <w:rPr>
          <w:rFonts w:ascii="Times New Roman" w:cs="Times New Roman" w:eastAsia="Times New Roman" w:hAnsi="Times New Roman"/>
          <w:sz w:val="18"/>
          <w:szCs w:val="18"/>
          <w:color w:val="auto"/>
        </w:rPr>
        <w:t>” is defined in Section 2.3.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Indemnified Party</w:t>
      </w:r>
      <w:r>
        <w:rPr>
          <w:rFonts w:ascii="Times New Roman" w:cs="Times New Roman" w:eastAsia="Times New Roman" w:hAnsi="Times New Roman"/>
          <w:sz w:val="18"/>
          <w:szCs w:val="18"/>
          <w:color w:val="auto"/>
        </w:rPr>
        <w:t>” is defined in Section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0" w:name="page181"/>
    <w:bookmarkEnd w:id="18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is defined in Section 4.3.</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Initial Shares</w:t>
      </w:r>
      <w:r>
        <w:rPr>
          <w:rFonts w:ascii="Times New Roman" w:cs="Times New Roman" w:eastAsia="Times New Roman" w:hAnsi="Times New Roman"/>
          <w:sz w:val="18"/>
          <w:szCs w:val="18"/>
          <w:color w:val="auto"/>
        </w:rPr>
        <w:t>” means all of the outstanding shares of Common Stock issued prior to the consummation of the Company’s initial public offering.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Investor Indemnified Party</w:t>
      </w:r>
      <w:r>
        <w:rPr>
          <w:rFonts w:ascii="Times New Roman" w:cs="Times New Roman" w:eastAsia="Times New Roman" w:hAnsi="Times New Roman"/>
          <w:sz w:val="18"/>
          <w:szCs w:val="18"/>
          <w:color w:val="auto"/>
        </w:rPr>
        <w:t>” is defined in Section 4.1.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Maximum Number of Shares</w:t>
      </w:r>
      <w:r>
        <w:rPr>
          <w:rFonts w:ascii="Times New Roman" w:cs="Times New Roman" w:eastAsia="Times New Roman" w:hAnsi="Times New Roman"/>
          <w:sz w:val="18"/>
          <w:szCs w:val="18"/>
          <w:color w:val="auto"/>
        </w:rPr>
        <w:t>” is defined in Section 2.1.4.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is defined in Section 7.4.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Piggy-Back Registration</w:t>
      </w:r>
      <w:r>
        <w:rPr>
          <w:rFonts w:ascii="Times New Roman" w:cs="Times New Roman" w:eastAsia="Times New Roman" w:hAnsi="Times New Roman"/>
          <w:sz w:val="18"/>
          <w:szCs w:val="18"/>
          <w:color w:val="auto"/>
        </w:rPr>
        <w:t>” is defined in Section 2.2.1.</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Private Warrants</w:t>
      </w:r>
      <w:r>
        <w:rPr>
          <w:rFonts w:ascii="Times New Roman" w:cs="Times New Roman" w:eastAsia="Times New Roman" w:hAnsi="Times New Roman"/>
          <w:sz w:val="18"/>
          <w:szCs w:val="18"/>
          <w:color w:val="auto"/>
        </w:rPr>
        <w:t>” means the aggregate of up to 6,675,000 Warrants Ventoux Acquisition Holdings LLC and Chardan International Investments, LLC, each an Investor, are privately purchasing simultaneously with the consummation of the Company’s initial public offering.</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u w:val="single" w:color="auto"/>
          <w:color w:val="auto"/>
        </w:rPr>
        <w:t>Registration</w:t>
      </w:r>
      <w:r>
        <w:rPr>
          <w:rFonts w:ascii="Times New Roman" w:cs="Times New Roman" w:eastAsia="Times New Roman" w:hAnsi="Times New Roman"/>
          <w:sz w:val="18"/>
          <w:szCs w:val="18"/>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7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Registrable Securities</w:t>
      </w:r>
      <w:r>
        <w:rPr>
          <w:rFonts w:ascii="Times New Roman" w:cs="Times New Roman" w:eastAsia="Times New Roman" w:hAnsi="Times New Roman"/>
          <w:sz w:val="18"/>
          <w:szCs w:val="18"/>
          <w:color w:val="auto"/>
        </w:rPr>
        <w:t>” means (i) the Initial Shares and (ii) the Private Warrants (and underlying shares of Common Stock). Registrable Securities include any warrants, shares of capital stock or other securities of the Company issued as a dividend or other distribution with respect to or in exchange for or in replacement of such Initial Shares and Private Warrants (and underlying shares of Common Stock).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 (c) such securities shall have ceased to be outstanding, or (d) the Registrable Securities are freely saleable under Rule 144 without volume limitations.</w:t>
      </w:r>
    </w:p>
    <w:p>
      <w:pPr>
        <w:spacing w:after="0" w:line="18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Release Date</w:t>
      </w:r>
      <w:r>
        <w:rPr>
          <w:rFonts w:ascii="Times New Roman" w:cs="Times New Roman" w:eastAsia="Times New Roman" w:hAnsi="Times New Roman"/>
          <w:sz w:val="18"/>
          <w:szCs w:val="18"/>
          <w:color w:val="auto"/>
        </w:rPr>
        <w:t>” means the date on which the Initial Shares are disbursed from escrow pursuant to Section 3 of that certain Stock Escrow Agreement dated as of the date hereof by and among the Investors and Continental Stock Transfer &amp; Trust Company.</w:t>
      </w: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1" w:name="page182"/>
    <w:bookmarkEnd w:id="181"/>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of the Commission promulgated thereunder, all as the same shall be in effect at the time.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Underwriter</w:t>
      </w:r>
      <w:r>
        <w:rPr>
          <w:rFonts w:ascii="Times New Roman" w:cs="Times New Roman" w:eastAsia="Times New Roman" w:hAnsi="Times New Roman"/>
          <w:sz w:val="18"/>
          <w:szCs w:val="18"/>
          <w:color w:val="auto"/>
        </w:rPr>
        <w:t>” means a securities dealer who purchases any Registrable Securities as principal in an underwritten offering and not as part of such dealer’s market-making activities.</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Units</w:t>
      </w:r>
      <w:r>
        <w:rPr>
          <w:rFonts w:ascii="Times New Roman" w:cs="Times New Roman" w:eastAsia="Times New Roman" w:hAnsi="Times New Roman"/>
          <w:sz w:val="18"/>
          <w:szCs w:val="18"/>
          <w:color w:val="auto"/>
        </w:rPr>
        <w:t>” means the units of the Company, each comprised of one share of Common Stock, one Warrant entitling the holder to purchase one-half of one share of Common Stock, and one right entitling the holder thereof to receive one-twentieth (1/20) of one share of common stock upon the consummation of an initial Business Combination.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Warrant(s)</w:t>
      </w:r>
      <w:r>
        <w:rPr>
          <w:rFonts w:ascii="Times New Roman" w:cs="Times New Roman" w:eastAsia="Times New Roman" w:hAnsi="Times New Roman"/>
          <w:sz w:val="18"/>
          <w:szCs w:val="18"/>
          <w:color w:val="auto"/>
        </w:rPr>
        <w:t>” means the warrants of the Company.</w:t>
      </w:r>
    </w:p>
    <w:p>
      <w:pPr>
        <w:spacing w:after="0" w:line="229" w:lineRule="exact"/>
        <w:rPr>
          <w:sz w:val="20"/>
          <w:szCs w:val="20"/>
          <w:color w:val="auto"/>
        </w:rPr>
      </w:pPr>
    </w:p>
    <w:p>
      <w:pPr>
        <w:ind w:left="840" w:hanging="184"/>
        <w:spacing w:after="0"/>
        <w:tabs>
          <w:tab w:leader="none" w:pos="8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Request for Registration</w:t>
      </w:r>
      <w:r>
        <w:rPr>
          <w:rFonts w:ascii="Times New Roman" w:cs="Times New Roman" w:eastAsia="Times New Roman" w:hAnsi="Times New Roman"/>
          <w:sz w:val="18"/>
          <w:szCs w:val="18"/>
          <w:color w:val="auto"/>
        </w:rPr>
        <w:t>. At any time and from time to time on or after (i) the date that the Company consummates a Business Combination with respect to the Private Warrants or (ii) three months prior to the Release Date with respect to all other Registrable Securities, but prior to the five-year anniversary of the effective date of the Company’s Form S-1 Registration Statement (File No. 333-251048) (the “</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the holders of a majority-in-interest of the Initial Shares, may make a written demand for registration under the Securities Act of all or part of their Private Warrants or other Registrable Securities, as the case may be (a “</w:t>
      </w:r>
      <w:r>
        <w:rPr>
          <w:rFonts w:ascii="Times New Roman" w:cs="Times New Roman" w:eastAsia="Times New Roman" w:hAnsi="Times New Roman"/>
          <w:sz w:val="18"/>
          <w:szCs w:val="18"/>
          <w:b w:val="1"/>
          <w:bCs w:val="1"/>
          <w:u w:val="single" w:color="auto"/>
          <w:color w:val="auto"/>
        </w:rPr>
        <w:t>Demand Registration</w:t>
      </w:r>
      <w:r>
        <w:rPr>
          <w:rFonts w:ascii="Times New Roman" w:cs="Times New Roman" w:eastAsia="Times New Roman" w:hAnsi="Times New Roman"/>
          <w:sz w:val="18"/>
          <w:szCs w:val="18"/>
          <w:color w:val="auto"/>
        </w:rPr>
        <w:t>”). Any demand for a Demand Registration shall specify the number of shares of Registrable Securities proposed to be sold and the intended method(s) of distribution thereof. The Company will notify all holders of Registrable Securities of the demand, and each holder of Registrable Securities who wishes to include all or a portion of such holder’s Registrable Securities in the Demand Registration (each such holder including shares of Registrable Securities in such registration, a “</w:t>
      </w:r>
      <w:r>
        <w:rPr>
          <w:rFonts w:ascii="Times New Roman" w:cs="Times New Roman" w:eastAsia="Times New Roman" w:hAnsi="Times New Roman"/>
          <w:sz w:val="18"/>
          <w:szCs w:val="18"/>
          <w:b w:val="1"/>
          <w:bCs w:val="1"/>
          <w:u w:val="single" w:color="auto"/>
          <w:color w:val="auto"/>
        </w:rPr>
        <w:t>Demanding Holder</w:t>
      </w:r>
      <w:r>
        <w:rPr>
          <w:rFonts w:ascii="Times New Roman" w:cs="Times New Roman" w:eastAsia="Times New Roman" w:hAnsi="Times New Roman"/>
          <w:sz w:val="18"/>
          <w:szCs w:val="18"/>
          <w:color w:val="auto"/>
        </w:rPr>
        <w:t>”) shall so notify the Company within fifteen (15) days after the receipt by the holder of the notice from the Company. Upon any such request, the Demanding Holders shall be entitled to have their Registrable Securities included in the Demand Registration, subject to Section 2.1.4 and the provisos set forth in Section 3.1.1. The Company shall not be obligated to effect more than three (3) Demand Registrations under this Section 2.1.1 in respect of all Registrable Securities.</w:t>
      </w:r>
    </w:p>
    <w:p>
      <w:pPr>
        <w:spacing w:after="0" w:line="190"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the Company shall not be obligated to file a second Registration Statement until a Registration Statement that has been filed is counted as a Demand Registration or is terminated.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2" w:name="page183"/>
    <w:bookmarkEnd w:id="182"/>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Underwritten Offering</w:t>
      </w:r>
      <w:r>
        <w:rPr>
          <w:rFonts w:ascii="Times New Roman" w:cs="Times New Roman" w:eastAsia="Times New Roman" w:hAnsi="Times New Roman"/>
          <w:sz w:val="18"/>
          <w:szCs w:val="18"/>
          <w:color w:val="auto"/>
        </w:rPr>
        <w:t>. If a majority-in-interest of the Demanding Holders so elect and such holders so advise the Company as part of their written demand for a Demand Registration, the offering of such Registrable Securities pursuant to such Demand Registration shall be in the form of an underwritten offering.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a majority-in-interest of the holders initiating the Demand Registration.</w:t>
      </w:r>
    </w:p>
    <w:p>
      <w:pPr>
        <w:spacing w:after="0" w:line="189"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Reduction of Offering</w:t>
      </w:r>
      <w:r>
        <w:rPr>
          <w:rFonts w:ascii="Times New Roman" w:cs="Times New Roman" w:eastAsia="Times New Roman" w:hAnsi="Times New Roman"/>
          <w:sz w:val="18"/>
          <w:szCs w:val="18"/>
          <w:color w:val="auto"/>
        </w:rPr>
        <w:t>. If the managing Underwriter or Underwriters for a Demand Registration that is to be an underwritten offering advises the Company and the Demanding Holders in writing that the dollar amount or number of shares of Registrable Securities which the Demanding Holders desire to sell, taken together with all other shares of Common Stock or other securities which the Company desires to sell and the shares of Common Stock, if any, as to which registration has been requested pursuant to written contractual piggy-back registration rights held by other shareholders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Times New Roman" w:cs="Times New Roman" w:eastAsia="Times New Roman" w:hAnsi="Times New Roman"/>
          <w:sz w:val="18"/>
          <w:szCs w:val="18"/>
          <w:b w:val="1"/>
          <w:bCs w:val="1"/>
          <w:u w:val="single" w:color="auto"/>
          <w:color w:val="auto"/>
        </w:rPr>
        <w:t>Maximum Number of Shares</w:t>
      </w:r>
      <w:r>
        <w:rPr>
          <w:rFonts w:ascii="Times New Roman" w:cs="Times New Roman" w:eastAsia="Times New Roman" w:hAnsi="Times New Roman"/>
          <w:sz w:val="18"/>
          <w:szCs w:val="18"/>
          <w:color w:val="auto"/>
        </w:rPr>
        <w:t>”), then the Company shall include in such registration: (i) first, the Registrable Securities as to which Demand Registration has been requested by the Demanding Holders (pro rata in accordance with the number of shares that each such Person has requested be included in such registration, regardless of the number of shares held by each such Person (such proportion is referred to herein as “</w:t>
      </w:r>
      <w:r>
        <w:rPr>
          <w:rFonts w:ascii="Times New Roman" w:cs="Times New Roman" w:eastAsia="Times New Roman" w:hAnsi="Times New Roman"/>
          <w:sz w:val="18"/>
          <w:szCs w:val="18"/>
          <w:b w:val="1"/>
          <w:bCs w:val="1"/>
          <w:u w:val="single" w:color="auto"/>
          <w:color w:val="auto"/>
        </w:rPr>
        <w:t>Pro Rata</w:t>
      </w:r>
      <w:r>
        <w:rPr>
          <w:rFonts w:ascii="Times New Roman" w:cs="Times New Roman" w:eastAsia="Times New Roman" w:hAnsi="Times New Roman"/>
          <w:sz w:val="18"/>
          <w:szCs w:val="18"/>
          <w:color w:val="auto"/>
        </w:rPr>
        <w:t>”)) that can be sold without exceeding the Maximum Number of Shares; (ii) second, to the extent that the Maximum Number of Shares has not been reached under the foregoing clause (i), the shares of Common Stock or other securities that the Company desires to sell that can be sold without exceeding the Maximum Number of Shares; and (iii) third, to the extent that the Maximum Number of Shares has not been reached under the foregoing clauses (i) and (ii), the shares of Common Stock or other securities for the account of other persons that the Company is obligated to register pursuant to written contractual arrangements with such persons and that can be sold without exceeding the Maximum Number of Shares.</w:t>
      </w:r>
    </w:p>
    <w:p>
      <w:pPr>
        <w:spacing w:after="0" w:line="197"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If a majority-in-interest of the Demanding Holders disapprove of the terms of any underwriting or are not entitled to include all of their Registrable Securities in any offering, such majority-in-interest of the Demanding Holders may elect to withdraw from such offering by giving written notice to the Company and the Underwriter or Underwriters of their request to withdraw prior to the effectiveness of the Registration Statement filed with the Commission with respect to such Demand Registration. If the majority-in-interest of the Demanding Holders withdraws from a proposed offering relating to a Demand Registration, then such registration shall not count as a Demand Registration provided for in Section 2.1.</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3" w:name="page184"/>
    <w:bookmarkEnd w:id="183"/>
    <w:p>
      <w:pPr>
        <w:ind w:left="130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u w:val="single" w:color="auto"/>
          <w:color w:val="auto"/>
        </w:rPr>
        <w:t>Piggy-Back Rights</w:t>
      </w:r>
      <w:r>
        <w:rPr>
          <w:rFonts w:ascii="Times New Roman" w:cs="Times New Roman" w:eastAsia="Times New Roman" w:hAnsi="Times New Roman"/>
          <w:sz w:val="18"/>
          <w:szCs w:val="18"/>
          <w:color w:val="auto"/>
        </w:rPr>
        <w:t>. If at any time on or after the date the Company consummates a Business Combination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Section 2.1), other than a Registration Statement (i) filed in connection with any employee stock option or other benefit plan, (ii) for an exchange offer or offering of securities solely to the Company’s existing shareholders,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Times New Roman" w:cs="Times New Roman" w:eastAsia="Times New Roman" w:hAnsi="Times New Roman"/>
          <w:sz w:val="18"/>
          <w:szCs w:val="18"/>
          <w:b w:val="1"/>
          <w:bCs w:val="1"/>
          <w:u w:val="single" w:color="auto"/>
          <w:color w:val="auto"/>
        </w:rPr>
        <w:t>Piggy-Back Registration</w:t>
      </w:r>
      <w:r>
        <w:rPr>
          <w:rFonts w:ascii="Times New Roman" w:cs="Times New Roman" w:eastAsia="Times New Roman" w:hAnsi="Times New Roman"/>
          <w:sz w:val="18"/>
          <w:szCs w:val="18"/>
          <w:color w:val="auto"/>
        </w:rPr>
        <w:t>”).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 Notwithstanding the provisions set forth in the immediately preceding sentences, the right to a Piggy-Back Registration set forth under this Section 2.2.1 with respect to the Registrable Securities shall terminate on the seventh anniversary of the Effective Date.</w:t>
      </w:r>
    </w:p>
    <w:p>
      <w:pPr>
        <w:spacing w:after="0" w:line="192"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Reduction of Offering</w:t>
      </w:r>
      <w:r>
        <w:rPr>
          <w:rFonts w:ascii="Times New Roman" w:cs="Times New Roman" w:eastAsia="Times New Roman" w:hAnsi="Times New Roman"/>
          <w:sz w:val="18"/>
          <w:szCs w:val="18"/>
          <w:color w:val="auto"/>
        </w:rPr>
        <w:t>. If the managing Underwriter or Underwriters for a Piggy-Back Registration that is to be an underwritten offering advises the Company and the holders of Registrable Securities in writing that the dollar amount or number of shares of Common Stock which the Company desires to sell, taken together with the shares of Common Stock, if any, as to which registration has been demanded pursuant to written contractual arrangements with persons other than the holders of Registrable Securities hereunder, the Registrable Securities as to which registration has been requested under this Section 2.2, and the shares of Common Stock, if any, as to which registration has been requested pursuant to the written contractual piggy-back registration rights of other shareholders of the Company, exceeds the Maximum Number of Shares, then the Company shall include in any such registration:</w:t>
      </w:r>
    </w:p>
    <w:p>
      <w:pPr>
        <w:spacing w:after="0" w:line="189" w:lineRule="exact"/>
        <w:rPr>
          <w:sz w:val="20"/>
          <w:szCs w:val="20"/>
          <w:color w:val="auto"/>
        </w:rPr>
      </w:pPr>
    </w:p>
    <w:p>
      <w:pPr>
        <w:jc w:val="both"/>
        <w:ind w:left="1960" w:firstLine="640"/>
        <w:spacing w:after="0" w:line="254" w:lineRule="auto"/>
        <w:tabs>
          <w:tab w:leader="none" w:pos="2891"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is undertaken for the Company’s account: (A) first, the shares of Common Stock or other securities that the Company desires to sell that can be sold without exceeding the Maximum Number of Shares; (B) second, to the extent that the Maximum Number of Shares has not been reached under the foregoing clause (A), the shares of Common Stock or other securities, if any, comprised of Registrable Securities, as to which registration has been requested pursuant to the applicable written contractual piggy-back registration rights of such security holders, Pro Rata, that can be sold without exceeding the Maximum Number of Shares; and (C) third, to the extent that the Maximum Number of shares has not been reached under the foregoing clauses (A) and (B), the shares of Common Stock or other securities for the account of other persons that the Company is obligated to register pursuant to written contractual piggy-back registration rights with such persons and that can be sold without exceeding the Maximum Number of Shares;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4" w:name="page185"/>
    <w:bookmarkEnd w:id="184"/>
    <w:p>
      <w:pPr>
        <w:jc w:val="both"/>
        <w:ind w:left="1960" w:firstLine="640"/>
        <w:spacing w:after="0" w:line="253" w:lineRule="auto"/>
        <w:tabs>
          <w:tab w:leader="none" w:pos="2876"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is a “demand” registration undertaken at the demand of persons other than either the holders of Registrable Securities, (A) first, the shares of Common Stock or other securities for the account of the demanding persons that can be sold without exceeding the Maximum Number of Shares; (B) second, to the extent that the Maximum Number of Shares has not been reached under the foregoing clause (A), the shares of Common Stock or other securities that the Company desires to sell that can be sold without exceeding the Maximum Number of Shares; (C) third, to the extent that the Maximum Number of Shares has not been reached under the foregoing clauses (A) and (B), collectively the shares of Common Stock or other securities comprised of Registrable Securities, Pro Rata, as to which registration has been requested pursuant to the terms hereof, that can be sold without exceeding the Maximum Number of Shares; and (D) fourth, to the extent that the Maximum Number of Shares has not been reached under the foregoing clauses (A), (B) and (C), the shares of Common Stock or other securities for the account of other persons that the Company is obligated to register pursuant to written contractual arrangements with such persons, that can be sold without exceeding the Maximum Number of Shares.</w:t>
      </w:r>
    </w:p>
    <w:p>
      <w:pPr>
        <w:spacing w:after="0" w:line="192"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Section 3.3.</w:t>
      </w:r>
    </w:p>
    <w:p>
      <w:pPr>
        <w:spacing w:after="0" w:line="187"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Registrations on Form S-3</w:t>
      </w:r>
      <w:r>
        <w:rPr>
          <w:rFonts w:ascii="Times New Roman" w:cs="Times New Roman" w:eastAsia="Times New Roman" w:hAnsi="Times New Roman"/>
          <w:sz w:val="18"/>
          <w:szCs w:val="18"/>
          <w:color w:val="auto"/>
        </w:rPr>
        <w:t>. The holders of Registrable Securities may at any time and from time to time, request in writing that the Company register the resale of any or all of such Registrable Securities on Form S-3 or any similar short-form registration which may be available at such time (“</w:t>
      </w:r>
      <w:r>
        <w:rPr>
          <w:rFonts w:ascii="Times New Roman" w:cs="Times New Roman" w:eastAsia="Times New Roman" w:hAnsi="Times New Roman"/>
          <w:sz w:val="18"/>
          <w:szCs w:val="18"/>
          <w:b w:val="1"/>
          <w:bCs w:val="1"/>
          <w:u w:val="single" w:color="auto"/>
          <w:color w:val="auto"/>
        </w:rPr>
        <w:t>Form S-3</w:t>
      </w:r>
      <w:r>
        <w:rPr>
          <w:rFonts w:ascii="Times New Roman" w:cs="Times New Roman" w:eastAsia="Times New Roman" w:hAnsi="Times New Roman"/>
          <w:sz w:val="18"/>
          <w:szCs w:val="18"/>
          <w:color w:val="auto"/>
        </w:rPr>
        <w:t>”); provided, however, that the Company shall not be obligated to effect such request through an underwritten offering. Upon receipt of such written request, the Company will promptly give written notice of the proposed registration to all other holders of Registrable Securities, and, as soon as practicable thereafter, effect the registration of all or such portion of such holder’s or holders’ Registrable Securities as are specified in such request, together with all or such portion of the Registrable Securities or other securities of the Company, if any, of any other holder or holders joining in such request as are specified in a written request given within fifteen (15) days after receipt of such written notice from the Company; provided, however, that the Company shall not be obligated to effect any such registration pursuant to this Section 2.3: (i) if Form S-3 is not available for such offering; or (ii) if the holders of the Registrable Securities, together with the holders of any other securities of the Company entitled to inclusion in such registration, propose to sell Registrable Securities and such other securities (if any) at any aggregate price to the public of less than $500,000. Registrations effected pursuant to this Section 2.3 shall not be counted as Demand Registrations effected pursuant to Section 2.1.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5" w:name="page186"/>
    <w:bookmarkEnd w:id="185"/>
    <w:p>
      <w:pPr>
        <w:ind w:left="840" w:hanging="184"/>
        <w:spacing w:after="0"/>
        <w:tabs>
          <w:tab w:leader="none" w:pos="8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Filings; Information</w:t>
      </w:r>
      <w:r>
        <w:rPr>
          <w:rFonts w:ascii="Times New Roman" w:cs="Times New Roman" w:eastAsia="Times New Roman" w:hAnsi="Times New Roman"/>
          <w:sz w:val="18"/>
          <w:szCs w:val="18"/>
          <w:color w:val="auto"/>
        </w:rPr>
        <w:t>. Whenever the Company is required to effect the registration of any Registrable Securities pursuant to Section 2, the Company shall use its best efforts to effect the registration and sale of such Registrable Securities in accordance with the intended method(s) of distribution thereof as expeditiously as practicable, and in connection with any such request:</w:t>
      </w:r>
    </w:p>
    <w:p>
      <w:pPr>
        <w:spacing w:after="0" w:line="176"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Filing Registration Statement</w:t>
      </w:r>
      <w:r>
        <w:rPr>
          <w:rFonts w:ascii="Times New Roman" w:cs="Times New Roman" w:eastAsia="Times New Roman" w:hAnsi="Times New Roman"/>
          <w:sz w:val="18"/>
          <w:szCs w:val="18"/>
          <w:color w:val="auto"/>
        </w:rPr>
        <w:t>. The Company shall use its best efforts to, as expeditiously as possible after receipt of a request for a Demand Registration pursuant to Section 2.1,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best efforts to cause such Registration Statement to become effective and use its best efforts to keep it effective for the period required by Section 3.1.3; provided, however, that the Company shall have the right to defer any Demand Registration for up to thirty (30) days, and any Piggy-Back Registration for such period as may be applicable to deferment of any demand registration to which such Piggy-Back Registration relates, in each case if the Company shall furnish to the holders a certificate signed by the President or Chairman of the Company stating that, in the good faith judgment of the Board, it would be materially detrimental to the Company and its shareholders for such Registration Statement to be effected at such time; provided further, however, that the Company shall not have the right to exercise the right set forth in the immediately preceding proviso more than once in any 365-day period in respect of a Demand Registration hereunder.</w:t>
      </w:r>
    </w:p>
    <w:p>
      <w:pPr>
        <w:spacing w:after="0" w:line="192"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Copies</w:t>
      </w:r>
      <w:r>
        <w:rPr>
          <w:rFonts w:ascii="Times New Roman" w:cs="Times New Roman" w:eastAsia="Times New Roman" w:hAnsi="Times New Roman"/>
          <w:sz w:val="18"/>
          <w:szCs w:val="18"/>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187"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Amendments and Supplements</w:t>
      </w:r>
      <w:r>
        <w:rPr>
          <w:rFonts w:ascii="Times New Roman" w:cs="Times New Roman" w:eastAsia="Times New Roman" w:hAnsi="Times New Roman"/>
          <w:sz w:val="18"/>
          <w:szCs w:val="18"/>
          <w:color w:val="auto"/>
        </w:rPr>
        <w:t>.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until all Registrable Securities and other securities covered by such Registration Statement have been disposed of in accordance with the intended method(s) of distribution set forth in such Registration Statement or such securities have been withdrawn.</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6" w:name="page187"/>
    <w:bookmarkEnd w:id="186"/>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After the filing of a Registration Statement, the Company shall promptly, and in no event more than two (2) business days after such filing, notify the holders of Registrable Securities included in such Registration Statement of such filing, and shall further notify such holders promptly and confirm such advice in writing in all events within two (2)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 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the Company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 and the Company shall not file any Registration Statement or prospectus or amendment or supplement thereto, including documents incorporated by reference, to which such holders or their legal counsel shall object.</w:t>
      </w:r>
    </w:p>
    <w:p>
      <w:pPr>
        <w:spacing w:after="0" w:line="196"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State Securities Laws Compliance</w:t>
      </w:r>
      <w:r>
        <w:rPr>
          <w:rFonts w:ascii="Times New Roman" w:cs="Times New Roman" w:eastAsia="Times New Roman" w:hAnsi="Times New Roman"/>
          <w:sz w:val="18"/>
          <w:szCs w:val="18"/>
          <w:color w:val="auto"/>
        </w:rPr>
        <w:t>. The Company shall use its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but for this paragraph or subject itself to taxation in any such jurisdiction.</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7" w:name="page188"/>
    <w:bookmarkEnd w:id="187"/>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Agreements for Disposition</w:t>
      </w:r>
      <w:r>
        <w:rPr>
          <w:rFonts w:ascii="Times New Roman" w:cs="Times New Roman" w:eastAsia="Times New Roman" w:hAnsi="Times New Roman"/>
          <w:sz w:val="18"/>
          <w:szCs w:val="18"/>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No holder of Registrable Securities included in such registration statement shall be required to make any representations or warranties in the underwriting agreement except, if applicable, with respect to such holder’s organization, good standing, authority, title to Registrable Securities, lack of conflict of such sale with such holder’s material agreements and organizational documents, and with respect to written information relating to such holder that such holder has furnished in writing expressly for inclusion in such Registration Statement.</w:t>
      </w:r>
    </w:p>
    <w:p>
      <w:pPr>
        <w:spacing w:after="0" w:line="192"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and all other offering materials and related documents, and participation in meetings with Underwriters, attorneys, accountants and potential investors.</w:t>
      </w:r>
    </w:p>
    <w:p>
      <w:pPr>
        <w:spacing w:after="0" w:line="183"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183" w:lineRule="exact"/>
        <w:rPr>
          <w:sz w:val="20"/>
          <w:szCs w:val="20"/>
          <w:color w:val="auto"/>
        </w:rPr>
      </w:pPr>
    </w:p>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Opinions and Comfort Letters</w:t>
      </w:r>
      <w:r>
        <w:rPr>
          <w:rFonts w:ascii="Times New Roman" w:cs="Times New Roman" w:eastAsia="Times New Roman" w:hAnsi="Times New Roman"/>
          <w:sz w:val="18"/>
          <w:szCs w:val="18"/>
          <w:color w:val="auto"/>
        </w:rPr>
        <w:t>. Upon request, the Company shall furnish to each holder of Registrable Securities included in any Registration Statement a signed counterpart, addressed to such holder, of (i) any opinion of counsel to the Company delivered to any Underwriter and (ii) any comfort letter from the Company’s independent public accountants delivered to any Underwriter. In the event no legal opinion is delivered to any Underwriter, the Company shall furnish to each holder of Registrable Securities included in such Registration Statement, at any time that such holder elects to use a prospectus, an opinion of counsel to the Company to the effect that the Registration Statement containing such prospectus has been declared effective and that no stop order is in effect.</w:t>
      </w:r>
    </w:p>
    <w:p>
      <w:pPr>
        <w:spacing w:after="0" w:line="187"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3.1.10 </w:t>
      </w: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8" w:name="page189"/>
    <w:bookmarkEnd w:id="188"/>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 xml:space="preserve">3.1.11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use its best efforts to cause all Registrable Securities included in any registration to be listed on such exchanges or otherwise designated for trading in the same manner as similar securities issued by the Company are then listed or designated or, if no such similar securities are then listed or designated, in a manner satisfactory to the holders of a majority of the Registrable Securities included in such registration.</w:t>
      </w:r>
    </w:p>
    <w:p>
      <w:pPr>
        <w:spacing w:after="0" w:line="180"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 xml:space="preserve">3.1.12 </w:t>
      </w:r>
      <w:r>
        <w:rPr>
          <w:rFonts w:ascii="Times New Roman" w:cs="Times New Roman" w:eastAsia="Times New Roman" w:hAnsi="Times New Roman"/>
          <w:sz w:val="18"/>
          <w:szCs w:val="18"/>
          <w:u w:val="single" w:color="auto"/>
          <w:color w:val="auto"/>
        </w:rPr>
        <w:t>Road Show</w:t>
      </w:r>
      <w:r>
        <w:rPr>
          <w:rFonts w:ascii="Times New Roman" w:cs="Times New Roman" w:eastAsia="Times New Roman" w:hAnsi="Times New Roman"/>
          <w:sz w:val="18"/>
          <w:szCs w:val="18"/>
          <w:color w:val="auto"/>
        </w:rPr>
        <w:t>. If the registration involves the registration of Registrable Securities involving gross proceeds in excess of $5,000,000, the Company shall use its reasonable efforts to make available senior executives of the Company to participate in customary “road show” presentations that may be reasonably requested by the Underwriter in any underwritten offering.</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Obligation to Suspend Distribution</w:t>
      </w:r>
      <w:r>
        <w:rPr>
          <w:rFonts w:ascii="Times New Roman" w:cs="Times New Roman" w:eastAsia="Times New Roman" w:hAnsi="Times New Roman"/>
          <w:sz w:val="18"/>
          <w:szCs w:val="18"/>
          <w:color w:val="auto"/>
        </w:rPr>
        <w:t>. Upon receipt of any notice from the Company of the happening of any event of the kind described in Section 3.1.4(iv), or, in the case of a resale registration on Form S-3 pursuant to Section 2.3 hereof, upon any suspension by the Company, pursuant to a written insider trading compliance program adopted by the Company’s Board of Directors, of the ability of all “insiders” covered by such program to transact in the Company’s securities because of the existence of material non-public information,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Section 3.1.4(iv) or the restriction on the ability of “insiders” to transact in the Company’s securities is removed, as applicable, and, if so directed by the Company, each such holder will deliver to the Company all copies, other than permanent file copies then in such holder’s possession, of the most recent prospectus covering such Registrable Securities at the time of receipt of such notice.</w:t>
      </w:r>
    </w:p>
    <w:p>
      <w:pPr>
        <w:spacing w:after="0" w:line="18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The Company shall bear all costs and expenses incurred in connection with any Demand Registration pursuant to Section 2.1, any Piggy-Back Registration pursuant to Section 2.2, and any registration on Form S-3 effected pursuant to Section 2.3,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 (iv) the Company’s internal expenses (including, without limitation, all salaries and expenses of its officers and employees); (v) the fees and expenses incurred in connection with the listing of the Registrable Securities as required by Section 3.1.11; (vi) Financial Industry Regulatory Authority fees; (vii) fees and disbursements of counsel for the Company and fees and expenses for independent certified public accountants retained by the Company (including the expenses or costs associated with the delivery of any opinions or comfort letters requested pursuant to Section 3.1.9); (viii) the reasonable fees and expenses of any special experts retained by the Company in connection with such registration and (ix) the reasonable fees and expenses of one legal counsel selected by the holders of a majority-in-interest of the Registrable Securities included in such registration. The Company shall have no obligation to pay any underwriting discounts or selling commissions attributable to the Registrable Securities being sold by the holders thereof, which underwriting discounts or selling commissions shall be borne by such holders. Additionally, in an underwritten offering, all selling shareholders and the Company shall bear the expenses of the Underwriter pro rata in proportion to the respective amount of shares each is selling in such offering.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9" w:name="page190"/>
    <w:bookmarkEnd w:id="189"/>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holders of Registrable Securities shall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pursuant to Section 2 and in connection with the Company’s obligation to comply with Federal and applicable state securities laws.</w:t>
      </w:r>
    </w:p>
    <w:p>
      <w:pPr>
        <w:spacing w:after="0" w:line="180" w:lineRule="exact"/>
        <w:rPr>
          <w:sz w:val="20"/>
          <w:szCs w:val="20"/>
          <w:color w:val="auto"/>
        </w:rPr>
      </w:pPr>
    </w:p>
    <w:p>
      <w:pPr>
        <w:ind w:left="840" w:hanging="184"/>
        <w:spacing w:after="0"/>
        <w:tabs>
          <w:tab w:leader="none" w:pos="8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agrees to indemnify and hold harmless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Times New Roman" w:cs="Times New Roman" w:eastAsia="Times New Roman" w:hAnsi="Times New Roman"/>
          <w:sz w:val="18"/>
          <w:szCs w:val="18"/>
          <w:b w:val="1"/>
          <w:bCs w:val="1"/>
          <w:u w:val="single" w:color="auto"/>
          <w:color w:val="auto"/>
        </w:rPr>
        <w:t>Investor Indemnified Party</w:t>
      </w:r>
      <w:r>
        <w:rPr>
          <w:rFonts w:ascii="Times New Roman" w:cs="Times New Roman" w:eastAsia="Times New Roman" w:hAnsi="Times New Roman"/>
          <w:sz w:val="18"/>
          <w:szCs w:val="18"/>
          <w:color w:val="auto"/>
        </w:rPr>
        <w:t>”),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also shall indemnify any Underwriter of the Registrable Securities, their officers, affiliates, directors, partners, members and agents and each person who controls such Underwriter on substantially the same basis as that of the indemnification provided above in this Section 4.1.</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0" w:name="page191"/>
    <w:bookmarkEnd w:id="190"/>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Indemnification by Holders of Registrable Securities</w:t>
      </w:r>
      <w:r>
        <w:rPr>
          <w:rFonts w:ascii="Times New Roman" w:cs="Times New Roman" w:eastAsia="Times New Roman" w:hAnsi="Times New Roman"/>
          <w:sz w:val="18"/>
          <w:szCs w:val="18"/>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Underwriter (if any), and each other selling holder and each other person, if any, who controls another selling holder or such Underwriter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if the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Promptly after receipt by any person of any notice of any loss, claim, damage or liability or any action in respect of which indemnity may be sought pursuant to Section 4.1 or 4.2, such person (the “Indemnified Party”) shall, if a claim in respect thereof is to be made against any other person for indemnification hereunder, notify such other person (the “</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1" w:name="page192"/>
    <w:bookmarkEnd w:id="191"/>
    <w:p>
      <w:pPr>
        <w:ind w:left="130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4.4.1 If the indemnification provided for in the foregoing Sections 4.1, 4.2 and 4.3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19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4.4.2 The parties hereto agree that it would not be just and equitable if contribution pursuant to this Section 4.4 were determined by pro rata allocation or by any other method of allocation which does not take account of the equitable considerations referred to in the immediately preceding Section 4.4.1.</w:t>
      </w:r>
    </w:p>
    <w:p>
      <w:pPr>
        <w:spacing w:after="0" w:line="176"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Section 4.4,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189" w:lineRule="exact"/>
        <w:rPr>
          <w:sz w:val="20"/>
          <w:szCs w:val="20"/>
          <w:color w:val="auto"/>
        </w:rPr>
      </w:pPr>
    </w:p>
    <w:p>
      <w:pPr>
        <w:ind w:left="840" w:hanging="184"/>
        <w:spacing w:after="0"/>
        <w:tabs>
          <w:tab w:leader="none" w:pos="8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The Company covenants that it shall file any reports required to be filed by it under the Securities Act and the Exchange Act and shall take such further action as the holders of Registrable Securities may reasonably request, all to the extent required from time to time to enable such holders to sell Registrable Securities without registration under the Securities Act within the limitation of the exemptions provided by Rule 144 under the Securities Act, as such Rules may be amended from time to time, or any similar rule or regulation hereafter adopted by the Commission.</w:t>
      </w:r>
    </w:p>
    <w:p>
      <w:pPr>
        <w:spacing w:after="0" w:line="180" w:lineRule="exact"/>
        <w:rPr>
          <w:sz w:val="20"/>
          <w:szCs w:val="20"/>
          <w:color w:val="auto"/>
        </w:rPr>
      </w:pPr>
    </w:p>
    <w:p>
      <w:pPr>
        <w:ind w:left="840" w:hanging="184"/>
        <w:spacing w:after="0"/>
        <w:tabs>
          <w:tab w:leader="none" w:pos="8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Other Registration Rights</w:t>
      </w:r>
      <w:r>
        <w:rPr>
          <w:rFonts w:ascii="Times New Roman" w:cs="Times New Roman" w:eastAsia="Times New Roman" w:hAnsi="Times New Roman"/>
          <w:sz w:val="18"/>
          <w:szCs w:val="18"/>
          <w:color w:val="auto"/>
        </w:rPr>
        <w:t>. The Company represents and warrants that, except as disclosed in the Company’s registration statement on Form S-1 (File No. 333-236466), no person, other than the holders of the Registrable Securities, has any right to require the Company to register any shares of the Company’s capital stock for sale or to include shares of the Company’s capital stock in any registration filed by the Company for the sale of shares of capital stock for its own account or for the account of any other person.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2" w:name="page193"/>
    <w:bookmarkEnd w:id="192"/>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Limitation on Registration Rights</w:t>
      </w:r>
      <w:r>
        <w:rPr>
          <w:rFonts w:ascii="Times New Roman" w:cs="Times New Roman" w:eastAsia="Times New Roman" w:hAnsi="Times New Roman"/>
          <w:sz w:val="18"/>
          <w:szCs w:val="18"/>
          <w:color w:val="auto"/>
        </w:rPr>
        <w:t>. Notwithstanding anything herein to the contrary, Chardan Capital Markets, LLC and its related persons may not, with respect to the Private Warrants purchased by Chardan International Investments, LLC, (i) have more than one (1) Demand Registration at the Company’s expense, (ii) exercise a Demand Registration more than five (5) years from the Effective Date, and (iii) exercise a Piggy-Back Registration more than seven (7) years from the Effective Date, as long as Chardan Capital Markets, LLC or any of its related persons are beneficial owners of the Private Warrants held by Chardan International Investments, LLC.</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Assignment; No Third Party Beneficiaries</w:t>
      </w:r>
      <w:r>
        <w:rPr>
          <w:rFonts w:ascii="Times New Roman" w:cs="Times New Roman" w:eastAsia="Times New Roman" w:hAnsi="Times New Roman"/>
          <w:sz w:val="18"/>
          <w:szCs w:val="18"/>
          <w:color w:val="auto"/>
        </w:rPr>
        <w:t>.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transfer of Registrable Securities by any such holder. This Agreement and the provisions hereof shall be binding upon and shall inure to the benefit of each of the parties, to the permitted assigns of the Investors or holder of Registrable Securities or of any assignee of the Investors or holder of Registrable Securities. This Agreement is not intended to confer any rights or benefits on any persons that are not party hereto other than as expressly set forth in Article 4 and this Section 7.3.</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requests, consents, approvals or other communications (collectively,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required or permitted to be given hereunder or which are given with respect to this Agreement shall be in writing and shall be personally served, delivered by reputable air courier service with charges prepaid, or transmitted by hand delivery, telegram, telex or facsimile, addressed as set forth below, or to such other address as such party shall have specified most recently by written notice. Notice shall be deemed given on the date of service or transmission if personally served or transmitted by telegram, telex or facsimile; provided, that if such service or transmission is not on a business day or is after normal business hours, then such notice shall be deemed given on the next business day. Notice otherwise sent as provided herein shall be deemed given on the next business day following timely delivery of such notice to a reputable air courier service with an order for next-day delivery.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Loeb &amp; Loeb LLP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Attn: Giovanni Caruso, Esq.</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an Investor, to the address set forth below such Investor’s name on Exhibit A hereto.</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3" w:name="page194"/>
    <w:bookmarkEnd w:id="19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each of which shall be deemed an original, and all of which taken together shall constitute one and the same instrument.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terminate on the seven-year anniversary of the date hereof.</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Modifications and Amendments</w:t>
      </w:r>
      <w:r>
        <w:rPr>
          <w:rFonts w:ascii="Times New Roman" w:cs="Times New Roman" w:eastAsia="Times New Roman" w:hAnsi="Times New Roman"/>
          <w:sz w:val="18"/>
          <w:szCs w:val="18"/>
          <w:color w:val="auto"/>
        </w:rPr>
        <w:t>. No amendment, modification or termination of this Agreement shall be binding upon any party unless executed in writing by such party.</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Titles and headings of sections of this Agreement are for convenience only and shall not affect the construction of any provision of this Agreement. No amendment, modification or termination of this Agreement shall be binding upon the holders of the Registrable Securities unless executed in writing by the holders of the majority Registrable Securities.</w:t>
      </w:r>
    </w:p>
    <w:p>
      <w:pPr>
        <w:spacing w:after="0" w:line="17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Waivers and Extensions</w:t>
      </w:r>
      <w:r>
        <w:rPr>
          <w:rFonts w:ascii="Times New Roman" w:cs="Times New Roman" w:eastAsia="Times New Roman" w:hAnsi="Times New Roman"/>
          <w:sz w:val="18"/>
          <w:szCs w:val="18"/>
          <w:color w:val="auto"/>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4" w:name="page195"/>
    <w:bookmarkEnd w:id="194"/>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Remedies Cumulative</w:t>
      </w:r>
      <w:r>
        <w:rPr>
          <w:rFonts w:ascii="Times New Roman" w:cs="Times New Roman" w:eastAsia="Times New Roman" w:hAnsi="Times New Roman"/>
          <w:sz w:val="18"/>
          <w:szCs w:val="18"/>
          <w:color w:val="auto"/>
        </w:rPr>
        <w:t>. In the event that the Company fails to observe or perform any covenant or agreement to be observed or performed under this Agreement, the Investor or any other holder of Registrable Securities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interpreted under, and construed in accordance with the internal laws of the State of New York applicable to agreements made and to be performed within the State of New York, without giving effect to any choice-of-law provisions thereof that would compel the application of the substantive laws of any other jurisdiction.</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Waiver of Trial by Jury</w:t>
      </w:r>
      <w:r>
        <w:rPr>
          <w:rFonts w:ascii="Times New Roman" w:cs="Times New Roman" w:eastAsia="Times New Roman" w:hAnsi="Times New Roman"/>
          <w:sz w:val="18"/>
          <w:szCs w:val="18"/>
          <w:color w:val="auto"/>
        </w:rPr>
        <w:t>. Each party hereby irrevocably and unconditionally waives the right to a trial by jury in any action, suit, counterclaim or other proceeding (whether based on contract, tort or otherwise) arising out of, connected with or relating to this Agreement, the transactions contemplated hereby, or the actions of the Investor in the negotiation, administration, performance or enforcement 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5" w:name="page196"/>
    <w:bookmarkEnd w:id="19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Registration and Stockholder Rights Agreement to be executed and delivered by their duly authorized representatives as of the date first written above.</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Scheetz</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Edward Scheetz</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INVESTORS: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VENTOUX ACQUISITION HOLDINGS LLC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Edward Scheetz</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Edward Scheetz</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Matthew MacDonald</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Matthew MacDonald</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CHARDAN INTERNATIONAL INVESTMENTS, LLC</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Jonas Grossman</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Jonas Grossman</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CINDAT USA LLC</w:t>
            </w:r>
          </w:p>
        </w:tc>
      </w:tr>
      <w:tr>
        <w:trPr>
          <w:trHeight w:val="43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Gang Peng</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Gang (Greg) Peng</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BLIND 1212, LLC</w:t>
            </w:r>
          </w:p>
        </w:tc>
      </w:tr>
      <w:tr>
        <w:trPr>
          <w:trHeight w:val="439"/>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Woodrow H. Levin</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Woodrow H. Levin</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Julie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Julie Atkinson</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Christian Ahrens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Christian Ahrens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6" w:name="page197"/>
    <w:bookmarkEnd w:id="196"/>
    <w:p>
      <w:pPr>
        <w:jc w:val="right"/>
        <w:ind w:right="405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Name of Investor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Acquisition Holdings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International Investments,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Cindat USA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Blind 1212,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Julie Atkinson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Christian Ahrens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INDEMNITY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December 23, 2020, by and between Ventoux CCM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Christian Ahrens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 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and the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of the Company require indemnification of the officers and directors of the Company. Indemnitee may also be entitled to indemnification pursuant to applicable provisions of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stockholders and that the Company should act to assure such persons that there will be increased certainty of such protection in the future.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8" w:name="page199"/>
    <w:bookmarkEnd w:id="198"/>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Charter and Bylaws of the Company and any resolutions adopted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thereto, and shall not be deemed a substitute therefor, nor to diminish or abrogate any rights of Indemnitee thereunder.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or director without adequate protection, and the Company desires Indemnitee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in such capacity. Indemnitee is willing to serve, continue to serve and to take on additional service for or on behalf of the Company on the condition that he or she be so indemnified.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covenants contained herein, the Company and Indemnitee do hereby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25" w:lineRule="exact"/>
        <w:rPr>
          <w:sz w:val="20"/>
          <w:szCs w:val="20"/>
          <w:color w:val="auto"/>
        </w:rPr>
      </w:pPr>
    </w:p>
    <w:p>
      <w:pPr>
        <w:jc w:val="both"/>
        <w:ind w:left="340" w:hanging="332"/>
        <w:spacing w:after="0" w:line="257" w:lineRule="auto"/>
        <w:tabs>
          <w:tab w:leader="none" w:pos="3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SERVICES TO THE COMPANY</w:t>
      </w:r>
      <w:r>
        <w:rPr>
          <w:rFonts w:ascii="Times New Roman" w:cs="Times New Roman" w:eastAsia="Times New Roman" w:hAnsi="Times New Roman"/>
          <w:sz w:val="18"/>
          <w:szCs w:val="18"/>
          <w:color w:val="auto"/>
        </w:rPr>
        <w:t>. Indemnitee will serve or continue to serve as an officer, director, advisor, key employee or in any other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as applicable, for so long as Indemnitee is duly elected, appointed or retained or until Indemnitee tenders his or her resignation, or is removed or dies. The foregoing notwithstanding, this Agreement shall continue in full force and effect after Indemnitee has ceased to serve as an officer, director,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8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2" w:lineRule="auto"/>
        <w:tabs>
          <w:tab w:leader="none" w:pos="598"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6" w:lineRule="exact"/>
        <w:rPr>
          <w:rFonts w:ascii="Times New Roman" w:cs="Times New Roman" w:eastAsia="Times New Roman" w:hAnsi="Times New Roman"/>
          <w:sz w:val="18"/>
          <w:szCs w:val="18"/>
          <w:color w:val="auto"/>
        </w:rPr>
      </w:pPr>
    </w:p>
    <w:p>
      <w:pPr>
        <w:ind w:left="340" w:right="20" w:hanging="8"/>
        <w:spacing w:after="0" w:line="286" w:lineRule="auto"/>
        <w:tabs>
          <w:tab w:leader="none" w:pos="599"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in effect on the date hereof.</w:t>
      </w:r>
    </w:p>
    <w:p>
      <w:pPr>
        <w:spacing w:after="0" w:line="15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57" w:lineRule="auto"/>
        <w:tabs>
          <w:tab w:leader="none" w:pos="888"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Stock by Third Party</w:t>
      </w:r>
      <w:r>
        <w:rPr>
          <w:rFonts w:ascii="Times New Roman" w:cs="Times New Roman" w:eastAsia="Times New Roman" w:hAnsi="Times New Roman"/>
          <w:sz w:val="18"/>
          <w:szCs w:val="18"/>
          <w:color w:val="auto"/>
        </w:rPr>
        <w:t>. Other than Ventoux Acquisition Holdings LLC or Chardan International Investments, LLC (the “</w:t>
      </w:r>
      <w:r>
        <w:rPr>
          <w:rFonts w:ascii="Times New Roman" w:cs="Times New Roman" w:eastAsia="Times New Roman" w:hAnsi="Times New Roman"/>
          <w:sz w:val="18"/>
          <w:szCs w:val="18"/>
          <w:b w:val="1"/>
          <w:bCs w:val="1"/>
          <w:i w:val="1"/>
          <w:iCs w:val="1"/>
          <w:color w:val="auto"/>
        </w:rPr>
        <w:t>Co-Sponsors</w:t>
      </w:r>
      <w:r>
        <w:rPr>
          <w:rFonts w:ascii="Times New Roman" w:cs="Times New Roman" w:eastAsia="Times New Roman" w:hAnsi="Times New Roman"/>
          <w:sz w:val="18"/>
          <w:szCs w:val="18"/>
          <w:color w:val="auto"/>
        </w:rPr>
        <w:t>”) or an affiliate thereof, any Person is or becomes the Beneficial Owner, directly or indirectly, of securities of the Company representing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and such acquisition would not constitute a Change in Control under part (iii) of this definition;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9" w:name="page200"/>
    <w:bookmarkEnd w:id="199"/>
    <w:p>
      <w:pPr>
        <w:jc w:val="both"/>
        <w:ind w:left="4" w:hanging="4"/>
        <w:spacing w:after="0" w:line="261" w:lineRule="auto"/>
        <w:tabs>
          <w:tab w:leader="none" w:pos="26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Times New Roman" w:cs="Times New Roman" w:eastAsia="Times New Roman" w:hAnsi="Times New Roman"/>
          <w:sz w:val="18"/>
          <w:szCs w:val="18"/>
          <w:b w:val="1"/>
          <w:bCs w:val="1"/>
          <w:i w:val="1"/>
          <w:iCs w:val="1"/>
          <w:color w:val="auto"/>
        </w:rPr>
        <w:t>Continuing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79"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33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share exchange, asset acquisition, stock purchase, recapitalization or other similar business combination involving the Company and one or more businesses or entities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fifty-one percent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any Co-Sponsor or an affiliate thereof,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97"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33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79"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272"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w:t>
      </w:r>
    </w:p>
    <w:p>
      <w:pPr>
        <w:spacing w:after="0" w:line="38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00" w:name="page201"/>
    <w:bookmarkEnd w:id="200"/>
    <w:p>
      <w:pPr>
        <w:ind w:left="8" w:hanging="8"/>
        <w:spacing w:after="0" w:line="286" w:lineRule="auto"/>
        <w:tabs>
          <w:tab w:leader="none" w:pos="26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Status</w:t>
      </w:r>
      <w:r>
        <w:rPr>
          <w:rFonts w:ascii="Times New Roman" w:cs="Times New Roman" w:eastAsia="Times New Roman" w:hAnsi="Times New Roman"/>
          <w:sz w:val="18"/>
          <w:szCs w:val="18"/>
          <w:color w:val="auto"/>
        </w:rPr>
        <w:t>” describes the status of a person who is or was a director, officer, trustee, general partner, manager, managing member, fiduciary, employee or agent of the Company or of any other Enterprise which such person is or was serving at the request of the Company.</w:t>
      </w:r>
    </w:p>
    <w:p>
      <w:pPr>
        <w:spacing w:after="0" w:line="154"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Delaware Court</w:t>
      </w:r>
      <w:r>
        <w:rPr>
          <w:rFonts w:ascii="Times New Roman" w:cs="Times New Roman" w:eastAsia="Times New Roman" w:hAnsi="Times New Roman"/>
          <w:sz w:val="18"/>
          <w:szCs w:val="18"/>
          <w:color w:val="auto"/>
        </w:rPr>
        <w:t>” shall mean the Court of Chancery of the State of Delaware.</w:t>
      </w:r>
    </w:p>
    <w:p>
      <w:pPr>
        <w:spacing w:after="0" w:line="225" w:lineRule="exact"/>
        <w:rPr>
          <w:rFonts w:ascii="Times New Roman" w:cs="Times New Roman" w:eastAsia="Times New Roman" w:hAnsi="Times New Roman"/>
          <w:sz w:val="18"/>
          <w:szCs w:val="18"/>
          <w:color w:val="auto"/>
        </w:rPr>
      </w:pPr>
    </w:p>
    <w:p>
      <w:pPr>
        <w:ind w:left="8" w:hanging="8"/>
        <w:spacing w:after="0" w:line="286" w:lineRule="auto"/>
        <w:tabs>
          <w:tab w:leader="none" w:pos="27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jc w:val="both"/>
        <w:ind w:left="8" w:hanging="8"/>
        <w:spacing w:after="0" w:line="262" w:lineRule="auto"/>
        <w:tabs>
          <w:tab w:leader="none" w:pos="263"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76"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5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including reasonable compensation for time spent by the Indemnitee for which he or she is not otherwise compensated by the Company or any third party. Expenses also shall include Expenses incurred in connection with any appeal resulting from any Proceeding,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jc w:val="both"/>
        <w:ind w:left="8" w:hanging="8"/>
        <w:spacing w:after="0" w:line="257" w:lineRule="auto"/>
        <w:tabs>
          <w:tab w:leader="none" w:pos="232"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39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201" w:name="page202"/>
    <w:bookmarkEnd w:id="201"/>
    <w:p>
      <w:pPr>
        <w:jc w:val="both"/>
        <w:ind w:left="340" w:hanging="8"/>
        <w:spacing w:after="0" w:line="259" w:lineRule="auto"/>
        <w:tabs>
          <w:tab w:leader="none" w:pos="595"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Counsel</w:t>
      </w:r>
      <w:r>
        <w:rPr>
          <w:rFonts w:ascii="Times New Roman" w:cs="Times New Roman" w:eastAsia="Times New Roman" w:hAnsi="Times New Roman"/>
          <w:sz w:val="18"/>
          <w:szCs w:val="18"/>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jc w:val="both"/>
        <w:ind w:left="340" w:hanging="8"/>
        <w:spacing w:after="0" w:line="255" w:lineRule="auto"/>
        <w:tabs>
          <w:tab w:leader="none" w:pos="629"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1" w:lineRule="exact"/>
        <w:rPr>
          <w:rFonts w:ascii="Times New Roman" w:cs="Times New Roman" w:eastAsia="Times New Roman" w:hAnsi="Times New Roman"/>
          <w:sz w:val="18"/>
          <w:szCs w:val="18"/>
          <w:color w:val="auto"/>
        </w:rPr>
      </w:pPr>
    </w:p>
    <w:p>
      <w:pPr>
        <w:jc w:val="both"/>
        <w:ind w:left="340" w:hanging="8"/>
        <w:spacing w:after="0" w:line="257" w:lineRule="auto"/>
        <w:tabs>
          <w:tab w:leader="none" w:pos="564"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“Person” shall exclude: (i) the Company; (ii) any Subsidiaries of the Company; (iii) any employment benefit plan of the Company or of a Subsidiary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of the Company or of a corporation owned directly or indirectly by the stockholders of the Company in substantially the same proportions as their ownership of stock of the Company.</w:t>
      </w:r>
    </w:p>
    <w:p>
      <w:pPr>
        <w:spacing w:after="0" w:line="182"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681"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82" w:lineRule="exact"/>
        <w:rPr>
          <w:rFonts w:ascii="Times New Roman" w:cs="Times New Roman" w:eastAsia="Times New Roman" w:hAnsi="Times New Roman"/>
          <w:sz w:val="18"/>
          <w:szCs w:val="18"/>
          <w:color w:val="auto"/>
        </w:rPr>
      </w:pPr>
    </w:p>
    <w:p>
      <w:pPr>
        <w:ind w:left="340" w:hanging="8"/>
        <w:spacing w:after="0" w:line="286" w:lineRule="auto"/>
        <w:tabs>
          <w:tab w:leader="none" w:pos="599"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the Company shall indemnify, hold harmless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2" w:name="page203"/>
    <w:bookmarkEnd w:id="202"/>
    <w:p>
      <w:pPr>
        <w:jc w:val="both"/>
        <w:ind w:left="340" w:hanging="332"/>
        <w:spacing w:after="0" w:line="254" w:lineRule="auto"/>
        <w:tabs>
          <w:tab w:leader="none" w:pos="3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PROCEEDINGS BY OR IN THE RIGHT OF THE COMPANY</w:t>
      </w:r>
      <w:r>
        <w:rPr>
          <w:rFonts w:ascii="Times New Roman" w:cs="Times New Roman" w:eastAsia="Times New Roman" w:hAnsi="Times New Roman"/>
          <w:sz w:val="18"/>
          <w:szCs w:val="18"/>
          <w:color w:val="auto"/>
        </w:rPr>
        <w:t>. To the fullest extent permitted by applicable law,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of the circumstances of the case, Indemnitee is fairly and reasonably entitled to indemnification, to be held harmless or to exoneration.</w:t>
      </w:r>
    </w:p>
    <w:p>
      <w:pPr>
        <w:spacing w:after="0" w:line="18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except for Section 27, to the extent that Indemnitee was or is a party to or a participant (as a witness, deponent or otherwise)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the Indemnitee is not wholly successful in such Proceeding, the Company also shall, to the fullest extent permitted by applicable law, indemnify, hold harmless and exonerate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 Section 27,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that Indemnitee is a participant (as a witness or otherwise)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3" w:name="page204"/>
    <w:bookmarkEnd w:id="203"/>
    <w:p>
      <w:pPr>
        <w:ind w:left="340" w:hanging="332"/>
        <w:spacing w:after="0"/>
        <w:tabs>
          <w:tab w:leader="none" w:pos="3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or 5,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including an act or omission of Indemnitee not in good faith, or which involves intentional misconduct or a knowing violation of the law.</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 IN THE EVENT OF JOINT LIABILITY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8" w:lineRule="auto"/>
        <w:tabs>
          <w:tab w:leader="none" w:pos="625"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left="340" w:right="20" w:hanging="8"/>
        <w:spacing w:after="0" w:line="282" w:lineRule="auto"/>
        <w:tabs>
          <w:tab w:leader="none" w:pos="601"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7"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any indemnification, hold harmless or exoneration payment in connection with any claim made against Indemnitee:</w:t>
      </w:r>
    </w:p>
    <w:p>
      <w:pPr>
        <w:spacing w:after="0" w:line="158" w:lineRule="exact"/>
        <w:rPr>
          <w:rFonts w:ascii="Times New Roman" w:cs="Times New Roman" w:eastAsia="Times New Roman" w:hAnsi="Times New Roman"/>
          <w:sz w:val="18"/>
          <w:szCs w:val="18"/>
          <w:color w:val="auto"/>
        </w:rPr>
      </w:pPr>
    </w:p>
    <w:p>
      <w:pPr>
        <w:ind w:left="340" w:hanging="8"/>
        <w:spacing w:after="0" w:line="282" w:lineRule="auto"/>
        <w:tabs>
          <w:tab w:leader="none" w:pos="591"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95"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4" w:name="page205"/>
    <w:bookmarkEnd w:id="204"/>
    <w:p>
      <w:pPr>
        <w:jc w:val="both"/>
        <w:ind w:left="340" w:hanging="8"/>
        <w:spacing w:after="0" w:line="258" w:lineRule="auto"/>
        <w:tabs>
          <w:tab w:leader="none" w:pos="604"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5"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8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fine, penalty or limitation that is not entitled to be indemnified under this Agreement on the Indemnitee without the Indemnitee’s prior written consent.</w:t>
      </w:r>
    </w:p>
    <w:p>
      <w:pPr>
        <w:spacing w:after="0" w:line="15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NOTIFICATION AND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02"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promptly notify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5" w:name="page206"/>
    <w:bookmarkEnd w:id="205"/>
    <w:p>
      <w:pPr>
        <w:jc w:val="both"/>
        <w:ind w:left="340" w:hanging="8"/>
        <w:spacing w:after="0" w:line="261" w:lineRule="auto"/>
        <w:tabs>
          <w:tab w:leader="none" w:pos="628"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12(a) of this Agreement.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5"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or (iii)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9" w:lineRule="exact"/>
        <w:rPr>
          <w:rFonts w:ascii="Times New Roman" w:cs="Times New Roman" w:eastAsia="Times New Roman" w:hAnsi="Times New Roman"/>
          <w:sz w:val="18"/>
          <w:szCs w:val="18"/>
          <w:color w:val="auto"/>
        </w:rPr>
      </w:pPr>
    </w:p>
    <w:p>
      <w:pPr>
        <w:jc w:val="both"/>
        <w:ind w:left="340" w:hanging="8"/>
        <w:spacing w:after="0" w:line="252" w:lineRule="auto"/>
        <w:tabs>
          <w:tab w:leader="none" w:pos="622"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set forth in Section 2(k) hereof. If the Independent Counsel is selected by the Board, the Company shall give written notice to Indemnitee advising him of the identity of the Independent Counsel so selected and certifying that the Independent Counsel so selected meets the requirements set forth in Section 2(k) hereof.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so selected meets the requirements set forth in Section 2(k) hereof,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6" w:name="page207"/>
    <w:bookmarkEnd w:id="206"/>
    <w:p>
      <w:pPr>
        <w:ind w:left="340" w:right="20" w:hanging="8"/>
        <w:spacing w:after="0" w:line="282" w:lineRule="auto"/>
        <w:tabs>
          <w:tab w:leader="none" w:pos="591"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593"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30"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thirty (30) 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7" w:name="page208"/>
    <w:bookmarkEnd w:id="207"/>
    <w:p>
      <w:pPr>
        <w:jc w:val="both"/>
        <w:ind w:left="340" w:hanging="8"/>
        <w:spacing w:after="0" w:line="258" w:lineRule="auto"/>
        <w:tabs>
          <w:tab w:leader="none" w:pos="599"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3"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1"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officers or managers of the Enterprise in the course of their duties, or on the advice of legal counsel for the Enterprise, its Board, any committee of the Board or any director, officer, trustee, general partner, manager or managing member, or on information or records given or reports made to the Enterprise, its Board, any committee of the Board or any director, officer, trustee, general partner, manager or managing member, by an independent certified public accountant or by an appraiser or other expert selected by the Enterprise, its Board, any committee of the Board or any director, officer, trustee, general partner, manager or managing member.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88"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2"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this Agreement, (iv) payment of indemnification is not made pursuant to Section 5, 6, 7 or the last sentence of Section 12(a) of this Agreement within the timeline set forth in this Agreement, (v) a contribution payment is not made in a timely manner pursuant to Section 8 of this Agreement, (vi) payment of indemnification pursuant to Section 3 or 4 of this Agreement is not made within the timeline set forth in this Agreement, or (vii) payment to Indemnitee pursuant to any hold harmless or exoneration rights under this Agreement or otherwise is not made within the timeline set forth in this Agreement,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8" w:name="page209"/>
    <w:bookmarkEnd w:id="208"/>
    <w:p>
      <w:pPr>
        <w:jc w:val="both"/>
        <w:ind w:left="8" w:hanging="8"/>
        <w:spacing w:after="0" w:line="254" w:lineRule="auto"/>
        <w:tabs>
          <w:tab w:leader="none" w:pos="313"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263"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9"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302"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91"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254"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Delaware law for amounts which the Company indemnifies, holds harmless or exonerates, contributes, reimburses, advances, or is obliged to indemnify, hold harmless, exonerate, contribute, reimburse or advance for the period commencing with the date on which the Indemnitee requests such indemnification, to be held harmless, exonerated, contribution, reimbursement or advancement of any Expenses and ending with the date on which such payment is made to Indemnitee by the Company.</w:t>
      </w:r>
    </w:p>
    <w:p>
      <w:pPr>
        <w:spacing w:after="0" w:line="38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09" w:name="page210"/>
    <w:bookmarkEnd w:id="209"/>
    <w:p>
      <w:pPr>
        <w:jc w:val="both"/>
        <w:ind w:left="340" w:hanging="332"/>
        <w:spacing w:after="0" w:line="262" w:lineRule="auto"/>
        <w:tabs>
          <w:tab w:leader="none" w:pos="3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to the extent requested by the Indemnitee and approved by the Board,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 PRIORITY OF OBLIGATIONS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9"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6"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DGCL and the Bylaws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i w:val="1"/>
          <w:i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0" w:name="page211"/>
    <w:bookmarkEnd w:id="210"/>
    <w:p>
      <w:pPr>
        <w:jc w:val="both"/>
        <w:ind w:left="340" w:hanging="8"/>
        <w:spacing w:after="0" w:line="254" w:lineRule="auto"/>
        <w:tabs>
          <w:tab w:leader="none" w:pos="605"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01"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7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08"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the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8" w:lineRule="exact"/>
        <w:rPr>
          <w:rFonts w:ascii="Times New Roman" w:cs="Times New Roman" w:eastAsia="Times New Roman" w:hAnsi="Times New Roman"/>
          <w:sz w:val="18"/>
          <w:szCs w:val="18"/>
          <w:color w:val="auto"/>
        </w:rPr>
      </w:pPr>
    </w:p>
    <w:p>
      <w:pPr>
        <w:ind w:left="340" w:hanging="8"/>
        <w:spacing w:after="0" w:line="282" w:lineRule="auto"/>
        <w:tabs>
          <w:tab w:leader="none" w:pos="566"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any Co-Sponsor or its respective affiliates or any other Person is secondary.</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or advancement can be provided under this Agreement.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1" w:name="page212"/>
    <w:bookmarkEnd w:id="211"/>
    <w:p>
      <w:pPr>
        <w:jc w:val="both"/>
        <w:ind w:left="332" w:hanging="332"/>
        <w:spacing w:after="0" w:line="255" w:lineRule="auto"/>
        <w:tabs>
          <w:tab w:leader="none" w:pos="33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or provisions of this Agreement shall be held to be invalid, illegal or unenforceable for any reason whatsoever: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84"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ENFORCEMENT AND BINDING EFFECT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32" w:hanging="8"/>
        <w:spacing w:after="0" w:line="266" w:lineRule="auto"/>
        <w:tabs>
          <w:tab w:leader="none" w:pos="585"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jc w:val="both"/>
        <w:ind w:left="332" w:hanging="8"/>
        <w:spacing w:after="0" w:line="266" w:lineRule="auto"/>
        <w:tabs>
          <w:tab w:leader="none" w:pos="619"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jc w:val="both"/>
        <w:ind w:left="332" w:hanging="8"/>
        <w:spacing w:after="0" w:line="256" w:lineRule="auto"/>
        <w:tabs>
          <w:tab w:leader="none" w:pos="588"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187" w:lineRule="exact"/>
        <w:rPr>
          <w:rFonts w:ascii="Times New Roman" w:cs="Times New Roman" w:eastAsia="Times New Roman" w:hAnsi="Times New Roman"/>
          <w:sz w:val="18"/>
          <w:szCs w:val="18"/>
          <w:color w:val="auto"/>
        </w:rPr>
      </w:pPr>
    </w:p>
    <w:p>
      <w:pPr>
        <w:jc w:val="both"/>
        <w:ind w:left="332" w:hanging="8"/>
        <w:spacing w:after="0" w:line="261" w:lineRule="auto"/>
        <w:tabs>
          <w:tab w:leader="none" w:pos="587"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3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212" w:name="page213"/>
    <w:bookmarkEnd w:id="212"/>
    <w:p>
      <w:pPr>
        <w:jc w:val="both"/>
        <w:ind w:left="340" w:hanging="8"/>
        <w:spacing w:after="0" w:line="254" w:lineRule="auto"/>
        <w:tabs>
          <w:tab w:leader="none" w:pos="623" w:val="left"/>
        </w:tabs>
        <w:numPr>
          <w:ilvl w:val="1"/>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Delaware Court, and the Company hereby waives any such requirement of such a bond or undertaking.</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 writing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requests, demands and other communications under this Agreement shall be in writing and shall be deemed to have been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74"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Attn: Edward Scheetz, Chief Executive Officer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3" w:name="page214"/>
    <w:bookmarkEnd w:id="213"/>
    <w:p>
      <w:pPr>
        <w:jc w:val="both"/>
        <w:ind w:left="340" w:hanging="332"/>
        <w:spacing w:after="0" w:line="254" w:lineRule="auto"/>
        <w:tabs>
          <w:tab w:leader="none" w:pos="3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 headings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 required,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undertakes to cause such act, resolution, approval or other procedure to be affected or adopted in a manner that will enable the Company to fulfill its obligations under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to the contrary contained herein, Indemnitee hereby agrees that he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 does not have any right, title, interest or claim of any kind (each,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 For purposes of clarity, Indemnitee acknowledges and agrees that no monies held in the Trust Account may be used to indemnify Indemnitee for any purpose whatsoever.</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MAINTENANCE OF INSURANCE. </w:t>
      </w:r>
      <w:r>
        <w:rPr>
          <w:rFonts w:ascii="Times New Roman" w:cs="Times New Roman" w:eastAsia="Times New Roman" w:hAnsi="Times New Roman"/>
          <w:sz w:val="18"/>
          <w:szCs w:val="18"/>
          <w:color w:val="auto"/>
        </w:rPr>
        <w:t>The Company shall use commercially reasonable efforts to obtain and maintain in effect during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signed as of the day and year first above written.</w:t>
      </w:r>
    </w:p>
    <w:p>
      <w:pPr>
        <w:spacing w:after="0" w:line="2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29"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27" w:lineRule="exact"/>
        <w:rPr>
          <w:sz w:val="20"/>
          <w:szCs w:val="20"/>
          <w:color w:val="auto"/>
        </w:rPr>
      </w:pPr>
    </w:p>
    <w:p>
      <w:pPr>
        <w:ind w:left="654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215" w:name="page216"/>
    <w:bookmarkEnd w:id="215"/>
    <w:p>
      <w:pPr>
        <w:ind w:left="564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jc w:val="right"/>
        <w:ind w:right="1499"/>
        <w:spacing w:after="0"/>
        <w:tabs>
          <w:tab w:leader="none" w:pos="1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Christian Ahrens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Christian Ahrens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INDEMNITY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December 23, 2020, by and between Ventoux CCM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Julie Atkinson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 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and the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of the Company require indemnification of the officers and directors of the Company. Indemnitee may also be entitled to indemnification pursuant to applicable provisions of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stockholders and that the Company should act to assure such persons that there will be increased certainty of such protection in the future.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7" w:name="page218"/>
    <w:bookmarkEnd w:id="217"/>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Charter and Bylaws of the Company and any resolutions adopted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thereto, and shall not be deemed a substitute therefor, nor to diminish or abrogate any rights of Indemnitee thereunder.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or director without adequate protection, and the Company desires Indemnitee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in such capacity. Indemnitee is willing to serve, continue to serve and to take on additional service for or on behalf of the Company on the condition that he or she be so indemnified.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covenants contained herein, the Company and Indemnitee do hereby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25" w:lineRule="exact"/>
        <w:rPr>
          <w:sz w:val="20"/>
          <w:szCs w:val="20"/>
          <w:color w:val="auto"/>
        </w:rPr>
      </w:pPr>
    </w:p>
    <w:p>
      <w:pPr>
        <w:jc w:val="both"/>
        <w:ind w:left="340" w:hanging="332"/>
        <w:spacing w:after="0" w:line="257" w:lineRule="auto"/>
        <w:tabs>
          <w:tab w:leader="none" w:pos="3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SERVICES TO THE COMPANY</w:t>
      </w:r>
      <w:r>
        <w:rPr>
          <w:rFonts w:ascii="Times New Roman" w:cs="Times New Roman" w:eastAsia="Times New Roman" w:hAnsi="Times New Roman"/>
          <w:sz w:val="18"/>
          <w:szCs w:val="18"/>
          <w:color w:val="auto"/>
        </w:rPr>
        <w:t>. Indemnitee will serve or continue to serve as an officer, director, advisor, key employee or in any other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as applicable, for so long as Indemnitee is duly elected, appointed or retained or until Indemnitee tenders his or her resignation, or is removed or dies. The foregoing notwithstanding, this Agreement shall continue in full force and effect after Indemnitee has ceased to serve as an officer, director,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8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2" w:lineRule="auto"/>
        <w:tabs>
          <w:tab w:leader="none" w:pos="598"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6" w:lineRule="exact"/>
        <w:rPr>
          <w:rFonts w:ascii="Times New Roman" w:cs="Times New Roman" w:eastAsia="Times New Roman" w:hAnsi="Times New Roman"/>
          <w:sz w:val="18"/>
          <w:szCs w:val="18"/>
          <w:color w:val="auto"/>
        </w:rPr>
      </w:pPr>
    </w:p>
    <w:p>
      <w:pPr>
        <w:ind w:left="340" w:right="20" w:hanging="8"/>
        <w:spacing w:after="0" w:line="286" w:lineRule="auto"/>
        <w:tabs>
          <w:tab w:leader="none" w:pos="599"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in effect on the date hereof.</w:t>
      </w:r>
    </w:p>
    <w:p>
      <w:pPr>
        <w:spacing w:after="0" w:line="15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57" w:lineRule="auto"/>
        <w:tabs>
          <w:tab w:leader="none" w:pos="888" w:val="left"/>
        </w:tabs>
        <w:numPr>
          <w:ilvl w:val="2"/>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Stock by Third Party</w:t>
      </w:r>
      <w:r>
        <w:rPr>
          <w:rFonts w:ascii="Times New Roman" w:cs="Times New Roman" w:eastAsia="Times New Roman" w:hAnsi="Times New Roman"/>
          <w:sz w:val="18"/>
          <w:szCs w:val="18"/>
          <w:color w:val="auto"/>
        </w:rPr>
        <w:t>. Other than Ventoux Acquisition Holdings LLC or Chardan International Investments, LLC (the “</w:t>
      </w:r>
      <w:r>
        <w:rPr>
          <w:rFonts w:ascii="Times New Roman" w:cs="Times New Roman" w:eastAsia="Times New Roman" w:hAnsi="Times New Roman"/>
          <w:sz w:val="18"/>
          <w:szCs w:val="18"/>
          <w:b w:val="1"/>
          <w:bCs w:val="1"/>
          <w:i w:val="1"/>
          <w:iCs w:val="1"/>
          <w:color w:val="auto"/>
        </w:rPr>
        <w:t>Co-Sponsors</w:t>
      </w:r>
      <w:r>
        <w:rPr>
          <w:rFonts w:ascii="Times New Roman" w:cs="Times New Roman" w:eastAsia="Times New Roman" w:hAnsi="Times New Roman"/>
          <w:sz w:val="18"/>
          <w:szCs w:val="18"/>
          <w:color w:val="auto"/>
        </w:rPr>
        <w:t>”) or an affiliate thereof, any Person is or becomes the Beneficial Owner, directly or indirectly, of securities of the Company representing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and such acquisition would not constitute a Change in Control under part (iii) of this definition;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8" w:name="page219"/>
    <w:bookmarkEnd w:id="218"/>
    <w:p>
      <w:pPr>
        <w:jc w:val="both"/>
        <w:ind w:left="4" w:hanging="4"/>
        <w:spacing w:after="0" w:line="261" w:lineRule="auto"/>
        <w:tabs>
          <w:tab w:leader="none" w:pos="26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Times New Roman" w:cs="Times New Roman" w:eastAsia="Times New Roman" w:hAnsi="Times New Roman"/>
          <w:sz w:val="18"/>
          <w:szCs w:val="18"/>
          <w:b w:val="1"/>
          <w:bCs w:val="1"/>
          <w:i w:val="1"/>
          <w:iCs w:val="1"/>
          <w:color w:val="auto"/>
        </w:rPr>
        <w:t>Continuing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79"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332"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share exchange, asset acquisition, stock purchase, recapitalization or other similar business combination involving the Company and one or more businesses or entities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fifty-one percent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any Co-Sponsor or an affiliate thereof,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97"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336"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79"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272"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w:t>
      </w:r>
    </w:p>
    <w:p>
      <w:pPr>
        <w:spacing w:after="0" w:line="38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19" w:name="page220"/>
    <w:bookmarkEnd w:id="219"/>
    <w:p>
      <w:pPr>
        <w:ind w:left="8" w:hanging="8"/>
        <w:spacing w:after="0" w:line="286" w:lineRule="auto"/>
        <w:tabs>
          <w:tab w:leader="none" w:pos="263"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Status</w:t>
      </w:r>
      <w:r>
        <w:rPr>
          <w:rFonts w:ascii="Times New Roman" w:cs="Times New Roman" w:eastAsia="Times New Roman" w:hAnsi="Times New Roman"/>
          <w:sz w:val="18"/>
          <w:szCs w:val="18"/>
          <w:color w:val="auto"/>
        </w:rPr>
        <w:t>” describes the status of a person who is or was a director, officer, trustee, general partner, manager, managing member, fiduciary, employee or agent of the Company or of any other Enterprise which such person is or was serving at the request of the Company.</w:t>
      </w:r>
    </w:p>
    <w:p>
      <w:pPr>
        <w:spacing w:after="0" w:line="154"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Delaware Court</w:t>
      </w:r>
      <w:r>
        <w:rPr>
          <w:rFonts w:ascii="Times New Roman" w:cs="Times New Roman" w:eastAsia="Times New Roman" w:hAnsi="Times New Roman"/>
          <w:sz w:val="18"/>
          <w:szCs w:val="18"/>
          <w:color w:val="auto"/>
        </w:rPr>
        <w:t>” shall mean the Court of Chancery of the State of Delaware.</w:t>
      </w:r>
    </w:p>
    <w:p>
      <w:pPr>
        <w:spacing w:after="0" w:line="225" w:lineRule="exact"/>
        <w:rPr>
          <w:rFonts w:ascii="Times New Roman" w:cs="Times New Roman" w:eastAsia="Times New Roman" w:hAnsi="Times New Roman"/>
          <w:sz w:val="18"/>
          <w:szCs w:val="18"/>
          <w:color w:val="auto"/>
        </w:rPr>
      </w:pPr>
    </w:p>
    <w:p>
      <w:pPr>
        <w:ind w:left="8" w:hanging="8"/>
        <w:spacing w:after="0" w:line="286" w:lineRule="auto"/>
        <w:tabs>
          <w:tab w:leader="none" w:pos="273"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jc w:val="both"/>
        <w:ind w:left="8" w:hanging="8"/>
        <w:spacing w:after="0" w:line="262" w:lineRule="auto"/>
        <w:tabs>
          <w:tab w:leader="none" w:pos="263"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76"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5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including reasonable compensation for time spent by the Indemnitee for which he or she is not otherwise compensated by the Company or any third party. Expenses also shall include Expenses incurred in connection with any appeal resulting from any Proceeding,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jc w:val="both"/>
        <w:ind w:left="8" w:hanging="8"/>
        <w:spacing w:after="0" w:line="257" w:lineRule="auto"/>
        <w:tabs>
          <w:tab w:leader="none" w:pos="232"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39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220" w:name="page221"/>
    <w:bookmarkEnd w:id="220"/>
    <w:p>
      <w:pPr>
        <w:jc w:val="both"/>
        <w:ind w:left="340" w:hanging="8"/>
        <w:spacing w:after="0" w:line="259" w:lineRule="auto"/>
        <w:tabs>
          <w:tab w:leader="none" w:pos="595"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Counsel</w:t>
      </w:r>
      <w:r>
        <w:rPr>
          <w:rFonts w:ascii="Times New Roman" w:cs="Times New Roman" w:eastAsia="Times New Roman" w:hAnsi="Times New Roman"/>
          <w:sz w:val="18"/>
          <w:szCs w:val="18"/>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jc w:val="both"/>
        <w:ind w:left="340" w:hanging="8"/>
        <w:spacing w:after="0" w:line="255" w:lineRule="auto"/>
        <w:tabs>
          <w:tab w:leader="none" w:pos="629"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1" w:lineRule="exact"/>
        <w:rPr>
          <w:rFonts w:ascii="Times New Roman" w:cs="Times New Roman" w:eastAsia="Times New Roman" w:hAnsi="Times New Roman"/>
          <w:sz w:val="18"/>
          <w:szCs w:val="18"/>
          <w:color w:val="auto"/>
        </w:rPr>
      </w:pPr>
    </w:p>
    <w:p>
      <w:pPr>
        <w:jc w:val="both"/>
        <w:ind w:left="340" w:hanging="8"/>
        <w:spacing w:after="0" w:line="257" w:lineRule="auto"/>
        <w:tabs>
          <w:tab w:leader="none" w:pos="564"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“Person” shall exclude: (i) the Company; (ii) any Subsidiaries of the Company; (iii) any employment benefit plan of the Company or of a Subsidiary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of the Company or of a corporation owned directly or indirectly by the stockholders of the Company in substantially the same proportions as their ownership of stock of the Company.</w:t>
      </w:r>
    </w:p>
    <w:p>
      <w:pPr>
        <w:spacing w:after="0" w:line="182"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681"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82" w:lineRule="exact"/>
        <w:rPr>
          <w:rFonts w:ascii="Times New Roman" w:cs="Times New Roman" w:eastAsia="Times New Roman" w:hAnsi="Times New Roman"/>
          <w:sz w:val="18"/>
          <w:szCs w:val="18"/>
          <w:color w:val="auto"/>
        </w:rPr>
      </w:pPr>
    </w:p>
    <w:p>
      <w:pPr>
        <w:ind w:left="340" w:hanging="8"/>
        <w:spacing w:after="0" w:line="286" w:lineRule="auto"/>
        <w:tabs>
          <w:tab w:leader="none" w:pos="599"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the Company shall indemnify, hold harmless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1" w:name="page222"/>
    <w:bookmarkEnd w:id="221"/>
    <w:p>
      <w:pPr>
        <w:jc w:val="both"/>
        <w:ind w:left="340" w:hanging="332"/>
        <w:spacing w:after="0" w:line="254" w:lineRule="auto"/>
        <w:tabs>
          <w:tab w:leader="none" w:pos="3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PROCEEDINGS BY OR IN THE RIGHT OF THE COMPANY</w:t>
      </w:r>
      <w:r>
        <w:rPr>
          <w:rFonts w:ascii="Times New Roman" w:cs="Times New Roman" w:eastAsia="Times New Roman" w:hAnsi="Times New Roman"/>
          <w:sz w:val="18"/>
          <w:szCs w:val="18"/>
          <w:color w:val="auto"/>
        </w:rPr>
        <w:t>. To the fullest extent permitted by applicable law,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of the circumstances of the case, Indemnitee is fairly and reasonably entitled to indemnification, to be held harmless or to exoneration.</w:t>
      </w:r>
    </w:p>
    <w:p>
      <w:pPr>
        <w:spacing w:after="0" w:line="18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except for Section 27, to the extent that Indemnitee was or is a party to or a participant (as a witness, deponent or otherwise)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the Indemnitee is not wholly successful in such Proceeding, the Company also shall, to the fullest extent permitted by applicable law, indemnify, hold harmless and exonerate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 Section 27,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that Indemnitee is a participant (as a witness or otherwise)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2" w:name="page223"/>
    <w:bookmarkEnd w:id="222"/>
    <w:p>
      <w:pPr>
        <w:ind w:left="340" w:hanging="332"/>
        <w:spacing w:after="0"/>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or 5,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including an act or omission of Indemnitee not in good faith, or which involves intentional misconduct or a knowing violation of the law.</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 IN THE EVENT OF JOINT LIABILITY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8" w:lineRule="auto"/>
        <w:tabs>
          <w:tab w:leader="none" w:pos="625"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left="340" w:right="20" w:hanging="8"/>
        <w:spacing w:after="0" w:line="282" w:lineRule="auto"/>
        <w:tabs>
          <w:tab w:leader="none" w:pos="601"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7"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any indemnification, hold harmless or exoneration payment in connection with any claim made against Indemnitee:</w:t>
      </w:r>
    </w:p>
    <w:p>
      <w:pPr>
        <w:spacing w:after="0" w:line="158" w:lineRule="exact"/>
        <w:rPr>
          <w:rFonts w:ascii="Times New Roman" w:cs="Times New Roman" w:eastAsia="Times New Roman" w:hAnsi="Times New Roman"/>
          <w:sz w:val="18"/>
          <w:szCs w:val="18"/>
          <w:color w:val="auto"/>
        </w:rPr>
      </w:pPr>
    </w:p>
    <w:p>
      <w:pPr>
        <w:ind w:left="340" w:hanging="8"/>
        <w:spacing w:after="0" w:line="282" w:lineRule="auto"/>
        <w:tabs>
          <w:tab w:leader="none" w:pos="591"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95"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3" w:name="page224"/>
    <w:bookmarkEnd w:id="223"/>
    <w:p>
      <w:pPr>
        <w:jc w:val="both"/>
        <w:ind w:left="340" w:hanging="8"/>
        <w:spacing w:after="0" w:line="258" w:lineRule="auto"/>
        <w:tabs>
          <w:tab w:leader="none" w:pos="604"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5"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8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fine, penalty or limitation that is not entitled to be indemnified under this Agreement on the Indemnitee without the Indemnitee’s prior written consent.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NOTIFICATION AND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02"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promptly notify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4" w:name="page225"/>
    <w:bookmarkEnd w:id="224"/>
    <w:p>
      <w:pPr>
        <w:jc w:val="both"/>
        <w:ind w:left="340" w:hanging="8"/>
        <w:spacing w:after="0" w:line="261" w:lineRule="auto"/>
        <w:tabs>
          <w:tab w:leader="none" w:pos="62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12(a) of this Agreement.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5"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or (iii)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9" w:lineRule="exact"/>
        <w:rPr>
          <w:rFonts w:ascii="Times New Roman" w:cs="Times New Roman" w:eastAsia="Times New Roman" w:hAnsi="Times New Roman"/>
          <w:sz w:val="18"/>
          <w:szCs w:val="18"/>
          <w:color w:val="auto"/>
        </w:rPr>
      </w:pPr>
    </w:p>
    <w:p>
      <w:pPr>
        <w:jc w:val="both"/>
        <w:ind w:left="340" w:hanging="8"/>
        <w:spacing w:after="0" w:line="252" w:lineRule="auto"/>
        <w:tabs>
          <w:tab w:leader="none" w:pos="622"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set forth in Section 2(k) hereof. If the Independent Counsel is selected by the Board, the Company shall give written notice to Indemnitee advising him of the identity of the Independent Counsel so selected and certifying that the Independent Counsel so selected meets the requirements set forth in Section 2(k) hereof.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so selected meets the requirements set forth in Section 2(k) hereof,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5" w:name="page226"/>
    <w:bookmarkEnd w:id="225"/>
    <w:p>
      <w:pPr>
        <w:ind w:left="340" w:right="20" w:hanging="8"/>
        <w:spacing w:after="0" w:line="282" w:lineRule="auto"/>
        <w:tabs>
          <w:tab w:leader="none" w:pos="591" w:val="left"/>
        </w:tabs>
        <w:numPr>
          <w:ilvl w:val="1"/>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593"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30"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thirty (30) 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6" w:name="page227"/>
    <w:bookmarkEnd w:id="226"/>
    <w:p>
      <w:pPr>
        <w:jc w:val="both"/>
        <w:ind w:left="340" w:hanging="8"/>
        <w:spacing w:after="0" w:line="258" w:lineRule="auto"/>
        <w:tabs>
          <w:tab w:leader="none" w:pos="599"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3"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1"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officers or managers of the Enterprise in the course of their duties, or on the advice of legal counsel for the Enterprise, its Board, any committee of the Board or any director, officer, trustee, general partner, manager or managing member, or on information or records given or reports made to the Enterprise, its Board, any committee of the Board or any director, officer, trustee, general partner, manager or managing member, by an independent certified public accountant or by an appraiser or other expert selected by the Enterprise, its Board, any committee of the Board or any director, officer, trustee, general partner, manager or managing member.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88"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2"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this Agreement, (iv) payment of indemnification is not made pursuant to Section 5, 6, 7 or the last sentence of Section 12(a) of this Agreement within the timeline set forth in this Agreement, (v) a contribution payment is not made in a timely manner pursuant to Section 8 of this Agreement, (vi) payment of indemnification pursuant to Section 3 or 4 of this Agreement is not made within the timeline set forth in this Agreement, or (vii) payment to Indemnitee pursuant to any hold harmless or exoneration rights under this Agreement or otherwise is not made within the timeline set forth in this Agreement,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7" w:name="page228"/>
    <w:bookmarkEnd w:id="227"/>
    <w:p>
      <w:pPr>
        <w:jc w:val="both"/>
        <w:ind w:left="8" w:hanging="8"/>
        <w:spacing w:after="0" w:line="254" w:lineRule="auto"/>
        <w:tabs>
          <w:tab w:leader="none" w:pos="313"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263"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9"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302"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39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28" w:name="page229"/>
    <w:bookmarkEnd w:id="228"/>
    <w:p>
      <w:pPr>
        <w:jc w:val="both"/>
        <w:ind w:left="340" w:hanging="8"/>
        <w:spacing w:after="0" w:line="261" w:lineRule="auto"/>
        <w:tabs>
          <w:tab w:leader="none" w:pos="586"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Delaware law for amounts which the Company indemnifies, holds harmless or exonerates, contributes, reimburses, advances, or is obliged to indemnify, hold harmless, exonerate, contribute, reimburse or advance for the period commencing with the date on which the Indemnitee requests such indemnification, to be held harmless, exonerated, contribution, reimbursement or advancement of any Expenses and ending with the date on which such payment is made to Indemnitee by the Company.</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to the extent requested by the Indemnitee and approved by the Board,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 PRIORITY OF OBLIGATIONS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9"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6"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DGCL and the Bylaws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i w:val="1"/>
          <w:i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9" w:name="page230"/>
    <w:bookmarkEnd w:id="229"/>
    <w:p>
      <w:pPr>
        <w:jc w:val="both"/>
        <w:ind w:left="340" w:hanging="8"/>
        <w:spacing w:after="0" w:line="254" w:lineRule="auto"/>
        <w:tabs>
          <w:tab w:leader="none" w:pos="605"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01"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7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08"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the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8" w:lineRule="exact"/>
        <w:rPr>
          <w:rFonts w:ascii="Times New Roman" w:cs="Times New Roman" w:eastAsia="Times New Roman" w:hAnsi="Times New Roman"/>
          <w:sz w:val="18"/>
          <w:szCs w:val="18"/>
          <w:color w:val="auto"/>
        </w:rPr>
      </w:pPr>
    </w:p>
    <w:p>
      <w:pPr>
        <w:ind w:left="340" w:hanging="8"/>
        <w:spacing w:after="0" w:line="282" w:lineRule="auto"/>
        <w:tabs>
          <w:tab w:leader="none" w:pos="566"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any Co-Sponsor or its respective affiliates or any other Person is secondary.</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or advancement can be provided under this Agreement.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0" w:name="page231"/>
    <w:bookmarkEnd w:id="230"/>
    <w:p>
      <w:pPr>
        <w:jc w:val="both"/>
        <w:ind w:left="332" w:hanging="332"/>
        <w:spacing w:after="0" w:line="255" w:lineRule="auto"/>
        <w:tabs>
          <w:tab w:leader="none" w:pos="33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or provisions of this Agreement shall be held to be invalid, illegal or unenforceable for any reason whatsoever: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84"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ENFORCEMENT AND BINDING EFFECT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32" w:hanging="8"/>
        <w:spacing w:after="0" w:line="266" w:lineRule="auto"/>
        <w:tabs>
          <w:tab w:leader="none" w:pos="585"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jc w:val="both"/>
        <w:ind w:left="332" w:hanging="8"/>
        <w:spacing w:after="0" w:line="266" w:lineRule="auto"/>
        <w:tabs>
          <w:tab w:leader="none" w:pos="619"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jc w:val="both"/>
        <w:ind w:left="332" w:hanging="8"/>
        <w:spacing w:after="0" w:line="256" w:lineRule="auto"/>
        <w:tabs>
          <w:tab w:leader="none" w:pos="588"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187" w:lineRule="exact"/>
        <w:rPr>
          <w:rFonts w:ascii="Times New Roman" w:cs="Times New Roman" w:eastAsia="Times New Roman" w:hAnsi="Times New Roman"/>
          <w:sz w:val="18"/>
          <w:szCs w:val="18"/>
          <w:color w:val="auto"/>
        </w:rPr>
      </w:pPr>
    </w:p>
    <w:p>
      <w:pPr>
        <w:jc w:val="both"/>
        <w:ind w:left="332" w:hanging="8"/>
        <w:spacing w:after="0" w:line="261" w:lineRule="auto"/>
        <w:tabs>
          <w:tab w:leader="none" w:pos="587"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3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231" w:name="page232"/>
    <w:bookmarkEnd w:id="231"/>
    <w:p>
      <w:pPr>
        <w:jc w:val="both"/>
        <w:ind w:left="340" w:hanging="8"/>
        <w:spacing w:after="0" w:line="254" w:lineRule="auto"/>
        <w:tabs>
          <w:tab w:leader="none" w:pos="623"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Delaware Court, and the Company hereby waives any such requirement of such a bond or undertaking.</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 writing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requests, demands and other communications under this Agreement shall be in writing and shall be deemed to have been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74"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Attn: Edward Scheetz, Chief Executive Officer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2" w:name="page233"/>
    <w:bookmarkEnd w:id="232"/>
    <w:p>
      <w:pPr>
        <w:jc w:val="both"/>
        <w:ind w:left="340" w:hanging="332"/>
        <w:spacing w:after="0" w:line="254" w:lineRule="auto"/>
        <w:tabs>
          <w:tab w:leader="none" w:pos="3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 headings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 required,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undertakes to cause such act, resolution, approval or other procedure to be affected or adopted in a manner that will enable the Company to fulfill its obligations under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to the contrary contained herein, Indemnitee hereby agrees that he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 does not have any right, title, interest or claim of any kind (each,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 For purposes of clarity, Indemnitee acknowledges and agrees that no monies held in the Trust Account may be used to indemnify Indemnitee for any purpose whatsoever.</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MAINTENANCE OF INSURANCE. </w:t>
      </w:r>
      <w:r>
        <w:rPr>
          <w:rFonts w:ascii="Times New Roman" w:cs="Times New Roman" w:eastAsia="Times New Roman" w:hAnsi="Times New Roman"/>
          <w:sz w:val="18"/>
          <w:szCs w:val="18"/>
          <w:color w:val="auto"/>
        </w:rPr>
        <w:t>The Company shall use commercially reasonable efforts to obtain and maintain in effect during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signed as of the day and year first above written.</w:t>
      </w:r>
    </w:p>
    <w:p>
      <w:pPr>
        <w:spacing w:after="0" w:line="2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29"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27" w:lineRule="exact"/>
        <w:rPr>
          <w:sz w:val="20"/>
          <w:szCs w:val="20"/>
          <w:color w:val="auto"/>
        </w:rPr>
      </w:pPr>
    </w:p>
    <w:p>
      <w:pPr>
        <w:ind w:left="654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234" w:name="page235"/>
    <w:bookmarkEnd w:id="234"/>
    <w:p>
      <w:pPr>
        <w:ind w:left="564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jc w:val="right"/>
        <w:ind w:right="1679"/>
        <w:spacing w:after="0"/>
        <w:tabs>
          <w:tab w:leader="none" w:pos="1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Julie Atkinson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Julie Atkinson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35" w:name="page236"/>
    <w:bookmarkEnd w:id="235"/>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INDEMNITY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December 23, 2020, by and between Ventoux CCM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Jonas Grossman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 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and the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of the Company require indemnification of the officers and directors of the Company. Indemnitee may also be entitled to indemnification pursuant to applicable provisions of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stockholders and that the Company should act to assure such persons that there will be increased certainty of such protection in the future.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6" w:name="page237"/>
    <w:bookmarkEnd w:id="236"/>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Charter and Bylaws of the Company and any resolutions adopted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thereto, and shall not be deemed a substitute therefor, nor to diminish or abrogate any rights of Indemnitee thereunder.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or director without adequate protection, and the Company desires Indemnitee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in such capacity. Indemnitee is willing to serve, continue to serve and to take on additional service for or on behalf of the Company on the condition that he or she be so indemnified.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covenants contained herein, the Company and Indemnitee do hereby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25" w:lineRule="exact"/>
        <w:rPr>
          <w:sz w:val="20"/>
          <w:szCs w:val="20"/>
          <w:color w:val="auto"/>
        </w:rPr>
      </w:pPr>
    </w:p>
    <w:p>
      <w:pPr>
        <w:jc w:val="both"/>
        <w:ind w:left="340" w:hanging="332"/>
        <w:spacing w:after="0" w:line="257" w:lineRule="auto"/>
        <w:tabs>
          <w:tab w:leader="none" w:pos="3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SERVICES TO THE COMPANY</w:t>
      </w:r>
      <w:r>
        <w:rPr>
          <w:rFonts w:ascii="Times New Roman" w:cs="Times New Roman" w:eastAsia="Times New Roman" w:hAnsi="Times New Roman"/>
          <w:sz w:val="18"/>
          <w:szCs w:val="18"/>
          <w:color w:val="auto"/>
        </w:rPr>
        <w:t>. Indemnitee will serve or continue to serve as an officer, director, advisor, key employee or in any other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as applicable, for so long as Indemnitee is duly elected, appointed or retained or until Indemnitee tenders his or her resignation, or is removed or dies. The foregoing notwithstanding, this Agreement shall continue in full force and effect after Indemnitee has ceased to serve as an officer, director,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8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2" w:lineRule="auto"/>
        <w:tabs>
          <w:tab w:leader="none" w:pos="598"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6" w:lineRule="exact"/>
        <w:rPr>
          <w:rFonts w:ascii="Times New Roman" w:cs="Times New Roman" w:eastAsia="Times New Roman" w:hAnsi="Times New Roman"/>
          <w:sz w:val="18"/>
          <w:szCs w:val="18"/>
          <w:color w:val="auto"/>
        </w:rPr>
      </w:pPr>
    </w:p>
    <w:p>
      <w:pPr>
        <w:ind w:left="340" w:right="20" w:hanging="8"/>
        <w:spacing w:after="0" w:line="286" w:lineRule="auto"/>
        <w:tabs>
          <w:tab w:leader="none" w:pos="599"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in effect on the date hereof.</w:t>
      </w:r>
    </w:p>
    <w:p>
      <w:pPr>
        <w:spacing w:after="0" w:line="15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57" w:lineRule="auto"/>
        <w:tabs>
          <w:tab w:leader="none" w:pos="888" w:val="left"/>
        </w:tabs>
        <w:numPr>
          <w:ilvl w:val="2"/>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Stock by Third Party</w:t>
      </w:r>
      <w:r>
        <w:rPr>
          <w:rFonts w:ascii="Times New Roman" w:cs="Times New Roman" w:eastAsia="Times New Roman" w:hAnsi="Times New Roman"/>
          <w:sz w:val="18"/>
          <w:szCs w:val="18"/>
          <w:color w:val="auto"/>
        </w:rPr>
        <w:t>. Other than Ventoux Acquisition Holdings LLC or Chardan International Investments, LLC (the “</w:t>
      </w:r>
      <w:r>
        <w:rPr>
          <w:rFonts w:ascii="Times New Roman" w:cs="Times New Roman" w:eastAsia="Times New Roman" w:hAnsi="Times New Roman"/>
          <w:sz w:val="18"/>
          <w:szCs w:val="18"/>
          <w:b w:val="1"/>
          <w:bCs w:val="1"/>
          <w:i w:val="1"/>
          <w:iCs w:val="1"/>
          <w:color w:val="auto"/>
        </w:rPr>
        <w:t>Co-Sponsors</w:t>
      </w:r>
      <w:r>
        <w:rPr>
          <w:rFonts w:ascii="Times New Roman" w:cs="Times New Roman" w:eastAsia="Times New Roman" w:hAnsi="Times New Roman"/>
          <w:sz w:val="18"/>
          <w:szCs w:val="18"/>
          <w:color w:val="auto"/>
        </w:rPr>
        <w:t>”) or an affiliate thereof, any Person is or becomes the Beneficial Owner, directly or indirectly, of securities of the Company representing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and such acquisition would not constitute a Change in Control under part (iii) of this definition;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7" w:name="page238"/>
    <w:bookmarkEnd w:id="237"/>
    <w:p>
      <w:pPr>
        <w:jc w:val="both"/>
        <w:ind w:left="4" w:hanging="4"/>
        <w:spacing w:after="0" w:line="261" w:lineRule="auto"/>
        <w:tabs>
          <w:tab w:leader="none" w:pos="269"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Times New Roman" w:cs="Times New Roman" w:eastAsia="Times New Roman" w:hAnsi="Times New Roman"/>
          <w:sz w:val="18"/>
          <w:szCs w:val="18"/>
          <w:b w:val="1"/>
          <w:bCs w:val="1"/>
          <w:i w:val="1"/>
          <w:iCs w:val="1"/>
          <w:color w:val="auto"/>
        </w:rPr>
        <w:t>Continuing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79"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33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share exchange, asset acquisition, stock purchase, recapitalization or other similar business combination involving the Company and one or more businesses or entities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fifty-one percent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any Co-Sponsor or an affiliate thereof,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97"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336"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79"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27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w:t>
      </w:r>
    </w:p>
    <w:p>
      <w:pPr>
        <w:spacing w:after="0" w:line="38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38" w:name="page239"/>
    <w:bookmarkEnd w:id="238"/>
    <w:p>
      <w:pPr>
        <w:ind w:left="8" w:hanging="8"/>
        <w:spacing w:after="0" w:line="286" w:lineRule="auto"/>
        <w:tabs>
          <w:tab w:leader="none" w:pos="263"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Status</w:t>
      </w:r>
      <w:r>
        <w:rPr>
          <w:rFonts w:ascii="Times New Roman" w:cs="Times New Roman" w:eastAsia="Times New Roman" w:hAnsi="Times New Roman"/>
          <w:sz w:val="18"/>
          <w:szCs w:val="18"/>
          <w:color w:val="auto"/>
        </w:rPr>
        <w:t>” describes the status of a person who is or was a director, officer, trustee, general partner, manager, managing member, fiduciary, employee or agent of the Company or of any other Enterprise which such person is or was serving at the request of the Company.</w:t>
      </w:r>
    </w:p>
    <w:p>
      <w:pPr>
        <w:spacing w:after="0" w:line="154"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Delaware Court</w:t>
      </w:r>
      <w:r>
        <w:rPr>
          <w:rFonts w:ascii="Times New Roman" w:cs="Times New Roman" w:eastAsia="Times New Roman" w:hAnsi="Times New Roman"/>
          <w:sz w:val="18"/>
          <w:szCs w:val="18"/>
          <w:color w:val="auto"/>
        </w:rPr>
        <w:t>” shall mean the Court of Chancery of the State of Delaware.</w:t>
      </w:r>
    </w:p>
    <w:p>
      <w:pPr>
        <w:spacing w:after="0" w:line="225" w:lineRule="exact"/>
        <w:rPr>
          <w:rFonts w:ascii="Times New Roman" w:cs="Times New Roman" w:eastAsia="Times New Roman" w:hAnsi="Times New Roman"/>
          <w:sz w:val="18"/>
          <w:szCs w:val="18"/>
          <w:color w:val="auto"/>
        </w:rPr>
      </w:pPr>
    </w:p>
    <w:p>
      <w:pPr>
        <w:ind w:left="8" w:hanging="8"/>
        <w:spacing w:after="0" w:line="286" w:lineRule="auto"/>
        <w:tabs>
          <w:tab w:leader="none" w:pos="273"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jc w:val="both"/>
        <w:ind w:left="8" w:hanging="8"/>
        <w:spacing w:after="0" w:line="262" w:lineRule="auto"/>
        <w:tabs>
          <w:tab w:leader="none" w:pos="263"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76"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5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including reasonable compensation for time spent by the Indemnitee for which he or she is not otherwise compensated by the Company or any third party. Expenses also shall include Expenses incurred in connection with any appeal resulting from any Proceeding,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jc w:val="both"/>
        <w:ind w:left="8" w:hanging="8"/>
        <w:spacing w:after="0" w:line="257" w:lineRule="auto"/>
        <w:tabs>
          <w:tab w:leader="none" w:pos="232"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39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239" w:name="page240"/>
    <w:bookmarkEnd w:id="239"/>
    <w:p>
      <w:pPr>
        <w:jc w:val="both"/>
        <w:ind w:left="340" w:hanging="8"/>
        <w:spacing w:after="0" w:line="259" w:lineRule="auto"/>
        <w:tabs>
          <w:tab w:leader="none" w:pos="595"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Counsel</w:t>
      </w:r>
      <w:r>
        <w:rPr>
          <w:rFonts w:ascii="Times New Roman" w:cs="Times New Roman" w:eastAsia="Times New Roman" w:hAnsi="Times New Roman"/>
          <w:sz w:val="18"/>
          <w:szCs w:val="18"/>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jc w:val="both"/>
        <w:ind w:left="340" w:hanging="8"/>
        <w:spacing w:after="0" w:line="255" w:lineRule="auto"/>
        <w:tabs>
          <w:tab w:leader="none" w:pos="629"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1" w:lineRule="exact"/>
        <w:rPr>
          <w:rFonts w:ascii="Times New Roman" w:cs="Times New Roman" w:eastAsia="Times New Roman" w:hAnsi="Times New Roman"/>
          <w:sz w:val="18"/>
          <w:szCs w:val="18"/>
          <w:color w:val="auto"/>
        </w:rPr>
      </w:pPr>
    </w:p>
    <w:p>
      <w:pPr>
        <w:jc w:val="both"/>
        <w:ind w:left="340" w:hanging="8"/>
        <w:spacing w:after="0" w:line="257" w:lineRule="auto"/>
        <w:tabs>
          <w:tab w:leader="none" w:pos="564"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“Person” shall exclude: (i) the Company; (ii) any Subsidiaries of the Company; (iii) any employment benefit plan of the Company or of a Subsidiary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of the Company or of a corporation owned directly or indirectly by the stockholders of the Company in substantially the same proportions as their ownership of stock of the Company.</w:t>
      </w:r>
    </w:p>
    <w:p>
      <w:pPr>
        <w:spacing w:after="0" w:line="182"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681"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82" w:lineRule="exact"/>
        <w:rPr>
          <w:rFonts w:ascii="Times New Roman" w:cs="Times New Roman" w:eastAsia="Times New Roman" w:hAnsi="Times New Roman"/>
          <w:sz w:val="18"/>
          <w:szCs w:val="18"/>
          <w:color w:val="auto"/>
        </w:rPr>
      </w:pPr>
    </w:p>
    <w:p>
      <w:pPr>
        <w:ind w:left="340" w:hanging="8"/>
        <w:spacing w:after="0" w:line="286" w:lineRule="auto"/>
        <w:tabs>
          <w:tab w:leader="none" w:pos="599"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the Company shall indemnify, hold harmless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0" w:name="page241"/>
    <w:bookmarkEnd w:id="240"/>
    <w:p>
      <w:pPr>
        <w:jc w:val="both"/>
        <w:ind w:left="340" w:hanging="332"/>
        <w:spacing w:after="0" w:line="254" w:lineRule="auto"/>
        <w:tabs>
          <w:tab w:leader="none" w:pos="3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PROCEEDINGS BY OR IN THE RIGHT OF THE COMPANY</w:t>
      </w:r>
      <w:r>
        <w:rPr>
          <w:rFonts w:ascii="Times New Roman" w:cs="Times New Roman" w:eastAsia="Times New Roman" w:hAnsi="Times New Roman"/>
          <w:sz w:val="18"/>
          <w:szCs w:val="18"/>
          <w:color w:val="auto"/>
        </w:rPr>
        <w:t>. To the fullest extent permitted by applicable law,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of the circumstances of the case, Indemnitee is fairly and reasonably entitled to indemnification, to be held harmless or to exoneration.</w:t>
      </w:r>
    </w:p>
    <w:p>
      <w:pPr>
        <w:spacing w:after="0" w:line="18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except for Section 27, to the extent that Indemnitee was or is a party to or a participant (as a witness, deponent or otherwise)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the Indemnitee is not wholly successful in such Proceeding, the Company also shall, to the fullest extent permitted by applicable law, indemnify, hold harmless and exonerate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 Section 27,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that Indemnitee is a participant (as a witness or otherwise)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1" w:name="page242"/>
    <w:bookmarkEnd w:id="241"/>
    <w:p>
      <w:pPr>
        <w:ind w:left="340" w:hanging="332"/>
        <w:spacing w:after="0"/>
        <w:tabs>
          <w:tab w:leader="none" w:pos="3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or 5,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including an act or omission of Indemnitee not in good faith, or which involves intentional misconduct or a knowing violation of the law.</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 IN THE EVENT OF JOINT LIABILITY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8" w:lineRule="auto"/>
        <w:tabs>
          <w:tab w:leader="none" w:pos="625"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left="340" w:right="20" w:hanging="8"/>
        <w:spacing w:after="0" w:line="282" w:lineRule="auto"/>
        <w:tabs>
          <w:tab w:leader="none" w:pos="601"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7"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any indemnification, hold harmless or exoneration payment in connection with any claim made against Indemnitee:</w:t>
      </w:r>
    </w:p>
    <w:p>
      <w:pPr>
        <w:spacing w:after="0" w:line="158" w:lineRule="exact"/>
        <w:rPr>
          <w:rFonts w:ascii="Times New Roman" w:cs="Times New Roman" w:eastAsia="Times New Roman" w:hAnsi="Times New Roman"/>
          <w:sz w:val="18"/>
          <w:szCs w:val="18"/>
          <w:color w:val="auto"/>
        </w:rPr>
      </w:pPr>
    </w:p>
    <w:p>
      <w:pPr>
        <w:ind w:left="340" w:hanging="8"/>
        <w:spacing w:after="0" w:line="282" w:lineRule="auto"/>
        <w:tabs>
          <w:tab w:leader="none" w:pos="591"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95"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2" w:name="page243"/>
    <w:bookmarkEnd w:id="242"/>
    <w:p>
      <w:pPr>
        <w:jc w:val="both"/>
        <w:ind w:left="340" w:hanging="8"/>
        <w:spacing w:after="0" w:line="258" w:lineRule="auto"/>
        <w:tabs>
          <w:tab w:leader="none" w:pos="604"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5"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8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fine, penalty or limitation that is not entitled to be indemnified under this Agreement on the Indemnitee without the Indemnitee’s prior written consent.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NOTIFICATION AND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02"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promptly notify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3" w:name="page244"/>
    <w:bookmarkEnd w:id="243"/>
    <w:p>
      <w:pPr>
        <w:jc w:val="both"/>
        <w:ind w:left="340" w:hanging="8"/>
        <w:spacing w:after="0" w:line="261" w:lineRule="auto"/>
        <w:tabs>
          <w:tab w:leader="none" w:pos="628" w:val="left"/>
        </w:tabs>
        <w:numPr>
          <w:ilvl w:val="1"/>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12(a) of this Agreement.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5"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or (iii)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9" w:lineRule="exact"/>
        <w:rPr>
          <w:rFonts w:ascii="Times New Roman" w:cs="Times New Roman" w:eastAsia="Times New Roman" w:hAnsi="Times New Roman"/>
          <w:sz w:val="18"/>
          <w:szCs w:val="18"/>
          <w:color w:val="auto"/>
        </w:rPr>
      </w:pPr>
    </w:p>
    <w:p>
      <w:pPr>
        <w:jc w:val="both"/>
        <w:ind w:left="340" w:hanging="8"/>
        <w:spacing w:after="0" w:line="252" w:lineRule="auto"/>
        <w:tabs>
          <w:tab w:leader="none" w:pos="622"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set forth in Section 2(k) hereof. If the Independent Counsel is selected by the Board, the Company shall give written notice to Indemnitee advising him of the identity of the Independent Counsel so selected and certifying that the Independent Counsel so selected meets the requirements set forth in Section 2(k) hereof.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so selected meets the requirements set forth in Section 2(k) hereof,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4" w:name="page245"/>
    <w:bookmarkEnd w:id="244"/>
    <w:p>
      <w:pPr>
        <w:ind w:left="340" w:right="20" w:hanging="8"/>
        <w:spacing w:after="0" w:line="282" w:lineRule="auto"/>
        <w:tabs>
          <w:tab w:leader="none" w:pos="591"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593"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3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thirty (30) 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5" w:name="page246"/>
    <w:bookmarkEnd w:id="245"/>
    <w:p>
      <w:pPr>
        <w:jc w:val="both"/>
        <w:ind w:left="340" w:hanging="8"/>
        <w:spacing w:after="0" w:line="258" w:lineRule="auto"/>
        <w:tabs>
          <w:tab w:leader="none" w:pos="599"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3"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1"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officers or managers of the Enterprise in the course of their duties, or on the advice of legal counsel for the Enterprise, its Board, any committee of the Board or any director, officer, trustee, general partner, manager or managing member, or on information or records given or reports made to the Enterprise, its Board, any committee of the Board or any director, officer, trustee, general partner, manager or managing member, by an independent certified public accountant or by an appraiser or other expert selected by the Enterprise, its Board, any committee of the Board or any director, officer, trustee, general partner, manager or managing member.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88"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2"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this Agreement, (iv) payment of indemnification is not made pursuant to Section 5, 6, 7 or the last sentence of Section 12(a) of this Agreement within the timeline set forth in this Agreement, (v) a contribution payment is not made in a timely manner pursuant to Section 8 of this Agreement, (vi) payment of indemnification pursuant to Section 3 or 4 of this Agreement is not made within the timeline set forth in this Agreement, or (vii) payment to Indemnitee pursuant to any hold harmless or exoneration rights under this Agreement or otherwise is not made within the timeline set forth in this Agreement,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6" w:name="page247"/>
    <w:bookmarkEnd w:id="246"/>
    <w:p>
      <w:pPr>
        <w:jc w:val="both"/>
        <w:ind w:left="8" w:hanging="8"/>
        <w:spacing w:after="0" w:line="254" w:lineRule="auto"/>
        <w:tabs>
          <w:tab w:leader="none" w:pos="313"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263"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9"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302"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8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39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47" w:name="page248"/>
    <w:bookmarkEnd w:id="247"/>
    <w:p>
      <w:pPr>
        <w:jc w:val="both"/>
        <w:ind w:left="340" w:hanging="8"/>
        <w:spacing w:after="0" w:line="261" w:lineRule="auto"/>
        <w:tabs>
          <w:tab w:leader="none" w:pos="586"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Delaware law for amounts which the Company indemnifies, holds harmless or exonerates, contributes, reimburses, advances, or is obliged to indemnify, hold harmless, exonerate, contribute, reimburse or advance for the period commencing with the date on which the Indemnitee requests such indemnification, to be held harmless, exonerated, contribution, reimbursement or advancement of any Expenses and ending with the date on which such payment is made to Indemnitee by the Company.</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to the extent requested by the Indemnitee and approved by the Board,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 PRIORITY OF OBLIGATIONS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9"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6"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DGCL and the Bylaws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i w:val="1"/>
          <w:i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8" w:name="page249"/>
    <w:bookmarkEnd w:id="248"/>
    <w:p>
      <w:pPr>
        <w:jc w:val="both"/>
        <w:ind w:left="340" w:hanging="8"/>
        <w:spacing w:after="0" w:line="254" w:lineRule="auto"/>
        <w:tabs>
          <w:tab w:leader="none" w:pos="605"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01"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7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08"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the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8" w:lineRule="exact"/>
        <w:rPr>
          <w:rFonts w:ascii="Times New Roman" w:cs="Times New Roman" w:eastAsia="Times New Roman" w:hAnsi="Times New Roman"/>
          <w:sz w:val="18"/>
          <w:szCs w:val="18"/>
          <w:color w:val="auto"/>
        </w:rPr>
      </w:pPr>
    </w:p>
    <w:p>
      <w:pPr>
        <w:ind w:left="340" w:hanging="8"/>
        <w:spacing w:after="0" w:line="282" w:lineRule="auto"/>
        <w:tabs>
          <w:tab w:leader="none" w:pos="566"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any Co-Sponsor or its respective affiliates or any other Person is secondary.</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or advancement can be provided under this Agreement.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9" w:name="page250"/>
    <w:bookmarkEnd w:id="249"/>
    <w:p>
      <w:pPr>
        <w:jc w:val="both"/>
        <w:ind w:left="332" w:hanging="332"/>
        <w:spacing w:after="0" w:line="255" w:lineRule="auto"/>
        <w:tabs>
          <w:tab w:leader="none" w:pos="332"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or provisions of this Agreement shall be held to be invalid, illegal or unenforceable for any reason whatsoever: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84"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ENFORCEMENT AND BINDING EFFECT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32" w:hanging="8"/>
        <w:spacing w:after="0" w:line="266" w:lineRule="auto"/>
        <w:tabs>
          <w:tab w:leader="none" w:pos="585"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jc w:val="both"/>
        <w:ind w:left="332" w:hanging="8"/>
        <w:spacing w:after="0" w:line="266" w:lineRule="auto"/>
        <w:tabs>
          <w:tab w:leader="none" w:pos="619"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jc w:val="both"/>
        <w:ind w:left="332" w:hanging="8"/>
        <w:spacing w:after="0" w:line="256" w:lineRule="auto"/>
        <w:tabs>
          <w:tab w:leader="none" w:pos="588"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187" w:lineRule="exact"/>
        <w:rPr>
          <w:rFonts w:ascii="Times New Roman" w:cs="Times New Roman" w:eastAsia="Times New Roman" w:hAnsi="Times New Roman"/>
          <w:sz w:val="18"/>
          <w:szCs w:val="18"/>
          <w:color w:val="auto"/>
        </w:rPr>
      </w:pPr>
    </w:p>
    <w:p>
      <w:pPr>
        <w:jc w:val="both"/>
        <w:ind w:left="332" w:hanging="8"/>
        <w:spacing w:after="0" w:line="261" w:lineRule="auto"/>
        <w:tabs>
          <w:tab w:leader="none" w:pos="587"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3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250" w:name="page251"/>
    <w:bookmarkEnd w:id="250"/>
    <w:p>
      <w:pPr>
        <w:jc w:val="both"/>
        <w:ind w:left="340" w:hanging="8"/>
        <w:spacing w:after="0" w:line="254" w:lineRule="auto"/>
        <w:tabs>
          <w:tab w:leader="none" w:pos="623" w:val="left"/>
        </w:tabs>
        <w:numPr>
          <w:ilvl w:val="1"/>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Delaware Court, and the Company hereby waives any such requirement of such a bond or undertaking.</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 writing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requests, demands and other communications under this Agreement shall be in writing and shall be deemed to have been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74"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Attn: Edward Scheetz, Chief Executive Officer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1" w:name="page252"/>
    <w:bookmarkEnd w:id="251"/>
    <w:p>
      <w:pPr>
        <w:jc w:val="both"/>
        <w:ind w:left="340" w:hanging="332"/>
        <w:spacing w:after="0" w:line="254" w:lineRule="auto"/>
        <w:tabs>
          <w:tab w:leader="none" w:pos="3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 headings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 required,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undertakes to cause such act, resolution, approval or other procedure to be affected or adopted in a manner that will enable the Company to fulfill its obligations under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to the contrary contained herein, Indemnitee hereby agrees that he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 does not have any right, title, interest or claim of any kind (each,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 For purposes of clarity, Indemnitee acknowledges and agrees that no monies held in the Trust Account may be used to indemnify Indemnitee for any purpose whatsoever.</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MAINTENANCE OF INSURANCE. </w:t>
      </w:r>
      <w:r>
        <w:rPr>
          <w:rFonts w:ascii="Times New Roman" w:cs="Times New Roman" w:eastAsia="Times New Roman" w:hAnsi="Times New Roman"/>
          <w:sz w:val="18"/>
          <w:szCs w:val="18"/>
          <w:color w:val="auto"/>
        </w:rPr>
        <w:t>The Company shall use commercially reasonable efforts to obtain and maintain in effect during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signed as of the day and year first above written.</w:t>
      </w:r>
    </w:p>
    <w:p>
      <w:pPr>
        <w:spacing w:after="0" w:line="2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29"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27" w:lineRule="exact"/>
        <w:rPr>
          <w:sz w:val="20"/>
          <w:szCs w:val="20"/>
          <w:color w:val="auto"/>
        </w:rPr>
      </w:pPr>
    </w:p>
    <w:p>
      <w:pPr>
        <w:ind w:left="654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253" w:name="page254"/>
    <w:bookmarkEnd w:id="253"/>
    <w:p>
      <w:pPr>
        <w:ind w:left="564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jc w:val="right"/>
        <w:ind w:right="1539"/>
        <w:spacing w:after="0"/>
        <w:tabs>
          <w:tab w:leader="none" w:pos="1380" w:val="left"/>
        </w:tabs>
        <w:rPr>
          <w:sz w:val="20"/>
          <w:szCs w:val="20"/>
          <w:color w:val="auto"/>
        </w:rPr>
      </w:pPr>
      <w:r>
        <w:rPr>
          <w:rFonts w:ascii="Times New Roman" w:cs="Times New Roman" w:eastAsia="Times New Roman" w:hAnsi="Times New Roman"/>
          <w:sz w:val="18"/>
          <w:szCs w:val="18"/>
          <w:color w:val="auto"/>
        </w:rPr>
        <w:t>By:</w:t>
        <w:tab/>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Jonas Grossman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54" w:name="page255"/>
    <w:bookmarkEnd w:id="254"/>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INDEMNITY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December 23, 2020, by and between Ventoux CCM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Bernard Van der Lande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 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and the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of the Company require indemnification of the officers and directors of the Company. Indemnitee may also be entitled to indemnification pursuant to applicable provisions of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stockholders and that the Company should act to assure such persons that there will be increased certainty of such protection in the future.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5" w:name="page256"/>
    <w:bookmarkEnd w:id="255"/>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Charter and Bylaws of the Company and any resolutions adopted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thereto, and shall not be deemed a substitute therefor, nor to diminish or abrogate any rights of Indemnitee thereunder.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or director without adequate protection, and the Company desires Indemnitee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in such capacity. Indemnitee is willing to serve, continue to serve and to take on additional service for or on behalf of the Company on the condition that he or she be so indemnified.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covenants contained herein, the Company and Indemnitee do hereby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25" w:lineRule="exact"/>
        <w:rPr>
          <w:sz w:val="20"/>
          <w:szCs w:val="20"/>
          <w:color w:val="auto"/>
        </w:rPr>
      </w:pPr>
    </w:p>
    <w:p>
      <w:pPr>
        <w:jc w:val="both"/>
        <w:ind w:left="340" w:hanging="332"/>
        <w:spacing w:after="0" w:line="257" w:lineRule="auto"/>
        <w:tabs>
          <w:tab w:leader="none" w:pos="3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SERVICES TO THE COMPANY</w:t>
      </w:r>
      <w:r>
        <w:rPr>
          <w:rFonts w:ascii="Times New Roman" w:cs="Times New Roman" w:eastAsia="Times New Roman" w:hAnsi="Times New Roman"/>
          <w:sz w:val="18"/>
          <w:szCs w:val="18"/>
          <w:color w:val="auto"/>
        </w:rPr>
        <w:t>. Indemnitee will serve or continue to serve as an officer, director, advisor, key employee or in any other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as applicable, for so long as Indemnitee is duly elected, appointed or retained or until Indemnitee tenders his or her resignation, or is removed or dies. The foregoing notwithstanding, this Agreement shall continue in full force and effect after Indemnitee has ceased to serve as an officer, director,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8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2" w:lineRule="auto"/>
        <w:tabs>
          <w:tab w:leader="none" w:pos="598"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6" w:lineRule="exact"/>
        <w:rPr>
          <w:rFonts w:ascii="Times New Roman" w:cs="Times New Roman" w:eastAsia="Times New Roman" w:hAnsi="Times New Roman"/>
          <w:sz w:val="18"/>
          <w:szCs w:val="18"/>
          <w:color w:val="auto"/>
        </w:rPr>
      </w:pPr>
    </w:p>
    <w:p>
      <w:pPr>
        <w:ind w:left="340" w:right="20" w:hanging="8"/>
        <w:spacing w:after="0" w:line="286" w:lineRule="auto"/>
        <w:tabs>
          <w:tab w:leader="none" w:pos="599"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in effect on the date hereof.</w:t>
      </w:r>
    </w:p>
    <w:p>
      <w:pPr>
        <w:spacing w:after="0" w:line="15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57" w:lineRule="auto"/>
        <w:tabs>
          <w:tab w:leader="none" w:pos="888" w:val="left"/>
        </w:tabs>
        <w:numPr>
          <w:ilvl w:val="2"/>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Stock by Third Party</w:t>
      </w:r>
      <w:r>
        <w:rPr>
          <w:rFonts w:ascii="Times New Roman" w:cs="Times New Roman" w:eastAsia="Times New Roman" w:hAnsi="Times New Roman"/>
          <w:sz w:val="18"/>
          <w:szCs w:val="18"/>
          <w:color w:val="auto"/>
        </w:rPr>
        <w:t>. Other than Ventoux Acquisition Holdings LLC or Chardan International Investments, LLC (the “</w:t>
      </w:r>
      <w:r>
        <w:rPr>
          <w:rFonts w:ascii="Times New Roman" w:cs="Times New Roman" w:eastAsia="Times New Roman" w:hAnsi="Times New Roman"/>
          <w:sz w:val="18"/>
          <w:szCs w:val="18"/>
          <w:b w:val="1"/>
          <w:bCs w:val="1"/>
          <w:i w:val="1"/>
          <w:iCs w:val="1"/>
          <w:color w:val="auto"/>
        </w:rPr>
        <w:t>Co-Sponsors</w:t>
      </w:r>
      <w:r>
        <w:rPr>
          <w:rFonts w:ascii="Times New Roman" w:cs="Times New Roman" w:eastAsia="Times New Roman" w:hAnsi="Times New Roman"/>
          <w:sz w:val="18"/>
          <w:szCs w:val="18"/>
          <w:color w:val="auto"/>
        </w:rPr>
        <w:t>”) or an affiliate thereof, any Person is or becomes the Beneficial Owner, directly or indirectly, of securities of the Company representing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and such acquisition would not constitute a Change in Control under part (iii) of this definition;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6" w:name="page257"/>
    <w:bookmarkEnd w:id="256"/>
    <w:p>
      <w:pPr>
        <w:jc w:val="both"/>
        <w:ind w:left="4" w:hanging="4"/>
        <w:spacing w:after="0" w:line="261" w:lineRule="auto"/>
        <w:tabs>
          <w:tab w:leader="none" w:pos="269"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Times New Roman" w:cs="Times New Roman" w:eastAsia="Times New Roman" w:hAnsi="Times New Roman"/>
          <w:sz w:val="18"/>
          <w:szCs w:val="18"/>
          <w:b w:val="1"/>
          <w:bCs w:val="1"/>
          <w:i w:val="1"/>
          <w:iCs w:val="1"/>
          <w:color w:val="auto"/>
        </w:rPr>
        <w:t>Continuing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79"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332"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share exchange, asset acquisition, stock purchase, recapitalization or other similar business combination involving the Company and one or more businesses or entities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fifty-one percent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any Co-Sponsor or an affiliate thereof,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97"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33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79"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272"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w:t>
      </w:r>
    </w:p>
    <w:p>
      <w:pPr>
        <w:spacing w:after="0" w:line="38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57" w:name="page258"/>
    <w:bookmarkEnd w:id="257"/>
    <w:p>
      <w:pPr>
        <w:ind w:left="8" w:hanging="8"/>
        <w:spacing w:after="0" w:line="286" w:lineRule="auto"/>
        <w:tabs>
          <w:tab w:leader="none" w:pos="263"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Status</w:t>
      </w:r>
      <w:r>
        <w:rPr>
          <w:rFonts w:ascii="Times New Roman" w:cs="Times New Roman" w:eastAsia="Times New Roman" w:hAnsi="Times New Roman"/>
          <w:sz w:val="18"/>
          <w:szCs w:val="18"/>
          <w:color w:val="auto"/>
        </w:rPr>
        <w:t>” describes the status of a person who is or was a director, officer, trustee, general partner, manager, managing member, fiduciary, employee or agent of the Company or of any other Enterprise which such person is or was serving at the request of the Company.</w:t>
      </w:r>
    </w:p>
    <w:p>
      <w:pPr>
        <w:spacing w:after="0" w:line="154"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Delaware Court</w:t>
      </w:r>
      <w:r>
        <w:rPr>
          <w:rFonts w:ascii="Times New Roman" w:cs="Times New Roman" w:eastAsia="Times New Roman" w:hAnsi="Times New Roman"/>
          <w:sz w:val="18"/>
          <w:szCs w:val="18"/>
          <w:color w:val="auto"/>
        </w:rPr>
        <w:t>” shall mean the Court of Chancery of the State of Delaware.</w:t>
      </w:r>
    </w:p>
    <w:p>
      <w:pPr>
        <w:spacing w:after="0" w:line="225" w:lineRule="exact"/>
        <w:rPr>
          <w:rFonts w:ascii="Times New Roman" w:cs="Times New Roman" w:eastAsia="Times New Roman" w:hAnsi="Times New Roman"/>
          <w:sz w:val="18"/>
          <w:szCs w:val="18"/>
          <w:color w:val="auto"/>
        </w:rPr>
      </w:pPr>
    </w:p>
    <w:p>
      <w:pPr>
        <w:ind w:left="8" w:hanging="8"/>
        <w:spacing w:after="0" w:line="286" w:lineRule="auto"/>
        <w:tabs>
          <w:tab w:leader="none" w:pos="273"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jc w:val="both"/>
        <w:ind w:left="8" w:hanging="8"/>
        <w:spacing w:after="0" w:line="262" w:lineRule="auto"/>
        <w:tabs>
          <w:tab w:leader="none" w:pos="263"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76"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5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including reasonable compensation for time spent by the Indemnitee for which he or she is not otherwise compensated by the Company or any third party. Expenses also shall include Expenses incurred in connection with any appeal resulting from any Proceeding,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jc w:val="both"/>
        <w:ind w:left="8" w:hanging="8"/>
        <w:spacing w:after="0" w:line="257" w:lineRule="auto"/>
        <w:tabs>
          <w:tab w:leader="none" w:pos="232"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39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258" w:name="page259"/>
    <w:bookmarkEnd w:id="258"/>
    <w:p>
      <w:pPr>
        <w:jc w:val="both"/>
        <w:ind w:left="340" w:hanging="8"/>
        <w:spacing w:after="0" w:line="259" w:lineRule="auto"/>
        <w:tabs>
          <w:tab w:leader="none" w:pos="595"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Counsel</w:t>
      </w:r>
      <w:r>
        <w:rPr>
          <w:rFonts w:ascii="Times New Roman" w:cs="Times New Roman" w:eastAsia="Times New Roman" w:hAnsi="Times New Roman"/>
          <w:sz w:val="18"/>
          <w:szCs w:val="18"/>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jc w:val="both"/>
        <w:ind w:left="340" w:hanging="8"/>
        <w:spacing w:after="0" w:line="255" w:lineRule="auto"/>
        <w:tabs>
          <w:tab w:leader="none" w:pos="629"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1" w:lineRule="exact"/>
        <w:rPr>
          <w:rFonts w:ascii="Times New Roman" w:cs="Times New Roman" w:eastAsia="Times New Roman" w:hAnsi="Times New Roman"/>
          <w:sz w:val="18"/>
          <w:szCs w:val="18"/>
          <w:color w:val="auto"/>
        </w:rPr>
      </w:pPr>
    </w:p>
    <w:p>
      <w:pPr>
        <w:jc w:val="both"/>
        <w:ind w:left="340" w:hanging="8"/>
        <w:spacing w:after="0" w:line="257" w:lineRule="auto"/>
        <w:tabs>
          <w:tab w:leader="none" w:pos="564"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“Person” shall exclude: (i) the Company; (ii) any Subsidiaries of the Company; (iii) any employment benefit plan of the Company or of a Subsidiary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of the Company or of a corporation owned directly or indirectly by the stockholders of the Company in substantially the same proportions as their ownership of stock of the Company.</w:t>
      </w:r>
    </w:p>
    <w:p>
      <w:pPr>
        <w:spacing w:after="0" w:line="182"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681"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82" w:lineRule="exact"/>
        <w:rPr>
          <w:rFonts w:ascii="Times New Roman" w:cs="Times New Roman" w:eastAsia="Times New Roman" w:hAnsi="Times New Roman"/>
          <w:sz w:val="18"/>
          <w:szCs w:val="18"/>
          <w:color w:val="auto"/>
        </w:rPr>
      </w:pPr>
    </w:p>
    <w:p>
      <w:pPr>
        <w:ind w:left="340" w:hanging="8"/>
        <w:spacing w:after="0" w:line="286" w:lineRule="auto"/>
        <w:tabs>
          <w:tab w:leader="none" w:pos="599"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the Company shall indemnify, hold harmless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9" w:name="page260"/>
    <w:bookmarkEnd w:id="259"/>
    <w:p>
      <w:pPr>
        <w:jc w:val="both"/>
        <w:ind w:left="340" w:hanging="332"/>
        <w:spacing w:after="0" w:line="254" w:lineRule="auto"/>
        <w:tabs>
          <w:tab w:leader="none" w:pos="3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PROCEEDINGS BY OR IN THE RIGHT OF THE COMPANY</w:t>
      </w:r>
      <w:r>
        <w:rPr>
          <w:rFonts w:ascii="Times New Roman" w:cs="Times New Roman" w:eastAsia="Times New Roman" w:hAnsi="Times New Roman"/>
          <w:sz w:val="18"/>
          <w:szCs w:val="18"/>
          <w:color w:val="auto"/>
        </w:rPr>
        <w:t>. To the fullest extent permitted by applicable law,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of the circumstances of the case, Indemnitee is fairly and reasonably entitled to indemnification, to be held harmless or to exoneration.</w:t>
      </w:r>
    </w:p>
    <w:p>
      <w:pPr>
        <w:spacing w:after="0" w:line="18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except for Section 27, to the extent that Indemnitee was or is a party to or a participant (as a witness, deponent or otherwise)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the Indemnitee is not wholly successful in such Proceeding, the Company also shall, to the fullest extent permitted by applicable law, indemnify, hold harmless and exonerate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 Section 27,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that Indemnitee is a participant (as a witness or otherwise)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0" w:name="page261"/>
    <w:bookmarkEnd w:id="260"/>
    <w:p>
      <w:pPr>
        <w:ind w:left="340" w:hanging="332"/>
        <w:spacing w:after="0"/>
        <w:tabs>
          <w:tab w:leader="none" w:pos="34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or 5,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including an act or omission of Indemnitee not in good faith, or which involves intentional misconduct or a knowing violation of the law.</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 IN THE EVENT OF JOINT LIABILITY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8" w:lineRule="auto"/>
        <w:tabs>
          <w:tab w:leader="none" w:pos="625"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left="340" w:right="20" w:hanging="8"/>
        <w:spacing w:after="0" w:line="282" w:lineRule="auto"/>
        <w:tabs>
          <w:tab w:leader="none" w:pos="601"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7"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any indemnification, hold harmless or exoneration payment in connection with any claim made against Indemnitee:</w:t>
      </w:r>
    </w:p>
    <w:p>
      <w:pPr>
        <w:spacing w:after="0" w:line="158" w:lineRule="exact"/>
        <w:rPr>
          <w:rFonts w:ascii="Times New Roman" w:cs="Times New Roman" w:eastAsia="Times New Roman" w:hAnsi="Times New Roman"/>
          <w:sz w:val="18"/>
          <w:szCs w:val="18"/>
          <w:color w:val="auto"/>
        </w:rPr>
      </w:pPr>
    </w:p>
    <w:p>
      <w:pPr>
        <w:ind w:left="340" w:hanging="8"/>
        <w:spacing w:after="0" w:line="282" w:lineRule="auto"/>
        <w:tabs>
          <w:tab w:leader="none" w:pos="591"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95"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1" w:name="page262"/>
    <w:bookmarkEnd w:id="261"/>
    <w:p>
      <w:pPr>
        <w:jc w:val="both"/>
        <w:ind w:left="340" w:hanging="8"/>
        <w:spacing w:after="0" w:line="258" w:lineRule="auto"/>
        <w:tabs>
          <w:tab w:leader="none" w:pos="604"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5"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8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fine, penalty or limitation that is not entitled to be indemnified under this Agreement on the Indemnitee without the Indemnitee’s prior written consent.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NOTIFICATION AND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02"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promptly notify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2" w:name="page263"/>
    <w:bookmarkEnd w:id="262"/>
    <w:p>
      <w:pPr>
        <w:jc w:val="both"/>
        <w:ind w:left="340" w:hanging="8"/>
        <w:spacing w:after="0" w:line="261" w:lineRule="auto"/>
        <w:tabs>
          <w:tab w:leader="none" w:pos="628"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12(a) of this Agreement.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5"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or (iii)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9" w:lineRule="exact"/>
        <w:rPr>
          <w:rFonts w:ascii="Times New Roman" w:cs="Times New Roman" w:eastAsia="Times New Roman" w:hAnsi="Times New Roman"/>
          <w:sz w:val="18"/>
          <w:szCs w:val="18"/>
          <w:color w:val="auto"/>
        </w:rPr>
      </w:pPr>
    </w:p>
    <w:p>
      <w:pPr>
        <w:jc w:val="both"/>
        <w:ind w:left="340" w:hanging="8"/>
        <w:spacing w:after="0" w:line="252" w:lineRule="auto"/>
        <w:tabs>
          <w:tab w:leader="none" w:pos="622"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set forth in Section 2(k) hereof. If the Independent Counsel is selected by the Board, the Company shall give written notice to Indemnitee advising him of the identity of the Independent Counsel so selected and certifying that the Independent Counsel so selected meets the requirements set forth in Section 2(k) hereof.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so selected meets the requirements set forth in Section 2(k) hereof,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3" w:name="page264"/>
    <w:bookmarkEnd w:id="263"/>
    <w:p>
      <w:pPr>
        <w:ind w:left="340" w:right="20" w:hanging="8"/>
        <w:spacing w:after="0" w:line="282" w:lineRule="auto"/>
        <w:tabs>
          <w:tab w:leader="none" w:pos="591"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593"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30"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thirty (30) 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4" w:name="page265"/>
    <w:bookmarkEnd w:id="264"/>
    <w:p>
      <w:pPr>
        <w:jc w:val="both"/>
        <w:ind w:left="340" w:hanging="8"/>
        <w:spacing w:after="0" w:line="258" w:lineRule="auto"/>
        <w:tabs>
          <w:tab w:leader="none" w:pos="599"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3"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1"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officers or managers of the Enterprise in the course of their duties, or on the advice of legal counsel for the Enterprise, its Board, any committee of the Board or any director, officer, trustee, general partner, manager or managing member, or on information or records given or reports made to the Enterprise, its Board, any committee of the Board or any director, officer, trustee, general partner, manager or managing member, by an independent certified public accountant or by an appraiser or other expert selected by the Enterprise, its Board, any committee of the Board or any director, officer, trustee, general partner, manager or managing member.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88"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5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2"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this Agreement, (iv) payment of indemnification is not made pursuant to Section 5, 6, 7 or the last sentence of Section 12(a) of this Agreement within the timeline set forth in this Agreement, (v) a contribution payment is not made in a timely manner pursuant to Section 8 of this Agreement, (vi) payment of indemnification pursuant to Section 3 or 4 of this Agreement is not made within the timeline set forth in this Agreement, or (vii) payment to Indemnitee pursuant to any hold harmless or exoneration rights under this Agreement or otherwise is not made within the timeline set forth in this Agreement,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5" w:name="page266"/>
    <w:bookmarkEnd w:id="265"/>
    <w:p>
      <w:pPr>
        <w:jc w:val="both"/>
        <w:ind w:left="8" w:hanging="8"/>
        <w:spacing w:after="0" w:line="254" w:lineRule="auto"/>
        <w:tabs>
          <w:tab w:leader="none" w:pos="313"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263"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9"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302"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8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39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66" w:name="page267"/>
    <w:bookmarkEnd w:id="266"/>
    <w:p>
      <w:pPr>
        <w:jc w:val="both"/>
        <w:ind w:left="340" w:hanging="8"/>
        <w:spacing w:after="0" w:line="261" w:lineRule="auto"/>
        <w:tabs>
          <w:tab w:leader="none" w:pos="586"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Delaware law for amounts which the Company indemnifies, holds harmless or exonerates, contributes, reimburses, advances, or is obliged to indemnify, hold harmless, exonerate, contribute, reimburse or advance for the period commencing with the date on which the Indemnitee requests such indemnification, to be held harmless, exonerated, contribution, reimbursement or advancement of any Expenses and ending with the date on which such payment is made to Indemnitee by the Company.</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to the extent requested by the Indemnitee and approved by the Board,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 ; PRIORITY OF OBLIGATIONS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9"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6"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DGCL and the Bylaws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i w:val="1"/>
          <w:i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7" w:name="page268"/>
    <w:bookmarkEnd w:id="267"/>
    <w:p>
      <w:pPr>
        <w:jc w:val="both"/>
        <w:ind w:left="340" w:hanging="8"/>
        <w:spacing w:after="0" w:line="254" w:lineRule="auto"/>
        <w:tabs>
          <w:tab w:leader="none" w:pos="605"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01"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7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08"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the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8" w:lineRule="exact"/>
        <w:rPr>
          <w:rFonts w:ascii="Times New Roman" w:cs="Times New Roman" w:eastAsia="Times New Roman" w:hAnsi="Times New Roman"/>
          <w:sz w:val="18"/>
          <w:szCs w:val="18"/>
          <w:color w:val="auto"/>
        </w:rPr>
      </w:pPr>
    </w:p>
    <w:p>
      <w:pPr>
        <w:ind w:left="340" w:hanging="8"/>
        <w:spacing w:after="0" w:line="282" w:lineRule="auto"/>
        <w:tabs>
          <w:tab w:leader="none" w:pos="566"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any Co-Sponsor or its respective affiliates or any other Person is secondary.</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or advancement can be provided under this Agreement.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8" w:name="page269"/>
    <w:bookmarkEnd w:id="268"/>
    <w:p>
      <w:pPr>
        <w:jc w:val="both"/>
        <w:ind w:left="332" w:hanging="332"/>
        <w:spacing w:after="0" w:line="255" w:lineRule="auto"/>
        <w:tabs>
          <w:tab w:leader="none" w:pos="332"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or provisions of this Agreement shall be held to be invalid, illegal or unenforceable for any reason whatsoever: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84"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ENFORCEMENT AND BINDING EFFECT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32" w:hanging="8"/>
        <w:spacing w:after="0" w:line="266" w:lineRule="auto"/>
        <w:tabs>
          <w:tab w:leader="none" w:pos="585"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jc w:val="both"/>
        <w:ind w:left="332" w:hanging="8"/>
        <w:spacing w:after="0" w:line="266" w:lineRule="auto"/>
        <w:tabs>
          <w:tab w:leader="none" w:pos="619"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jc w:val="both"/>
        <w:ind w:left="332" w:hanging="8"/>
        <w:spacing w:after="0" w:line="256" w:lineRule="auto"/>
        <w:tabs>
          <w:tab w:leader="none" w:pos="588"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187" w:lineRule="exact"/>
        <w:rPr>
          <w:rFonts w:ascii="Times New Roman" w:cs="Times New Roman" w:eastAsia="Times New Roman" w:hAnsi="Times New Roman"/>
          <w:sz w:val="18"/>
          <w:szCs w:val="18"/>
          <w:color w:val="auto"/>
        </w:rPr>
      </w:pPr>
    </w:p>
    <w:p>
      <w:pPr>
        <w:jc w:val="both"/>
        <w:ind w:left="332" w:hanging="8"/>
        <w:spacing w:after="0" w:line="261" w:lineRule="auto"/>
        <w:tabs>
          <w:tab w:leader="none" w:pos="587"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3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269" w:name="page270"/>
    <w:bookmarkEnd w:id="269"/>
    <w:p>
      <w:pPr>
        <w:jc w:val="both"/>
        <w:ind w:left="340" w:hanging="8"/>
        <w:spacing w:after="0" w:line="254" w:lineRule="auto"/>
        <w:tabs>
          <w:tab w:leader="none" w:pos="623"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Delaware Court, and the Company hereby waives any such requirement of such a bond or undertaking.</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 writing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requests, demands and other communications under this Agreement shall be in writing and shall be deemed to have been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74"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Attn: Edward Scheetz, Chief Executive Officer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0" w:name="page271"/>
    <w:bookmarkEnd w:id="270"/>
    <w:p>
      <w:pPr>
        <w:jc w:val="both"/>
        <w:ind w:left="340" w:hanging="332"/>
        <w:spacing w:after="0" w:line="254" w:lineRule="auto"/>
        <w:tabs>
          <w:tab w:leader="none" w:pos="34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 headings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 required,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undertakes to cause such act, resolution, approval or other procedure to be affected or adopted in a manner that will enable the Company to fulfill its obligations under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to the contrary contained herein, Indemnitee hereby agrees that he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 does not have any right, title, interest or claim of any kind (each,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 For purposes of clarity, Indemnitee acknowledges and agrees that no monies held in the Trust Account may be used to indemnify Indemnitee for any purpose whatsoever.</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MAINTENANCE OF INSURANCE. </w:t>
      </w:r>
      <w:r>
        <w:rPr>
          <w:rFonts w:ascii="Times New Roman" w:cs="Times New Roman" w:eastAsia="Times New Roman" w:hAnsi="Times New Roman"/>
          <w:sz w:val="18"/>
          <w:szCs w:val="18"/>
          <w:color w:val="auto"/>
        </w:rPr>
        <w:t>The Company shall use commercially reasonable efforts to obtain and maintain in effect during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signed as of the day and year first above written.</w:t>
      </w:r>
    </w:p>
    <w:p>
      <w:pPr>
        <w:spacing w:after="0" w:line="2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29"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27" w:lineRule="exact"/>
        <w:rPr>
          <w:sz w:val="20"/>
          <w:szCs w:val="20"/>
          <w:color w:val="auto"/>
        </w:rPr>
      </w:pPr>
    </w:p>
    <w:p>
      <w:pPr>
        <w:ind w:left="654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272" w:name="page273"/>
    <w:bookmarkEnd w:id="272"/>
    <w:p>
      <w:pPr>
        <w:ind w:left="564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jc w:val="right"/>
        <w:ind w:right="1039"/>
        <w:spacing w:after="0"/>
        <w:tabs>
          <w:tab w:leader="none" w:pos="18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Bernard Van der Lande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Bernard Van der Lande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470535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73" w:name="page274"/>
    <w:bookmarkEnd w:id="273"/>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INDEMNITY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December 23, 2020, by and between Ventoux CCM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Woodrow H. Levin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 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and the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of the Company require indemnification of the officers and directors of the Company. Indemnitee may also be entitled to indemnification pursuant to applicable provisions of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stockholders and that the Company should act to assure such persons that there will be increased certainty of such protection in the future.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74" w:name="page275"/>
    <w:bookmarkEnd w:id="274"/>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Charter and Bylaws of the Company and any resolutions adopted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thereto, and shall not be deemed a substitute therefor, nor to diminish or abrogate any rights of Indemnitee thereunder.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or director without adequate protection, and the Company desires Indemnitee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in such capacity. Indemnitee is willing to serve, continue to serve and to take on additional service for or on behalf of the Company on the condition that he or she be so indemnified.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covenants contained herein, the Company and Indemnitee do hereby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25" w:lineRule="exact"/>
        <w:rPr>
          <w:sz w:val="20"/>
          <w:szCs w:val="20"/>
          <w:color w:val="auto"/>
        </w:rPr>
      </w:pPr>
    </w:p>
    <w:p>
      <w:pPr>
        <w:jc w:val="both"/>
        <w:ind w:left="340" w:hanging="332"/>
        <w:spacing w:after="0" w:line="257" w:lineRule="auto"/>
        <w:tabs>
          <w:tab w:leader="none" w:pos="3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SERVICES TO THE COMPANY</w:t>
      </w:r>
      <w:r>
        <w:rPr>
          <w:rFonts w:ascii="Times New Roman" w:cs="Times New Roman" w:eastAsia="Times New Roman" w:hAnsi="Times New Roman"/>
          <w:sz w:val="18"/>
          <w:szCs w:val="18"/>
          <w:color w:val="auto"/>
        </w:rPr>
        <w:t>. Indemnitee will serve or continue to serve as an officer, director, advisor, key employee or in any other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as applicable, for so long as Indemnitee is duly elected, appointed or retained or until Indemnitee tenders his or her resignation, or is removed or dies. The foregoing notwithstanding, this Agreement shall continue in full force and effect after Indemnitee has ceased to serve as an officer, director,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8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2" w:lineRule="auto"/>
        <w:tabs>
          <w:tab w:leader="none" w:pos="598"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6" w:lineRule="exact"/>
        <w:rPr>
          <w:rFonts w:ascii="Times New Roman" w:cs="Times New Roman" w:eastAsia="Times New Roman" w:hAnsi="Times New Roman"/>
          <w:sz w:val="18"/>
          <w:szCs w:val="18"/>
          <w:color w:val="auto"/>
        </w:rPr>
      </w:pPr>
    </w:p>
    <w:p>
      <w:pPr>
        <w:ind w:left="340" w:right="20" w:hanging="8"/>
        <w:spacing w:after="0" w:line="286" w:lineRule="auto"/>
        <w:tabs>
          <w:tab w:leader="none" w:pos="599"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in effect on the date hereof.</w:t>
      </w:r>
    </w:p>
    <w:p>
      <w:pPr>
        <w:spacing w:after="0" w:line="15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57" w:lineRule="auto"/>
        <w:tabs>
          <w:tab w:leader="none" w:pos="888" w:val="left"/>
        </w:tabs>
        <w:numPr>
          <w:ilvl w:val="2"/>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Stock by Third Party</w:t>
      </w:r>
      <w:r>
        <w:rPr>
          <w:rFonts w:ascii="Times New Roman" w:cs="Times New Roman" w:eastAsia="Times New Roman" w:hAnsi="Times New Roman"/>
          <w:sz w:val="18"/>
          <w:szCs w:val="18"/>
          <w:color w:val="auto"/>
        </w:rPr>
        <w:t>. Other than Ventoux Acquisition Holdings LLC or Chardan International Investments, LLC (the “</w:t>
      </w:r>
      <w:r>
        <w:rPr>
          <w:rFonts w:ascii="Times New Roman" w:cs="Times New Roman" w:eastAsia="Times New Roman" w:hAnsi="Times New Roman"/>
          <w:sz w:val="18"/>
          <w:szCs w:val="18"/>
          <w:b w:val="1"/>
          <w:bCs w:val="1"/>
          <w:i w:val="1"/>
          <w:iCs w:val="1"/>
          <w:color w:val="auto"/>
        </w:rPr>
        <w:t>Co-Sponsors</w:t>
      </w:r>
      <w:r>
        <w:rPr>
          <w:rFonts w:ascii="Times New Roman" w:cs="Times New Roman" w:eastAsia="Times New Roman" w:hAnsi="Times New Roman"/>
          <w:sz w:val="18"/>
          <w:szCs w:val="18"/>
          <w:color w:val="auto"/>
        </w:rPr>
        <w:t>”) or an affiliate thereof, any Person is or becomes the Beneficial Owner, directly or indirectly, of securities of the Company representing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and such acquisition would not constitute a Change in Control under part (iii) of this definition;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5" w:name="page276"/>
    <w:bookmarkEnd w:id="275"/>
    <w:p>
      <w:pPr>
        <w:jc w:val="both"/>
        <w:ind w:left="4" w:hanging="4"/>
        <w:spacing w:after="0" w:line="261" w:lineRule="auto"/>
        <w:tabs>
          <w:tab w:leader="none" w:pos="26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Times New Roman" w:cs="Times New Roman" w:eastAsia="Times New Roman" w:hAnsi="Times New Roman"/>
          <w:sz w:val="18"/>
          <w:szCs w:val="18"/>
          <w:b w:val="1"/>
          <w:bCs w:val="1"/>
          <w:i w:val="1"/>
          <w:iCs w:val="1"/>
          <w:color w:val="auto"/>
        </w:rPr>
        <w:t>Continuing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79"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332"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share exchange, asset acquisition, stock purchase, recapitalization or other similar business combination involving the Company and one or more businesses or entities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fifty-one percent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any Co-Sponsor or an affiliate thereof,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97"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33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79"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272"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w:t>
      </w:r>
    </w:p>
    <w:p>
      <w:pPr>
        <w:spacing w:after="0" w:line="38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76" w:name="page277"/>
    <w:bookmarkEnd w:id="276"/>
    <w:p>
      <w:pPr>
        <w:ind w:left="8" w:hanging="8"/>
        <w:spacing w:after="0" w:line="286" w:lineRule="auto"/>
        <w:tabs>
          <w:tab w:leader="none" w:pos="263"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Status</w:t>
      </w:r>
      <w:r>
        <w:rPr>
          <w:rFonts w:ascii="Times New Roman" w:cs="Times New Roman" w:eastAsia="Times New Roman" w:hAnsi="Times New Roman"/>
          <w:sz w:val="18"/>
          <w:szCs w:val="18"/>
          <w:color w:val="auto"/>
        </w:rPr>
        <w:t>” describes the status of a person who is or was a director, officer, trustee, general partner, manager, managing member, fiduciary, employee or agent of the Company or of any other Enterprise which such person is or was serving at the request of the Company.</w:t>
      </w:r>
    </w:p>
    <w:p>
      <w:pPr>
        <w:spacing w:after="0" w:line="154"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Delaware Court</w:t>
      </w:r>
      <w:r>
        <w:rPr>
          <w:rFonts w:ascii="Times New Roman" w:cs="Times New Roman" w:eastAsia="Times New Roman" w:hAnsi="Times New Roman"/>
          <w:sz w:val="18"/>
          <w:szCs w:val="18"/>
          <w:color w:val="auto"/>
        </w:rPr>
        <w:t>” shall mean the Court of Chancery of the State of Delaware.</w:t>
      </w:r>
    </w:p>
    <w:p>
      <w:pPr>
        <w:spacing w:after="0" w:line="225" w:lineRule="exact"/>
        <w:rPr>
          <w:rFonts w:ascii="Times New Roman" w:cs="Times New Roman" w:eastAsia="Times New Roman" w:hAnsi="Times New Roman"/>
          <w:sz w:val="18"/>
          <w:szCs w:val="18"/>
          <w:color w:val="auto"/>
        </w:rPr>
      </w:pPr>
    </w:p>
    <w:p>
      <w:pPr>
        <w:ind w:left="8" w:hanging="8"/>
        <w:spacing w:after="0" w:line="286" w:lineRule="auto"/>
        <w:tabs>
          <w:tab w:leader="none" w:pos="273"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jc w:val="both"/>
        <w:ind w:left="8" w:hanging="8"/>
        <w:spacing w:after="0" w:line="262" w:lineRule="auto"/>
        <w:tabs>
          <w:tab w:leader="none" w:pos="263"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76"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5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including reasonable compensation for time spent by the Indemnitee for which he or she is not otherwise compensated by the Company or any third party. Expenses also shall include Expenses incurred in connection with any appeal resulting from any Proceeding,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jc w:val="both"/>
        <w:ind w:left="8" w:hanging="8"/>
        <w:spacing w:after="0" w:line="257" w:lineRule="auto"/>
        <w:tabs>
          <w:tab w:leader="none" w:pos="232"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39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277" w:name="page278"/>
    <w:bookmarkEnd w:id="277"/>
    <w:p>
      <w:pPr>
        <w:jc w:val="both"/>
        <w:ind w:left="340" w:hanging="8"/>
        <w:spacing w:after="0" w:line="259" w:lineRule="auto"/>
        <w:tabs>
          <w:tab w:leader="none" w:pos="595"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Counsel</w:t>
      </w:r>
      <w:r>
        <w:rPr>
          <w:rFonts w:ascii="Times New Roman" w:cs="Times New Roman" w:eastAsia="Times New Roman" w:hAnsi="Times New Roman"/>
          <w:sz w:val="18"/>
          <w:szCs w:val="18"/>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jc w:val="both"/>
        <w:ind w:left="340" w:hanging="8"/>
        <w:spacing w:after="0" w:line="255" w:lineRule="auto"/>
        <w:tabs>
          <w:tab w:leader="none" w:pos="629"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1" w:lineRule="exact"/>
        <w:rPr>
          <w:rFonts w:ascii="Times New Roman" w:cs="Times New Roman" w:eastAsia="Times New Roman" w:hAnsi="Times New Roman"/>
          <w:sz w:val="18"/>
          <w:szCs w:val="18"/>
          <w:color w:val="auto"/>
        </w:rPr>
      </w:pPr>
    </w:p>
    <w:p>
      <w:pPr>
        <w:jc w:val="both"/>
        <w:ind w:left="340" w:hanging="8"/>
        <w:spacing w:after="0" w:line="257" w:lineRule="auto"/>
        <w:tabs>
          <w:tab w:leader="none" w:pos="564"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“Person” shall exclude: (i) the Company; (ii) any Subsidiaries of the Company; (iii) any employment benefit plan of the Company or of a Subsidiary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of the Company or of a corporation owned directly or indirectly by the stockholders of the Company in substantially the same proportions as their ownership of stock of the Company.</w:t>
      </w:r>
    </w:p>
    <w:p>
      <w:pPr>
        <w:spacing w:after="0" w:line="182"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681"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82" w:lineRule="exact"/>
        <w:rPr>
          <w:rFonts w:ascii="Times New Roman" w:cs="Times New Roman" w:eastAsia="Times New Roman" w:hAnsi="Times New Roman"/>
          <w:sz w:val="18"/>
          <w:szCs w:val="18"/>
          <w:color w:val="auto"/>
        </w:rPr>
      </w:pPr>
    </w:p>
    <w:p>
      <w:pPr>
        <w:ind w:left="340" w:hanging="8"/>
        <w:spacing w:after="0" w:line="286" w:lineRule="auto"/>
        <w:tabs>
          <w:tab w:leader="none" w:pos="599"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the Company shall indemnify, hold harmless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8" w:name="page279"/>
    <w:bookmarkEnd w:id="278"/>
    <w:p>
      <w:pPr>
        <w:jc w:val="both"/>
        <w:ind w:left="340" w:hanging="332"/>
        <w:spacing w:after="0" w:line="254" w:lineRule="auto"/>
        <w:tabs>
          <w:tab w:leader="none" w:pos="3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PROCEEDINGS BY OR IN THE RIGHT OF THE COMPANY</w:t>
      </w:r>
      <w:r>
        <w:rPr>
          <w:rFonts w:ascii="Times New Roman" w:cs="Times New Roman" w:eastAsia="Times New Roman" w:hAnsi="Times New Roman"/>
          <w:sz w:val="18"/>
          <w:szCs w:val="18"/>
          <w:color w:val="auto"/>
        </w:rPr>
        <w:t>. To the fullest extent permitted by applicable law,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of the circumstances of the case, Indemnitee is fairly and reasonably entitled to indemnification, to be held harmless or to exoneration.</w:t>
      </w:r>
    </w:p>
    <w:p>
      <w:pPr>
        <w:spacing w:after="0" w:line="18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except for Section 27, to the extent that Indemnitee was or is a party to or a participant (as a witness, deponent or otherwise)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the Indemnitee is not wholly successful in such Proceeding, the Company also shall, to the fullest extent permitted by applicable law, indemnify, hold harmless and exonerate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 Section 27,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that Indemnitee is a participant (as a witness or otherwise)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79" w:name="page280"/>
    <w:bookmarkEnd w:id="279"/>
    <w:p>
      <w:pPr>
        <w:ind w:left="340" w:hanging="332"/>
        <w:spacing w:after="0"/>
        <w:tabs>
          <w:tab w:leader="none" w:pos="3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or 5,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including an act or omission of Indemnitee not in good faith, or which involves intentional misconduct or a knowing violation of the law.</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 IN THE EVENT OF JOINT LIABILITY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8" w:lineRule="auto"/>
        <w:tabs>
          <w:tab w:leader="none" w:pos="625"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left="340" w:right="20" w:hanging="8"/>
        <w:spacing w:after="0" w:line="282" w:lineRule="auto"/>
        <w:tabs>
          <w:tab w:leader="none" w:pos="601"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7"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any indemnification, hold harmless or exoneration payment in connection with any claim made against Indemnitee:</w:t>
      </w:r>
    </w:p>
    <w:p>
      <w:pPr>
        <w:spacing w:after="0" w:line="158" w:lineRule="exact"/>
        <w:rPr>
          <w:rFonts w:ascii="Times New Roman" w:cs="Times New Roman" w:eastAsia="Times New Roman" w:hAnsi="Times New Roman"/>
          <w:sz w:val="18"/>
          <w:szCs w:val="18"/>
          <w:color w:val="auto"/>
        </w:rPr>
      </w:pPr>
    </w:p>
    <w:p>
      <w:pPr>
        <w:ind w:left="340" w:hanging="8"/>
        <w:spacing w:after="0" w:line="282" w:lineRule="auto"/>
        <w:tabs>
          <w:tab w:leader="none" w:pos="591"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95"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0" w:name="page281"/>
    <w:bookmarkEnd w:id="280"/>
    <w:p>
      <w:pPr>
        <w:jc w:val="both"/>
        <w:ind w:left="340" w:hanging="8"/>
        <w:spacing w:after="0" w:line="258" w:lineRule="auto"/>
        <w:tabs>
          <w:tab w:leader="none" w:pos="604"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5"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8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fine, penalty or limitation that is not entitled to be indemnified under this Agreement on the Indemnitee without the Indemnitee’s prior written consent.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NOTIFICATION AND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02"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promptly notify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1" w:name="page282"/>
    <w:bookmarkEnd w:id="281"/>
    <w:p>
      <w:pPr>
        <w:jc w:val="both"/>
        <w:ind w:left="340" w:hanging="8"/>
        <w:spacing w:after="0" w:line="261" w:lineRule="auto"/>
        <w:tabs>
          <w:tab w:leader="none" w:pos="628"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12(a) of this Agreement.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5"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or (iii)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9" w:lineRule="exact"/>
        <w:rPr>
          <w:rFonts w:ascii="Times New Roman" w:cs="Times New Roman" w:eastAsia="Times New Roman" w:hAnsi="Times New Roman"/>
          <w:sz w:val="18"/>
          <w:szCs w:val="18"/>
          <w:color w:val="auto"/>
        </w:rPr>
      </w:pPr>
    </w:p>
    <w:p>
      <w:pPr>
        <w:jc w:val="both"/>
        <w:ind w:left="340" w:hanging="8"/>
        <w:spacing w:after="0" w:line="252" w:lineRule="auto"/>
        <w:tabs>
          <w:tab w:leader="none" w:pos="622"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set forth in Section 2(k) hereof. If the Independent Counsel is selected by the Board, the Company shall give written notice to Indemnitee advising him of the identity of the Independent Counsel so selected and certifying that the Independent Counsel so selected meets the requirements set forth in Section 2(k) hereof.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so selected meets the requirements set forth in Section 2(k) hereof,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2" w:name="page283"/>
    <w:bookmarkEnd w:id="282"/>
    <w:p>
      <w:pPr>
        <w:ind w:left="340" w:right="20" w:hanging="8"/>
        <w:spacing w:after="0" w:line="282" w:lineRule="auto"/>
        <w:tabs>
          <w:tab w:leader="none" w:pos="591"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593"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3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thirty (30) 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3" w:name="page284"/>
    <w:bookmarkEnd w:id="283"/>
    <w:p>
      <w:pPr>
        <w:jc w:val="both"/>
        <w:ind w:left="340" w:hanging="8"/>
        <w:spacing w:after="0" w:line="258" w:lineRule="auto"/>
        <w:tabs>
          <w:tab w:leader="none" w:pos="599"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3"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1"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officers or managers of the Enterprise in the course of their duties, or on the advice of legal counsel for the Enterprise, its Board, any committee of the Board or any director, officer, trustee, general partner, manager or managing member, or on information or records given or reports made to the Enterprise, its Board, any committee of the Board or any director, officer, trustee, general partner, manager or managing member, by an independent certified public accountant or by an appraiser or other expert selected by the Enterprise, its Board, any committee of the Board or any director, officer, trustee, general partner, manager or managing member.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88"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2"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this Agreement, (iv) payment of indemnification is not made pursuant to Section 5, 6, 7 or the last sentence of Section 12(a) of this Agreement within the timeline set forth in this Agreement, (v) a contribution payment is not made in a timely manner pursuant to Section 8 of this Agreement, (vi) payment of indemnification pursuant to Section 3 or 4 of this Agreement is not made within the timeline set forth in this Agreement, or (vii) payment to Indemnitee pursuant to any hold harmless or exoneration rights under this Agreement or otherwise is not made within the timeline set forth in this Agreement,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4" w:name="page285"/>
    <w:bookmarkEnd w:id="284"/>
    <w:p>
      <w:pPr>
        <w:jc w:val="both"/>
        <w:ind w:left="8" w:hanging="8"/>
        <w:spacing w:after="0" w:line="254" w:lineRule="auto"/>
        <w:tabs>
          <w:tab w:leader="none" w:pos="313"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263"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9"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302"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39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285" w:name="page286"/>
    <w:bookmarkEnd w:id="285"/>
    <w:p>
      <w:pPr>
        <w:jc w:val="both"/>
        <w:ind w:left="340" w:hanging="8"/>
        <w:spacing w:after="0" w:line="261" w:lineRule="auto"/>
        <w:tabs>
          <w:tab w:leader="none" w:pos="586"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Delaware law for amounts which the Company indemnifies, holds harmless or exonerates, contributes, reimburses, advances, or is obliged to indemnify, hold harmless, exonerate, contribute, reimburse or advance for the period commencing with the date on which the Indemnitee requests such indemnification, to be held harmless, exonerated, contribution, reimbursement or advancement of any Expenses and ending with the date on which such payment is made to Indemnitee by the Company.</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to the extent requested by the Indemnitee and approved by the Board,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 PRIORITY OF OBLIGATIONS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9"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6"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DGCL and the Bylaws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i w:val="1"/>
          <w:i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6" w:name="page287"/>
    <w:bookmarkEnd w:id="286"/>
    <w:p>
      <w:pPr>
        <w:jc w:val="both"/>
        <w:ind w:left="340" w:hanging="8"/>
        <w:spacing w:after="0" w:line="254" w:lineRule="auto"/>
        <w:tabs>
          <w:tab w:leader="none" w:pos="605"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01"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7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08"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the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8" w:lineRule="exact"/>
        <w:rPr>
          <w:rFonts w:ascii="Times New Roman" w:cs="Times New Roman" w:eastAsia="Times New Roman" w:hAnsi="Times New Roman"/>
          <w:sz w:val="18"/>
          <w:szCs w:val="18"/>
          <w:color w:val="auto"/>
        </w:rPr>
      </w:pPr>
    </w:p>
    <w:p>
      <w:pPr>
        <w:ind w:left="340" w:hanging="8"/>
        <w:spacing w:after="0" w:line="282" w:lineRule="auto"/>
        <w:tabs>
          <w:tab w:leader="none" w:pos="566"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any Co-Sponsor or its respective affiliates or any other Person is secondary.</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or advancement can be provided under this Agreement.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7" w:name="page288"/>
    <w:bookmarkEnd w:id="287"/>
    <w:p>
      <w:pPr>
        <w:jc w:val="both"/>
        <w:ind w:left="332" w:hanging="332"/>
        <w:spacing w:after="0" w:line="255" w:lineRule="auto"/>
        <w:tabs>
          <w:tab w:leader="none" w:pos="332"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or provisions of this Agreement shall be held to be invalid, illegal or unenforceable for any reason whatsoever: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84"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ENFORCEMENT AND BINDING EFFECT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32" w:hanging="8"/>
        <w:spacing w:after="0" w:line="266" w:lineRule="auto"/>
        <w:tabs>
          <w:tab w:leader="none" w:pos="585"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jc w:val="both"/>
        <w:ind w:left="332" w:hanging="8"/>
        <w:spacing w:after="0" w:line="266" w:lineRule="auto"/>
        <w:tabs>
          <w:tab w:leader="none" w:pos="619"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jc w:val="both"/>
        <w:ind w:left="332" w:hanging="8"/>
        <w:spacing w:after="0" w:line="256" w:lineRule="auto"/>
        <w:tabs>
          <w:tab w:leader="none" w:pos="588"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187" w:lineRule="exact"/>
        <w:rPr>
          <w:rFonts w:ascii="Times New Roman" w:cs="Times New Roman" w:eastAsia="Times New Roman" w:hAnsi="Times New Roman"/>
          <w:sz w:val="18"/>
          <w:szCs w:val="18"/>
          <w:color w:val="auto"/>
        </w:rPr>
      </w:pPr>
    </w:p>
    <w:p>
      <w:pPr>
        <w:jc w:val="both"/>
        <w:ind w:left="332" w:hanging="8"/>
        <w:spacing w:after="0" w:line="261" w:lineRule="auto"/>
        <w:tabs>
          <w:tab w:leader="none" w:pos="587"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3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288" w:name="page289"/>
    <w:bookmarkEnd w:id="288"/>
    <w:p>
      <w:pPr>
        <w:jc w:val="both"/>
        <w:ind w:left="340" w:hanging="8"/>
        <w:spacing w:after="0" w:line="254" w:lineRule="auto"/>
        <w:tabs>
          <w:tab w:leader="none" w:pos="623"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Delaware Court, and the Company hereby waives any such requirement of such a bond or undertaking.</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 writing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requests, demands and other communications under this Agreement shall be in writing and shall be deemed to have been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74"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Attn: Edward Scheetz, Chief Executive Officer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9" w:name="page290"/>
    <w:bookmarkEnd w:id="289"/>
    <w:p>
      <w:pPr>
        <w:jc w:val="both"/>
        <w:ind w:left="340" w:hanging="332"/>
        <w:spacing w:after="0" w:line="254" w:lineRule="auto"/>
        <w:tabs>
          <w:tab w:leader="none" w:pos="3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 headings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 required,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undertakes to cause such act, resolution, approval or other procedure to be affected or adopted in a manner that will enable the Company to fulfill its obligations under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to the contrary contained herein, Indemnitee hereby agrees that he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 does not have any right, title, interest or claim of any kind (each,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 For purposes of clarity, Indemnitee acknowledges and agrees that no monies held in the Trust Account may be used to indemnify Indemnitee for any purpose whatsoever.</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MAINTENANCE OF INSURANCE. </w:t>
      </w:r>
      <w:r>
        <w:rPr>
          <w:rFonts w:ascii="Times New Roman" w:cs="Times New Roman" w:eastAsia="Times New Roman" w:hAnsi="Times New Roman"/>
          <w:sz w:val="18"/>
          <w:szCs w:val="18"/>
          <w:color w:val="auto"/>
        </w:rPr>
        <w:t>The Company shall use commercially reasonable efforts to obtain and maintain in effect during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signed as of the day and year first above written.</w:t>
      </w:r>
    </w:p>
    <w:p>
      <w:pPr>
        <w:spacing w:after="0" w:line="2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29"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27" w:lineRule="exact"/>
        <w:rPr>
          <w:sz w:val="20"/>
          <w:szCs w:val="20"/>
          <w:color w:val="auto"/>
        </w:rPr>
      </w:pPr>
    </w:p>
    <w:p>
      <w:pPr>
        <w:ind w:left="654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291" w:name="page292"/>
    <w:bookmarkEnd w:id="291"/>
    <w:p>
      <w:pPr>
        <w:ind w:left="564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jc w:val="right"/>
        <w:ind w:right="1339"/>
        <w:spacing w:after="0"/>
        <w:tabs>
          <w:tab w:leader="none" w:pos="1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Woodrow H.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Woodrow H. Levin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92" w:name="page293"/>
    <w:bookmarkEnd w:id="292"/>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INDEMNITY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December 23, 2020, by and between Ventoux CCM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Matthew MacDonald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 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and the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of the Company require indemnification of the officers and directors of the Company. Indemnitee may also be entitled to indemnification pursuant to applicable provisions of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stockholders and that the Company should act to assure such persons that there will be increased certainty of such protection in the future.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3" w:name="page294"/>
    <w:bookmarkEnd w:id="293"/>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Charter and Bylaws of the Company and any resolutions adopted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thereto, and shall not be deemed a substitute therefor, nor to diminish or abrogate any rights of Indemnitee thereunder.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or director without adequate protection, and the Company desires Indemnitee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in such capacity. Indemnitee is willing to serve, continue to serve and to take on additional service for or on behalf of the Company on the condition that he or she be so indemnified.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covenants contained herein, the Company and Indemnitee do hereby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25" w:lineRule="exact"/>
        <w:rPr>
          <w:sz w:val="20"/>
          <w:szCs w:val="20"/>
          <w:color w:val="auto"/>
        </w:rPr>
      </w:pPr>
    </w:p>
    <w:p>
      <w:pPr>
        <w:jc w:val="both"/>
        <w:ind w:left="340" w:hanging="332"/>
        <w:spacing w:after="0" w:line="257" w:lineRule="auto"/>
        <w:tabs>
          <w:tab w:leader="none" w:pos="3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SERVICES TO THE COMPANY</w:t>
      </w:r>
      <w:r>
        <w:rPr>
          <w:rFonts w:ascii="Times New Roman" w:cs="Times New Roman" w:eastAsia="Times New Roman" w:hAnsi="Times New Roman"/>
          <w:sz w:val="18"/>
          <w:szCs w:val="18"/>
          <w:color w:val="auto"/>
        </w:rPr>
        <w:t>. Indemnitee will serve or continue to serve as an officer, director, advisor, key employee or in any other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as applicable, for so long as Indemnitee is duly elected, appointed or retained or until Indemnitee tenders his or her resignation, or is removed or dies. The foregoing notwithstanding, this Agreement shall continue in full force and effect after Indemnitee has ceased to serve as an officer, director,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8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2" w:lineRule="auto"/>
        <w:tabs>
          <w:tab w:leader="none" w:pos="598"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6" w:lineRule="exact"/>
        <w:rPr>
          <w:rFonts w:ascii="Times New Roman" w:cs="Times New Roman" w:eastAsia="Times New Roman" w:hAnsi="Times New Roman"/>
          <w:sz w:val="18"/>
          <w:szCs w:val="18"/>
          <w:color w:val="auto"/>
        </w:rPr>
      </w:pPr>
    </w:p>
    <w:p>
      <w:pPr>
        <w:ind w:left="340" w:right="20" w:hanging="8"/>
        <w:spacing w:after="0" w:line="286" w:lineRule="auto"/>
        <w:tabs>
          <w:tab w:leader="none" w:pos="599"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in effect on the date hereof.</w:t>
      </w:r>
    </w:p>
    <w:p>
      <w:pPr>
        <w:spacing w:after="0" w:line="15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57" w:lineRule="auto"/>
        <w:tabs>
          <w:tab w:leader="none" w:pos="888" w:val="left"/>
        </w:tabs>
        <w:numPr>
          <w:ilvl w:val="2"/>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Stock by Third Party</w:t>
      </w:r>
      <w:r>
        <w:rPr>
          <w:rFonts w:ascii="Times New Roman" w:cs="Times New Roman" w:eastAsia="Times New Roman" w:hAnsi="Times New Roman"/>
          <w:sz w:val="18"/>
          <w:szCs w:val="18"/>
          <w:color w:val="auto"/>
        </w:rPr>
        <w:t>. Other than Ventoux Acquisition Holdings LLC or Chardan International Investments, LLC (the “</w:t>
      </w:r>
      <w:r>
        <w:rPr>
          <w:rFonts w:ascii="Times New Roman" w:cs="Times New Roman" w:eastAsia="Times New Roman" w:hAnsi="Times New Roman"/>
          <w:sz w:val="18"/>
          <w:szCs w:val="18"/>
          <w:b w:val="1"/>
          <w:bCs w:val="1"/>
          <w:i w:val="1"/>
          <w:iCs w:val="1"/>
          <w:color w:val="auto"/>
        </w:rPr>
        <w:t>Co-Sponsors</w:t>
      </w:r>
      <w:r>
        <w:rPr>
          <w:rFonts w:ascii="Times New Roman" w:cs="Times New Roman" w:eastAsia="Times New Roman" w:hAnsi="Times New Roman"/>
          <w:sz w:val="18"/>
          <w:szCs w:val="18"/>
          <w:color w:val="auto"/>
        </w:rPr>
        <w:t>”) or an affiliate thereof, any Person is or becomes the Beneficial Owner, directly or indirectly, of securities of the Company representing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and such acquisition would not constitute a Change in Control under part (iii) of this definition;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4" w:name="page295"/>
    <w:bookmarkEnd w:id="294"/>
    <w:p>
      <w:pPr>
        <w:jc w:val="both"/>
        <w:ind w:left="4" w:hanging="4"/>
        <w:spacing w:after="0" w:line="261" w:lineRule="auto"/>
        <w:tabs>
          <w:tab w:leader="none" w:pos="269"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Times New Roman" w:cs="Times New Roman" w:eastAsia="Times New Roman" w:hAnsi="Times New Roman"/>
          <w:sz w:val="18"/>
          <w:szCs w:val="18"/>
          <w:b w:val="1"/>
          <w:bCs w:val="1"/>
          <w:i w:val="1"/>
          <w:iCs w:val="1"/>
          <w:color w:val="auto"/>
        </w:rPr>
        <w:t>Continuing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79"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332"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share exchange, asset acquisition, stock purchase, recapitalization or other similar business combination involving the Company and one or more businesses or entities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fifty-one percent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any Co-Sponsor or an affiliate thereof,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97"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336"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79"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272"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w:t>
      </w:r>
    </w:p>
    <w:p>
      <w:pPr>
        <w:spacing w:after="0" w:line="38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95" w:name="page296"/>
    <w:bookmarkEnd w:id="295"/>
    <w:p>
      <w:pPr>
        <w:ind w:left="8" w:hanging="8"/>
        <w:spacing w:after="0" w:line="286" w:lineRule="auto"/>
        <w:tabs>
          <w:tab w:leader="none" w:pos="263"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Status</w:t>
      </w:r>
      <w:r>
        <w:rPr>
          <w:rFonts w:ascii="Times New Roman" w:cs="Times New Roman" w:eastAsia="Times New Roman" w:hAnsi="Times New Roman"/>
          <w:sz w:val="18"/>
          <w:szCs w:val="18"/>
          <w:color w:val="auto"/>
        </w:rPr>
        <w:t>” describes the status of a person who is or was a director, officer, trustee, general partner, manager, managing member, fiduciary, employee or agent of the Company or of any other Enterprise which such person is or was serving at the request of the Company.</w:t>
      </w:r>
    </w:p>
    <w:p>
      <w:pPr>
        <w:spacing w:after="0" w:line="154"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Delaware Court</w:t>
      </w:r>
      <w:r>
        <w:rPr>
          <w:rFonts w:ascii="Times New Roman" w:cs="Times New Roman" w:eastAsia="Times New Roman" w:hAnsi="Times New Roman"/>
          <w:sz w:val="18"/>
          <w:szCs w:val="18"/>
          <w:color w:val="auto"/>
        </w:rPr>
        <w:t>” shall mean the Court of Chancery of the State of Delaware.</w:t>
      </w:r>
    </w:p>
    <w:p>
      <w:pPr>
        <w:spacing w:after="0" w:line="225" w:lineRule="exact"/>
        <w:rPr>
          <w:rFonts w:ascii="Times New Roman" w:cs="Times New Roman" w:eastAsia="Times New Roman" w:hAnsi="Times New Roman"/>
          <w:sz w:val="18"/>
          <w:szCs w:val="18"/>
          <w:color w:val="auto"/>
        </w:rPr>
      </w:pPr>
    </w:p>
    <w:p>
      <w:pPr>
        <w:ind w:left="8" w:hanging="8"/>
        <w:spacing w:after="0" w:line="286" w:lineRule="auto"/>
        <w:tabs>
          <w:tab w:leader="none" w:pos="273"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jc w:val="both"/>
        <w:ind w:left="8" w:hanging="8"/>
        <w:spacing w:after="0" w:line="262" w:lineRule="auto"/>
        <w:tabs>
          <w:tab w:leader="none" w:pos="263"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76"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5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including reasonable compensation for time spent by the Indemnitee for which he or she is not otherwise compensated by the Company or any third party. Expenses also shall include Expenses incurred in connection with any appeal resulting from any Proceeding,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jc w:val="both"/>
        <w:ind w:left="8" w:hanging="8"/>
        <w:spacing w:after="0" w:line="257" w:lineRule="auto"/>
        <w:tabs>
          <w:tab w:leader="none" w:pos="232"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39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296" w:name="page297"/>
    <w:bookmarkEnd w:id="296"/>
    <w:p>
      <w:pPr>
        <w:jc w:val="both"/>
        <w:ind w:left="340" w:hanging="8"/>
        <w:spacing w:after="0" w:line="259" w:lineRule="auto"/>
        <w:tabs>
          <w:tab w:leader="none" w:pos="595"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Counsel</w:t>
      </w:r>
      <w:r>
        <w:rPr>
          <w:rFonts w:ascii="Times New Roman" w:cs="Times New Roman" w:eastAsia="Times New Roman" w:hAnsi="Times New Roman"/>
          <w:sz w:val="18"/>
          <w:szCs w:val="18"/>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jc w:val="both"/>
        <w:ind w:left="340" w:hanging="8"/>
        <w:spacing w:after="0" w:line="255" w:lineRule="auto"/>
        <w:tabs>
          <w:tab w:leader="none" w:pos="629"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1" w:lineRule="exact"/>
        <w:rPr>
          <w:rFonts w:ascii="Times New Roman" w:cs="Times New Roman" w:eastAsia="Times New Roman" w:hAnsi="Times New Roman"/>
          <w:sz w:val="18"/>
          <w:szCs w:val="18"/>
          <w:color w:val="auto"/>
        </w:rPr>
      </w:pPr>
    </w:p>
    <w:p>
      <w:pPr>
        <w:jc w:val="both"/>
        <w:ind w:left="340" w:hanging="8"/>
        <w:spacing w:after="0" w:line="257" w:lineRule="auto"/>
        <w:tabs>
          <w:tab w:leader="none" w:pos="564"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“Person” shall exclude: (i) the Company; (ii) any Subsidiaries of the Company; (iii) any employment benefit plan of the Company or of a Subsidiary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of the Company or of a corporation owned directly or indirectly by the stockholders of the Company in substantially the same proportions as their ownership of stock of the Company.</w:t>
      </w:r>
    </w:p>
    <w:p>
      <w:pPr>
        <w:spacing w:after="0" w:line="182"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681"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82" w:lineRule="exact"/>
        <w:rPr>
          <w:rFonts w:ascii="Times New Roman" w:cs="Times New Roman" w:eastAsia="Times New Roman" w:hAnsi="Times New Roman"/>
          <w:sz w:val="18"/>
          <w:szCs w:val="18"/>
          <w:color w:val="auto"/>
        </w:rPr>
      </w:pPr>
    </w:p>
    <w:p>
      <w:pPr>
        <w:ind w:left="340" w:hanging="8"/>
        <w:spacing w:after="0" w:line="286" w:lineRule="auto"/>
        <w:tabs>
          <w:tab w:leader="none" w:pos="599"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the Company shall indemnify, hold harmless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7" w:name="page298"/>
    <w:bookmarkEnd w:id="297"/>
    <w:p>
      <w:pPr>
        <w:jc w:val="both"/>
        <w:ind w:left="340" w:hanging="332"/>
        <w:spacing w:after="0" w:line="254" w:lineRule="auto"/>
        <w:tabs>
          <w:tab w:leader="none" w:pos="34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PROCEEDINGS BY OR IN THE RIGHT OF THE COMPANY</w:t>
      </w:r>
      <w:r>
        <w:rPr>
          <w:rFonts w:ascii="Times New Roman" w:cs="Times New Roman" w:eastAsia="Times New Roman" w:hAnsi="Times New Roman"/>
          <w:sz w:val="18"/>
          <w:szCs w:val="18"/>
          <w:color w:val="auto"/>
        </w:rPr>
        <w:t>. To the fullest extent permitted by applicable law,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of the circumstances of the case, Indemnitee is fairly and reasonably entitled to indemnification, to be held harmless or to exoneration.</w:t>
      </w:r>
    </w:p>
    <w:p>
      <w:pPr>
        <w:spacing w:after="0" w:line="18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except for Section 27, to the extent that Indemnitee was or is a party to or a participant (as a witness, deponent or otherwise)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the Indemnitee is not wholly successful in such Proceeding, the Company also shall, to the fullest extent permitted by applicable law, indemnify, hold harmless and exonerate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 Section 27,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that Indemnitee is a participant (as a witness or otherwise)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8" w:name="page299"/>
    <w:bookmarkEnd w:id="298"/>
    <w:p>
      <w:pPr>
        <w:ind w:left="340" w:hanging="332"/>
        <w:spacing w:after="0"/>
        <w:tabs>
          <w:tab w:leader="none" w:pos="34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or 5,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including an act or omission of Indemnitee not in good faith, or which involves intentional misconduct or a knowing violation of the law.</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 IN THE EVENT OF JOINT LIABILITY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8" w:lineRule="auto"/>
        <w:tabs>
          <w:tab w:leader="none" w:pos="625"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left="340" w:right="20" w:hanging="8"/>
        <w:spacing w:after="0" w:line="282" w:lineRule="auto"/>
        <w:tabs>
          <w:tab w:leader="none" w:pos="601"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7"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any indemnification, hold harmless or exoneration payment in connection with any claim made against Indemnitee:</w:t>
      </w:r>
    </w:p>
    <w:p>
      <w:pPr>
        <w:spacing w:after="0" w:line="158" w:lineRule="exact"/>
        <w:rPr>
          <w:rFonts w:ascii="Times New Roman" w:cs="Times New Roman" w:eastAsia="Times New Roman" w:hAnsi="Times New Roman"/>
          <w:sz w:val="18"/>
          <w:szCs w:val="18"/>
          <w:color w:val="auto"/>
        </w:rPr>
      </w:pPr>
    </w:p>
    <w:p>
      <w:pPr>
        <w:ind w:left="340" w:hanging="8"/>
        <w:spacing w:after="0" w:line="282" w:lineRule="auto"/>
        <w:tabs>
          <w:tab w:leader="none" w:pos="591"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95"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9" w:name="page300"/>
    <w:bookmarkEnd w:id="299"/>
    <w:p>
      <w:pPr>
        <w:jc w:val="both"/>
        <w:ind w:left="340" w:hanging="8"/>
        <w:spacing w:after="0" w:line="258" w:lineRule="auto"/>
        <w:tabs>
          <w:tab w:leader="none" w:pos="604"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5"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8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fine, penalty or limitation that is not entitled to be indemnified under this Agreement on the Indemnitee without the Indemnitee’s prior written consent.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NOTIFICATION AND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02"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promptly notify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0" w:name="page301"/>
    <w:bookmarkEnd w:id="300"/>
    <w:p>
      <w:pPr>
        <w:jc w:val="both"/>
        <w:ind w:left="340" w:hanging="8"/>
        <w:spacing w:after="0" w:line="261" w:lineRule="auto"/>
        <w:tabs>
          <w:tab w:leader="none" w:pos="628"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12(a) of this Agreement.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5"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or (iii)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9" w:lineRule="exact"/>
        <w:rPr>
          <w:rFonts w:ascii="Times New Roman" w:cs="Times New Roman" w:eastAsia="Times New Roman" w:hAnsi="Times New Roman"/>
          <w:sz w:val="18"/>
          <w:szCs w:val="18"/>
          <w:color w:val="auto"/>
        </w:rPr>
      </w:pPr>
    </w:p>
    <w:p>
      <w:pPr>
        <w:jc w:val="both"/>
        <w:ind w:left="340" w:hanging="8"/>
        <w:spacing w:after="0" w:line="252" w:lineRule="auto"/>
        <w:tabs>
          <w:tab w:leader="none" w:pos="622"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set forth in Section 2(k) hereof. If the Independent Counsel is selected by the Board, the Company shall give written notice to Indemnitee advising him of the identity of the Independent Counsel so selected and certifying that the Independent Counsel so selected meets the requirements set forth in Section 2(k) hereof.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so selected meets the requirements set forth in Section 2(k) hereof,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1" w:name="page302"/>
    <w:bookmarkEnd w:id="301"/>
    <w:p>
      <w:pPr>
        <w:ind w:left="340" w:right="20" w:hanging="8"/>
        <w:spacing w:after="0" w:line="282" w:lineRule="auto"/>
        <w:tabs>
          <w:tab w:leader="none" w:pos="591"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593"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3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thirty (30) 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2" w:name="page303"/>
    <w:bookmarkEnd w:id="302"/>
    <w:p>
      <w:pPr>
        <w:jc w:val="both"/>
        <w:ind w:left="340" w:hanging="8"/>
        <w:spacing w:after="0" w:line="258" w:lineRule="auto"/>
        <w:tabs>
          <w:tab w:leader="none" w:pos="599"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3"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1"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officers or managers of the Enterprise in the course of their duties, or on the advice of legal counsel for the Enterprise, its Board, any committee of the Board or any director, officer, trustee, general partner, manager or managing member, or on information or records given or reports made to the Enterprise, its Board, any committee of the Board or any director, officer, trustee, general partner, manager or managing member, by an independent certified public accountant or by an appraiser or other expert selected by the Enterprise, its Board, any committee of the Board or any director, officer, trustee, general partner, manager or managing member.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88"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2"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this Agreement, (iv) payment of indemnification is not made pursuant to Section 5, 6, 7 or the last sentence of Section 12(a) of this Agreement within the timeline set forth in this Agreement, (v) a contribution payment is not made in a timely manner pursuant to Section 8 of this Agreement, (vi) payment of indemnification pursuant to Section 3 or 4 of this Agreement is not made within the timeline set forth in this Agreement, or (vii) payment to Indemnitee pursuant to any hold harmless or exoneration rights under this Agreement or otherwise is not made within the timeline set forth in this Agreement,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3" w:name="page304"/>
    <w:bookmarkEnd w:id="303"/>
    <w:p>
      <w:pPr>
        <w:jc w:val="both"/>
        <w:ind w:left="8" w:hanging="8"/>
        <w:spacing w:after="0" w:line="254" w:lineRule="auto"/>
        <w:tabs>
          <w:tab w:leader="none" w:pos="313"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263"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9"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302"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39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304" w:name="page305"/>
    <w:bookmarkEnd w:id="304"/>
    <w:p>
      <w:pPr>
        <w:jc w:val="both"/>
        <w:ind w:left="340" w:hanging="8"/>
        <w:spacing w:after="0" w:line="261" w:lineRule="auto"/>
        <w:tabs>
          <w:tab w:leader="none" w:pos="586" w:val="left"/>
        </w:tabs>
        <w:numPr>
          <w:ilvl w:val="1"/>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Delaware law for amounts which the Company indemnifies, holds harmless or exonerates, contributes, reimburses, advances, or is obliged to indemnify, hold harmless, exonerate, contribute, reimburse or advance for the period commencing with the date on which the Indemnitee requests such indemnification, to be held harmless, exonerated, contribution, reimbursement or advancement of any Expenses and ending with the date on which such payment is made to Indemnitee by the Company.</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to the extent requested by the Indemnitee and approved by the Board,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 PRIORITY OF OBLIGATIONS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9"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6"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DGCL and the Bylaws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i w:val="1"/>
          <w:i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5" w:name="page306"/>
    <w:bookmarkEnd w:id="305"/>
    <w:p>
      <w:pPr>
        <w:jc w:val="both"/>
        <w:ind w:left="340" w:hanging="8"/>
        <w:spacing w:after="0" w:line="254" w:lineRule="auto"/>
        <w:tabs>
          <w:tab w:leader="none" w:pos="605"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01"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7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08"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the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8" w:lineRule="exact"/>
        <w:rPr>
          <w:rFonts w:ascii="Times New Roman" w:cs="Times New Roman" w:eastAsia="Times New Roman" w:hAnsi="Times New Roman"/>
          <w:sz w:val="18"/>
          <w:szCs w:val="18"/>
          <w:color w:val="auto"/>
        </w:rPr>
      </w:pPr>
    </w:p>
    <w:p>
      <w:pPr>
        <w:ind w:left="340" w:hanging="8"/>
        <w:spacing w:after="0" w:line="282" w:lineRule="auto"/>
        <w:tabs>
          <w:tab w:leader="none" w:pos="566"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any Co-Sponsor or its respective affiliates or any other Person is secondary.</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or advancement can be provided under this Agreement.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6" w:name="page307"/>
    <w:bookmarkEnd w:id="306"/>
    <w:p>
      <w:pPr>
        <w:jc w:val="both"/>
        <w:ind w:left="332" w:hanging="332"/>
        <w:spacing w:after="0" w:line="255" w:lineRule="auto"/>
        <w:tabs>
          <w:tab w:leader="none" w:pos="332"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or provisions of this Agreement shall be held to be invalid, illegal or unenforceable for any reason whatsoever: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84"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ENFORCEMENT AND BINDING EFFECT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32" w:hanging="8"/>
        <w:spacing w:after="0" w:line="266" w:lineRule="auto"/>
        <w:tabs>
          <w:tab w:leader="none" w:pos="585"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jc w:val="both"/>
        <w:ind w:left="332" w:hanging="8"/>
        <w:spacing w:after="0" w:line="266" w:lineRule="auto"/>
        <w:tabs>
          <w:tab w:leader="none" w:pos="619"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jc w:val="both"/>
        <w:ind w:left="332" w:hanging="8"/>
        <w:spacing w:after="0" w:line="256" w:lineRule="auto"/>
        <w:tabs>
          <w:tab w:leader="none" w:pos="588"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187" w:lineRule="exact"/>
        <w:rPr>
          <w:rFonts w:ascii="Times New Roman" w:cs="Times New Roman" w:eastAsia="Times New Roman" w:hAnsi="Times New Roman"/>
          <w:sz w:val="18"/>
          <w:szCs w:val="18"/>
          <w:color w:val="auto"/>
        </w:rPr>
      </w:pPr>
    </w:p>
    <w:p>
      <w:pPr>
        <w:jc w:val="both"/>
        <w:ind w:left="332" w:hanging="8"/>
        <w:spacing w:after="0" w:line="261" w:lineRule="auto"/>
        <w:tabs>
          <w:tab w:leader="none" w:pos="587"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3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307" w:name="page308"/>
    <w:bookmarkEnd w:id="307"/>
    <w:p>
      <w:pPr>
        <w:jc w:val="both"/>
        <w:ind w:left="340" w:hanging="8"/>
        <w:spacing w:after="0" w:line="254" w:lineRule="auto"/>
        <w:tabs>
          <w:tab w:leader="none" w:pos="623"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Delaware Court, and the Company hereby waives any such requirement of such a bond or undertaking.</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 writing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requests, demands and other communications under this Agreement shall be in writing and shall be deemed to have been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74"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Attn: Edward Scheetz, Chief Executive Officer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8" w:name="page309"/>
    <w:bookmarkEnd w:id="308"/>
    <w:p>
      <w:pPr>
        <w:jc w:val="both"/>
        <w:ind w:left="340" w:hanging="332"/>
        <w:spacing w:after="0" w:line="254" w:lineRule="auto"/>
        <w:tabs>
          <w:tab w:leader="none" w:pos="34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 headings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 required,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undertakes to cause such act, resolution, approval or other procedure to be affected or adopted in a manner that will enable the Company to fulfill its obligations under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to the contrary contained herein, Indemnitee hereby agrees that he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 does not have any right, title, interest or claim of any kind (each,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 For purposes of clarity, Indemnitee acknowledges and agrees that no monies held in the Trust Account may be used to indemnify Indemnitee for any purpose whatsoever.</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MAINTENANCE OF INSURANCE. </w:t>
      </w:r>
      <w:r>
        <w:rPr>
          <w:rFonts w:ascii="Times New Roman" w:cs="Times New Roman" w:eastAsia="Times New Roman" w:hAnsi="Times New Roman"/>
          <w:sz w:val="18"/>
          <w:szCs w:val="18"/>
          <w:color w:val="auto"/>
        </w:rPr>
        <w:t>The Company shall use commercially reasonable efforts to obtain and maintain in effect during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signed as of the day and year first above written.</w:t>
      </w:r>
    </w:p>
    <w:p>
      <w:pPr>
        <w:spacing w:after="0" w:line="2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29"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27" w:lineRule="exact"/>
        <w:rPr>
          <w:sz w:val="20"/>
          <w:szCs w:val="20"/>
          <w:color w:val="auto"/>
        </w:rPr>
      </w:pPr>
    </w:p>
    <w:p>
      <w:pPr>
        <w:ind w:left="654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310" w:name="page311"/>
    <w:bookmarkEnd w:id="310"/>
    <w:p>
      <w:pPr>
        <w:ind w:left="564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jc w:val="right"/>
        <w:ind w:right="1179"/>
        <w:spacing w:after="0"/>
        <w:tabs>
          <w:tab w:leader="none" w:pos="1740" w:val="left"/>
        </w:tabs>
        <w:rPr>
          <w:sz w:val="20"/>
          <w:szCs w:val="20"/>
          <w:color w:val="auto"/>
        </w:rPr>
      </w:pPr>
      <w:r>
        <w:rPr>
          <w:rFonts w:ascii="Times New Roman" w:cs="Times New Roman" w:eastAsia="Times New Roman" w:hAnsi="Times New Roman"/>
          <w:sz w:val="18"/>
          <w:szCs w:val="18"/>
          <w:color w:val="auto"/>
        </w:rPr>
        <w:t>By:</w:t>
        <w:tab/>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Matthew MacDonald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11" w:name="page312"/>
    <w:bookmarkEnd w:id="311"/>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INDEMNITY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December 23, 2020, by and between Ventoux CCM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Prasad Phatak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 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and the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of the Company require indemnification of the officers and directors of the Company. Indemnitee may also be entitled to indemnification pursuant to applicable provisions of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stockholders and that the Company should act to assure such persons that there will be increased certainty of such protection in the future.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2" w:name="page313"/>
    <w:bookmarkEnd w:id="312"/>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Charter and Bylaws of the Company and any resolutions adopted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thereto, and shall not be deemed a substitute therefor, nor to diminish or abrogate any rights of Indemnitee thereunder.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or director without adequate protection, and the Company desires Indemnitee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in such capacity. Indemnitee is willing to serve, continue to serve and to take on additional service for or on behalf of the Company on the condition that he or she be so indemnified.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covenants contained herein, the Company and Indemnitee do hereby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25" w:lineRule="exact"/>
        <w:rPr>
          <w:sz w:val="20"/>
          <w:szCs w:val="20"/>
          <w:color w:val="auto"/>
        </w:rPr>
      </w:pPr>
    </w:p>
    <w:p>
      <w:pPr>
        <w:jc w:val="both"/>
        <w:ind w:left="340" w:hanging="332"/>
        <w:spacing w:after="0" w:line="257" w:lineRule="auto"/>
        <w:tabs>
          <w:tab w:leader="none" w:pos="3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SERVICES TO THE COMPANY</w:t>
      </w:r>
      <w:r>
        <w:rPr>
          <w:rFonts w:ascii="Times New Roman" w:cs="Times New Roman" w:eastAsia="Times New Roman" w:hAnsi="Times New Roman"/>
          <w:sz w:val="18"/>
          <w:szCs w:val="18"/>
          <w:color w:val="auto"/>
        </w:rPr>
        <w:t>. Indemnitee will serve or continue to serve as an officer, director, advisor, key employee or in any other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as applicable, for so long as Indemnitee is duly elected, appointed or retained or until Indemnitee tenders his or her resignation, or is removed or dies. The foregoing notwithstanding, this Agreement shall continue in full force and effect after Indemnitee has ceased to serve as an officer, director,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8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2" w:lineRule="auto"/>
        <w:tabs>
          <w:tab w:leader="none" w:pos="598"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6" w:lineRule="exact"/>
        <w:rPr>
          <w:rFonts w:ascii="Times New Roman" w:cs="Times New Roman" w:eastAsia="Times New Roman" w:hAnsi="Times New Roman"/>
          <w:sz w:val="18"/>
          <w:szCs w:val="18"/>
          <w:color w:val="auto"/>
        </w:rPr>
      </w:pPr>
    </w:p>
    <w:p>
      <w:pPr>
        <w:ind w:left="340" w:right="20" w:hanging="8"/>
        <w:spacing w:after="0" w:line="286" w:lineRule="auto"/>
        <w:tabs>
          <w:tab w:leader="none" w:pos="599"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in effect on the date hereof.</w:t>
      </w:r>
    </w:p>
    <w:p>
      <w:pPr>
        <w:spacing w:after="0" w:line="15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57" w:lineRule="auto"/>
        <w:tabs>
          <w:tab w:leader="none" w:pos="888" w:val="left"/>
        </w:tabs>
        <w:numPr>
          <w:ilvl w:val="2"/>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Stock by Third Party</w:t>
      </w:r>
      <w:r>
        <w:rPr>
          <w:rFonts w:ascii="Times New Roman" w:cs="Times New Roman" w:eastAsia="Times New Roman" w:hAnsi="Times New Roman"/>
          <w:sz w:val="18"/>
          <w:szCs w:val="18"/>
          <w:color w:val="auto"/>
        </w:rPr>
        <w:t>. Other than Ventoux Acquisition Holdings LLC or Chardan International Investments, LLC (the “</w:t>
      </w:r>
      <w:r>
        <w:rPr>
          <w:rFonts w:ascii="Times New Roman" w:cs="Times New Roman" w:eastAsia="Times New Roman" w:hAnsi="Times New Roman"/>
          <w:sz w:val="18"/>
          <w:szCs w:val="18"/>
          <w:b w:val="1"/>
          <w:bCs w:val="1"/>
          <w:i w:val="1"/>
          <w:iCs w:val="1"/>
          <w:color w:val="auto"/>
        </w:rPr>
        <w:t>Co-Sponsors</w:t>
      </w:r>
      <w:r>
        <w:rPr>
          <w:rFonts w:ascii="Times New Roman" w:cs="Times New Roman" w:eastAsia="Times New Roman" w:hAnsi="Times New Roman"/>
          <w:sz w:val="18"/>
          <w:szCs w:val="18"/>
          <w:color w:val="auto"/>
        </w:rPr>
        <w:t>”) or an affiliate thereof, any Person is or becomes the Beneficial Owner, directly or indirectly, of securities of the Company representing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and such acquisition would not constitute a Change in Control under part (iii) of this definition;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3" w:name="page314"/>
    <w:bookmarkEnd w:id="313"/>
    <w:p>
      <w:pPr>
        <w:jc w:val="both"/>
        <w:ind w:left="4" w:hanging="4"/>
        <w:spacing w:after="0" w:line="261" w:lineRule="auto"/>
        <w:tabs>
          <w:tab w:leader="none" w:pos="269"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Times New Roman" w:cs="Times New Roman" w:eastAsia="Times New Roman" w:hAnsi="Times New Roman"/>
          <w:sz w:val="18"/>
          <w:szCs w:val="18"/>
          <w:b w:val="1"/>
          <w:bCs w:val="1"/>
          <w:i w:val="1"/>
          <w:iCs w:val="1"/>
          <w:color w:val="auto"/>
        </w:rPr>
        <w:t>Continuing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79"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332"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share exchange, asset acquisition, stock purchase, recapitalization or other similar business combination involving the Company and one or more businesses or entities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fifty-one percent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any Co-Sponsor or an affiliate thereof,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97"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336"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79"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272"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w:t>
      </w:r>
    </w:p>
    <w:p>
      <w:pPr>
        <w:spacing w:after="0" w:line="38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14" w:name="page315"/>
    <w:bookmarkEnd w:id="314"/>
    <w:p>
      <w:pPr>
        <w:ind w:left="8" w:hanging="8"/>
        <w:spacing w:after="0" w:line="286" w:lineRule="auto"/>
        <w:tabs>
          <w:tab w:leader="none" w:pos="263"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Status</w:t>
      </w:r>
      <w:r>
        <w:rPr>
          <w:rFonts w:ascii="Times New Roman" w:cs="Times New Roman" w:eastAsia="Times New Roman" w:hAnsi="Times New Roman"/>
          <w:sz w:val="18"/>
          <w:szCs w:val="18"/>
          <w:color w:val="auto"/>
        </w:rPr>
        <w:t>” describes the status of a person who is or was a director, officer, trustee, general partner, manager, managing member, fiduciary, employee or agent of the Company or of any other Enterprise which such person is or was serving at the request of the Company.</w:t>
      </w:r>
    </w:p>
    <w:p>
      <w:pPr>
        <w:spacing w:after="0" w:line="154"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Delaware Court</w:t>
      </w:r>
      <w:r>
        <w:rPr>
          <w:rFonts w:ascii="Times New Roman" w:cs="Times New Roman" w:eastAsia="Times New Roman" w:hAnsi="Times New Roman"/>
          <w:sz w:val="18"/>
          <w:szCs w:val="18"/>
          <w:color w:val="auto"/>
        </w:rPr>
        <w:t>” shall mean the Court of Chancery of the State of Delaware.</w:t>
      </w:r>
    </w:p>
    <w:p>
      <w:pPr>
        <w:spacing w:after="0" w:line="225" w:lineRule="exact"/>
        <w:rPr>
          <w:rFonts w:ascii="Times New Roman" w:cs="Times New Roman" w:eastAsia="Times New Roman" w:hAnsi="Times New Roman"/>
          <w:sz w:val="18"/>
          <w:szCs w:val="18"/>
          <w:color w:val="auto"/>
        </w:rPr>
      </w:pPr>
    </w:p>
    <w:p>
      <w:pPr>
        <w:ind w:left="8" w:hanging="8"/>
        <w:spacing w:after="0" w:line="286" w:lineRule="auto"/>
        <w:tabs>
          <w:tab w:leader="none" w:pos="273"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jc w:val="both"/>
        <w:ind w:left="8" w:hanging="8"/>
        <w:spacing w:after="0" w:line="262" w:lineRule="auto"/>
        <w:tabs>
          <w:tab w:leader="none" w:pos="263"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76"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5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including reasonable compensation for time spent by the Indemnitee for which he or she is not otherwise compensated by the Company or any third party. Expenses also shall include Expenses incurred in connection with any appeal resulting from any Proceeding,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jc w:val="both"/>
        <w:ind w:left="8" w:hanging="8"/>
        <w:spacing w:after="0" w:line="257" w:lineRule="auto"/>
        <w:tabs>
          <w:tab w:leader="none" w:pos="232"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39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315" w:name="page316"/>
    <w:bookmarkEnd w:id="315"/>
    <w:p>
      <w:pPr>
        <w:jc w:val="both"/>
        <w:ind w:left="340" w:hanging="8"/>
        <w:spacing w:after="0" w:line="259" w:lineRule="auto"/>
        <w:tabs>
          <w:tab w:leader="none" w:pos="595"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Counsel</w:t>
      </w:r>
      <w:r>
        <w:rPr>
          <w:rFonts w:ascii="Times New Roman" w:cs="Times New Roman" w:eastAsia="Times New Roman" w:hAnsi="Times New Roman"/>
          <w:sz w:val="18"/>
          <w:szCs w:val="18"/>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jc w:val="both"/>
        <w:ind w:left="340" w:hanging="8"/>
        <w:spacing w:after="0" w:line="255" w:lineRule="auto"/>
        <w:tabs>
          <w:tab w:leader="none" w:pos="629"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1" w:lineRule="exact"/>
        <w:rPr>
          <w:rFonts w:ascii="Times New Roman" w:cs="Times New Roman" w:eastAsia="Times New Roman" w:hAnsi="Times New Roman"/>
          <w:sz w:val="18"/>
          <w:szCs w:val="18"/>
          <w:color w:val="auto"/>
        </w:rPr>
      </w:pPr>
    </w:p>
    <w:p>
      <w:pPr>
        <w:jc w:val="both"/>
        <w:ind w:left="340" w:hanging="8"/>
        <w:spacing w:after="0" w:line="257" w:lineRule="auto"/>
        <w:tabs>
          <w:tab w:leader="none" w:pos="564"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“Person” shall exclude: (i) the Company; (ii) any Subsidiaries of the Company; (iii) any employment benefit plan of the Company or of a Subsidiary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of the Company or of a corporation owned directly or indirectly by the stockholders of the Company in substantially the same proportions as their ownership of stock of the Company.</w:t>
      </w:r>
    </w:p>
    <w:p>
      <w:pPr>
        <w:spacing w:after="0" w:line="182"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681"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82" w:lineRule="exact"/>
        <w:rPr>
          <w:rFonts w:ascii="Times New Roman" w:cs="Times New Roman" w:eastAsia="Times New Roman" w:hAnsi="Times New Roman"/>
          <w:sz w:val="18"/>
          <w:szCs w:val="18"/>
          <w:color w:val="auto"/>
        </w:rPr>
      </w:pPr>
    </w:p>
    <w:p>
      <w:pPr>
        <w:ind w:left="340" w:hanging="8"/>
        <w:spacing w:after="0" w:line="286" w:lineRule="auto"/>
        <w:tabs>
          <w:tab w:leader="none" w:pos="599"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the Company shall indemnify, hold harmless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6" w:name="page317"/>
    <w:bookmarkEnd w:id="316"/>
    <w:p>
      <w:pPr>
        <w:jc w:val="both"/>
        <w:ind w:left="340" w:hanging="332"/>
        <w:spacing w:after="0" w:line="254" w:lineRule="auto"/>
        <w:tabs>
          <w:tab w:leader="none" w:pos="34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PROCEEDINGS BY OR IN THE RIGHT OF THE COMPANY</w:t>
      </w:r>
      <w:r>
        <w:rPr>
          <w:rFonts w:ascii="Times New Roman" w:cs="Times New Roman" w:eastAsia="Times New Roman" w:hAnsi="Times New Roman"/>
          <w:sz w:val="18"/>
          <w:szCs w:val="18"/>
          <w:color w:val="auto"/>
        </w:rPr>
        <w:t>. To the fullest extent permitted by applicable law,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of the circumstances of the case, Indemnitee is fairly and reasonably entitled to indemnification, to be held harmless or to exoneration.</w:t>
      </w:r>
    </w:p>
    <w:p>
      <w:pPr>
        <w:spacing w:after="0" w:line="18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except for Section 27, to the extent that Indemnitee was or is a party to or a participant (as a witness, deponent or otherwise)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the Indemnitee is not wholly successful in such Proceeding, the Company also shall, to the fullest extent permitted by applicable law, indemnify, hold harmless and exonerate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 Section 27,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that Indemnitee is a participant (as a witness or otherwise)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7" w:name="page318"/>
    <w:bookmarkEnd w:id="317"/>
    <w:p>
      <w:pPr>
        <w:ind w:left="340" w:hanging="332"/>
        <w:spacing w:after="0"/>
        <w:tabs>
          <w:tab w:leader="none" w:pos="34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or 5,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including an act or omission of Indemnitee not in good faith, or which involves intentional misconduct or a knowing violation of the law.</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 IN THE EVENT OF JOINT LIABILITY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8" w:lineRule="auto"/>
        <w:tabs>
          <w:tab w:leader="none" w:pos="625"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left="340" w:right="20" w:hanging="8"/>
        <w:spacing w:after="0" w:line="282" w:lineRule="auto"/>
        <w:tabs>
          <w:tab w:leader="none" w:pos="601"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7"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any indemnification, hold harmless or exoneration payment in connection with any claim made against Indemnitee:</w:t>
      </w:r>
    </w:p>
    <w:p>
      <w:pPr>
        <w:spacing w:after="0" w:line="158" w:lineRule="exact"/>
        <w:rPr>
          <w:rFonts w:ascii="Times New Roman" w:cs="Times New Roman" w:eastAsia="Times New Roman" w:hAnsi="Times New Roman"/>
          <w:sz w:val="18"/>
          <w:szCs w:val="18"/>
          <w:color w:val="auto"/>
        </w:rPr>
      </w:pPr>
    </w:p>
    <w:p>
      <w:pPr>
        <w:ind w:left="340" w:hanging="8"/>
        <w:spacing w:after="0" w:line="282" w:lineRule="auto"/>
        <w:tabs>
          <w:tab w:leader="none" w:pos="591"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95"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8" w:name="page319"/>
    <w:bookmarkEnd w:id="318"/>
    <w:p>
      <w:pPr>
        <w:jc w:val="both"/>
        <w:ind w:left="340" w:hanging="8"/>
        <w:spacing w:after="0" w:line="258" w:lineRule="auto"/>
        <w:tabs>
          <w:tab w:leader="none" w:pos="604"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5"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8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fine, penalty or limitation that is not entitled to be indemnified under this Agreement on the Indemnitee without the Indemnitee’s prior written consent.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NOTIFICATION AND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02"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promptly notify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9" w:name="page320"/>
    <w:bookmarkEnd w:id="319"/>
    <w:p>
      <w:pPr>
        <w:jc w:val="both"/>
        <w:ind w:left="340" w:hanging="8"/>
        <w:spacing w:after="0" w:line="261" w:lineRule="auto"/>
        <w:tabs>
          <w:tab w:leader="none" w:pos="628"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12(a) of this Agreement.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5"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or (iii)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9" w:lineRule="exact"/>
        <w:rPr>
          <w:rFonts w:ascii="Times New Roman" w:cs="Times New Roman" w:eastAsia="Times New Roman" w:hAnsi="Times New Roman"/>
          <w:sz w:val="18"/>
          <w:szCs w:val="18"/>
          <w:color w:val="auto"/>
        </w:rPr>
      </w:pPr>
    </w:p>
    <w:p>
      <w:pPr>
        <w:jc w:val="both"/>
        <w:ind w:left="340" w:hanging="8"/>
        <w:spacing w:after="0" w:line="252" w:lineRule="auto"/>
        <w:tabs>
          <w:tab w:leader="none" w:pos="622"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set forth in Section 2(k) hereof. If the Independent Counsel is selected by the Board, the Company shall give written notice to Indemnitee advising him of the identity of the Independent Counsel so selected and certifying that the Independent Counsel so selected meets the requirements set forth in Section 2(k) hereof.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so selected meets the requirements set forth in Section 2(k) hereof,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0" w:name="page321"/>
    <w:bookmarkEnd w:id="320"/>
    <w:p>
      <w:pPr>
        <w:ind w:left="340" w:right="20" w:hanging="8"/>
        <w:spacing w:after="0" w:line="282" w:lineRule="auto"/>
        <w:tabs>
          <w:tab w:leader="none" w:pos="591"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593"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30"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thirty (30) 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1" w:name="page322"/>
    <w:bookmarkEnd w:id="321"/>
    <w:p>
      <w:pPr>
        <w:jc w:val="both"/>
        <w:ind w:left="340" w:hanging="8"/>
        <w:spacing w:after="0" w:line="258" w:lineRule="auto"/>
        <w:tabs>
          <w:tab w:leader="none" w:pos="599"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3"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1"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officers or managers of the Enterprise in the course of their duties, or on the advice of legal counsel for the Enterprise, its Board, any committee of the Board or any director, officer, trustee, general partner, manager or managing member, or on information or records given or reports made to the Enterprise, its Board, any committee of the Board or any director, officer, trustee, general partner, manager or managing member, by an independent certified public accountant or by an appraiser or other expert selected by the Enterprise, its Board, any committee of the Board or any director, officer, trustee, general partner, manager or managing member.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88"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2"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this Agreement, (iv) payment of indemnification is not made pursuant to Section 5, 6, 7 or the last sentence of Section 12(a) of this Agreement within the timeline set forth in this Agreement, (v) a contribution payment is not made in a timely manner pursuant to Section 8 of this Agreement, (vi) payment of indemnification pursuant to Section 3 or 4 of this Agreement is not made within the timeline set forth in this Agreement, or (vii) payment to Indemnitee pursuant to any hold harmless or exoneration rights under this Agreement or otherwise is not made within the timeline set forth in this Agreement,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2" w:name="page323"/>
    <w:bookmarkEnd w:id="322"/>
    <w:p>
      <w:pPr>
        <w:jc w:val="both"/>
        <w:ind w:left="8" w:hanging="8"/>
        <w:spacing w:after="0" w:line="254" w:lineRule="auto"/>
        <w:tabs>
          <w:tab w:leader="none" w:pos="313"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263"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9"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302"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80"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39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323" w:name="page324"/>
    <w:bookmarkEnd w:id="323"/>
    <w:p>
      <w:pPr>
        <w:jc w:val="both"/>
        <w:ind w:left="340" w:hanging="8"/>
        <w:spacing w:after="0" w:line="261" w:lineRule="auto"/>
        <w:tabs>
          <w:tab w:leader="none" w:pos="586"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Delaware law for amounts which the Company indemnifies, holds harmless or exonerates, contributes, reimburses, advances, or is obliged to indemnify, hold harmless, exonerate, contribute, reimburse or advance for the period commencing with the date on which the Indemnitee requests such indemnification, to be held harmless, exonerated, contribution, reimbursement or advancement of any Expenses and ending with the date on which such payment is made to Indemnitee by the Company.</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to the extent requested by the Indemnitee and approved by the Board,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 PRIORITY OF OBLIGATIONS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9"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6"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DGCL and the Bylaws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i w:val="1"/>
          <w:i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4" w:name="page325"/>
    <w:bookmarkEnd w:id="324"/>
    <w:p>
      <w:pPr>
        <w:jc w:val="both"/>
        <w:ind w:left="340" w:hanging="8"/>
        <w:spacing w:after="0" w:line="254" w:lineRule="auto"/>
        <w:tabs>
          <w:tab w:leader="none" w:pos="605"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01"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7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08"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the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8" w:lineRule="exact"/>
        <w:rPr>
          <w:rFonts w:ascii="Times New Roman" w:cs="Times New Roman" w:eastAsia="Times New Roman" w:hAnsi="Times New Roman"/>
          <w:sz w:val="18"/>
          <w:szCs w:val="18"/>
          <w:color w:val="auto"/>
        </w:rPr>
      </w:pPr>
    </w:p>
    <w:p>
      <w:pPr>
        <w:ind w:left="340" w:hanging="8"/>
        <w:spacing w:after="0" w:line="282" w:lineRule="auto"/>
        <w:tabs>
          <w:tab w:leader="none" w:pos="566"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any Co-Sponsor or its respective affiliates or any other Person is secondary.</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or advancement can be provided under this Agreement.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5" w:name="page326"/>
    <w:bookmarkEnd w:id="325"/>
    <w:p>
      <w:pPr>
        <w:jc w:val="both"/>
        <w:ind w:left="332" w:hanging="332"/>
        <w:spacing w:after="0" w:line="255" w:lineRule="auto"/>
        <w:tabs>
          <w:tab w:leader="none" w:pos="332"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or provisions of this Agreement shall be held to be invalid, illegal or unenforceable for any reason whatsoever: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84"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ENFORCEMENT AND BINDING EFFECT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32" w:hanging="8"/>
        <w:spacing w:after="0" w:line="266" w:lineRule="auto"/>
        <w:tabs>
          <w:tab w:leader="none" w:pos="585"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jc w:val="both"/>
        <w:ind w:left="332" w:hanging="8"/>
        <w:spacing w:after="0" w:line="266" w:lineRule="auto"/>
        <w:tabs>
          <w:tab w:leader="none" w:pos="619"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jc w:val="both"/>
        <w:ind w:left="332" w:hanging="8"/>
        <w:spacing w:after="0" w:line="256" w:lineRule="auto"/>
        <w:tabs>
          <w:tab w:leader="none" w:pos="588"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187" w:lineRule="exact"/>
        <w:rPr>
          <w:rFonts w:ascii="Times New Roman" w:cs="Times New Roman" w:eastAsia="Times New Roman" w:hAnsi="Times New Roman"/>
          <w:sz w:val="18"/>
          <w:szCs w:val="18"/>
          <w:color w:val="auto"/>
        </w:rPr>
      </w:pPr>
    </w:p>
    <w:p>
      <w:pPr>
        <w:jc w:val="both"/>
        <w:ind w:left="332" w:hanging="8"/>
        <w:spacing w:after="0" w:line="261" w:lineRule="auto"/>
        <w:tabs>
          <w:tab w:leader="none" w:pos="587"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3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326" w:name="page327"/>
    <w:bookmarkEnd w:id="326"/>
    <w:p>
      <w:pPr>
        <w:jc w:val="both"/>
        <w:ind w:left="340" w:hanging="8"/>
        <w:spacing w:after="0" w:line="254" w:lineRule="auto"/>
        <w:tabs>
          <w:tab w:leader="none" w:pos="623"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Delaware Court, and the Company hereby waives any such requirement of such a bond or undertaking.</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 writing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requests, demands and other communications under this Agreement shall be in writing and shall be deemed to have been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74"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Attn: Edward Scheetz, Chief Executive Officer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7" w:name="page328"/>
    <w:bookmarkEnd w:id="327"/>
    <w:p>
      <w:pPr>
        <w:jc w:val="both"/>
        <w:ind w:left="340" w:hanging="332"/>
        <w:spacing w:after="0" w:line="254" w:lineRule="auto"/>
        <w:tabs>
          <w:tab w:leader="none" w:pos="34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 headings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 required,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undertakes to cause such act, resolution, approval or other procedure to be affected or adopted in a manner that will enable the Company to fulfill its obligations under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to the contrary contained herein, Indemnitee hereby agrees that he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 does not have any right, title, interest or claim of any kind (each,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 For purposes of clarity, Indemnitee acknowledges and agrees that no monies held in the Trust Account may be used to indemnify Indemnitee for any purpose whatsoever.</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MAINTENANCE OF INSURANCE. </w:t>
      </w:r>
      <w:r>
        <w:rPr>
          <w:rFonts w:ascii="Times New Roman" w:cs="Times New Roman" w:eastAsia="Times New Roman" w:hAnsi="Times New Roman"/>
          <w:sz w:val="18"/>
          <w:szCs w:val="18"/>
          <w:color w:val="auto"/>
        </w:rPr>
        <w:t>The Company shall use commercially reasonable efforts to obtain and maintain in effect during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signed as of the day and year first above written.</w:t>
      </w:r>
    </w:p>
    <w:p>
      <w:pPr>
        <w:spacing w:after="0" w:line="2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29"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27" w:lineRule="exact"/>
        <w:rPr>
          <w:sz w:val="20"/>
          <w:szCs w:val="20"/>
          <w:color w:val="auto"/>
        </w:rPr>
      </w:pPr>
    </w:p>
    <w:p>
      <w:pPr>
        <w:ind w:left="654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329" w:name="page330"/>
    <w:bookmarkEnd w:id="329"/>
    <w:p>
      <w:pPr>
        <w:ind w:left="564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jc w:val="right"/>
        <w:ind w:right="1699"/>
        <w:spacing w:after="0"/>
        <w:tabs>
          <w:tab w:leader="none" w:pos="1220" w:val="left"/>
        </w:tabs>
        <w:rPr>
          <w:sz w:val="20"/>
          <w:szCs w:val="20"/>
          <w:color w:val="auto"/>
        </w:rPr>
      </w:pPr>
      <w:r>
        <w:rPr>
          <w:rFonts w:ascii="Times New Roman" w:cs="Times New Roman" w:eastAsia="Times New Roman" w:hAnsi="Times New Roman"/>
          <w:sz w:val="18"/>
          <w:szCs w:val="18"/>
          <w:color w:val="auto"/>
        </w:rPr>
        <w:t>By:</w:t>
        <w:tab/>
        <w:t>/s/ Prasad Phatak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Prasad Phatak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30" w:name="page331"/>
    <w:bookmarkEnd w:id="330"/>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INDEMNITY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December 23, 2020, by and between Ventoux CCM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Edward Scheetz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 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and the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of the Company require indemnification of the officers and directors of the Company. Indemnitee may also be entitled to indemnification pursuant to applicable provisions of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stockholders and that the Company should act to assure such persons that there will be increased certainty of such protection in the future.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1" w:name="page332"/>
    <w:bookmarkEnd w:id="331"/>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Charter and Bylaws of the Company and any resolutions adopted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thereto, and shall not be deemed a substitute therefor, nor to diminish or abrogate any rights of Indemnitee thereunder.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or director without adequate protection, and the Company desires Indemnitee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in such capacity. Indemnitee is willing to serve, continue to serve and to take on additional service for or on behalf of the Company on the condition that he or she be so indemnified.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covenants contained herein, the Company and Indemnitee do hereby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25" w:lineRule="exact"/>
        <w:rPr>
          <w:sz w:val="20"/>
          <w:szCs w:val="20"/>
          <w:color w:val="auto"/>
        </w:rPr>
      </w:pPr>
    </w:p>
    <w:p>
      <w:pPr>
        <w:jc w:val="both"/>
        <w:ind w:left="340" w:hanging="332"/>
        <w:spacing w:after="0" w:line="257" w:lineRule="auto"/>
        <w:tabs>
          <w:tab w:leader="none" w:pos="34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SERVICES TO THE COMPANY</w:t>
      </w:r>
      <w:r>
        <w:rPr>
          <w:rFonts w:ascii="Times New Roman" w:cs="Times New Roman" w:eastAsia="Times New Roman" w:hAnsi="Times New Roman"/>
          <w:sz w:val="18"/>
          <w:szCs w:val="18"/>
          <w:color w:val="auto"/>
        </w:rPr>
        <w:t>. Indemnitee will serve or continue to serve as an officer, director, advisor, key employee or in any other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as applicable, for so long as Indemnitee is duly elected, appointed or retained or until Indemnitee tenders his or her resignation, or is removed or dies. The foregoing notwithstanding, this Agreement shall continue in full force and effect after Indemnitee has ceased to serve as an officer, director,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8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2" w:lineRule="auto"/>
        <w:tabs>
          <w:tab w:leader="none" w:pos="598"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6" w:lineRule="exact"/>
        <w:rPr>
          <w:rFonts w:ascii="Times New Roman" w:cs="Times New Roman" w:eastAsia="Times New Roman" w:hAnsi="Times New Roman"/>
          <w:sz w:val="18"/>
          <w:szCs w:val="18"/>
          <w:color w:val="auto"/>
        </w:rPr>
      </w:pPr>
    </w:p>
    <w:p>
      <w:pPr>
        <w:ind w:left="340" w:right="20" w:hanging="8"/>
        <w:spacing w:after="0" w:line="286" w:lineRule="auto"/>
        <w:tabs>
          <w:tab w:leader="none" w:pos="599"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in effect on the date hereof.</w:t>
      </w:r>
    </w:p>
    <w:p>
      <w:pPr>
        <w:spacing w:after="0" w:line="15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57" w:lineRule="auto"/>
        <w:tabs>
          <w:tab w:leader="none" w:pos="888" w:val="left"/>
        </w:tabs>
        <w:numPr>
          <w:ilvl w:val="2"/>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Stock by Third Party</w:t>
      </w:r>
      <w:r>
        <w:rPr>
          <w:rFonts w:ascii="Times New Roman" w:cs="Times New Roman" w:eastAsia="Times New Roman" w:hAnsi="Times New Roman"/>
          <w:sz w:val="18"/>
          <w:szCs w:val="18"/>
          <w:color w:val="auto"/>
        </w:rPr>
        <w:t>. Other than Ventoux Acquisition Holdings LLC or Chardan International Investments, LLC (the “</w:t>
      </w:r>
      <w:r>
        <w:rPr>
          <w:rFonts w:ascii="Times New Roman" w:cs="Times New Roman" w:eastAsia="Times New Roman" w:hAnsi="Times New Roman"/>
          <w:sz w:val="18"/>
          <w:szCs w:val="18"/>
          <w:b w:val="1"/>
          <w:bCs w:val="1"/>
          <w:i w:val="1"/>
          <w:iCs w:val="1"/>
          <w:color w:val="auto"/>
        </w:rPr>
        <w:t>Co-Sponsors</w:t>
      </w:r>
      <w:r>
        <w:rPr>
          <w:rFonts w:ascii="Times New Roman" w:cs="Times New Roman" w:eastAsia="Times New Roman" w:hAnsi="Times New Roman"/>
          <w:sz w:val="18"/>
          <w:szCs w:val="18"/>
          <w:color w:val="auto"/>
        </w:rPr>
        <w:t>”) or an affiliate thereof, any Person is or becomes the Beneficial Owner, directly or indirectly, of securities of the Company representing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and such acquisition would not constitute a Change in Control under part (iii) of this definition;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2" w:name="page333"/>
    <w:bookmarkEnd w:id="332"/>
    <w:p>
      <w:pPr>
        <w:jc w:val="both"/>
        <w:ind w:left="4" w:hanging="4"/>
        <w:spacing w:after="0" w:line="261" w:lineRule="auto"/>
        <w:tabs>
          <w:tab w:leader="none" w:pos="269"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Times New Roman" w:cs="Times New Roman" w:eastAsia="Times New Roman" w:hAnsi="Times New Roman"/>
          <w:sz w:val="18"/>
          <w:szCs w:val="18"/>
          <w:b w:val="1"/>
          <w:bCs w:val="1"/>
          <w:i w:val="1"/>
          <w:iCs w:val="1"/>
          <w:color w:val="auto"/>
        </w:rPr>
        <w:t>Continuing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79"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332"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share exchange, asset acquisition, stock purchase, recapitalization or other similar business combination involving the Company and one or more businesses or entities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fifty-one percent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any Co-Sponsor or an affiliate thereof,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97"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336"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79"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272"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w:t>
      </w:r>
    </w:p>
    <w:p>
      <w:pPr>
        <w:spacing w:after="0" w:line="38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33" w:name="page334"/>
    <w:bookmarkEnd w:id="333"/>
    <w:p>
      <w:pPr>
        <w:ind w:left="8" w:hanging="8"/>
        <w:spacing w:after="0" w:line="286" w:lineRule="auto"/>
        <w:tabs>
          <w:tab w:leader="none" w:pos="263"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Status</w:t>
      </w:r>
      <w:r>
        <w:rPr>
          <w:rFonts w:ascii="Times New Roman" w:cs="Times New Roman" w:eastAsia="Times New Roman" w:hAnsi="Times New Roman"/>
          <w:sz w:val="18"/>
          <w:szCs w:val="18"/>
          <w:color w:val="auto"/>
        </w:rPr>
        <w:t>” describes the status of a person who is or was a director, officer, trustee, general partner, manager, managing member, fiduciary, employee or agent of the Company or of any other Enterprise which such person is or was serving at the request of the Company.</w:t>
      </w:r>
    </w:p>
    <w:p>
      <w:pPr>
        <w:spacing w:after="0" w:line="154"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Delaware Court</w:t>
      </w:r>
      <w:r>
        <w:rPr>
          <w:rFonts w:ascii="Times New Roman" w:cs="Times New Roman" w:eastAsia="Times New Roman" w:hAnsi="Times New Roman"/>
          <w:sz w:val="18"/>
          <w:szCs w:val="18"/>
          <w:color w:val="auto"/>
        </w:rPr>
        <w:t>” shall mean the Court of Chancery of the State of Delaware.</w:t>
      </w:r>
    </w:p>
    <w:p>
      <w:pPr>
        <w:spacing w:after="0" w:line="225" w:lineRule="exact"/>
        <w:rPr>
          <w:rFonts w:ascii="Times New Roman" w:cs="Times New Roman" w:eastAsia="Times New Roman" w:hAnsi="Times New Roman"/>
          <w:sz w:val="18"/>
          <w:szCs w:val="18"/>
          <w:color w:val="auto"/>
        </w:rPr>
      </w:pPr>
    </w:p>
    <w:p>
      <w:pPr>
        <w:ind w:left="8" w:hanging="8"/>
        <w:spacing w:after="0" w:line="286" w:lineRule="auto"/>
        <w:tabs>
          <w:tab w:leader="none" w:pos="273"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jc w:val="both"/>
        <w:ind w:left="8" w:hanging="8"/>
        <w:spacing w:after="0" w:line="262" w:lineRule="auto"/>
        <w:tabs>
          <w:tab w:leader="none" w:pos="263"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76"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5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including reasonable compensation for time spent by the Indemnitee for which he or she is not otherwise compensated by the Company or any third party. Expenses also shall include Expenses incurred in connection with any appeal resulting from any Proceeding,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jc w:val="both"/>
        <w:ind w:left="8" w:hanging="8"/>
        <w:spacing w:after="0" w:line="257" w:lineRule="auto"/>
        <w:tabs>
          <w:tab w:leader="none" w:pos="232"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182" w:lineRule="exact"/>
        <w:rPr>
          <w:rFonts w:ascii="Times New Roman" w:cs="Times New Roman" w:eastAsia="Times New Roman" w:hAnsi="Times New Roman"/>
          <w:sz w:val="18"/>
          <w:szCs w:val="18"/>
          <w:color w:val="auto"/>
        </w:rPr>
      </w:pPr>
    </w:p>
    <w:p>
      <w:pPr>
        <w:jc w:val="both"/>
        <w:ind w:left="8" w:hanging="8"/>
        <w:spacing w:after="0" w:line="259" w:lineRule="auto"/>
        <w:tabs>
          <w:tab w:leader="none" w:pos="263"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Counsel</w:t>
      </w:r>
      <w:r>
        <w:rPr>
          <w:rFonts w:ascii="Times New Roman" w:cs="Times New Roman" w:eastAsia="Times New Roman" w:hAnsi="Times New Roman"/>
          <w:sz w:val="18"/>
          <w:szCs w:val="18"/>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jc w:val="both"/>
        <w:ind w:left="8" w:hanging="8"/>
        <w:spacing w:after="0" w:line="255" w:lineRule="auto"/>
        <w:tabs>
          <w:tab w:leader="none" w:pos="297"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39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334" w:name="page335"/>
    <w:bookmarkEnd w:id="334"/>
    <w:p>
      <w:pPr>
        <w:jc w:val="both"/>
        <w:ind w:left="340" w:hanging="8"/>
        <w:spacing w:after="0" w:line="257" w:lineRule="auto"/>
        <w:tabs>
          <w:tab w:leader="none" w:pos="564"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“Person” shall exclude: (i) the Company; (ii) any Subsidiaries of the Company; (iii) any employment benefit plan of the Company or of a Subsidiary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of the Company or of a corporation owned directly or indirectly by the stockholders of the Company in substantially the same proportions as their ownership of stock of the Company.</w:t>
      </w:r>
    </w:p>
    <w:p>
      <w:pPr>
        <w:spacing w:after="0" w:line="182"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681"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82" w:lineRule="exact"/>
        <w:rPr>
          <w:rFonts w:ascii="Times New Roman" w:cs="Times New Roman" w:eastAsia="Times New Roman" w:hAnsi="Times New Roman"/>
          <w:sz w:val="18"/>
          <w:szCs w:val="18"/>
          <w:color w:val="auto"/>
        </w:rPr>
      </w:pPr>
    </w:p>
    <w:p>
      <w:pPr>
        <w:ind w:left="340" w:hanging="8"/>
        <w:spacing w:after="0" w:line="286" w:lineRule="auto"/>
        <w:tabs>
          <w:tab w:leader="none" w:pos="599"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the Company shall indemnify, hold harmless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5" w:name="page336"/>
    <w:bookmarkEnd w:id="335"/>
    <w:p>
      <w:pPr>
        <w:jc w:val="both"/>
        <w:ind w:left="340" w:hanging="332"/>
        <w:spacing w:after="0" w:line="254" w:lineRule="auto"/>
        <w:tabs>
          <w:tab w:leader="none" w:pos="34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PROCEEDINGS BY OR IN THE RIGHT OF THE COMPANY</w:t>
      </w:r>
      <w:r>
        <w:rPr>
          <w:rFonts w:ascii="Times New Roman" w:cs="Times New Roman" w:eastAsia="Times New Roman" w:hAnsi="Times New Roman"/>
          <w:sz w:val="18"/>
          <w:szCs w:val="18"/>
          <w:color w:val="auto"/>
        </w:rPr>
        <w:t>. To the fullest extent permitted by applicable law,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of the circumstances of the case, Indemnitee is fairly and reasonably entitled to indemnification, to be held harmless or to exoneration.</w:t>
      </w:r>
    </w:p>
    <w:p>
      <w:pPr>
        <w:spacing w:after="0" w:line="18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except for Section 27, to the extent that Indemnitee was or is a party to or a participant (as a witness, deponent or otherwise)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the Indemnitee is not wholly successful in such Proceeding, the Company also shall, to the fullest extent permitted by applicable law, indemnify, hold harmless and exonerate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 Section 27,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that Indemnitee is a participant (as a witness or otherwise)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6" w:name="page337"/>
    <w:bookmarkEnd w:id="336"/>
    <w:p>
      <w:pPr>
        <w:ind w:left="340" w:hanging="332"/>
        <w:spacing w:after="0"/>
        <w:tabs>
          <w:tab w:leader="none" w:pos="34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or 5,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including an act or omission of Indemnitee not in good faith, or which involves intentional misconduct or a knowing violation of the law.</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 IN THE EVENT OF JOINT LIABILITY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8" w:lineRule="auto"/>
        <w:tabs>
          <w:tab w:leader="none" w:pos="625"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left="340" w:right="20" w:hanging="8"/>
        <w:spacing w:after="0" w:line="282" w:lineRule="auto"/>
        <w:tabs>
          <w:tab w:leader="none" w:pos="601"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7"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any indemnification, hold harmless or exoneration payment in connection with any claim made against Indemnitee:</w:t>
      </w:r>
    </w:p>
    <w:p>
      <w:pPr>
        <w:spacing w:after="0" w:line="158" w:lineRule="exact"/>
        <w:rPr>
          <w:rFonts w:ascii="Times New Roman" w:cs="Times New Roman" w:eastAsia="Times New Roman" w:hAnsi="Times New Roman"/>
          <w:sz w:val="18"/>
          <w:szCs w:val="18"/>
          <w:color w:val="auto"/>
        </w:rPr>
      </w:pPr>
    </w:p>
    <w:p>
      <w:pPr>
        <w:ind w:left="340" w:hanging="8"/>
        <w:spacing w:after="0" w:line="282" w:lineRule="auto"/>
        <w:tabs>
          <w:tab w:leader="none" w:pos="591"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37" w:name="page338"/>
    <w:bookmarkEnd w:id="337"/>
    <w:p>
      <w:pPr>
        <w:ind w:left="340" w:right="20" w:hanging="8"/>
        <w:spacing w:after="0" w:line="282" w:lineRule="auto"/>
        <w:tabs>
          <w:tab w:leader="none" w:pos="595"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161" w:lineRule="exact"/>
        <w:rPr>
          <w:rFonts w:ascii="Times New Roman" w:cs="Times New Roman" w:eastAsia="Times New Roman" w:hAnsi="Times New Roman"/>
          <w:sz w:val="18"/>
          <w:szCs w:val="18"/>
          <w:color w:val="auto"/>
        </w:rPr>
      </w:pPr>
    </w:p>
    <w:p>
      <w:pPr>
        <w:jc w:val="both"/>
        <w:ind w:left="340" w:hanging="8"/>
        <w:spacing w:after="0" w:line="258" w:lineRule="auto"/>
        <w:tabs>
          <w:tab w:leader="none" w:pos="604"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5"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8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fine, penalty or limitation that is not entitled to be indemnified under this Agreement on the Indemnitee without the Indemnitee’s prior written consent.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NOTIFICATION AND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02"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promptly notify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8" w:name="page339"/>
    <w:bookmarkEnd w:id="338"/>
    <w:p>
      <w:pPr>
        <w:jc w:val="both"/>
        <w:ind w:left="340" w:hanging="8"/>
        <w:spacing w:after="0" w:line="261" w:lineRule="auto"/>
        <w:tabs>
          <w:tab w:leader="none" w:pos="628"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12(a) of this Agreement.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5"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or (iii)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9" w:lineRule="exact"/>
        <w:rPr>
          <w:rFonts w:ascii="Times New Roman" w:cs="Times New Roman" w:eastAsia="Times New Roman" w:hAnsi="Times New Roman"/>
          <w:sz w:val="18"/>
          <w:szCs w:val="18"/>
          <w:color w:val="auto"/>
        </w:rPr>
      </w:pPr>
    </w:p>
    <w:p>
      <w:pPr>
        <w:jc w:val="both"/>
        <w:ind w:left="340" w:hanging="8"/>
        <w:spacing w:after="0" w:line="252" w:lineRule="auto"/>
        <w:tabs>
          <w:tab w:leader="none" w:pos="622"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set forth in Section 2(k) hereof. If the Independent Counsel is selected by the Board, the Company shall give written notice to Indemnitee advising him of the identity of the Independent Counsel so selected and certifying that the Independent Counsel so selected meets the requirements set forth in Section 2(k) hereof.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so selected meets the requirements set forth in Section 2(k) hereof,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9" w:name="page340"/>
    <w:bookmarkEnd w:id="339"/>
    <w:p>
      <w:pPr>
        <w:ind w:left="340" w:right="20" w:hanging="8"/>
        <w:spacing w:after="0" w:line="282" w:lineRule="auto"/>
        <w:tabs>
          <w:tab w:leader="none" w:pos="591"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593"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30"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thirty (30) 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0" w:name="page341"/>
    <w:bookmarkEnd w:id="340"/>
    <w:p>
      <w:pPr>
        <w:jc w:val="both"/>
        <w:ind w:left="340" w:hanging="8"/>
        <w:spacing w:after="0" w:line="258" w:lineRule="auto"/>
        <w:tabs>
          <w:tab w:leader="none" w:pos="599"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3"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1"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officers or managers of the Enterprise in the course of their duties, or on the advice of legal counsel for the Enterprise, its Board, any committee of the Board or any director, officer, trustee, general partner, manager or managing member, or on information or records given or reports made to the Enterprise, its Board, any committee of the Board or any director, officer, trustee, general partner, manager or managing member, by an independent certified public accountant or by an appraiser or other expert selected by the Enterprise, its Board, any committee of the Board or any director, officer, trustee, general partner, manager or managing member.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88"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2"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this Agreement, (iv) payment of indemnification is not made pursuant to Section 5, 6, 7 or the last sentence of Section 12(a) of this Agreement within the timeline set forth in this Agreement, (v) a contribution payment is not made in a timely manner pursuant to Section 8 of this Agreement, (vi) payment of indemnification pursuant to Section 3 or 4 of this Agreement is not made within the timeline set forth in this Agreement, or (vii) payment to Indemnitee pursuant to any hold harmless or exoneration rights under this Agreement or otherwise is not made within the timeline set forth in this Agreement,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1" w:name="page342"/>
    <w:bookmarkEnd w:id="341"/>
    <w:p>
      <w:pPr>
        <w:jc w:val="both"/>
        <w:ind w:left="8" w:hanging="8"/>
        <w:spacing w:after="0" w:line="254" w:lineRule="auto"/>
        <w:tabs>
          <w:tab w:leader="none" w:pos="313"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263"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9"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302"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8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39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342" w:name="page343"/>
    <w:bookmarkEnd w:id="342"/>
    <w:p>
      <w:pPr>
        <w:jc w:val="both"/>
        <w:ind w:left="340" w:hanging="8"/>
        <w:spacing w:after="0" w:line="261" w:lineRule="auto"/>
        <w:tabs>
          <w:tab w:leader="none" w:pos="586"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Delaware law for amounts which the Company indemnifies, holds harmless or exonerates, contributes, reimburses, advances, or is obliged to indemnify, hold harmless, exonerate, contribute, reimburse or advance for the period commencing with the date on which the Indemnitee requests such indemnification, to be held harmless, exonerated, contribution, reimbursement or advancement of any Expenses and ending with the date on which such payment is made to Indemnitee by the Company.</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to the extent requested by the Indemnitee and approved by the Board,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 PRIORITY OF OBLIGATIONS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9"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6"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DGCL and the Bylaws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i w:val="1"/>
          <w:i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3" w:name="page344"/>
    <w:bookmarkEnd w:id="343"/>
    <w:p>
      <w:pPr>
        <w:jc w:val="both"/>
        <w:ind w:left="8" w:hanging="8"/>
        <w:spacing w:after="0" w:line="254" w:lineRule="auto"/>
        <w:tabs>
          <w:tab w:leader="none" w:pos="273"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269"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79"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76"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the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395"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344" w:name="page345"/>
    <w:bookmarkEnd w:id="344"/>
    <w:p>
      <w:pPr>
        <w:ind w:left="340" w:hanging="8"/>
        <w:spacing w:after="0" w:line="282" w:lineRule="auto"/>
        <w:tabs>
          <w:tab w:leader="none" w:pos="566"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any Co-Sponsor or its respective affiliates or any other Person is secondary.</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or advancement can be provided under this Agreement.</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or provisions of this Agreement shall be held to be invalid, illegal or unenforceable for any reason whatsoever: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ENFORCEMENT AND BINDING EFFECT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593"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27"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5" w:name="page346"/>
    <w:bookmarkEnd w:id="345"/>
    <w:p>
      <w:pPr>
        <w:jc w:val="both"/>
        <w:ind w:left="340" w:hanging="8"/>
        <w:spacing w:after="0" w:line="256" w:lineRule="auto"/>
        <w:tabs>
          <w:tab w:leader="none" w:pos="596"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187"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595"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17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23"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Delaware Court, and the Company hereby waives any such requirement of such a bond or undertaking.</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 writing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requests, demands and other communications under this Agreement shall be in writing and shall be deemed to have been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74"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Attn: Edward Scheetz, Chief Executive Officer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6" w:name="page347"/>
    <w:bookmarkEnd w:id="346"/>
    <w:p>
      <w:pPr>
        <w:jc w:val="both"/>
        <w:ind w:left="340" w:hanging="332"/>
        <w:spacing w:after="0" w:line="254" w:lineRule="auto"/>
        <w:tabs>
          <w:tab w:leader="none" w:pos="3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 headings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 required,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undertakes to cause such act, resolution, approval or other procedure to be affected or adopted in a manner that will enable the Company to fulfill its obligations under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to the contrary contained herein, Indemnitee hereby agrees that he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 does not have any right, title, interest or claim of any kind (each,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 For purposes of clarity, Indemnitee acknowledges and agrees that no monies held in the Trust Account may be used to indemnify Indemnitee for any purpose whatsoever.</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MAINTENANCE OF INSURANCE. </w:t>
      </w:r>
      <w:r>
        <w:rPr>
          <w:rFonts w:ascii="Times New Roman" w:cs="Times New Roman" w:eastAsia="Times New Roman" w:hAnsi="Times New Roman"/>
          <w:sz w:val="18"/>
          <w:szCs w:val="18"/>
          <w:color w:val="auto"/>
        </w:rPr>
        <w:t>The Company shall use commercially reasonable efforts to obtain and maintain in effect during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signed as of the day and year first above written.</w:t>
      </w:r>
    </w:p>
    <w:p>
      <w:pPr>
        <w:spacing w:after="0" w:line="2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29"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27" w:lineRule="exact"/>
        <w:rPr>
          <w:sz w:val="20"/>
          <w:szCs w:val="20"/>
          <w:color w:val="auto"/>
        </w:rPr>
      </w:pPr>
    </w:p>
    <w:p>
      <w:pPr>
        <w:ind w:left="654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348" w:name="page349"/>
    <w:bookmarkEnd w:id="348"/>
    <w:p>
      <w:pPr>
        <w:ind w:left="564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jc w:val="right"/>
        <w:ind w:right="1559"/>
        <w:spacing w:after="0"/>
        <w:tabs>
          <w:tab w:leader="none" w:pos="1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Edward Scheetz</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49" w:name="page350"/>
    <w:bookmarkEnd w:id="349"/>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INDEMNITY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December 23, 2020, by and between Ventoux CCM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Brock Strasbourger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 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and the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of the Company require indemnification of the officers and directors of the Company. Indemnitee may also be entitled to indemnification pursuant to applicable provisions of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stockholders and that the Company should act to assure such persons that there will be increased certainty of such protection in the future.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0" w:name="page351"/>
    <w:bookmarkEnd w:id="350"/>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Charter and Bylaws of the Company and any resolutions adopted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thereto, and shall not be deemed a substitute therefor, nor to diminish or abrogate any rights of Indemnitee thereunder.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or director without adequate protection, and the Company desires Indemnitee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in such capacity. Indemnitee is willing to serve, continue to serve and to take on additional service for or on behalf of the Company on the condition that he or she be so indemnified.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covenants contained herein, the Company and Indemnitee do hereby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25" w:lineRule="exact"/>
        <w:rPr>
          <w:sz w:val="20"/>
          <w:szCs w:val="20"/>
          <w:color w:val="auto"/>
        </w:rPr>
      </w:pPr>
    </w:p>
    <w:p>
      <w:pPr>
        <w:jc w:val="both"/>
        <w:ind w:left="340" w:hanging="332"/>
        <w:spacing w:after="0" w:line="257" w:lineRule="auto"/>
        <w:tabs>
          <w:tab w:leader="none" w:pos="34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SERVICES TO THE COMPANY</w:t>
      </w:r>
      <w:r>
        <w:rPr>
          <w:rFonts w:ascii="Times New Roman" w:cs="Times New Roman" w:eastAsia="Times New Roman" w:hAnsi="Times New Roman"/>
          <w:sz w:val="18"/>
          <w:szCs w:val="18"/>
          <w:color w:val="auto"/>
        </w:rPr>
        <w:t>. Indemnitee will serve or continue to serve as an officer, director, advisor, key employee or in any other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as applicable, for so long as Indemnitee is duly elected, appointed or retained or until Indemnitee tenders his or her resignation, or is removed or dies. The foregoing notwithstanding, this Agreement shall continue in full force and effect after Indemnitee has ceased to serve as an officer, director,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8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2" w:lineRule="auto"/>
        <w:tabs>
          <w:tab w:leader="none" w:pos="598"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6" w:lineRule="exact"/>
        <w:rPr>
          <w:rFonts w:ascii="Times New Roman" w:cs="Times New Roman" w:eastAsia="Times New Roman" w:hAnsi="Times New Roman"/>
          <w:sz w:val="18"/>
          <w:szCs w:val="18"/>
          <w:color w:val="auto"/>
        </w:rPr>
      </w:pPr>
    </w:p>
    <w:p>
      <w:pPr>
        <w:ind w:left="340" w:right="20" w:hanging="8"/>
        <w:spacing w:after="0" w:line="286" w:lineRule="auto"/>
        <w:tabs>
          <w:tab w:leader="none" w:pos="599"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in effect on the date hereof.</w:t>
      </w:r>
    </w:p>
    <w:p>
      <w:pPr>
        <w:spacing w:after="0" w:line="15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57" w:lineRule="auto"/>
        <w:tabs>
          <w:tab w:leader="none" w:pos="888" w:val="left"/>
        </w:tabs>
        <w:numPr>
          <w:ilvl w:val="2"/>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Stock by Third Party</w:t>
      </w:r>
      <w:r>
        <w:rPr>
          <w:rFonts w:ascii="Times New Roman" w:cs="Times New Roman" w:eastAsia="Times New Roman" w:hAnsi="Times New Roman"/>
          <w:sz w:val="18"/>
          <w:szCs w:val="18"/>
          <w:color w:val="auto"/>
        </w:rPr>
        <w:t>. Other than Ventoux Acquisition Holdings LLC or Chardan International Investments, LLC (the “</w:t>
      </w:r>
      <w:r>
        <w:rPr>
          <w:rFonts w:ascii="Times New Roman" w:cs="Times New Roman" w:eastAsia="Times New Roman" w:hAnsi="Times New Roman"/>
          <w:sz w:val="18"/>
          <w:szCs w:val="18"/>
          <w:b w:val="1"/>
          <w:bCs w:val="1"/>
          <w:i w:val="1"/>
          <w:iCs w:val="1"/>
          <w:color w:val="auto"/>
        </w:rPr>
        <w:t>Co-Sponsors</w:t>
      </w:r>
      <w:r>
        <w:rPr>
          <w:rFonts w:ascii="Times New Roman" w:cs="Times New Roman" w:eastAsia="Times New Roman" w:hAnsi="Times New Roman"/>
          <w:sz w:val="18"/>
          <w:szCs w:val="18"/>
          <w:color w:val="auto"/>
        </w:rPr>
        <w:t>”) or an affiliate thereof, any Person is or becomes the Beneficial Owner, directly or indirectly, of securities of the Company representing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and such acquisition would not constitute a Change in Control under part (iii) of this definition;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1" w:name="page352"/>
    <w:bookmarkEnd w:id="351"/>
    <w:p>
      <w:pPr>
        <w:jc w:val="both"/>
        <w:ind w:left="4" w:hanging="4"/>
        <w:spacing w:after="0" w:line="261" w:lineRule="auto"/>
        <w:tabs>
          <w:tab w:leader="none" w:pos="269"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Times New Roman" w:cs="Times New Roman" w:eastAsia="Times New Roman" w:hAnsi="Times New Roman"/>
          <w:sz w:val="18"/>
          <w:szCs w:val="18"/>
          <w:b w:val="1"/>
          <w:bCs w:val="1"/>
          <w:i w:val="1"/>
          <w:iCs w:val="1"/>
          <w:color w:val="auto"/>
        </w:rPr>
        <w:t>Continuing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79"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33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share exchange, asset acquisition, stock purchase, recapitalization or other similar business combination involving the Company and one or more businesses or entities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fifty-one percent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any Co-Sponsor or an affiliate thereof,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97"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33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79"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272"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w:t>
      </w:r>
    </w:p>
    <w:p>
      <w:pPr>
        <w:spacing w:after="0" w:line="38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52" w:name="page353"/>
    <w:bookmarkEnd w:id="352"/>
    <w:p>
      <w:pPr>
        <w:ind w:left="8" w:hanging="8"/>
        <w:spacing w:after="0" w:line="286" w:lineRule="auto"/>
        <w:tabs>
          <w:tab w:leader="none" w:pos="263"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Status</w:t>
      </w:r>
      <w:r>
        <w:rPr>
          <w:rFonts w:ascii="Times New Roman" w:cs="Times New Roman" w:eastAsia="Times New Roman" w:hAnsi="Times New Roman"/>
          <w:sz w:val="18"/>
          <w:szCs w:val="18"/>
          <w:color w:val="auto"/>
        </w:rPr>
        <w:t>” describes the status of a person who is or was a director, officer, trustee, general partner, manager, managing member, fiduciary, employee or agent of the Company or of any other Enterprise which such person is or was serving at the request of the Company.</w:t>
      </w:r>
    </w:p>
    <w:p>
      <w:pPr>
        <w:spacing w:after="0" w:line="154"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Delaware Court</w:t>
      </w:r>
      <w:r>
        <w:rPr>
          <w:rFonts w:ascii="Times New Roman" w:cs="Times New Roman" w:eastAsia="Times New Roman" w:hAnsi="Times New Roman"/>
          <w:sz w:val="18"/>
          <w:szCs w:val="18"/>
          <w:color w:val="auto"/>
        </w:rPr>
        <w:t>” shall mean the Court of Chancery of the State of Delaware.</w:t>
      </w:r>
    </w:p>
    <w:p>
      <w:pPr>
        <w:spacing w:after="0" w:line="225" w:lineRule="exact"/>
        <w:rPr>
          <w:rFonts w:ascii="Times New Roman" w:cs="Times New Roman" w:eastAsia="Times New Roman" w:hAnsi="Times New Roman"/>
          <w:sz w:val="18"/>
          <w:szCs w:val="18"/>
          <w:color w:val="auto"/>
        </w:rPr>
      </w:pPr>
    </w:p>
    <w:p>
      <w:pPr>
        <w:ind w:left="8" w:hanging="8"/>
        <w:spacing w:after="0" w:line="286" w:lineRule="auto"/>
        <w:tabs>
          <w:tab w:leader="none" w:pos="273"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jc w:val="both"/>
        <w:ind w:left="8" w:hanging="8"/>
        <w:spacing w:after="0" w:line="262" w:lineRule="auto"/>
        <w:tabs>
          <w:tab w:leader="none" w:pos="263"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76"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5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including reasonable compensation for time spent by the Indemnitee for which he or she is not otherwise compensated by the Company or any third party. Expenses also shall include Expenses incurred in connection with any appeal resulting from any Proceeding,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jc w:val="both"/>
        <w:ind w:left="8" w:hanging="8"/>
        <w:spacing w:after="0" w:line="257" w:lineRule="auto"/>
        <w:tabs>
          <w:tab w:leader="none" w:pos="232"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39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353" w:name="page354"/>
    <w:bookmarkEnd w:id="353"/>
    <w:p>
      <w:pPr>
        <w:jc w:val="both"/>
        <w:ind w:left="340" w:hanging="8"/>
        <w:spacing w:after="0" w:line="259" w:lineRule="auto"/>
        <w:tabs>
          <w:tab w:leader="none" w:pos="595"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Counsel</w:t>
      </w:r>
      <w:r>
        <w:rPr>
          <w:rFonts w:ascii="Times New Roman" w:cs="Times New Roman" w:eastAsia="Times New Roman" w:hAnsi="Times New Roman"/>
          <w:sz w:val="18"/>
          <w:szCs w:val="18"/>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jc w:val="both"/>
        <w:ind w:left="340" w:hanging="8"/>
        <w:spacing w:after="0" w:line="255" w:lineRule="auto"/>
        <w:tabs>
          <w:tab w:leader="none" w:pos="629"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81" w:lineRule="exact"/>
        <w:rPr>
          <w:rFonts w:ascii="Times New Roman" w:cs="Times New Roman" w:eastAsia="Times New Roman" w:hAnsi="Times New Roman"/>
          <w:sz w:val="18"/>
          <w:szCs w:val="18"/>
          <w:color w:val="auto"/>
        </w:rPr>
      </w:pPr>
    </w:p>
    <w:p>
      <w:pPr>
        <w:jc w:val="both"/>
        <w:ind w:left="340" w:hanging="8"/>
        <w:spacing w:after="0" w:line="257" w:lineRule="auto"/>
        <w:tabs>
          <w:tab w:leader="none" w:pos="564"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“Person” shall exclude: (i) the Company; (ii) any Subsidiaries of the Company; (iii) any employment benefit plan of the Company or of a Subsidiary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of the Company or of a corporation owned directly or indirectly by the stockholders of the Company in substantially the same proportions as their ownership of stock of the Company.</w:t>
      </w:r>
    </w:p>
    <w:p>
      <w:pPr>
        <w:spacing w:after="0" w:line="182"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681"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82" w:lineRule="exact"/>
        <w:rPr>
          <w:rFonts w:ascii="Times New Roman" w:cs="Times New Roman" w:eastAsia="Times New Roman" w:hAnsi="Times New Roman"/>
          <w:sz w:val="18"/>
          <w:szCs w:val="18"/>
          <w:color w:val="auto"/>
        </w:rPr>
      </w:pPr>
    </w:p>
    <w:p>
      <w:pPr>
        <w:ind w:left="340" w:hanging="8"/>
        <w:spacing w:after="0" w:line="286" w:lineRule="auto"/>
        <w:tabs>
          <w:tab w:leader="none" w:pos="599" w:val="left"/>
        </w:tabs>
        <w:numPr>
          <w:ilvl w:val="1"/>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the Company shall indemnify, hold harmless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4" w:name="page355"/>
    <w:bookmarkEnd w:id="354"/>
    <w:p>
      <w:pPr>
        <w:jc w:val="both"/>
        <w:ind w:left="340" w:hanging="332"/>
        <w:spacing w:after="0" w:line="254" w:lineRule="auto"/>
        <w:tabs>
          <w:tab w:leader="none" w:pos="3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PROCEEDINGS BY OR IN THE RIGHT OF THE COMPANY</w:t>
      </w:r>
      <w:r>
        <w:rPr>
          <w:rFonts w:ascii="Times New Roman" w:cs="Times New Roman" w:eastAsia="Times New Roman" w:hAnsi="Times New Roman"/>
          <w:sz w:val="18"/>
          <w:szCs w:val="18"/>
          <w:color w:val="auto"/>
        </w:rPr>
        <w:t>. To the fullest extent permitted by applicable law,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of the circumstances of the case, Indemnitee is fairly and reasonably entitled to indemnification, to be held harmless or to exoneration.</w:t>
      </w:r>
    </w:p>
    <w:p>
      <w:pPr>
        <w:spacing w:after="0" w:line="18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except for Section 27, to the extent that Indemnitee was or is a party to or a participant (as a witness, deponent or otherwise)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the Indemnitee is not wholly successful in such Proceeding, the Company also shall, to the fullest extent permitted by applicable law, indemnify, hold harmless and exonerate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 Section 27,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that Indemnitee is a participant (as a witness or otherwise)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5" w:name="page356"/>
    <w:bookmarkEnd w:id="355"/>
    <w:p>
      <w:pPr>
        <w:ind w:left="340" w:hanging="332"/>
        <w:spacing w:after="0"/>
        <w:tabs>
          <w:tab w:leader="none" w:pos="34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or 5,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including an act or omission of Indemnitee not in good faith, or which involves intentional misconduct or a knowing violation of the law.</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 IN THE EVENT OF JOINT LIABILITY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8" w:lineRule="auto"/>
        <w:tabs>
          <w:tab w:leader="none" w:pos="625"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left="340" w:right="20" w:hanging="8"/>
        <w:spacing w:after="0" w:line="282" w:lineRule="auto"/>
        <w:tabs>
          <w:tab w:leader="none" w:pos="601"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7"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any indemnification, hold harmless or exoneration payment in connection with any claim made against Indemnitee:</w:t>
      </w:r>
    </w:p>
    <w:p>
      <w:pPr>
        <w:spacing w:after="0" w:line="158" w:lineRule="exact"/>
        <w:rPr>
          <w:rFonts w:ascii="Times New Roman" w:cs="Times New Roman" w:eastAsia="Times New Roman" w:hAnsi="Times New Roman"/>
          <w:sz w:val="18"/>
          <w:szCs w:val="18"/>
          <w:color w:val="auto"/>
        </w:rPr>
      </w:pPr>
    </w:p>
    <w:p>
      <w:pPr>
        <w:ind w:left="340" w:hanging="8"/>
        <w:spacing w:after="0" w:line="282" w:lineRule="auto"/>
        <w:tabs>
          <w:tab w:leader="none" w:pos="591"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95"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56" w:name="page357"/>
    <w:bookmarkEnd w:id="356"/>
    <w:p>
      <w:pPr>
        <w:jc w:val="both"/>
        <w:ind w:left="340" w:hanging="8"/>
        <w:spacing w:after="0" w:line="258" w:lineRule="auto"/>
        <w:tabs>
          <w:tab w:leader="none" w:pos="604"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5"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8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fine, penalty or limitation that is not entitled to be indemnified under this Agreement on the Indemnitee without the Indemnitee’s prior written consent.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NOTIFICATION AND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02"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promptly notify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7" w:name="page358"/>
    <w:bookmarkEnd w:id="357"/>
    <w:p>
      <w:pPr>
        <w:jc w:val="both"/>
        <w:ind w:left="340" w:hanging="8"/>
        <w:spacing w:after="0" w:line="261" w:lineRule="auto"/>
        <w:tabs>
          <w:tab w:leader="none" w:pos="628"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12(a) of this Agreement.</w:t>
      </w:r>
    </w:p>
    <w:p>
      <w:pPr>
        <w:spacing w:after="0" w:line="17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5"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or (iii)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9" w:lineRule="exact"/>
        <w:rPr>
          <w:rFonts w:ascii="Times New Roman" w:cs="Times New Roman" w:eastAsia="Times New Roman" w:hAnsi="Times New Roman"/>
          <w:sz w:val="18"/>
          <w:szCs w:val="18"/>
          <w:color w:val="auto"/>
        </w:rPr>
      </w:pPr>
    </w:p>
    <w:p>
      <w:pPr>
        <w:jc w:val="both"/>
        <w:ind w:left="340" w:hanging="8"/>
        <w:spacing w:after="0" w:line="252" w:lineRule="auto"/>
        <w:tabs>
          <w:tab w:leader="none" w:pos="622"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set forth in Section 2(k) hereof. If the Independent Counsel is selected by the Board, the Company shall give written notice to Indemnitee advising him of the identity of the Independent Counsel so selected and certifying that the Independent Counsel so selected meets the requirements set forth in Section 2(k) hereof.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so selected meets the requirements set forth in Section 2(k) hereof,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8" w:name="page359"/>
    <w:bookmarkEnd w:id="358"/>
    <w:p>
      <w:pPr>
        <w:ind w:left="340" w:right="20" w:hanging="8"/>
        <w:spacing w:after="0" w:line="282" w:lineRule="auto"/>
        <w:tabs>
          <w:tab w:leader="none" w:pos="591"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593"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30"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thirty (30) 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9" w:name="page360"/>
    <w:bookmarkEnd w:id="359"/>
    <w:p>
      <w:pPr>
        <w:jc w:val="both"/>
        <w:ind w:left="340" w:hanging="8"/>
        <w:spacing w:after="0" w:line="258" w:lineRule="auto"/>
        <w:tabs>
          <w:tab w:leader="none" w:pos="599"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3"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1"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officers or managers of the Enterprise in the course of their duties, or on the advice of legal counsel for the Enterprise, its Board, any committee of the Board or any director, officer, trustee, general partner, manager or managing member, or on information or records given or reports made to the Enterprise, its Board, any committee of the Board or any director, officer, trustee, general partner, manager or managing member, by an independent certified public accountant or by an appraiser or other expert selected by the Enterprise, its Board, any committee of the Board or any director, officer, trustee, general partner, manager or managing member.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88"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5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2"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this Agreement, (iv) payment of indemnification is not made pursuant to Section 5, 6, 7 or the last sentence of Section 12(a) of this Agreement within the timeline set forth in this Agreement, (v) a contribution payment is not made in a timely manner pursuant to Section 8 of this Agreement, (vi) payment of indemnification pursuant to Section 3 or 4 of this Agreement is not made within the timeline set forth in this Agreement, or (vii) payment to Indemnitee pursuant to any hold harmless or exoneration rights under this Agreement or otherwise is not made within the timeline set forth in this Agreement,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0" w:name="page361"/>
    <w:bookmarkEnd w:id="360"/>
    <w:p>
      <w:pPr>
        <w:jc w:val="both"/>
        <w:ind w:left="8" w:hanging="8"/>
        <w:spacing w:after="0" w:line="254" w:lineRule="auto"/>
        <w:tabs>
          <w:tab w:leader="none" w:pos="313"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263"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9"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302"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8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39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361" w:name="page362"/>
    <w:bookmarkEnd w:id="361"/>
    <w:p>
      <w:pPr>
        <w:jc w:val="both"/>
        <w:ind w:left="340" w:hanging="8"/>
        <w:spacing w:after="0" w:line="261" w:lineRule="auto"/>
        <w:tabs>
          <w:tab w:leader="none" w:pos="586"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Delaware law for amounts which the Company indemnifies, holds harmless or exonerates, contributes, reimburses, advances, or is obliged to indemnify, hold harmless, exonerate, contribute, reimburse or advance for the period commencing with the date on which the Indemnitee requests such indemnification, to be held harmless, exonerated, contribution, reimbursement or advancement of any Expenses and ending with the date on which such payment is made to Indemnitee by the Company.</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to the extent requested by the Indemnitee and approved by the Board,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 PRIORITY OF OBLIGATIONS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9"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6"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DGCL and the Bylaws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i w:val="1"/>
          <w:i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2" w:name="page363"/>
    <w:bookmarkEnd w:id="362"/>
    <w:p>
      <w:pPr>
        <w:jc w:val="both"/>
        <w:ind w:left="340" w:hanging="8"/>
        <w:spacing w:after="0" w:line="254" w:lineRule="auto"/>
        <w:tabs>
          <w:tab w:leader="none" w:pos="605"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01"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7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08"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the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8" w:lineRule="exact"/>
        <w:rPr>
          <w:rFonts w:ascii="Times New Roman" w:cs="Times New Roman" w:eastAsia="Times New Roman" w:hAnsi="Times New Roman"/>
          <w:sz w:val="18"/>
          <w:szCs w:val="18"/>
          <w:color w:val="auto"/>
        </w:rPr>
      </w:pPr>
    </w:p>
    <w:p>
      <w:pPr>
        <w:ind w:left="340" w:hanging="8"/>
        <w:spacing w:after="0" w:line="282" w:lineRule="auto"/>
        <w:tabs>
          <w:tab w:leader="none" w:pos="566"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any Co-Sponsor or its respective affiliates or any other Person is secondary.</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or advancement can be provided under this Agreement.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3" w:name="page364"/>
    <w:bookmarkEnd w:id="363"/>
    <w:p>
      <w:pPr>
        <w:jc w:val="both"/>
        <w:ind w:left="332" w:hanging="332"/>
        <w:spacing w:after="0" w:line="255" w:lineRule="auto"/>
        <w:tabs>
          <w:tab w:leader="none" w:pos="332"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or provisions of this Agreement shall be held to be invalid, illegal or unenforceable for any reason whatsoever: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84"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ENFORCEMENT AND BINDING EFFECT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32" w:hanging="8"/>
        <w:spacing w:after="0" w:line="266" w:lineRule="auto"/>
        <w:tabs>
          <w:tab w:leader="none" w:pos="585"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jc w:val="both"/>
        <w:ind w:left="332" w:hanging="8"/>
        <w:spacing w:after="0" w:line="266" w:lineRule="auto"/>
        <w:tabs>
          <w:tab w:leader="none" w:pos="619"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jc w:val="both"/>
        <w:ind w:left="332" w:hanging="8"/>
        <w:spacing w:after="0" w:line="256" w:lineRule="auto"/>
        <w:tabs>
          <w:tab w:leader="none" w:pos="588"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187" w:lineRule="exact"/>
        <w:rPr>
          <w:rFonts w:ascii="Times New Roman" w:cs="Times New Roman" w:eastAsia="Times New Roman" w:hAnsi="Times New Roman"/>
          <w:sz w:val="18"/>
          <w:szCs w:val="18"/>
          <w:color w:val="auto"/>
        </w:rPr>
      </w:pPr>
    </w:p>
    <w:p>
      <w:pPr>
        <w:jc w:val="both"/>
        <w:ind w:left="332" w:hanging="8"/>
        <w:spacing w:after="0" w:line="261" w:lineRule="auto"/>
        <w:tabs>
          <w:tab w:leader="none" w:pos="587"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3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364" w:name="page365"/>
    <w:bookmarkEnd w:id="364"/>
    <w:p>
      <w:pPr>
        <w:jc w:val="both"/>
        <w:ind w:left="340" w:hanging="8"/>
        <w:spacing w:after="0" w:line="254" w:lineRule="auto"/>
        <w:tabs>
          <w:tab w:leader="none" w:pos="623"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Delaware Court, and the Company hereby waives any such requirement of such a bond or undertaking.</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 writing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requests, demands and other communications under this Agreement shall be in writing and shall be deemed to have been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74"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Attn: Edward Scheetz, Chief Executive Officer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5" w:name="page366"/>
    <w:bookmarkEnd w:id="365"/>
    <w:p>
      <w:pPr>
        <w:jc w:val="both"/>
        <w:ind w:left="340" w:hanging="332"/>
        <w:spacing w:after="0" w:line="254" w:lineRule="auto"/>
        <w:tabs>
          <w:tab w:leader="none" w:pos="34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 headings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 required,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undertakes to cause such act, resolution, approval or other procedure to be affected or adopted in a manner that will enable the Company to fulfill its obligations under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to the contrary contained herein, Indemnitee hereby agrees that he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 does not have any right, title, interest or claim of any kind (each,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 For purposes of clarity, Indemnitee acknowledges and agrees that no monies held in the Trust Account may be used to indemnify Indemnitee for any purpose whatsoever.</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MAINTENANCE OF INSURANCE. </w:t>
      </w:r>
      <w:r>
        <w:rPr>
          <w:rFonts w:ascii="Times New Roman" w:cs="Times New Roman" w:eastAsia="Times New Roman" w:hAnsi="Times New Roman"/>
          <w:sz w:val="18"/>
          <w:szCs w:val="18"/>
          <w:color w:val="auto"/>
        </w:rPr>
        <w:t>The Company shall use commercially reasonable efforts to obtain and maintain in effect during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signed as of the day and year first above written.</w:t>
      </w:r>
    </w:p>
    <w:p>
      <w:pPr>
        <w:spacing w:after="0" w:line="2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29"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27" w:lineRule="exact"/>
        <w:rPr>
          <w:sz w:val="20"/>
          <w:szCs w:val="20"/>
          <w:color w:val="auto"/>
        </w:rPr>
      </w:pPr>
    </w:p>
    <w:p>
      <w:pPr>
        <w:ind w:left="654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367" w:name="page368"/>
    <w:bookmarkEnd w:id="367"/>
    <w:p>
      <w:pPr>
        <w:ind w:left="564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jc w:val="right"/>
        <w:ind w:right="1319"/>
        <w:spacing w:after="0"/>
        <w:tabs>
          <w:tab w:leader="none" w:pos="1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Brock Strasbourger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Brock Strasbourger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453390</wp:posOffset>
            </wp:positionV>
            <wp:extent cx="713232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68" w:name="page369"/>
    <w:bookmarkEnd w:id="368"/>
    <w:p>
      <w:pPr>
        <w:jc w:val="center"/>
        <w:spacing w:after="0"/>
        <w:rPr>
          <w:sz w:val="20"/>
          <w:szCs w:val="20"/>
          <w:color w:val="auto"/>
        </w:rPr>
      </w:pPr>
      <w:r>
        <w:rPr>
          <w:rFonts w:ascii="Times New Roman" w:cs="Times New Roman" w:eastAsia="Times New Roman" w:hAnsi="Times New Roman"/>
          <w:sz w:val="18"/>
          <w:szCs w:val="18"/>
          <w:b w:val="1"/>
          <w:bCs w:val="1"/>
          <w:color w:val="auto"/>
        </w:rPr>
        <w:t>INDEMNITY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THIS INDEMNITY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made as of December 23, 2020, by and between Ventoux CCM Acquisition Corp.,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Alex Weil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RECITALS</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highly competent persons have become more reluctant to serve publicly held corporations as directors, officers or in other capacities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they are provided with adequate protection through insurance or adequate indemnification against inordinate risks of claims and actions against them arising out of their service to and activities on behalf of such corporations.</w:t>
      </w:r>
    </w:p>
    <w:p>
      <w:pPr>
        <w:spacing w:after="0" w:line="17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has determined that, in order to attract and retain qualified individuals,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Amended and Restated Certificate of Incorporation (the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color w:val="auto"/>
        </w:rPr>
        <w:t>”) and the Bylaws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of the Company require indemnification of the officers and directors of the Company. Indemnitee may also be entitled to indemnification pursuant to applicable provisions of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 hold harmless, exoneration, advancement and reimbursement rights.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uncertainties relating to such insurance and to indemnification have increased the difficulty of attracting and retaining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has determined that the increased difficulty in attracting and retaining such persons is detrimental to the best interests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stockholders and that the Company should act to assure such persons that there will be increased certainty of such protection in the future.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reasonable, prudent and necessary for the Company contractually to obligate itself to indemnify, hold harmless, exonerate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expenses on behalf of, such persons to the fullest extent permitted by applicable law so that they will serve or continue to serve the Company free from undue concern that they will not be so protected against liabilities.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9" w:name="page370"/>
    <w:bookmarkEnd w:id="369"/>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this Agreement is a supplement to and in furtherance of the Charter and Bylaws of the Company and any resolutions adopted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thereto, and shall not be deemed a substitute therefor, nor to diminish or abrogate any rights of Indemnitee thereunder.</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Indemnitee may not be willing to serve as an officer or director without adequate protection, and the Company desires Indemnitee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in such capacity. Indemnitee is willing to serve, continue to serve and to take on additional service for or on behalf of the Company on the condition that he or she be so indemnified.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covenants contained herein, the Company and Indemnitee do hereby covenant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w:t>
      </w:r>
    </w:p>
    <w:p>
      <w:pPr>
        <w:spacing w:after="0" w:line="225" w:lineRule="exact"/>
        <w:rPr>
          <w:sz w:val="20"/>
          <w:szCs w:val="20"/>
          <w:color w:val="auto"/>
        </w:rPr>
      </w:pPr>
    </w:p>
    <w:p>
      <w:pPr>
        <w:jc w:val="both"/>
        <w:ind w:left="340" w:hanging="332"/>
        <w:spacing w:after="0" w:line="257" w:lineRule="auto"/>
        <w:tabs>
          <w:tab w:leader="none" w:pos="34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SERVICES TO THE COMPANY</w:t>
      </w:r>
      <w:r>
        <w:rPr>
          <w:rFonts w:ascii="Times New Roman" w:cs="Times New Roman" w:eastAsia="Times New Roman" w:hAnsi="Times New Roman"/>
          <w:sz w:val="18"/>
          <w:szCs w:val="18"/>
          <w:color w:val="auto"/>
        </w:rPr>
        <w:t>. Indemnitee will serve or continue to serve as an officer, director, advisor, key employee or in any other capacity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as applicable, for so long as Indemnitee is duly elected, appointed or retained or until Indemnitee tenders his or her resignation, or is removed or dies. The foregoing notwithstanding, this Agreement shall continue in full force and effect after Indemnitee has ceased to serve as an officer, director,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18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this Agreement:</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2" w:lineRule="auto"/>
        <w:tabs>
          <w:tab w:leader="none" w:pos="598"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76" w:lineRule="exact"/>
        <w:rPr>
          <w:rFonts w:ascii="Times New Roman" w:cs="Times New Roman" w:eastAsia="Times New Roman" w:hAnsi="Times New Roman"/>
          <w:sz w:val="18"/>
          <w:szCs w:val="18"/>
          <w:color w:val="auto"/>
        </w:rPr>
      </w:pPr>
    </w:p>
    <w:p>
      <w:pPr>
        <w:ind w:left="340" w:right="20" w:hanging="8"/>
        <w:spacing w:after="0" w:line="286" w:lineRule="auto"/>
        <w:tabs>
          <w:tab w:leader="none" w:pos="599"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Beneficial Ownership</w:t>
      </w:r>
      <w:r>
        <w:rPr>
          <w:rFonts w:ascii="Times New Roman" w:cs="Times New Roman" w:eastAsia="Times New Roman" w:hAnsi="Times New Roman"/>
          <w:sz w:val="18"/>
          <w:szCs w:val="18"/>
          <w:color w:val="auto"/>
        </w:rPr>
        <w:t>” shall have the meanings set forth in Rule 13d-3 promulgated under the Exchange Act as in effect on the date hereof.</w:t>
      </w:r>
    </w:p>
    <w:p>
      <w:pPr>
        <w:spacing w:after="0" w:line="154"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 events:</w:t>
      </w:r>
    </w:p>
    <w:p>
      <w:pPr>
        <w:spacing w:after="0" w:line="225" w:lineRule="exact"/>
        <w:rPr>
          <w:rFonts w:ascii="Times New Roman" w:cs="Times New Roman" w:eastAsia="Times New Roman" w:hAnsi="Times New Roman"/>
          <w:sz w:val="18"/>
          <w:szCs w:val="18"/>
          <w:color w:val="auto"/>
        </w:rPr>
      </w:pPr>
    </w:p>
    <w:p>
      <w:pPr>
        <w:jc w:val="both"/>
        <w:ind w:left="660" w:hanging="4"/>
        <w:spacing w:after="0" w:line="257" w:lineRule="auto"/>
        <w:tabs>
          <w:tab w:leader="none" w:pos="888" w:val="left"/>
        </w:tabs>
        <w:numPr>
          <w:ilvl w:val="2"/>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of Stock by Third Party</w:t>
      </w:r>
      <w:r>
        <w:rPr>
          <w:rFonts w:ascii="Times New Roman" w:cs="Times New Roman" w:eastAsia="Times New Roman" w:hAnsi="Times New Roman"/>
          <w:sz w:val="18"/>
          <w:szCs w:val="18"/>
          <w:color w:val="auto"/>
        </w:rPr>
        <w:t>. Other than Ventoux Acquisition Holdings LLC or Chardan International Investments, LLC (the “</w:t>
      </w:r>
      <w:r>
        <w:rPr>
          <w:rFonts w:ascii="Times New Roman" w:cs="Times New Roman" w:eastAsia="Times New Roman" w:hAnsi="Times New Roman"/>
          <w:sz w:val="18"/>
          <w:szCs w:val="18"/>
          <w:b w:val="1"/>
          <w:bCs w:val="1"/>
          <w:i w:val="1"/>
          <w:iCs w:val="1"/>
          <w:color w:val="auto"/>
        </w:rPr>
        <w:t>Co-Sponsors</w:t>
      </w:r>
      <w:r>
        <w:rPr>
          <w:rFonts w:ascii="Times New Roman" w:cs="Times New Roman" w:eastAsia="Times New Roman" w:hAnsi="Times New Roman"/>
          <w:sz w:val="18"/>
          <w:szCs w:val="18"/>
          <w:color w:val="auto"/>
        </w:rPr>
        <w:t>”) or an affiliate thereof, any Person is or becomes the Beneficial Owner, directly or indirectly, of securities of the Company representing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and such acquisition would not constitute a Change in Control under part (iii) of this definition;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0" w:name="page371"/>
    <w:bookmarkEnd w:id="370"/>
    <w:p>
      <w:pPr>
        <w:jc w:val="both"/>
        <w:ind w:left="4" w:hanging="4"/>
        <w:spacing w:after="0" w:line="261" w:lineRule="auto"/>
        <w:tabs>
          <w:tab w:leader="none" w:pos="269"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Board of Directors</w:t>
      </w:r>
      <w:r>
        <w:rPr>
          <w:rFonts w:ascii="Times New Roman" w:cs="Times New Roman" w:eastAsia="Times New Roman" w:hAnsi="Times New Roman"/>
          <w:sz w:val="18"/>
          <w:szCs w:val="18"/>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for nomination for election was previously so approved (collectively, the “</w:t>
      </w:r>
      <w:r>
        <w:rPr>
          <w:rFonts w:ascii="Times New Roman" w:cs="Times New Roman" w:eastAsia="Times New Roman" w:hAnsi="Times New Roman"/>
          <w:sz w:val="18"/>
          <w:szCs w:val="18"/>
          <w:b w:val="1"/>
          <w:bCs w:val="1"/>
          <w:i w:val="1"/>
          <w:iCs w:val="1"/>
          <w:color w:val="auto"/>
        </w:rPr>
        <w:t>Continuing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color w:val="auto"/>
        </w:rPr>
        <w:t>”), cease for any reason to constitute at least a majority of the members of the Board;</w:t>
      </w:r>
    </w:p>
    <w:p>
      <w:pPr>
        <w:spacing w:after="0" w:line="179" w:lineRule="exact"/>
        <w:rPr>
          <w:rFonts w:ascii="Times New Roman" w:cs="Times New Roman" w:eastAsia="Times New Roman" w:hAnsi="Times New Roman"/>
          <w:sz w:val="18"/>
          <w:szCs w:val="18"/>
          <w:color w:val="auto"/>
        </w:rPr>
      </w:pPr>
    </w:p>
    <w:p>
      <w:pPr>
        <w:jc w:val="both"/>
        <w:ind w:left="4" w:hanging="4"/>
        <w:spacing w:after="0" w:line="252" w:lineRule="auto"/>
        <w:tabs>
          <w:tab w:leader="none" w:pos="332"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The effective date of a merger, share exchange, asset acquisition, stock purchase, recapitalization or other similar business combination involving the Company and one or more businesses or entities (a “</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fifty-one percent (51%) of the 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any Co-Sponsor or an affiliate thereof, no Person (excluding any corporation resulting from such Business Combination) is the Beneficial Owner, directly or indirectly, of fifteen percent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of Directors, providing for such Business Combination;</w:t>
      </w:r>
    </w:p>
    <w:p>
      <w:pPr>
        <w:spacing w:after="0" w:line="197" w:lineRule="exact"/>
        <w:rPr>
          <w:rFonts w:ascii="Times New Roman" w:cs="Times New Roman" w:eastAsia="Times New Roman" w:hAnsi="Times New Roman"/>
          <w:sz w:val="18"/>
          <w:szCs w:val="18"/>
          <w:color w:val="auto"/>
        </w:rPr>
      </w:pPr>
    </w:p>
    <w:p>
      <w:pPr>
        <w:jc w:val="both"/>
        <w:ind w:left="4" w:hanging="4"/>
        <w:spacing w:after="0" w:line="261" w:lineRule="auto"/>
        <w:tabs>
          <w:tab w:leader="none" w:pos="336"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w:t>
      </w:r>
      <w:r>
        <w:rPr>
          <w:rFonts w:ascii="Times New Roman" w:cs="Times New Roman" w:eastAsia="Times New Roman" w:hAnsi="Times New Roman"/>
          <w:sz w:val="18"/>
          <w:szCs w:val="18"/>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approval is not required, the decision by the Board to proceed with such a liquidation, sale, or disposition in one transaction or a series of related transactions); or</w:t>
      </w:r>
    </w:p>
    <w:p>
      <w:pPr>
        <w:spacing w:after="0" w:line="179" w:lineRule="exact"/>
        <w:rPr>
          <w:rFonts w:ascii="Times New Roman" w:cs="Times New Roman" w:eastAsia="Times New Roman" w:hAnsi="Times New Roman"/>
          <w:sz w:val="18"/>
          <w:szCs w:val="18"/>
          <w:color w:val="auto"/>
        </w:rPr>
      </w:pPr>
    </w:p>
    <w:p>
      <w:pPr>
        <w:jc w:val="both"/>
        <w:ind w:left="4" w:hanging="4"/>
        <w:spacing w:after="0" w:line="266" w:lineRule="auto"/>
        <w:tabs>
          <w:tab w:leader="none" w:pos="272"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Events</w:t>
      </w:r>
      <w:r>
        <w:rPr>
          <w:rFonts w:ascii="Times New Roman" w:cs="Times New Roman" w:eastAsia="Times New Roman" w:hAnsi="Times New Roman"/>
          <w:sz w:val="18"/>
          <w:szCs w:val="18"/>
          <w:color w:val="auto"/>
        </w:rPr>
        <w:t>.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w:t>
      </w:r>
    </w:p>
    <w:p>
      <w:pPr>
        <w:spacing w:after="0" w:line="38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10795</wp:posOffset>
            </wp:positionV>
            <wp:extent cx="713232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371" w:name="page372"/>
    <w:bookmarkEnd w:id="371"/>
    <w:p>
      <w:pPr>
        <w:ind w:left="8" w:hanging="8"/>
        <w:spacing w:after="0" w:line="286" w:lineRule="auto"/>
        <w:tabs>
          <w:tab w:leader="none" w:pos="263"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Status</w:t>
      </w:r>
      <w:r>
        <w:rPr>
          <w:rFonts w:ascii="Times New Roman" w:cs="Times New Roman" w:eastAsia="Times New Roman" w:hAnsi="Times New Roman"/>
          <w:sz w:val="18"/>
          <w:szCs w:val="18"/>
          <w:color w:val="auto"/>
        </w:rPr>
        <w:t>” describes the status of a person who is or was a director, officer, trustee, general partner, manager, managing member, fiduciary, employee or agent of the Company or of any other Enterprise which such person is or was serving at the request of the Company.</w:t>
      </w:r>
    </w:p>
    <w:p>
      <w:pPr>
        <w:spacing w:after="0" w:line="154"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Delaware Court</w:t>
      </w:r>
      <w:r>
        <w:rPr>
          <w:rFonts w:ascii="Times New Roman" w:cs="Times New Roman" w:eastAsia="Times New Roman" w:hAnsi="Times New Roman"/>
          <w:sz w:val="18"/>
          <w:szCs w:val="18"/>
          <w:color w:val="auto"/>
        </w:rPr>
        <w:t>” shall mean the Court of Chancery of the State of Delaware.</w:t>
      </w:r>
    </w:p>
    <w:p>
      <w:pPr>
        <w:spacing w:after="0" w:line="225" w:lineRule="exact"/>
        <w:rPr>
          <w:rFonts w:ascii="Times New Roman" w:cs="Times New Roman" w:eastAsia="Times New Roman" w:hAnsi="Times New Roman"/>
          <w:sz w:val="18"/>
          <w:szCs w:val="18"/>
          <w:color w:val="auto"/>
        </w:rPr>
      </w:pPr>
    </w:p>
    <w:p>
      <w:pPr>
        <w:ind w:left="8" w:hanging="8"/>
        <w:spacing w:after="0" w:line="286" w:lineRule="auto"/>
        <w:tabs>
          <w:tab w:leader="none" w:pos="273"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Disinterested Director</w:t>
      </w:r>
      <w:r>
        <w:rPr>
          <w:rFonts w:ascii="Times New Roman" w:cs="Times New Roman" w:eastAsia="Times New Roman" w:hAnsi="Times New Roman"/>
          <w:sz w:val="18"/>
          <w:szCs w:val="18"/>
          <w:color w:val="auto"/>
        </w:rPr>
        <w:t>” shall mean a director of the Company who is not and was not a party to the Proceeding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jc w:val="both"/>
        <w:ind w:left="8" w:hanging="8"/>
        <w:spacing w:after="0" w:line="262" w:lineRule="auto"/>
        <w:tabs>
          <w:tab w:leader="none" w:pos="263"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76" w:lineRule="exact"/>
        <w:rPr>
          <w:rFonts w:ascii="Times New Roman" w:cs="Times New Roman" w:eastAsia="Times New Roman" w:hAnsi="Times New Roman"/>
          <w:sz w:val="18"/>
          <w:szCs w:val="18"/>
          <w:color w:val="auto"/>
        </w:rPr>
      </w:pPr>
    </w:p>
    <w:p>
      <w:pPr>
        <w:ind w:left="248" w:hanging="248"/>
        <w:spacing w:after="0"/>
        <w:tabs>
          <w:tab w:leader="none" w:pos="248"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5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 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including reasonable compensation for time spent by the Indemnitee for which he or she is not otherwise compensated by the Company or any third party. Expenses also shall include Expenses incurred in connection with any appeal resulting from any Proceeding,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188" w:lineRule="exact"/>
        <w:rPr>
          <w:rFonts w:ascii="Times New Roman" w:cs="Times New Roman" w:eastAsia="Times New Roman" w:hAnsi="Times New Roman"/>
          <w:sz w:val="18"/>
          <w:szCs w:val="18"/>
          <w:color w:val="auto"/>
        </w:rPr>
      </w:pPr>
    </w:p>
    <w:p>
      <w:pPr>
        <w:jc w:val="both"/>
        <w:ind w:left="8" w:hanging="8"/>
        <w:spacing w:after="0" w:line="257" w:lineRule="auto"/>
        <w:tabs>
          <w:tab w:leader="none" w:pos="232"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 assessed on Indemnitee with respect to any employee benefit plan; references to “serving at the request of the Company”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“not opposed to the best interests of the Company” as referred to in this Agreement.</w:t>
      </w:r>
    </w:p>
    <w:p>
      <w:pPr>
        <w:spacing w:after="0" w:line="182" w:lineRule="exact"/>
        <w:rPr>
          <w:rFonts w:ascii="Times New Roman" w:cs="Times New Roman" w:eastAsia="Times New Roman" w:hAnsi="Times New Roman"/>
          <w:sz w:val="18"/>
          <w:szCs w:val="18"/>
          <w:color w:val="auto"/>
        </w:rPr>
      </w:pPr>
    </w:p>
    <w:p>
      <w:pPr>
        <w:jc w:val="both"/>
        <w:ind w:left="8" w:hanging="8"/>
        <w:spacing w:after="0" w:line="259" w:lineRule="auto"/>
        <w:tabs>
          <w:tab w:leader="none" w:pos="263"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Independent Counsel</w:t>
      </w:r>
      <w:r>
        <w:rPr>
          <w:rFonts w:ascii="Times New Roman" w:cs="Times New Roman" w:eastAsia="Times New Roman" w:hAnsi="Times New Roman"/>
          <w:sz w:val="18"/>
          <w:szCs w:val="18"/>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the Indemnitee under this Agreement, or of other indemnitees under similar indemnification agreements); or</w:t>
      </w:r>
    </w:p>
    <w:p>
      <w:pPr>
        <w:jc w:val="both"/>
        <w:ind w:left="8" w:hanging="8"/>
        <w:spacing w:after="0" w:line="255" w:lineRule="auto"/>
        <w:tabs>
          <w:tab w:leader="none" w:pos="297"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393"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0" w:right="339" w:bottom="1440" w:gutter="0" w:footer="0" w:header="0"/>
        </w:sectPr>
      </w:pPr>
    </w:p>
    <w:bookmarkStart w:id="372" w:name="page373"/>
    <w:bookmarkEnd w:id="372"/>
    <w:p>
      <w:pPr>
        <w:jc w:val="both"/>
        <w:ind w:left="340" w:hanging="8"/>
        <w:spacing w:after="0" w:line="257" w:lineRule="auto"/>
        <w:tabs>
          <w:tab w:leader="none" w:pos="564"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have the meaning as set forth in Sections 13(d) and 14(d) of the Exchange Act as in effect on the date hereof; provided, however, that “Person” shall exclude: (i) the Company; (ii) any Subsidiaries of the Company; (iii) any employment benefit plan of the Company or of a Subsidiary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of the Company or of a corporation owned directly or indirectly by the stockholders of the Company in substantially the same proportions as their ownership of stock of the Company.</w:t>
      </w:r>
    </w:p>
    <w:p>
      <w:pPr>
        <w:spacing w:after="0" w:line="182" w:lineRule="exact"/>
        <w:rPr>
          <w:rFonts w:ascii="Times New Roman" w:cs="Times New Roman" w:eastAsia="Times New Roman" w:hAnsi="Times New Roman"/>
          <w:sz w:val="18"/>
          <w:szCs w:val="18"/>
          <w:color w:val="auto"/>
        </w:rPr>
      </w:pPr>
    </w:p>
    <w:p>
      <w:pPr>
        <w:jc w:val="both"/>
        <w:ind w:left="340" w:hanging="8"/>
        <w:spacing w:after="0" w:line="256" w:lineRule="auto"/>
        <w:tabs>
          <w:tab w:leader="none" w:pos="681"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 criminal, administrative or investigative or related nature, in which Indemnitee was, is, will or might be involved as a party or a participant (as a witness or otherwise), by reason of his or her Corporate Status or by reason of any action (or failure to act) taken by him or of any action (or failure to act) on his part while acting as a director or officer of the Company, in each case whether or not serving in such capacity at the time any liability or expense is incurred for which indemnification, reimbursement, or advancement of expenses can be provided under this Agreement.</w:t>
      </w:r>
    </w:p>
    <w:p>
      <w:pPr>
        <w:spacing w:after="0" w:line="182" w:lineRule="exact"/>
        <w:rPr>
          <w:rFonts w:ascii="Times New Roman" w:cs="Times New Roman" w:eastAsia="Times New Roman" w:hAnsi="Times New Roman"/>
          <w:sz w:val="18"/>
          <w:szCs w:val="18"/>
          <w:color w:val="auto"/>
        </w:rPr>
      </w:pPr>
    </w:p>
    <w:p>
      <w:pPr>
        <w:ind w:left="340" w:hanging="8"/>
        <w:spacing w:after="0" w:line="286" w:lineRule="auto"/>
        <w:tabs>
          <w:tab w:leader="none" w:pos="599"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THIRD-PARTY PROCEEDINGS</w:t>
      </w:r>
      <w:r>
        <w:rPr>
          <w:rFonts w:ascii="Times New Roman" w:cs="Times New Roman" w:eastAsia="Times New Roman" w:hAnsi="Times New Roman"/>
          <w:sz w:val="18"/>
          <w:szCs w:val="18"/>
          <w:color w:val="auto"/>
        </w:rPr>
        <w:t>. To the fullest extent permitted by applicable law, the Company shall indemnify, hold harmless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3" w:name="page374"/>
    <w:bookmarkEnd w:id="373"/>
    <w:p>
      <w:pPr>
        <w:jc w:val="both"/>
        <w:ind w:left="340" w:hanging="332"/>
        <w:spacing w:after="0" w:line="254" w:lineRule="auto"/>
        <w:tabs>
          <w:tab w:leader="none" w:pos="34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INDEMNITY IN PROCEEDINGS BY OR IN THE RIGHT OF THE COMPANY</w:t>
      </w:r>
      <w:r>
        <w:rPr>
          <w:rFonts w:ascii="Times New Roman" w:cs="Times New Roman" w:eastAsia="Times New Roman" w:hAnsi="Times New Roman"/>
          <w:sz w:val="18"/>
          <w:szCs w:val="18"/>
          <w:color w:val="auto"/>
        </w:rPr>
        <w:t>. To the fullest extent permitted by applicable law,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Pursuant to this Section 4, Indemnitee shall be indemnified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to be liable to the Company, unless and only to the extent that any court in which the Proceeding was brought or the Delaware Court shall determine upon application that, despite the adjudication of liability but in view of all of the circumstances of the case, Indemnitee is fairly and reasonably entitled to indemnification, to be held harmless or to exoneration.</w:t>
      </w:r>
    </w:p>
    <w:p>
      <w:pPr>
        <w:spacing w:after="0" w:line="185"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4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PARTY WHO IS WHOLLY OR PARTLY SUCCESSFUL</w:t>
      </w:r>
      <w:r>
        <w:rPr>
          <w:rFonts w:ascii="Times New Roman" w:cs="Times New Roman" w:eastAsia="Times New Roman" w:hAnsi="Times New Roman"/>
          <w:sz w:val="18"/>
          <w:szCs w:val="18"/>
          <w:color w:val="auto"/>
        </w:rPr>
        <w:t>. Notwithstanding any other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Agreement except for Section 27, to the extent that Indemnitee was or is a party to or a participant (as a witness, deponent or otherwise)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the Indemnitee is not wholly successful in such Proceeding, the Company also shall, to the fullest extent permitted by applicable law, indemnify, hold harmless and exonerate Indemnitee against all Expenses actually and reasonably incurred in connection with a claim, issue or matter related to any claim, issue, or matter on which the Indemnitee was successful. For purposes of this Section and without limitation, the termination of any claim, issue or matter in such a Proceeding by dismissal, with or without prejudice, shall be deemed to be a successful result as to such claim, issue or matter.</w:t>
      </w:r>
    </w:p>
    <w:p>
      <w:pPr>
        <w:spacing w:after="0" w:line="189"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INDEMNIFICATION FOR EXPENSES OF A WITNESS</w:t>
      </w:r>
      <w:r>
        <w:rPr>
          <w:rFonts w:ascii="Times New Roman" w:cs="Times New Roman" w:eastAsia="Times New Roman" w:hAnsi="Times New Roman"/>
          <w:sz w:val="18"/>
          <w:szCs w:val="18"/>
          <w:color w:val="auto"/>
        </w:rPr>
        <w:t>. Notwithstanding any other provision of this Agreement except for Section 27,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that Indemnitee is a participant (as a witness or otherwise) in any Proceeding to which Indemnitee is not a party, he or she shall, to the fullest extent permitted by applicable law, be indemnified, held harmless and exonerated against all Expenses actually and reasonably incurred by him or her or on his or her behalf in connection therewith.</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4" w:name="page375"/>
    <w:bookmarkEnd w:id="374"/>
    <w:p>
      <w:pPr>
        <w:ind w:left="340" w:hanging="332"/>
        <w:spacing w:after="0"/>
        <w:tabs>
          <w:tab w:leader="none" w:pos="34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 HOLD HARMLESS AND EXONERATION RIGHTS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3, 4, or 5, the Company shall, to 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 rights shall be available under this Section 7 on account of Indemnitee’s conduct which constitutes a breach of Indemnitee’s duty of loyalty to the Company or its stockholders, including an act or omission of Indemnitee not in good faith, or which involves intentional misconduct or a knowing violation of the law.</w:t>
      </w:r>
    </w:p>
    <w:p>
      <w:pPr>
        <w:spacing w:after="0" w:line="1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 IN THE EVENT OF JOINT LIABILITY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8" w:lineRule="auto"/>
        <w:tabs>
          <w:tab w:leader="none" w:pos="625"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183" w:lineRule="exact"/>
        <w:rPr>
          <w:rFonts w:ascii="Times New Roman" w:cs="Times New Roman" w:eastAsia="Times New Roman" w:hAnsi="Times New Roman"/>
          <w:sz w:val="18"/>
          <w:szCs w:val="18"/>
          <w:color w:val="auto"/>
        </w:rPr>
      </w:pPr>
    </w:p>
    <w:p>
      <w:pPr>
        <w:ind w:left="340" w:right="20" w:hanging="8"/>
        <w:spacing w:after="0" w:line="282" w:lineRule="auto"/>
        <w:tabs>
          <w:tab w:leader="none" w:pos="601"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agrees to fully indemnify, hold harmless and exonerate Indemnitee from any claims for contribution which may be brought by officers, directors or employees of the Company, other than Indemnitee, who may be jointly liable with Indemnitee.</w:t>
      </w:r>
    </w:p>
    <w:p>
      <w:pPr>
        <w:spacing w:after="0" w:line="157"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EXCLUSIONS</w:t>
      </w:r>
      <w:r>
        <w:rPr>
          <w:rFonts w:ascii="Times New Roman" w:cs="Times New Roman" w:eastAsia="Times New Roman" w:hAnsi="Times New Roman"/>
          <w:sz w:val="18"/>
          <w:szCs w:val="18"/>
          <w:color w:val="auto"/>
        </w:rPr>
        <w:t>. Notwithstanding any provision in this Agreement except for Section 27, the Company shall not be obligated under this Agreement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make any indemnification, hold harmless or exoneration payment in connection with any claim made against Indemnitee:</w:t>
      </w:r>
    </w:p>
    <w:p>
      <w:pPr>
        <w:spacing w:after="0" w:line="158" w:lineRule="exact"/>
        <w:rPr>
          <w:rFonts w:ascii="Times New Roman" w:cs="Times New Roman" w:eastAsia="Times New Roman" w:hAnsi="Times New Roman"/>
          <w:sz w:val="18"/>
          <w:szCs w:val="18"/>
          <w:color w:val="auto"/>
        </w:rPr>
      </w:pPr>
    </w:p>
    <w:p>
      <w:pPr>
        <w:ind w:left="340" w:hanging="8"/>
        <w:spacing w:after="0" w:line="282" w:lineRule="auto"/>
        <w:tabs>
          <w:tab w:leader="none" w:pos="591"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received by or on behalf of Indemnitee under any insurance policy or other indemnity provision, except with respect to any excess beyond the amount actually received under any insurance policy, contract, agreement, other indemnity provision or otherwise;</w:t>
      </w:r>
    </w:p>
    <w:p>
      <w:pPr>
        <w:spacing w:after="0" w:line="161" w:lineRule="exact"/>
        <w:rPr>
          <w:rFonts w:ascii="Times New Roman" w:cs="Times New Roman" w:eastAsia="Times New Roman" w:hAnsi="Times New Roman"/>
          <w:sz w:val="18"/>
          <w:szCs w:val="18"/>
          <w:color w:val="auto"/>
        </w:rPr>
      </w:pPr>
    </w:p>
    <w:p>
      <w:pPr>
        <w:ind w:left="340" w:right="20" w:hanging="8"/>
        <w:spacing w:after="0" w:line="282" w:lineRule="auto"/>
        <w:tabs>
          <w:tab w:leader="none" w:pos="595"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of profits made from the purchase and sale (or sale and purchase) by Indemnitee of securities of the Company within the meaning of Section 16(b) of the Exchange Act or similar provisions of state statutory law or common law; or</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5" w:name="page376"/>
    <w:bookmarkEnd w:id="375"/>
    <w:p>
      <w:pPr>
        <w:jc w:val="both"/>
        <w:ind w:left="340" w:hanging="8"/>
        <w:spacing w:after="0" w:line="258" w:lineRule="auto"/>
        <w:tabs>
          <w:tab w:leader="none" w:pos="604"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Sections 14(e)-(f)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ADVANCES OF EXPENSES; DEFENSE OF CLAIM</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5"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except for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be unsecured and interest free. Advances shall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the Indemnitee, to repay the advance to the extent that it is ultimately determined that Indemnitee is not entitled to be indemnified by the Company under the provisions of this Agreement, the Charter, the Bylaws of the Company, applicable law or otherwise. This Section 10(a) shall not apply to any claim made by Indemnitee for which an indemnification, hold harmless or exoneration payment is excluded pursuant to Section 9.</w:t>
      </w:r>
    </w:p>
    <w:p>
      <w:pPr>
        <w:spacing w:after="0" w:line="189"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entitled to participate in the Proceeding at its own expense.</w:t>
      </w:r>
    </w:p>
    <w:p>
      <w:pPr>
        <w:spacing w:after="0" w:line="225"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action, claim or Proceeding (in whole or in part) which would impose any Expense, judgment, fine, penalty or limitation that is not entitled to be indemnified under this Agreement on the Indemnitee without the Indemnitee’s prior written consent.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FOR NOTIFICATION AND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02"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agrees to promptly notify the Company in writing upon being served with any summons, citation, subpoena, complaint, indictment, information or other document relating to any Proceeding or matter which may be subject to indemnification, hold harmless or exoneration rights, or advancement of Expenses covered hereunder. The failure of Indemnitee to so notify the Company shall not relieve the Company of any obligation which it may have to the Indemnitee under this Agreement, or otherwise.</w:t>
      </w:r>
    </w:p>
    <w:p>
      <w:pPr>
        <w:spacing w:after="0" w:line="179"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28"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the Indemnitee’s entitlement to indemnification shall be determined according to Section 12(a) of this Agreement.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6" w:name="page377"/>
    <w:bookmarkEnd w:id="376"/>
    <w:p>
      <w:pPr>
        <w:ind w:left="280" w:hanging="272"/>
        <w:spacing w:after="0"/>
        <w:tabs>
          <w:tab w:leader="none" w:pos="28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 UPON APPLICATION FOR INDEMNIFICATION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5"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 (ii) by a committee of such directors designated by majority vote of such directors, or (iii) by Independent Counsel in a written opinion to the Board, a copy of which shall be delivered to Indemnitee. The Company will promptly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189" w:lineRule="exact"/>
        <w:rPr>
          <w:rFonts w:ascii="Times New Roman" w:cs="Times New Roman" w:eastAsia="Times New Roman" w:hAnsi="Times New Roman"/>
          <w:sz w:val="18"/>
          <w:szCs w:val="18"/>
          <w:color w:val="auto"/>
        </w:rPr>
      </w:pPr>
    </w:p>
    <w:p>
      <w:pPr>
        <w:jc w:val="both"/>
        <w:ind w:left="340" w:hanging="8"/>
        <w:spacing w:after="0" w:line="252" w:lineRule="auto"/>
        <w:tabs>
          <w:tab w:leader="none" w:pos="622"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set forth in Section 2(k) hereof. If the Independent Counsel is selected by the Board, the Company shall give written notice to Indemnitee advising him of the identity of the Independent Counsel so selected and certifying that the Independent Counsel so selected meets the requirements set forth in Section 2(k) hereof.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so selected meets the requirements set forth in Section 2(k) hereof,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 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77" w:name="page378"/>
    <w:bookmarkEnd w:id="377"/>
    <w:p>
      <w:pPr>
        <w:ind w:left="340" w:right="20" w:hanging="8"/>
        <w:spacing w:after="0" w:line="282" w:lineRule="auto"/>
        <w:tabs>
          <w:tab w:leader="none" w:pos="591"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PRESUMPTIONS AND EFFECT OF CERTAIN PROCEEDINGS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593"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its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its directors or Independent Counsel) that Indemnitee has not met such applicable standard of conduct, shall be a defense to the action or create a presumption that Indemnitee has not met the applicable standard of conduct.</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30"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thirty (30) 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8" w:name="page379"/>
    <w:bookmarkEnd w:id="378"/>
    <w:p>
      <w:pPr>
        <w:jc w:val="both"/>
        <w:ind w:left="340" w:hanging="8"/>
        <w:spacing w:after="0" w:line="258" w:lineRule="auto"/>
        <w:tabs>
          <w:tab w:leader="none" w:pos="599"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any Proceeding or of any claim, issue or matter therein, by judgment, order, settlement or conviction, or upon a plea of nolo contendere or its equivalent, shall not (except as otherwise expressly provided in this Agreement) of itself, favor or undermine the determination of, the right of Indemnitee to indemnification or create a presumption that Indemnitee did or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3"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1"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officers or managers of the Enterprise in the course of their duties, or on the advice of legal counsel for the Enterprise, its Board, any committee of the Board or any director, officer, trustee, general partner, manager or managing member, or on information or records given or reports made to the Enterprise, its Board, any committee of the Board or any director, officer, trustee, general partner, manager or managing member, by an independent certified public accountant or by an appraiser or other expert selected by the Enterprise, its Board, any committee of the Board or any director, officer, trustee, general partner, manager or managing member. The provisions of this Section 13(d) shall not be deemed to be exclusive or to limit in any way the other circumstances in which the Indemnitee may be deemed or found to have or have not met the applicable standard of conduct set forth in this Agreement.</w:t>
      </w:r>
    </w:p>
    <w:p>
      <w:pPr>
        <w:spacing w:after="0" w:line="188" w:lineRule="exact"/>
        <w:rPr>
          <w:rFonts w:ascii="Times New Roman" w:cs="Times New Roman" w:eastAsia="Times New Roman" w:hAnsi="Times New Roman"/>
          <w:sz w:val="18"/>
          <w:szCs w:val="18"/>
          <w:color w:val="auto"/>
        </w:rPr>
      </w:pPr>
    </w:p>
    <w:p>
      <w:pPr>
        <w:ind w:left="340" w:hanging="8"/>
        <w:spacing w:after="0" w:line="282" w:lineRule="auto"/>
        <w:tabs>
          <w:tab w:leader="none" w:pos="596"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knowledge and/or actions, or failure to act, of any other director, officer, trustee, partner, managing member, fiduciary, agent or employee of the Enterprise shall not be imputed to Indemnitee for purposes of determining the right to indemnification under this Agreement.</w:t>
      </w:r>
    </w:p>
    <w:p>
      <w:pPr>
        <w:spacing w:after="0" w:line="15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92"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the timeline set forth in this Agreement, (iv) payment of indemnification is not made pursuant to Section 5, 6, 7 or the last sentence of Section 12(a) of this Agreement within the timeline set forth in this Agreement, (v) a contribution payment is not made in a timely manner pursuant to Section 8 of this Agreement, (vi) payment of indemnification pursuant to Section 3 or 4 of this Agreement is not made within the timeline set forth in this Agreement, or (vii) payment to Indemnitee pursuant to any hold harmless or exoneration rights under this Agreement or otherwise is not made within the timeline set forth in this Agreement,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9" w:name="page380"/>
    <w:bookmarkEnd w:id="379"/>
    <w:p>
      <w:pPr>
        <w:jc w:val="both"/>
        <w:ind w:left="8" w:hanging="8"/>
        <w:spacing w:after="0" w:line="254" w:lineRule="auto"/>
        <w:tabs>
          <w:tab w:leader="none" w:pos="313"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determination shall have been made pursuant to Section 12(a) of this 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 In any judicial proceeding or arbitration commenced pursuant to this Section 14, Indemnitee shall be presumed to be entitled to be indemnified, held harmless, exonerated to receive advances of Expenses under this Agreement and the Company shall have the burden of proving Indemnitee is not entitled to be indemnified, held harmless, exonerated and to receive advances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188"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263"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79" w:lineRule="exact"/>
        <w:rPr>
          <w:rFonts w:ascii="Times New Roman" w:cs="Times New Roman" w:eastAsia="Times New Roman" w:hAnsi="Times New Roman"/>
          <w:sz w:val="18"/>
          <w:szCs w:val="18"/>
          <w:color w:val="auto"/>
        </w:rPr>
      </w:pPr>
    </w:p>
    <w:p>
      <w:pPr>
        <w:jc w:val="both"/>
        <w:ind w:left="8" w:hanging="8"/>
        <w:spacing w:after="0" w:line="266" w:lineRule="auto"/>
        <w:tabs>
          <w:tab w:leader="none" w:pos="302"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175" w:lineRule="exact"/>
        <w:rPr>
          <w:rFonts w:ascii="Times New Roman" w:cs="Times New Roman" w:eastAsia="Times New Roman" w:hAnsi="Times New Roman"/>
          <w:sz w:val="18"/>
          <w:szCs w:val="18"/>
          <w:color w:val="auto"/>
        </w:rPr>
      </w:pPr>
    </w:p>
    <w:p>
      <w:pPr>
        <w:jc w:val="both"/>
        <w:ind w:left="8" w:hanging="8"/>
        <w:spacing w:after="0" w:line="254" w:lineRule="auto"/>
        <w:tabs>
          <w:tab w:leader="none" w:pos="28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191" w:lineRule="exact"/>
        <w:rPr>
          <w:rFonts w:ascii="Times New Roman" w:cs="Times New Roman" w:eastAsia="Times New Roman" w:hAnsi="Times New Roman"/>
          <w:sz w:val="18"/>
          <w:szCs w:val="18"/>
          <w:color w:val="auto"/>
        </w:rPr>
      </w:pPr>
    </w:p>
    <w:p>
      <w:pPr>
        <w:jc w:val="both"/>
        <w:ind w:left="8" w:hanging="8"/>
        <w:spacing w:after="0" w:line="261" w:lineRule="auto"/>
        <w:tabs>
          <w:tab w:leader="none" w:pos="254"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shall be paid by the Company to Indemnitee at the legal rate under Delaware law for amounts which the Company indemnifies, holds harmless or exonerates, contributes, reimburses, advances, or is obliged to indemnify, hold harmless, exonerate, contribute, reimburse or advance for the period commencing with the date on which the Indemnitee requests such indemnification, to be held harmless, exonerated, contribution, reimbursement or advancement of any Expenses and ending with the date on which such payment is made to Indemnitee by the Company.</w:t>
      </w:r>
    </w:p>
    <w:p>
      <w:pPr>
        <w:spacing w:after="0" w:line="38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32320" cy="171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904" w:right="339" w:bottom="1440" w:gutter="0" w:footer="0" w:header="0"/>
        </w:sectPr>
      </w:pPr>
    </w:p>
    <w:bookmarkStart w:id="380" w:name="page381"/>
    <w:bookmarkEnd w:id="380"/>
    <w:p>
      <w:pPr>
        <w:jc w:val="both"/>
        <w:ind w:left="340" w:hanging="332"/>
        <w:spacing w:after="0" w:line="262" w:lineRule="auto"/>
        <w:tabs>
          <w:tab w:leader="none" w:pos="34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SECURITY</w:t>
      </w:r>
      <w:r>
        <w:rPr>
          <w:rFonts w:ascii="Times New Roman" w:cs="Times New Roman" w:eastAsia="Times New Roman" w:hAnsi="Times New Roman"/>
          <w:sz w:val="18"/>
          <w:szCs w:val="18"/>
          <w:color w:val="auto"/>
        </w:rPr>
        <w:t>. Notwithstanding anything herein to the contrary, to the extent requested by the Indemnitee and approved by the Board,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at any time and from time to time provide security to the Indemnitee for the Company’s obligations hereunder through an irrevocable bank line of credit, funded trust or other collateral. Any such security, once provided to the Indemnitee, may not be revoked or released without the prior written consent of the Indemnitee.</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NON-EXCLUSIVITY; SURVIVAL OF RIGHTS; INSURANCE; SUBROGATION; PRIORITY OF OBLIGATIONS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40" w:hanging="8"/>
        <w:spacing w:after="0" w:line="253" w:lineRule="auto"/>
        <w:tabs>
          <w:tab w:leader="none" w:pos="589"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16"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DGCL and the Bylaws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18"/>
          <w:szCs w:val="18"/>
          <w:b w:val="1"/>
          <w:bCs w:val="1"/>
          <w:i w:val="1"/>
          <w:iCs w:val="1"/>
          <w:color w:val="auto"/>
        </w:rPr>
        <w:t>Indemnification Arrangements</w:t>
      </w:r>
      <w:r>
        <w:rPr>
          <w:rFonts w:ascii="Times New Roman" w:cs="Times New Roman" w:eastAsia="Times New Roman" w:hAnsi="Times New Roman"/>
          <w:sz w:val="18"/>
          <w:szCs w:val="18"/>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the Indemnitee under this Agreement except as expressly provided herein, and the execution and delivery of this Agreement by the Company and the Indemnitee shall not in any way limit or affect the rights and obligations of the Company or the other party or parties thereto under any such Indemnification Arrangement.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1" w:name="page382"/>
    <w:bookmarkEnd w:id="381"/>
    <w:p>
      <w:pPr>
        <w:jc w:val="both"/>
        <w:ind w:left="340" w:hanging="8"/>
        <w:spacing w:after="0" w:line="254" w:lineRule="auto"/>
        <w:tabs>
          <w:tab w:leader="none" w:pos="605"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191" w:lineRule="exact"/>
        <w:rPr>
          <w:rFonts w:ascii="Times New Roman" w:cs="Times New Roman" w:eastAsia="Times New Roman" w:hAnsi="Times New Roman"/>
          <w:sz w:val="18"/>
          <w:szCs w:val="18"/>
          <w:color w:val="auto"/>
        </w:rPr>
      </w:pPr>
    </w:p>
    <w:p>
      <w:pPr>
        <w:jc w:val="both"/>
        <w:ind w:left="340" w:hanging="8"/>
        <w:spacing w:after="0" w:line="261" w:lineRule="auto"/>
        <w:tabs>
          <w:tab w:leader="none" w:pos="601"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179" w:lineRule="exact"/>
        <w:rPr>
          <w:rFonts w:ascii="Times New Roman" w:cs="Times New Roman" w:eastAsia="Times New Roman" w:hAnsi="Times New Roman"/>
          <w:sz w:val="18"/>
          <w:szCs w:val="18"/>
          <w:color w:val="auto"/>
        </w:rPr>
      </w:pPr>
    </w:p>
    <w:p>
      <w:pPr>
        <w:jc w:val="both"/>
        <w:ind w:left="340" w:hanging="8"/>
        <w:spacing w:after="0" w:line="254" w:lineRule="auto"/>
        <w:tabs>
          <w:tab w:leader="none" w:pos="608"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 to indemnify, hold harmless, exonerate or advance Expenses hereunder to Indemnitee who is or was serving at the request of the Company as a director, officer, trustee, partner,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except for Section 27, (i) the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188" w:lineRule="exact"/>
        <w:rPr>
          <w:rFonts w:ascii="Times New Roman" w:cs="Times New Roman" w:eastAsia="Times New Roman" w:hAnsi="Times New Roman"/>
          <w:sz w:val="18"/>
          <w:szCs w:val="18"/>
          <w:color w:val="auto"/>
        </w:rPr>
      </w:pPr>
    </w:p>
    <w:p>
      <w:pPr>
        <w:ind w:left="340" w:hanging="8"/>
        <w:spacing w:after="0" w:line="282" w:lineRule="auto"/>
        <w:tabs>
          <w:tab w:leader="none" w:pos="566"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the Company is the primary indemnitor, and any indemnification or advancement obligation of any Co-Sponsor or its respective affiliates or any other Person is secondary.</w:t>
      </w:r>
    </w:p>
    <w:p>
      <w:pPr>
        <w:spacing w:after="0" w:line="157"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DURATION OF AGREEMENT</w:t>
      </w:r>
      <w:r>
        <w:rPr>
          <w:rFonts w:ascii="Times New Roman" w:cs="Times New Roman" w:eastAsia="Times New Roman" w:hAnsi="Times New Roman"/>
          <w:sz w:val="18"/>
          <w:szCs w:val="18"/>
          <w:color w:val="auto"/>
        </w:rPr>
        <w:t>. All agreements and obligations of the Company contained herein shall continue during the period Indemnitee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Corporate Status, whether or not he is acting in any such capacity at the time any liability or expense is incurred for which indemnification or advancement can be provided under this Agreement.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2" w:name="page383"/>
    <w:bookmarkEnd w:id="382"/>
    <w:p>
      <w:pPr>
        <w:jc w:val="both"/>
        <w:ind w:left="332" w:hanging="332"/>
        <w:spacing w:after="0" w:line="255" w:lineRule="auto"/>
        <w:tabs>
          <w:tab w:leader="none" w:pos="332"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If any provision or provisions of this Agreement shall be held to be invalid, illegal or unenforceable for any reason whatsoever: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184"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ENFORCEMENT AND BINDING EFFECT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left="332" w:hanging="8"/>
        <w:spacing w:after="0" w:line="266" w:lineRule="auto"/>
        <w:tabs>
          <w:tab w:leader="none" w:pos="585"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175" w:lineRule="exact"/>
        <w:rPr>
          <w:rFonts w:ascii="Times New Roman" w:cs="Times New Roman" w:eastAsia="Times New Roman" w:hAnsi="Times New Roman"/>
          <w:sz w:val="18"/>
          <w:szCs w:val="18"/>
          <w:color w:val="auto"/>
        </w:rPr>
      </w:pPr>
    </w:p>
    <w:p>
      <w:pPr>
        <w:jc w:val="both"/>
        <w:ind w:left="332" w:hanging="8"/>
        <w:spacing w:after="0" w:line="266" w:lineRule="auto"/>
        <w:tabs>
          <w:tab w:leader="none" w:pos="619"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of the rights of Indemnitee under the Charter or Bylaws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jc w:val="both"/>
        <w:ind w:left="332" w:hanging="8"/>
        <w:spacing w:after="0" w:line="256" w:lineRule="auto"/>
        <w:tabs>
          <w:tab w:leader="none" w:pos="588"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187" w:lineRule="exact"/>
        <w:rPr>
          <w:rFonts w:ascii="Times New Roman" w:cs="Times New Roman" w:eastAsia="Times New Roman" w:hAnsi="Times New Roman"/>
          <w:sz w:val="18"/>
          <w:szCs w:val="18"/>
          <w:color w:val="auto"/>
        </w:rPr>
      </w:pPr>
    </w:p>
    <w:p>
      <w:pPr>
        <w:jc w:val="both"/>
        <w:ind w:left="332" w:hanging="8"/>
        <w:spacing w:after="0" w:line="261" w:lineRule="auto"/>
        <w:tabs>
          <w:tab w:leader="none" w:pos="587"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the Indemnitee, expressly to assume and agree to perform this Agreement in the same manner and to the same extent that the Company would be required to perform if no such succession had taken place.</w:t>
      </w:r>
    </w:p>
    <w:p>
      <w:pPr>
        <w:spacing w:after="0" w:line="38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3232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900" w:right="339" w:bottom="1440" w:gutter="0" w:footer="0" w:header="0"/>
        </w:sectPr>
      </w:pPr>
    </w:p>
    <w:bookmarkStart w:id="383" w:name="page384"/>
    <w:bookmarkEnd w:id="383"/>
    <w:p>
      <w:pPr>
        <w:jc w:val="both"/>
        <w:ind w:left="340" w:hanging="8"/>
        <w:spacing w:after="0" w:line="254" w:lineRule="auto"/>
        <w:tabs>
          <w:tab w:leader="none" w:pos="623"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Indemnitee agree herein that a monetary remedy for breach of this Agreement, at some later date, may be inadequate, impracticable and difficult of proof, and further agree that such breach may cause Indemnitee irreparable harm. Accordingly, the parties hereto agree that Indemnitee may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Delaware Court, and the Company hereby waives any such requirement of such a bond or undertaking.</w:t>
      </w:r>
    </w:p>
    <w:p>
      <w:pPr>
        <w:spacing w:after="0" w:line="184"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MODIFICATION AND WAIVER</w:t>
      </w:r>
      <w:r>
        <w:rPr>
          <w:rFonts w:ascii="Times New Roman" w:cs="Times New Roman" w:eastAsia="Times New Roman" w:hAnsi="Times New Roman"/>
          <w:sz w:val="18"/>
          <w:szCs w:val="18"/>
          <w:color w:val="auto"/>
        </w:rPr>
        <w:t>. No supplement, modification or amendment of this Agreement shall be binding unless executed in writing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No waiver of any of the provisions of this Agreement shall be deemed or shall constitute a waiver of any other provisions of this Agreement nor shall any waiver constitute a continuing waiver.</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All notices, requests, demands and other communications under this Agreement shall be in writing and shall be deemed to have been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174" w:lineRule="exact"/>
        <w:rPr>
          <w:rFonts w:ascii="Times New Roman" w:cs="Times New Roman" w:eastAsia="Times New Roman" w:hAnsi="Times New Roman"/>
          <w:sz w:val="18"/>
          <w:szCs w:val="18"/>
          <w:color w:val="auto"/>
        </w:rPr>
      </w:pPr>
    </w:p>
    <w:p>
      <w:pPr>
        <w:ind w:left="340" w:hanging="8"/>
        <w:spacing w:after="0" w:line="282" w:lineRule="auto"/>
        <w:tabs>
          <w:tab w:leader="none" w:pos="594"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at the address indicated on the signature page of this Agreement, or such other address as Indemnitee shall provide in writing to the Company.</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Attn: Edward Scheetz, Chief Executive Officer</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or to any other address as may have been furnished to Indemnitee in writing by the Company.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4" w:name="page385"/>
    <w:bookmarkEnd w:id="384"/>
    <w:p>
      <w:pPr>
        <w:jc w:val="both"/>
        <w:ind w:left="340" w:hanging="332"/>
        <w:spacing w:after="0" w:line="254" w:lineRule="auto"/>
        <w:tabs>
          <w:tab w:leader="none" w:pos="34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APPLICABLE LAW AND CONSENT TO JURISDICTION</w:t>
      </w:r>
      <w:r>
        <w:rPr>
          <w:rFonts w:ascii="Times New Roman" w:cs="Times New Roman" w:eastAsia="Times New Roman" w:hAnsi="Times New Roman"/>
          <w:sz w:val="18"/>
          <w:szCs w:val="18"/>
          <w:color w:val="auto"/>
        </w:rPr>
        <w:t>. This Agreement and the legal relations among the parties shall be governed by,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construed and enforced in accordance with, the laws of the State of Delaware, without regard to its conflict of laws rules. Except with respect to any arbitration commenced by Indemnitee pursuant to Section 14(a) of this Agreement,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IDENTICAL COUNTERPARTS</w:t>
      </w:r>
      <w:r>
        <w:rPr>
          <w:rFonts w:ascii="Times New Roman" w:cs="Times New Roman" w:eastAsia="Times New Roman" w:hAnsi="Times New Roman"/>
          <w:sz w:val="18"/>
          <w:szCs w:val="18"/>
          <w:color w:val="auto"/>
        </w:rPr>
        <w:t>. This Agreement may be executed in one or more counterparts, each of which shall for all purposes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 original but all of which together shall constitute one and the same Agreement. Only one such counterpart signed by the party against whom enforceability is sought needs to be produced to evidence the existence of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Use of the masculine pronoun shall be deemed to include usage of the feminine pronoun where appropriate. The headings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paragraphs of this Agreement are inserted for convenience only and shall not be deemed to constitute part of this Agreement or to affect the construction thereof.</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9" w:lineRule="auto"/>
        <w:tabs>
          <w:tab w:leader="none" w:pos="34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PERIOD OF LIMITATIONS</w:t>
      </w:r>
      <w:r>
        <w:rPr>
          <w:rFonts w:ascii="Times New Roman" w:cs="Times New Roman" w:eastAsia="Times New Roman" w:hAnsi="Times New Roman"/>
          <w:sz w:val="18"/>
          <w:szCs w:val="18"/>
          <w:color w:val="auto"/>
        </w:rPr>
        <w:t>. No legal action shall be brought and no cause of action shall be asserted by or in the right of the Company against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8" w:lineRule="auto"/>
        <w:tabs>
          <w:tab w:leader="none" w:pos="34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ACTS</w:t>
      </w:r>
      <w:r>
        <w:rPr>
          <w:rFonts w:ascii="Times New Roman" w:cs="Times New Roman" w:eastAsia="Times New Roman" w:hAnsi="Times New Roman"/>
          <w:sz w:val="18"/>
          <w:szCs w:val="18"/>
          <w:color w:val="auto"/>
        </w:rPr>
        <w:t>. If, for the validation of any of the provisions in this Agreement any act, resolution, approval or other procedure is required,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undertakes to cause such act, resolution, approval or other procedure to be affected or adopted in a manner that will enable the Company to fulfill its obligations under this Agreement.</w:t>
      </w:r>
    </w:p>
    <w:p>
      <w:pPr>
        <w:spacing w:after="0" w:line="170"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4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WAIVER OF CLAIMS TO TRUST ACCOUNT</w:t>
      </w:r>
      <w:r>
        <w:rPr>
          <w:rFonts w:ascii="Times New Roman" w:cs="Times New Roman" w:eastAsia="Times New Roman" w:hAnsi="Times New Roman"/>
          <w:sz w:val="18"/>
          <w:szCs w:val="18"/>
          <w:color w:val="auto"/>
        </w:rPr>
        <w:t>. Notwithstanding anything to the contrary contained herein, Indemnitee hereby agrees that he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she does not have any right, title, interest or claim of any kind (each, a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in or to any monies in the trust account established in connection with the Company’s initial public offering for the benefit of the Company and holders of shares issued in such offering, and hereby waives any Claim he or she may have in the future as a result of, or arising out of, any services provided to the Company and will not seek recourse against such trust account for any reason whatsoever. For purposes of clarity, Indemnitee acknowledges and agrees that no monies held in the Trust Account may be used to indemnify Indemnitee for any purpose whatsoever.</w:t>
      </w:r>
    </w:p>
    <w:p>
      <w:pPr>
        <w:spacing w:after="0" w:line="182"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MAINTENANCE OF INSURANCE. </w:t>
      </w:r>
      <w:r>
        <w:rPr>
          <w:rFonts w:ascii="Times New Roman" w:cs="Times New Roman" w:eastAsia="Times New Roman" w:hAnsi="Times New Roman"/>
          <w:sz w:val="18"/>
          <w:szCs w:val="18"/>
          <w:color w:val="auto"/>
        </w:rPr>
        <w:t>The Company shall use commercially reasonable efforts to obtain and maintain in effect during the entire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 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Agreement to be signed as of the day and year first above written.</w:t>
      </w:r>
    </w:p>
    <w:p>
      <w:pPr>
        <w:spacing w:after="0" w:line="23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29" w:lineRule="exact"/>
        <w:rPr>
          <w:sz w:val="20"/>
          <w:szCs w:val="20"/>
          <w:color w:val="auto"/>
        </w:rPr>
      </w:pPr>
    </w:p>
    <w:p>
      <w:pPr>
        <w:ind w:left="6100"/>
        <w:spacing w:after="0"/>
        <w:tabs>
          <w:tab w:leader="none" w:pos="6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4154805</wp:posOffset>
            </wp:positionH>
            <wp:positionV relativeFrom="paragraph">
              <wp:posOffset>17145</wp:posOffset>
            </wp:positionV>
            <wp:extent cx="2562860" cy="171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27" w:lineRule="exact"/>
        <w:rPr>
          <w:sz w:val="20"/>
          <w:szCs w:val="20"/>
          <w:color w:val="auto"/>
        </w:rPr>
      </w:pPr>
    </w:p>
    <w:p>
      <w:pPr>
        <w:ind w:left="654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0" w:right="1440" w:bottom="1440" w:gutter="0" w:footer="0" w:header="0"/>
        </w:sectPr>
      </w:pPr>
    </w:p>
    <w:bookmarkStart w:id="386" w:name="page387"/>
    <w:bookmarkEnd w:id="386"/>
    <w:p>
      <w:pPr>
        <w:ind w:left="5640"/>
        <w:spacing w:after="0"/>
        <w:rPr>
          <w:sz w:val="20"/>
          <w:szCs w:val="20"/>
          <w:color w:val="auto"/>
        </w:rPr>
      </w:pPr>
      <w:r>
        <w:rPr>
          <w:rFonts w:ascii="Times New Roman" w:cs="Times New Roman" w:eastAsia="Times New Roman" w:hAnsi="Times New Roman"/>
          <w:sz w:val="18"/>
          <w:szCs w:val="18"/>
          <w:b w:val="1"/>
          <w:bCs w:val="1"/>
          <w:color w:val="auto"/>
        </w:rPr>
        <w:t>INDEMNITEE</w:t>
      </w:r>
    </w:p>
    <w:p>
      <w:pPr>
        <w:spacing w:after="0" w:line="229" w:lineRule="exact"/>
        <w:rPr>
          <w:sz w:val="20"/>
          <w:szCs w:val="20"/>
          <w:color w:val="auto"/>
        </w:rPr>
      </w:pPr>
    </w:p>
    <w:p>
      <w:pPr>
        <w:jc w:val="right"/>
        <w:ind w:right="1999"/>
        <w:spacing w:after="0"/>
        <w:tabs>
          <w:tab w:leader="none" w:pos="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256286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Alex Weil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171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87" w:name="page388"/>
    <w:bookmarkEnd w:id="387"/>
    <w:p>
      <w:pPr>
        <w:ind w:left="10320"/>
        <w:spacing w:after="0"/>
        <w:rPr>
          <w:sz w:val="20"/>
          <w:szCs w:val="20"/>
          <w:color w:val="auto"/>
        </w:rPr>
      </w:pPr>
      <w:r>
        <w:rPr>
          <w:rFonts w:ascii="Times New Roman" w:cs="Times New Roman" w:eastAsia="Times New Roman" w:hAnsi="Times New Roman"/>
          <w:sz w:val="17"/>
          <w:szCs w:val="17"/>
          <w:b w:val="1"/>
          <w:bCs w:val="1"/>
          <w:color w:val="auto"/>
        </w:rPr>
        <w:t>Exhibit 10.6</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23,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Ventoux CCM Acquisition Corp. (the “Company”), a blank check company formed for the purpose of acquiring one or more businesses or entities (a “Business Combination”), intends to register its securities under the Securities Act of 1933, as amended (“Securities Act”), in connection with its initial public offering (“IPO”), pursuant to a registration statement on Form S-1 (“Registration Statement”).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commits that it will purchase an aggregate of 4,000,000 warrants (or 4,450,000 if the over-allotment option is exercised in full) of the Company (“Private Warrants”), at a price of $1.00 per warrant for an aggregate purchase price of $4,000,000 (or $4,450,000 if the over-allotment option is exercised in full) (the “Private Warrant Purchase Price”).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least twenty-four (24) hours prior to the effective date of the Registration Statement, the undersigned will cause the Private Warrant Purchase Price to be delivered to Loeb &amp; Loeb, LLP (“Loeb”), as escrow agent, by wire transfer as set forth in the instructions attached as Exhibit A to hold in a non-interest bearing account until the Company consummates the IPO.</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consummation of the purchase and issuance of the Private Warrants shall occur simultaneously with the consummation of the IPO. Simultaneously with the consummation of the IPO, Continental shall deposit the Private Warrant Purchase Price, without interest or deduction, into the trust fund (“Trust Fund”) established by the Company for the benefit of the Company’s public stockholders as described in the Registration Statement.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of the Company and the undersigned acknowledges and agrees that Loeb is serving hereunder solely as a convenience to the parties to facilitate the purchase of the Private Warrants.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Additionally, the undersigned agrees:</w:t>
      </w:r>
    </w:p>
    <w:p>
      <w:pPr>
        <w:spacing w:after="0" w:line="225" w:lineRule="exact"/>
        <w:rPr>
          <w:sz w:val="20"/>
          <w:szCs w:val="20"/>
          <w:color w:val="auto"/>
        </w:rPr>
      </w:pPr>
    </w:p>
    <w:p>
      <w:pPr>
        <w:jc w:val="both"/>
        <w:ind w:left="1300" w:hanging="320"/>
        <w:spacing w:after="0" w:line="254" w:lineRule="auto"/>
        <w:tabs>
          <w:tab w:leader="none" w:pos="130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propose, or vote in favor of, an amendment to the Company’s Amended and Restated Certificate of Incorporation that would affect the substance or timing of the Company’s obligation to redeem 100% of the Company’s shares of Common Stock sold in the IPO if the Company does not complete an initial Business Combination within 15 months (or 18 months, if the time to complete a Business Combination is extended as described in eth prospectus) from the closing of the IPO, unless the Company provides the holders of shares of Common Stock sold in the IPO with the opportunity to redeem their shares of Common Stock upon approval of any such amendment at a per-share price, payable in cash, equal to the aggregate amount of the Trust Fund, including interest earned on Trust Fund and not previously released to the Company to pay the Company’s franchise and income taxes, divided by the number of then outstanding shares of Common Stock sold in the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8" w:name="page389"/>
    <w:bookmarkEnd w:id="388"/>
    <w:p>
      <w:pPr>
        <w:jc w:val="both"/>
        <w:ind w:left="1300" w:hanging="320"/>
        <w:spacing w:after="0" w:line="266" w:lineRule="auto"/>
        <w:tabs>
          <w:tab w:leader="none" w:pos="130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will not participate in any liquidation distribution with respect to the Private Warrants (but will participate in liquidation distributions with respect to any units or Common Stock purchased by the undersigned in the IPO or in the open market) if the Company fails to consummate a Business Combination;</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54" w:lineRule="auto"/>
        <w:tabs>
          <w:tab w:leader="none" w:pos="130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Private Warrants and underlying securities will not be transferable until after the consummation of a Business Combination except (i) to the Company’s pre-IPO stockholders, or to the Company’s officers, directors, advisors and employees, (ii) transfers to the undersigned’s affiliates or its members upon its liquidation, (iii) to relatives and trusts for estate planning purposes, (iv) by virtue of the laws of descent and distribution upon death, (v) pursuant to a qualified domestic relations order, (vi) by private sales at prices no greater than the price at which the Private Warrants were originally purchased, (vii) by certain pledges to secure obligations incurred in connection with purchases of our securities, (viii) by private sales at prices no greater than the price at which the Private Warrants were originally purchased or (ix) to the Company for cancellation in connection with the consummation of a Business Combination, in each case (except for clause ix) where the transferee agrees to the terms of the transfer restrictions; and</w:t>
      </w:r>
    </w:p>
    <w:p>
      <w:pPr>
        <w:spacing w:after="0" w:line="19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Warrants will include any additional terms or restrictions as is customary in other similarly structured blank check company offerings or as may be reasonably required by the underwriters in the IPO in order to consummate the IPO, each of which will be set forth in the Registration Statement.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and agrees that the purchaser of the Private Warrants will execute agreements in form and substance typical for transactions of this nature necessary to effectuate the foregoing agreements and obligations prior to the consummation of the IPO as are reasonably acceptable to the undersigned, including but not limited to an insider letter.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also acknowledges to be bound by terms of the private warrants described in the warrant agreement between the Company and Continental Stock Transfer &amp; Trust Company that will be executed in connection with the Company’s IPO.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represents and warrants that:</w:t>
      </w:r>
    </w:p>
    <w:p>
      <w:pPr>
        <w:spacing w:after="0" w:line="225" w:lineRule="exact"/>
        <w:rPr>
          <w:sz w:val="20"/>
          <w:szCs w:val="20"/>
          <w:color w:val="auto"/>
        </w:rPr>
      </w:pPr>
    </w:p>
    <w:p>
      <w:pPr>
        <w:ind w:left="900" w:hanging="244"/>
        <w:spacing w:after="0"/>
        <w:tabs>
          <w:tab w:leader="none" w:pos="90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advised that the Private Warrants have not been registered under the Securities Act;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be acquiring the Private Warrants for its account for investment purposes only;</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 present intention of selling or otherwise disposing of the Private Warrants in violation of the securities laws of the United States;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 “accredited investor” as defined by Rule 501 of Regulation D promulgated under the Securities Act of 1933, as amended;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9" w:name="page390"/>
    <w:bookmarkEnd w:id="389"/>
    <w:p>
      <w:pPr>
        <w:ind w:firstLine="656"/>
        <w:spacing w:after="0" w:line="282" w:lineRule="auto"/>
        <w:tabs>
          <w:tab w:leader="none" w:pos="90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had both the opportunity to ask questions and receive answers from the officers and directors of the Company and all persons acting on its behalf concerning the terms and conditions of the offer made hereunder;</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familiar with the proposed business, management, financial condition and affairs of the Company;</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41"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full power, authority and legal capacity to execute and deliver this letter and any documents contemplated herein or needed to consummate the transactions contemplated in this letter; and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constitutes its legal, valid and binding obligation, and is enforceable against it.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letter agreement constitutes the entire agreement between the undersigned and the Company with respect to the purchase of the Private Warrants, and supersedes all prior and contemporaneous understandings, agreements, representations and warranties, both written and oral, with respect to the same.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0" w:name="page391"/>
    <w:bookmarkEnd w:id="390"/>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VENTOUX ACQUISITION HOLDINGS LLC</w:t>
      </w:r>
    </w:p>
    <w:p>
      <w:pPr>
        <w:spacing w:after="0" w:line="237"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Matthew MacDonald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Matthew MacDonald</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27" w:lineRule="exact"/>
        <w:rPr>
          <w:sz w:val="20"/>
          <w:szCs w:val="20"/>
          <w:color w:val="auto"/>
        </w:rPr>
      </w:pPr>
    </w:p>
    <w:p>
      <w:pPr>
        <w:ind w:left="460"/>
        <w:spacing w:after="0"/>
        <w:tabs>
          <w:tab w:leader="none" w:pos="10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80"/>
          </w:cols>
          <w:pgMar w:left="320" w:top="904" w:right="1399" w:bottom="1440" w:gutter="0" w:footer="0" w:header="0"/>
        </w:sectPr>
      </w:pPr>
    </w:p>
    <w:bookmarkStart w:id="391" w:name="page392"/>
    <w:bookmarkEnd w:id="3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436245</wp:posOffset>
            </wp:positionV>
            <wp:extent cx="7132320" cy="171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92" w:name="page393"/>
    <w:bookmarkEnd w:id="392"/>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23,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Ventoux CCM Acquisition Corp. (the “Company”), a blank check company formed for the purpose of acquiring one or more businesses or entities (a “Business Combination”), intends to register its securities under the Securities Act of 1933, as amended (“Securities Act”), in connection with its initial public offering (“IPO”), pursuant to a registration statement on Form S-1 (“Registration Statement”).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hereby commits that it will purchase an aggregate of 2,000,000 warrants (or 2,225,000 if the over-allotment option is exercised in full) of the Company (“Private Warrants”), at a price of $1.00 per warrant for an aggregate purchase price of $2,000,000 (or $2,225,000 if the over-allotment option is exercised in full) (the “Private Warrant Purchase Price”).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least twenty-four (24) hours prior to the effective date of the Registration Statement, the undersigned will cause the Private Warrant Purchase Price to be delivered to Loeb &amp; Loeb, LLP (“Loeb”), as escrow agent, by wire transfer as set forth in the instructions attached as Exhibit A to hold in a non-interest bearing account until the Company consummates the IPO.</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consummation of the purchase and issuance of the Private Warrants shall occur simultaneously with the consummation of the IPO. Simultaneously with the consummation of the IPO, Continental shall deposit the Private Warrant Purchase Price, without interest or deduction, into the trust fund (“Trust Fund”) established by the Company for the benefit of the Company’s public stockholders as described in the Registration Statement.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of the Company and the undersigned acknowledges and agrees that Loeb is serving hereunder solely as a convenience to the parties to facilitate the purchase of the Private Warrants.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Additionally, the undersigned agrees:</w:t>
      </w:r>
    </w:p>
    <w:p>
      <w:pPr>
        <w:spacing w:after="0" w:line="225" w:lineRule="exact"/>
        <w:rPr>
          <w:sz w:val="20"/>
          <w:szCs w:val="20"/>
          <w:color w:val="auto"/>
        </w:rPr>
      </w:pPr>
    </w:p>
    <w:p>
      <w:pPr>
        <w:jc w:val="both"/>
        <w:ind w:left="1300" w:hanging="320"/>
        <w:spacing w:after="0" w:line="254" w:lineRule="auto"/>
        <w:tabs>
          <w:tab w:leader="none" w:pos="130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propose, or vote in favor of, an amendment to the Company’s Amended and Restated Certificate of Incorporation that would affect the substance or timing of the Company’s obligation to redeem 100% of the Company’s shares of Common Stock sold in the IPO if the Company does not complete an initial Business Combination within 15 months (or 18 months, if the time to complete a Business Combination is extended as described in eth prospectus) from the closing of the IPO, unless the Company provides the holders of shares of Common Stock sold in the IPO with the opportunity to redeem their shares of Common Stock upon approval of any such amendment at a per-share price, payable in cash, equal to the aggregate amount of the Trust Fund, including interest earned on Trust Fund and not previously released to the Company to pay the Company’s franchise and income taxes, divided by the number of then outstanding shares of Common Stock sold in the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171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3" w:name="page394"/>
    <w:bookmarkEnd w:id="393"/>
    <w:p>
      <w:pPr>
        <w:jc w:val="both"/>
        <w:ind w:left="1300" w:hanging="320"/>
        <w:spacing w:after="0" w:line="266" w:lineRule="auto"/>
        <w:tabs>
          <w:tab w:leader="none" w:pos="130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will not participate in any liquidation distribution with respect to the Private Warrants (but will participate in liquidation distributions with respect to any units or Common Stock purchased by the undersigned in the IPO or in the open market) if the Company fails to consummate a Business Combination;</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54" w:lineRule="auto"/>
        <w:tabs>
          <w:tab w:leader="none" w:pos="130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Private Warrants and underlying securities will not be transferable until after the consummation of a Business Combination except (i) to the Company’s pre-IPO stockholders, or to the Company’s officers, directors, advisors and employees, (ii) transfers to the undersigned’s affiliates or its members upon its liquidation, (iii) to relatives and trusts for estate planning purposes, (iv) by virtue of the laws of descent and distribution upon death, (v) pursuant to a qualified domestic relations order, (vi) by private sales at prices no greater than the price at which the Private Warrants were originally purchased, (vii) by certain pledges to secure obligations incurred in connection with purchases of our securities, (viii) by private sales at prices no greater than the price at which the Private Warrants were originally purchased or (ix) to the Company for cancellation in connection with the consummation of a Business Combination, in each case (except for clause ix) where the transferee agrees to the terms of the transfer restrictions; and</w:t>
      </w:r>
    </w:p>
    <w:p>
      <w:pPr>
        <w:spacing w:after="0" w:line="19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Warrants will include any additional terms or restrictions as is customary in other similarly structured blank check company offerings or as may be reasonably required by the underwriters in the IPO in order to consummate the IPO, each of which will be set forth in the Registration Statement.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and agrees that the purchaser of the Private Warrants will execute agreements in form and substance typical for transactions of this nature necessary to effectuate the foregoing agreements and obligations prior to the consummation of the IPO as are reasonably acceptable to the undersigned, including but not limited to an insider letter.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also acknowledges to be bound by terms of the private warrants described in the warrant agreement between the Company and Continental Stock Transfer &amp; Trust Company that will be executed in connection with the Company’s IPO.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hereby represents and warrants that:</w:t>
      </w:r>
    </w:p>
    <w:p>
      <w:pPr>
        <w:spacing w:after="0" w:line="225" w:lineRule="exact"/>
        <w:rPr>
          <w:sz w:val="20"/>
          <w:szCs w:val="20"/>
          <w:color w:val="auto"/>
        </w:rPr>
      </w:pPr>
    </w:p>
    <w:p>
      <w:pPr>
        <w:ind w:left="900" w:hanging="244"/>
        <w:spacing w:after="0"/>
        <w:tabs>
          <w:tab w:leader="none" w:pos="90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advised that the Private Warrants have not been registered under the Securities Act;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will be acquiring the Private Warrants for its account for investment purposes only;</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 present intention of selling or otherwise disposing of the Private Warrants in violation of the securities laws of the United States;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 “accredited investor” as defined by Rule 501 of Regulation D promulgated under the Securities Act of 1933, as amended;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4" w:name="page395"/>
    <w:bookmarkEnd w:id="394"/>
    <w:p>
      <w:pPr>
        <w:ind w:firstLine="656"/>
        <w:spacing w:after="0" w:line="282" w:lineRule="auto"/>
        <w:tabs>
          <w:tab w:leader="none" w:pos="90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had both the opportunity to ask questions and receive answers from the officers and directors of the Company and all persons acting on its behalf concerning the terms and conditions of the offer made hereunder;</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familiar with the proposed business, management, financial condition and affairs of the Company;</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941"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full power, authority and legal capacity to execute and deliver this letter and any documents contemplated herein or needed to consummate the transactions contemplated in this letter; and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letter constitutes its legal, valid and binding obligation, and is enforceable against it.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letter agreement constitutes the entire agreement between the undersigned and the Company with respect to the purchase of the Private Warrants, and supersedes all prior and contemporaneous understandings, agreements, representations and warranties, both written and oral, with respect to the same.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5" w:name="page396"/>
    <w:bookmarkEnd w:id="395"/>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CHARDAN INTERNATIONAL INVESTMENTS, LLC</w:t>
      </w:r>
    </w:p>
    <w:p>
      <w:pPr>
        <w:spacing w:after="0" w:line="23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Name: Jonas Grossman</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2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Edward Scheetz</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60"/>
          </w:cols>
          <w:pgMar w:left="320" w:top="904" w:right="719" w:bottom="1440" w:gutter="0" w:footer="0" w:header="0"/>
        </w:sectPr>
      </w:pPr>
    </w:p>
    <w:bookmarkStart w:id="396" w:name="page397"/>
    <w:bookmarkEnd w:id="3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Wire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299085</wp:posOffset>
            </wp:positionV>
            <wp:extent cx="7132320" cy="171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97" w:name="page398"/>
    <w:bookmarkEnd w:id="397"/>
    <w:p>
      <w:pPr>
        <w:ind w:left="10320"/>
        <w:spacing w:after="0"/>
        <w:rPr>
          <w:sz w:val="20"/>
          <w:szCs w:val="20"/>
          <w:color w:val="auto"/>
        </w:rPr>
      </w:pPr>
      <w:r>
        <w:rPr>
          <w:rFonts w:ascii="Times New Roman" w:cs="Times New Roman" w:eastAsia="Times New Roman" w:hAnsi="Times New Roman"/>
          <w:sz w:val="17"/>
          <w:szCs w:val="17"/>
          <w:b w:val="1"/>
          <w:bCs w:val="1"/>
          <w:color w:val="auto"/>
        </w:rPr>
        <w:t>Exhibit 10.8</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Chardan Capital Markets, LLC</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 State Street, Suite 2100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New York 10004</w:t>
      </w:r>
    </w:p>
    <w:p>
      <w:pPr>
        <w:sectPr>
          <w:pgSz w:w="11900" w:h="16838" w:orient="portrait"/>
          <w:cols w:equalWidth="0" w:num="1">
            <w:col w:w="11240"/>
          </w:cols>
          <w:pgMar w:left="320" w:top="117" w:right="339" w:bottom="1440" w:gutter="0" w:footer="0" w:header="0"/>
        </w:sect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Edward Scheetz,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23, 2020</w:t>
      </w:r>
    </w:p>
    <w:p>
      <w:pPr>
        <w:spacing w:after="0" w:line="1082" w:lineRule="exact"/>
        <w:rPr>
          <w:sz w:val="20"/>
          <w:szCs w:val="20"/>
          <w:color w:val="auto"/>
        </w:rPr>
      </w:pPr>
    </w:p>
    <w:p>
      <w:pPr>
        <w:sectPr>
          <w:pgSz w:w="11900" w:h="16838" w:orient="portrait"/>
          <w:cols w:equalWidth="0" w:num="2">
            <w:col w:w="9100" w:space="720"/>
            <w:col w:w="1420"/>
          </w:cols>
          <w:pgMar w:left="320" w:top="117" w:right="339" w:bottom="1440" w:gutter="0" w:footer="0" w:header="0"/>
          <w:type w:val="continuous"/>
        </w:sectPr>
      </w:pPr>
    </w:p>
    <w:p>
      <w:pPr>
        <w:spacing w:after="0" w:line="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This is to confirm our agreement whereby Ventoux CCM Acquisition Corp., a Delaware corporation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requested Chardan Capital Markets, LLC (the “</w:t>
      </w:r>
      <w:r>
        <w:rPr>
          <w:rFonts w:ascii="Times New Roman" w:cs="Times New Roman" w:eastAsia="Times New Roman" w:hAnsi="Times New Roman"/>
          <w:sz w:val="18"/>
          <w:szCs w:val="18"/>
          <w:b w:val="1"/>
          <w:bCs w:val="1"/>
          <w:color w:val="auto"/>
        </w:rPr>
        <w:t>Advisor</w:t>
      </w:r>
      <w:r>
        <w:rPr>
          <w:rFonts w:ascii="Times New Roman" w:cs="Times New Roman" w:eastAsia="Times New Roman" w:hAnsi="Times New Roman"/>
          <w:sz w:val="18"/>
          <w:szCs w:val="18"/>
          <w:color w:val="auto"/>
        </w:rPr>
        <w:t>”) to assist it in connection with the Company engaging in a merger, capital stock exchange, asset acquisition, stock purchase, reorganization or similar business combination (in each case, a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with one or more businesses (each a “</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 as described in the Company’s Registration Statement on Form S-1 (File No. 333-251048), as amended, filed with the U.S. Securities and Exchange Commission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in connection with the Company’s initial public offering (“</w:t>
      </w:r>
      <w:r>
        <w:rPr>
          <w:rFonts w:ascii="Times New Roman" w:cs="Times New Roman" w:eastAsia="Times New Roman" w:hAnsi="Times New Roman"/>
          <w:sz w:val="18"/>
          <w:szCs w:val="18"/>
          <w:b w:val="1"/>
          <w:bCs w:val="1"/>
          <w:color w:val="auto"/>
        </w:rPr>
        <w:t>IPO</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hanging="652"/>
        <w:spacing w:after="0"/>
        <w:tabs>
          <w:tab w:leader="none" w:pos="66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Services and Fees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Advisor will, from time to time, upon the Company’s request and in consultation with the Company:</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2"/>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Company in arranging meetings with its stockholders to discuss one or more potential Business Combinations, including making calls to stockholders and providing business updates and marketing feedback, in all cases to the extent legally permissible;</w:t>
      </w:r>
    </w:p>
    <w:p>
      <w:pPr>
        <w:spacing w:after="0" w:line="175"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2"/>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 the Company to potential investors to purchase the Company’s publicly-traded securities in after-market transactions following the public announcement of the Business Combination;</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2"/>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financial advisory services to assist the Company in its efforts to obtain any stockholder approval for one or more Business Combinations, until such time as the Company has completed an initial Business Combination; and</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2"/>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Company with any press releases and/or filings related to any Business Combination or related Targets (the activities described in the foregoing clauses (i)-(iv), the “</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the Services will not include (x) any solicitation of potential investors in connection with the IPO or any Business Combination, (y) any solicitation of proxies in connection with the Business Combination, or (z) any provision of M&amp;A-related advisory services. In the event that the Company requests that the Advisor provide any placement agent and/or M&amp;A-related advisory services, such engagement will be set forth in one or more separate agreements between the Company and the Advisor.</w:t>
      </w:r>
    </w:p>
    <w:p>
      <w:pPr>
        <w:spacing w:after="0" w:line="180" w:lineRule="exact"/>
        <w:rPr>
          <w:sz w:val="20"/>
          <w:szCs w:val="20"/>
          <w:color w:val="auto"/>
        </w:rPr>
      </w:pPr>
    </w:p>
    <w:p>
      <w:pPr>
        <w:jc w:val="both"/>
        <w:ind w:firstLine="656"/>
        <w:spacing w:after="0" w:line="255" w:lineRule="auto"/>
        <w:tabs>
          <w:tab w:leader="none" w:pos="904"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compensation for the Services, the Company will pay the Advisor a cash fee equal to, in the aggregate, 3.5% of the gross proceeds received by the Company from the sale of its equity securities pursuant to the Registration Statement in connection with the IPO, including any proceeds from the full or partial exercise of the underwriters’ over-allotment option described therein (the “</w:t>
      </w:r>
      <w:r>
        <w:rPr>
          <w:rFonts w:ascii="Times New Roman" w:cs="Times New Roman" w:eastAsia="Times New Roman" w:hAnsi="Times New Roman"/>
          <w:sz w:val="18"/>
          <w:szCs w:val="18"/>
          <w:b w:val="1"/>
          <w:bCs w:val="1"/>
          <w:color w:val="auto"/>
        </w:rPr>
        <w:t>Fee</w:t>
      </w:r>
      <w:r>
        <w:rPr>
          <w:rFonts w:ascii="Times New Roman" w:cs="Times New Roman" w:eastAsia="Times New Roman" w:hAnsi="Times New Roman"/>
          <w:sz w:val="18"/>
          <w:szCs w:val="18"/>
          <w:color w:val="auto"/>
        </w:rPr>
        <w:t>”). The Fee is due and payable to the Advisor by wire transfer at the closing of the initial Business Combination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If a proposed Business Combination is not consummated for any reason during the 15-month period (as such period may be extended pursuant to the Company’s amended and restated certificate of incorporation) from the closing of the IPO, no Fee shall be due or payable to the Advisor hereunder. The Fee shall be exclusive of any other fees which may become payable to the Advisor pursuant to any other agreement among the Advisor and the Company or any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98" w:name="page399"/>
    <w:bookmarkEnd w:id="398"/>
    <w:p>
      <w:pPr>
        <w:ind w:left="660" w:hanging="652"/>
        <w:spacing w:after="0"/>
        <w:tabs>
          <w:tab w:leader="none" w:pos="66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Closing, the Company shall reimburse the Advisor for all reasonable and documented costs and out-of-pocket expenses incurred by the Advisor (including reasonable and documented fees and disbursements of outside counsel) in connection with the performance of the Services hereunder; provided, however, that such expenses shall not exceed $5,000 in the aggregate without the prior written consent of the Company.</w:t>
      </w:r>
    </w:p>
    <w:p>
      <w:pPr>
        <w:spacing w:after="0" w:line="176" w:lineRule="exact"/>
        <w:rPr>
          <w:sz w:val="20"/>
          <w:szCs w:val="20"/>
          <w:color w:val="auto"/>
        </w:rPr>
      </w:pPr>
    </w:p>
    <w:p>
      <w:pPr>
        <w:ind w:left="660" w:hanging="652"/>
        <w:spacing w:after="0"/>
        <w:tabs>
          <w:tab w:leader="none" w:pos="66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Cooperation; Information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4" w:lineRule="auto"/>
        <w:tabs>
          <w:tab w:leader="none" w:pos="980"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provide such cooperation to the Advisor as may be reasonably necessary for the efficient performance by the Advisor of its obligations hereunder, including providing to the Advisor and its counsel, on a timely basis, all documents and information regarding the Company and any Target that the Advisor may reasonably request or that are otherwise relevant to the Advisor’s performance of its obligations hereunder (collectively, the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making the Company’s management, auditors, consultants and advisors available to the Advisor; and using commercially reasonable efforts to provide the Advisor with reasonable access to the management, auditors, suppliers, customers, consultants and advisors of any Target. The Company will promptly notify the Advisor of any change in facts or circumstances or new developments affecting the Company or any Target or that might reasonably be considered material to the Advisor’s engagement hereunder.</w:t>
      </w:r>
    </w:p>
    <w:p>
      <w:pPr>
        <w:spacing w:after="0" w:line="19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Advisor shall not share with third parties any Information, presentations and/or materials about the Company, its shareholders and/or affiliates, any Business Combination and/or any Targets, to the extent that any such information has not already been provided to the public in the Registration Statement, unless the Advisor obtains the Company’s prior written approval (which may be provided via email).</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Warranties and Covenants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represents, warrants and covenants to the Advisor that all Information it makes available to the Advisor by or on behalf of the Company in connection with the performance of its obligations hereunder will not contain any untrue statement of a material fact or omit to state a material fact necessary in order to make statements made, in light of the circumstances under which they were made, not misleading as of the date thereof and as of the consummation of the Business Combination.</w:t>
      </w:r>
    </w:p>
    <w:p>
      <w:pPr>
        <w:spacing w:after="0" w:line="179"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Advisor represents, warrants and covenants to the Company that it is not prohibited from entering into this Agreement by any applicable contract, agreement, law or order.</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shall indemnify the Advisor and its affiliates and their respective directors, officers, employees, shareholders, representatives and agents in accordance with the indemnification provisions set forth in Annex I hereto, all of which are incorporated herein by reference.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9" w:name="page400"/>
    <w:bookmarkEnd w:id="39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and Annex I, the Advisor agrees, if there is no Closing, (i) that it does not have any right, title, interest or claim of any kind in or to any monies in the Company’s trust account (“</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established in connection with the IPO with respect to the Fee or any expenses provided for hereunder (each,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(ii) to waive any Claim it may have in the future as a result of, or arising out of, any Services provided to the Company hereunder; and (iii) to not seek recourse against the Trust Account with respect to the Fee or any expenses provided for hereunder.</w:t>
      </w:r>
    </w:p>
    <w:p>
      <w:pPr>
        <w:spacing w:after="0" w:line="180" w:lineRule="exact"/>
        <w:rPr>
          <w:sz w:val="20"/>
          <w:szCs w:val="20"/>
          <w:color w:val="auto"/>
        </w:rPr>
      </w:pPr>
    </w:p>
    <w:p>
      <w:pPr>
        <w:ind w:left="660" w:hanging="652"/>
        <w:spacing w:after="0"/>
        <w:tabs>
          <w:tab w:leader="none" w:pos="66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Name and Reports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Without the Advisor’s prior written consent (which may be provided via email), neither the Company nor any of its affiliates (nor any director, officer, manager, partner, member, employee or agent thereof) shall quote or refer to in any public communication (i) the Advisor’s name or (ii) any advice rendered by the Advisor to the Company or any communication from the Advisor, in connection with performance of the Services, except as required by applicable federal or state law, regulation or securities exchange rule.</w:t>
      </w:r>
    </w:p>
    <w:p>
      <w:pPr>
        <w:spacing w:after="0" w:line="180" w:lineRule="exact"/>
        <w:rPr>
          <w:sz w:val="20"/>
          <w:szCs w:val="20"/>
          <w:color w:val="auto"/>
        </w:rPr>
      </w:pPr>
    </w:p>
    <w:p>
      <w:pPr>
        <w:ind w:left="660" w:hanging="652"/>
        <w:spacing w:after="0"/>
        <w:tabs>
          <w:tab w:leader="none" w:pos="66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 as Independent Contractor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Advisor shall perform the Services as an independent contractor and not as an employee of the Company or affiliate thereof. It is expressly understood and agreed to by the parties that the Advisor shall have no authority to act for, represent or bind the Company or any affiliate thereof in any manner, except as may be expressly agreed to by the Company in writing. In rendering such services, the Advisor will be acting solely pursuant to a contractual relationship on an arm’s-length basis. This Agreement is not intended to create a fiduciary relationship between the parties and neither the Advisor nor any of the Advisor’s officers, directors or personnel will owe any fiduciary duty to the Company or any other person in connection with any of the matters contemplated by this Agreement.</w:t>
      </w:r>
    </w:p>
    <w:p>
      <w:pPr>
        <w:spacing w:after="0" w:line="187" w:lineRule="exact"/>
        <w:rPr>
          <w:sz w:val="20"/>
          <w:szCs w:val="20"/>
          <w:color w:val="auto"/>
        </w:rPr>
      </w:pPr>
    </w:p>
    <w:p>
      <w:pPr>
        <w:ind w:left="660" w:hanging="652"/>
        <w:spacing w:after="0"/>
        <w:tabs>
          <w:tab w:leader="none" w:pos="66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Potential Conflicts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acknowledges that the Advisor is a full-service securities firm engaged in securities trading and brokerage activities and providing investment banking and advisory services from which conflicting interests may arise. In the ordinary course of business, the Advisor and its affiliates may at any time hold long or short positions, and may trade or otherwise effect transactions, for its own account and the accounts of customers, in debt or equity securities of the Company, its affiliates or other entities that may be involved in the transactions contemplated hereby, and may provide advisory and other services to one or more actual or potential Targets, investors or other parties to any Business Combination or other transaction entered into by the Company, for which services the Advisor or one or more of its affiliates may be paid fees, including fees conditioned upon the closing of a particular Business Combination or other transaction or transactions. Nothing in this Agreement shall be construed to limit or restrict the Advisor or any of its affiliates in conducting any such business.</w:t>
      </w:r>
    </w:p>
    <w:p>
      <w:pPr>
        <w:spacing w:after="0" w:line="192" w:lineRule="exact"/>
        <w:rPr>
          <w:sz w:val="20"/>
          <w:szCs w:val="20"/>
          <w:color w:val="auto"/>
        </w:rPr>
      </w:pPr>
    </w:p>
    <w:p>
      <w:pPr>
        <w:ind w:left="660" w:hanging="652"/>
        <w:spacing w:after="0"/>
        <w:tabs>
          <w:tab w:leader="none" w:pos="66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Agreement constitutes the entire understanding among the parties with respect to the subject matter hereof and supersedes all prior agreements and understandings, oral or written, with respect thereto. This Agreement may not be modified or terminated orally or in any manner other than by an agreement in writing signed by the parties hereto.</w:t>
      </w:r>
    </w:p>
    <w:p>
      <w:pPr>
        <w:spacing w:after="0" w:line="176" w:lineRule="exact"/>
        <w:rPr>
          <w:sz w:val="20"/>
          <w:szCs w:val="20"/>
          <w:color w:val="auto"/>
        </w:rPr>
      </w:pPr>
    </w:p>
    <w:p>
      <w:pPr>
        <w:ind w:left="660" w:hanging="652"/>
        <w:spacing w:after="0"/>
        <w:tabs>
          <w:tab w:leader="none" w:pos="660"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notices required or permitted to be given hereunder shall be in writing and shall be deemed given when sent via email to each party at its respective address set forth below its signature and received by such party’s online access provider or mailed by certified mail or private courier service, return receipt requested, addressed to each party at its respective addresses set forth above, or such other address as may be given by a party in a notice given pursuant to this section.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0" w:name="page401"/>
    <w:bookmarkEnd w:id="400"/>
    <w:p>
      <w:pPr>
        <w:ind w:left="660" w:hanging="652"/>
        <w:spacing w:after="0"/>
        <w:tabs>
          <w:tab w:leader="none" w:pos="66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may not be assigned by any party without the written consent of the other parties hereto. This Agreement shall be binding upon and shall inure to the benefit of the parties hereto and, except where prohibited, to their successors and permitted assigns.</w:t>
      </w:r>
    </w:p>
    <w:p>
      <w:pPr>
        <w:spacing w:after="0" w:line="162" w:lineRule="exact"/>
        <w:rPr>
          <w:sz w:val="20"/>
          <w:szCs w:val="20"/>
          <w:color w:val="auto"/>
        </w:rPr>
      </w:pPr>
    </w:p>
    <w:p>
      <w:pPr>
        <w:ind w:left="660" w:hanging="652"/>
        <w:spacing w:after="0"/>
        <w:tabs>
          <w:tab w:leader="none" w:pos="660"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Non-Exclusivity.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Nothing herein shall be deemed to restrict or prohibit the engagement by the Company of other consultants providing the same or similar services or the payment by the Company of fees to such parties. The Company’s engagement of any other consultant(s) shall not affect the Advisor’s right to receive the Fee and reimbursement of expenses pursuant to this Agreement.</w:t>
      </w:r>
    </w:p>
    <w:p>
      <w:pPr>
        <w:spacing w:after="0" w:line="176" w:lineRule="exact"/>
        <w:rPr>
          <w:sz w:val="20"/>
          <w:szCs w:val="20"/>
          <w:color w:val="auto"/>
        </w:rPr>
      </w:pPr>
    </w:p>
    <w:p>
      <w:pPr>
        <w:ind w:left="660" w:hanging="652"/>
        <w:spacing w:after="0"/>
        <w:tabs>
          <w:tab w:leader="none" w:pos="660"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 Venue.</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and enforced in accordance with the internal laws of the State of New York.</w:t>
      </w:r>
    </w:p>
    <w:p>
      <w:pPr>
        <w:spacing w:after="0" w:line="2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IN THE EVENT OF ANY DISPUTE UNDER THIS AGREEMENT, EACH PARTY HERETO AGREES THAT THE DISPUTE SHALL BE BROUGHT AND ENFORCED IN THE COURTS OF THE STATE OF NEW YORK, COUNTY OF NEW YORK UNDER THE ACCELERATED ADJUDICATION PROCEDURES OF THE COMMERCIAL DIVISION. EACH PARTY IRREVOCABLY SUBMITS TO SUCH JURISDICTION, WHICH JURISDICTION SHALL BE EXCLUSIVE. EACH PARTY HEREBY WAIVES ANY OBJECTION TO SUCH EXCLUSIVE JURISDICTION AND THAT SUCH COURTS REPRESENT AN INCONVENIENT FORUM. ANY PROCESS OR SUMMONS TO BE SERVED IN SUCH A DISPUTE UPON A PARTY MAY BE SERVED BY TRANSMITTING A COPY THEREOF BY REGISTERED OR CERTIFIED MAIL, POSTAGE PREPAID, ADDRESSED TO SUCH PARTY AT THE ADDRESS FOR SUCH PARTY SET FORTH AT THE BEGINNING OF THIS AGREEMENT. SUCH MAILING SHALL BE DEEMED PERSONAL SERVICE AND SHALL BE LEGAL AND BINDING UPON THE PARTY BEING SERVED. THE PARTIES AGREE THAT THE PREVAILING PARTY(IES) IN ANY SUCH ACTION SHALL BE ENTITLED TO RECOVER FROM THE OTHER PARTY(IES) ALL OF SUCH PREVAILING PARTY’S(IES’) REASONABLE ATTORNEYS’ FEES AND EXPENSES RELATING TO SUCH ACTION OR PROCEEDING AND/OR INCURRED IN CONNECTION WITH THE PREPARATION THEREFOR.</w:t>
      </w:r>
    </w:p>
    <w:p>
      <w:pPr>
        <w:spacing w:after="0" w:line="194" w:lineRule="exact"/>
        <w:rPr>
          <w:sz w:val="20"/>
          <w:szCs w:val="20"/>
          <w:color w:val="auto"/>
        </w:rPr>
      </w:pPr>
    </w:p>
    <w:p>
      <w:pPr>
        <w:ind w:left="660" w:hanging="652"/>
        <w:spacing w:after="0"/>
        <w:tabs>
          <w:tab w:leader="none" w:pos="66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“including” shall mean “including, but not limited to”.</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several original or facsimile counterparts, each one of which shall constitute an original, and all of which together shall constitute but one instrument.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1" w:name="page402"/>
    <w:bookmarkEnd w:id="401"/>
    <w:p>
      <w:pPr>
        <w:ind w:firstLine="648"/>
        <w:spacing w:after="0" w:line="282" w:lineRule="auto"/>
        <w:rPr>
          <w:sz w:val="20"/>
          <w:szCs w:val="20"/>
          <w:color w:val="auto"/>
        </w:rPr>
      </w:pPr>
      <w:r>
        <w:rPr>
          <w:rFonts w:ascii="Times New Roman" w:cs="Times New Roman" w:eastAsia="Times New Roman" w:hAnsi="Times New Roman"/>
          <w:sz w:val="18"/>
          <w:szCs w:val="18"/>
          <w:color w:val="auto"/>
        </w:rPr>
        <w:t>If the foregoing correctly sets forth the understanding among the Advisor and the Company with respect to the foregoing, please indicate your agreement by signing in the place provided below, and this letter shall become a binding contract as of the date first set forth above.</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25"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26035</wp:posOffset>
            </wp:positionV>
            <wp:extent cx="2554605" cy="171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34"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Jonas Grossman</w:t>
      </w:r>
    </w:p>
    <w:p>
      <w:pPr>
        <w:spacing w:after="0" w:line="23"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Managing Member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and accepted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VENTOUX CCM ACQUISITION CORP.</w:t>
      </w:r>
    </w:p>
    <w:p>
      <w:pPr>
        <w:spacing w:after="0" w:line="225" w:lineRule="exact"/>
        <w:rPr>
          <w:sz w:val="20"/>
          <w:szCs w:val="20"/>
          <w:color w:val="auto"/>
        </w:rPr>
      </w:pPr>
    </w:p>
    <w:p>
      <w:pPr>
        <w:ind w:left="20"/>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Edward Scheetz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34290</wp:posOffset>
            </wp:positionV>
            <wp:extent cx="2562860" cy="17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43" w:lineRule="exact"/>
        <w:rPr>
          <w:sz w:val="20"/>
          <w:szCs w:val="20"/>
          <w:color w:val="auto"/>
        </w:rPr>
      </w:pPr>
    </w:p>
    <w:p>
      <w:pPr>
        <w:ind w:left="480"/>
        <w:spacing w:after="0"/>
        <w:tabs>
          <w:tab w:leader="none" w:pos="1120" w:val="left"/>
        </w:tabs>
        <w:rPr>
          <w:sz w:val="20"/>
          <w:szCs w:val="20"/>
          <w:color w:val="auto"/>
        </w:rPr>
      </w:pPr>
      <w:r>
        <w:rPr>
          <w:rFonts w:ascii="Times New Roman" w:cs="Times New Roman" w:eastAsia="Times New Roman" w:hAnsi="Times New Roman"/>
          <w:sz w:val="18"/>
          <w:szCs w:val="18"/>
          <w:color w:val="auto"/>
        </w:rPr>
        <w:t>Name:</w:t>
        <w:tab/>
        <w:t>Edward Scheetz</w:t>
      </w:r>
    </w:p>
    <w:p>
      <w:pPr>
        <w:spacing w:after="0" w:line="27" w:lineRule="exact"/>
        <w:rPr>
          <w:sz w:val="20"/>
          <w:szCs w:val="20"/>
          <w:color w:val="auto"/>
        </w:rPr>
      </w:pPr>
    </w:p>
    <w:p>
      <w:pPr>
        <w:ind w:left="480"/>
        <w:spacing w:after="0"/>
        <w:tabs>
          <w:tab w:leader="none" w:pos="11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Business Combination Marketing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2" w:name="page403"/>
    <w:bookmarkEnd w:id="402"/>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Company’s engagement of Chardan Capital Markets, LLC (the “</w:t>
      </w:r>
      <w:r>
        <w:rPr>
          <w:rFonts w:ascii="Times New Roman" w:cs="Times New Roman" w:eastAsia="Times New Roman" w:hAnsi="Times New Roman"/>
          <w:sz w:val="18"/>
          <w:szCs w:val="18"/>
          <w:b w:val="1"/>
          <w:bCs w:val="1"/>
          <w:color w:val="auto"/>
        </w:rPr>
        <w:t>Advisor</w:t>
      </w:r>
      <w:r>
        <w:rPr>
          <w:rFonts w:ascii="Times New Roman" w:cs="Times New Roman" w:eastAsia="Times New Roman" w:hAnsi="Times New Roman"/>
          <w:sz w:val="18"/>
          <w:szCs w:val="18"/>
          <w:color w:val="auto"/>
        </w:rPr>
        <w:t>”) pursuant to that certain letter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of which this Annex forms a part, Ventoux CCM Acquisition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agrees, subject to the second paragraph of Section 5 of the Agreement, to indemnify and hold harmless the Advisor and each of its affiliates and the respective directors, officers, employees, shareholders, representatives and agents of any of the foregoing (collectively, the “</w:t>
      </w:r>
      <w:r>
        <w:rPr>
          <w:rFonts w:ascii="Times New Roman" w:cs="Times New Roman" w:eastAsia="Times New Roman" w:hAnsi="Times New Roman"/>
          <w:sz w:val="18"/>
          <w:szCs w:val="18"/>
          <w:b w:val="1"/>
          <w:bCs w:val="1"/>
          <w:color w:val="auto"/>
        </w:rPr>
        <w:t>Indemnified Persons</w:t>
      </w:r>
      <w:r>
        <w:rPr>
          <w:rFonts w:ascii="Times New Roman" w:cs="Times New Roman" w:eastAsia="Times New Roman" w:hAnsi="Times New Roman"/>
          <w:sz w:val="18"/>
          <w:szCs w:val="18"/>
          <w:color w:val="auto"/>
        </w:rPr>
        <w:t>”), from and against any and all claims, actions, suits, proceedings (including those of stockholders), damages, liabilities and expenses incurred by any of them (including the reasonable fees and expenses of counsel), as incurred (collectively a “</w:t>
      </w:r>
      <w:r>
        <w:rPr>
          <w:rFonts w:ascii="Times New Roman" w:cs="Times New Roman" w:eastAsia="Times New Roman" w:hAnsi="Times New Roman"/>
          <w:sz w:val="18"/>
          <w:szCs w:val="18"/>
          <w:b w:val="1"/>
          <w:bCs w:val="1"/>
          <w:color w:val="auto"/>
        </w:rPr>
        <w:t>Claim</w:t>
      </w:r>
      <w:r>
        <w:rPr>
          <w:rFonts w:ascii="Times New Roman" w:cs="Times New Roman" w:eastAsia="Times New Roman" w:hAnsi="Times New Roman"/>
          <w:sz w:val="18"/>
          <w:szCs w:val="18"/>
          <w:color w:val="auto"/>
        </w:rPr>
        <w:t>”), that (A) are related to or arise out of (i) any actions taken or omitted to be taken (including any untrue statements made or any statements omitted to be made) by the Company, or (ii) any actions taken or omitted to be taken by any Indemnified Person, in connection with the Company’s engagement of the Advisor, or (B) otherwise relate to or arise out of the Advisor’s activities on the Company’s behalf under the Advisor’s engagement, and the Company shall reimburse any Indemnified Person for all reasonable out-of-pocket expenses (including the reasonable out-of-pocket fees and expenses of outside counsel) as incurred by such Indemnified Person in connection with investigating, preparing and defending any such claim, action, suit or proceeding, whether or not in connection with pending or threatened litigation in which any Indemnified Person is a party. The Company will not, however, be responsible for any Claim that is finally judicially determined to have resulted from bad faith, gross negligence or willful misconduct of any Indemnified Person. The Company further agrees that no Indemnified Person shall have any liability to the Company for or in connection with the Company’s engagement of the Advisor except for any Claim incurred by the Company as a result of such Indemnified Person’s bad faith, gross negligence or willful misconduct.</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further agrees that it will not, without the prior written consent of the Advisor, settle, compromise or consent to the entry of any judgment in any pending or threatened Claim in respect of which indemnification may be sought hereunder (whether or not any Indemnified Person is an actual or potential party to such Claim), unless such settlement, compromise or consent includes an unconditional, irrevocable release of each Indemnified Person from any and all liability arising out of such Claim.</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Promptly upon receipt by an Indemnified Person of notice of any complaint or the assertion or institution of any Claim with respect to which indemnification is being sought hereunder, such Indemnified Person shall notify the Company in writing of such complaint or of such assertion or institution, but failure to so notify the Company shall not relieve the Company from any obligation it may have hereunder, except and only to the extent such failure results in the forfeiture by the Company of substantial rights and defenses. If the Company so elects or is requested by such Indemnified Person, the Company will assume the defense of such Claim, including the employment of counsel reasonably satisfactory to such Indemnified Person and the payment of the fees and expenses of such counsel. In the event, however, that legal counsel to such Indemnified Person reasonably determines that having common counsel would present such counsel with an actual or potential conflict of interest or if the defendant in, or target of, any such Claim includes an Indemnified Person and the Company, and legal counsel to such Indemnified Person reasonably concludes that there may be actual or potential legal defenses available to it or other Indemnified Persons different from or in addition to those available to the Company, then such Indemnified Person may employ its own separate counsel to represent or defend him, her or it in any such Claim and the Company shall pay the reasonable out-of-pocket fees and expenses of such counsel. Notwithstanding anything herein to the contrary, if the Company fails timely or diligently to defend, contest, or otherwise protect against any Claim, the relevant Indemnified Party shall have the right, but not the obligation, to defend, contest, compromise, settle, assert crossclaims, or counterclaims or otherwise protect against the same, and shall be fully indemnified by the Company therefor, including for the reasonable fees and expenses of its counsel and all amounts paid as a result of such Claim or the compromise or settlement thereof.</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addition, with respect to any Claim in which the Company assumes the defense, the Indemnified Person shall have the right to participate in such Claim and to retain his, her or its own counsel therefor at his, her or its own expense. The Company agrees that if any indemnity sought by an Indemnified Person hereunder is held by a court to be unavailable for any reason, then (whether or not the Advisor is an Indemnified Person) the Company and the Advisor shall contribute to the Claim for which such indemnity is held unavailable in such proportion as is appropriate to reflect the relative benefits to the Company, on the one hand, and the Advisor, on the other, in connection with the Advisor’ engagement referred to above, subject to the limitation that in no event shall the amount of any the Advisor’s contribution to such Claim exceed the amount of Fee actually received by the Advisor from the Company pursuant to such engagement. The Company hereby agrees that the relative benefits to the Company, on the one hand, and the Advisor, on the other, with respect to the Advisor’s engagement shall be deemed to be in the same proportion as (a) the total value paid or proposed to be paid or received by the Company or its stockholders, as the case may be, pursuant to the transaction (whether or not consummated) for which the Advisor are engaged to render services bears to (b) the Fee paid or proposed to be paid to the Advisor in connection with such engagement.</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indemnity, reimbursement and contribution obligations under this Agreement (a) shall be in addition to, and shall in no way limit or otherwise adversely affect, any rights that any Indemnified Party may have at law or at equity and (b) shall be effective whether or not the Company is at fault in any way.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03" w:name="page404"/>
    <w:bookmarkEnd w:id="403"/>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 East Putnam Avenue, Floor 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23,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State Street, Suite 2100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letter will confirm our agreement that, commencing on the effective date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of the registration statement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for the initial public offering (the “</w:t>
      </w:r>
      <w:r>
        <w:rPr>
          <w:rFonts w:ascii="Times New Roman" w:cs="Times New Roman" w:eastAsia="Times New Roman" w:hAnsi="Times New Roman"/>
          <w:sz w:val="18"/>
          <w:szCs w:val="18"/>
          <w:b w:val="1"/>
          <w:bCs w:val="1"/>
          <w:i w:val="1"/>
          <w:iCs w:val="1"/>
          <w:color w:val="auto"/>
        </w:rPr>
        <w:t>IPO</w:t>
      </w:r>
      <w:r>
        <w:rPr>
          <w:rFonts w:ascii="Times New Roman" w:cs="Times New Roman" w:eastAsia="Times New Roman" w:hAnsi="Times New Roman"/>
          <w:sz w:val="18"/>
          <w:szCs w:val="18"/>
          <w:color w:val="auto"/>
        </w:rPr>
        <w:t>”) of the securities of Ventoux CCM Acquisition Corp.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continuing until the earlier of (i) the consummation by the Company of an initial business combination or (ii) the Company’s liquidation (in each case as described in the Registration Statement) (such earlier date hereinafter referred to as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Chardan Capital Markets, LLC (“</w:t>
      </w:r>
      <w:r>
        <w:rPr>
          <w:rFonts w:ascii="Times New Roman" w:cs="Times New Roman" w:eastAsia="Times New Roman" w:hAnsi="Times New Roman"/>
          <w:sz w:val="18"/>
          <w:szCs w:val="18"/>
          <w:b w:val="1"/>
          <w:bCs w:val="1"/>
          <w:i w:val="1"/>
          <w:iCs w:val="1"/>
          <w:color w:val="auto"/>
        </w:rPr>
        <w:t>Chardan</w:t>
      </w:r>
      <w:r>
        <w:rPr>
          <w:rFonts w:ascii="Times New Roman" w:cs="Times New Roman" w:eastAsia="Times New Roman" w:hAnsi="Times New Roman"/>
          <w:sz w:val="18"/>
          <w:szCs w:val="18"/>
          <w:color w:val="auto"/>
        </w:rPr>
        <w:t>”) shall make available to the Company certain office space, secretarial and administrative services as may be required by the Company from time to time, situated at 1 East Putnam Avenue, Floor 4, Greenwich, CT 06830 (or any successor location). In exchange therefore, the Company shall pay Chardan a sum not to exceed $10,000 per month, respectively, on the Effective Date and continuing monthly thereafter until the Termination Date. Chardan hereby agrees that it does not have any right, title, interest or claim of any kind in or to any monies that may be set aside in a trust account (the “</w:t>
      </w:r>
      <w:r>
        <w:rPr>
          <w:rFonts w:ascii="Times New Roman" w:cs="Times New Roman" w:eastAsia="Times New Roman" w:hAnsi="Times New Roman"/>
          <w:sz w:val="18"/>
          <w:szCs w:val="18"/>
          <w:b w:val="1"/>
          <w:bCs w:val="1"/>
          <w:i w:val="1"/>
          <w:iCs w:val="1"/>
          <w:color w:val="auto"/>
        </w:rPr>
        <w:t>Trust Account</w:t>
      </w:r>
      <w:r>
        <w:rPr>
          <w:rFonts w:ascii="Times New Roman" w:cs="Times New Roman" w:eastAsia="Times New Roman" w:hAnsi="Times New Roman"/>
          <w:sz w:val="18"/>
          <w:szCs w:val="18"/>
          <w:color w:val="auto"/>
        </w:rPr>
        <w:t>”) that may be established by the Company for the benefit of the Company’s public stockholders upon the consummation of the IPO as described in the Registration Statement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and hereby waives any Claim it may have in the future as a result of, or arising out of, any negotiations, contracts or agreements with the Company, and will not seek recourse against the Trust Account for any reason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132320" cy="171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4" w:name="page405"/>
    <w:bookmarkEnd w:id="404"/>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VENTOUX CCM ACQUISITION CORP.</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 w:type="dxa"/>
            <w:vAlign w:val="bottom"/>
          </w:tcPr>
          <w:p>
            <w:pPr>
              <w:spacing w:after="0"/>
              <w:rPr>
                <w:sz w:val="20"/>
                <w:szCs w:val="20"/>
                <w:color w:val="auto"/>
              </w:rPr>
            </w:pPr>
          </w:p>
        </w:tc>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Edward Scheetz</w:t>
            </w:r>
          </w:p>
        </w:tc>
      </w:tr>
      <w:tr>
        <w:trPr>
          <w:trHeight w:val="198"/>
        </w:trPr>
        <w:tc>
          <w:tcPr>
            <w:tcW w:w="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17"/>
                <w:szCs w:val="17"/>
                <w:color w:val="auto"/>
              </w:rPr>
            </w:pP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Edward Scheetz</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 BY: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CHARDAN CAPITAL MARKETS, LLC</w:t>
      </w:r>
    </w:p>
    <w:p>
      <w:pPr>
        <w:spacing w:after="0" w:line="200" w:lineRule="exact"/>
        <w:rPr>
          <w:sz w:val="20"/>
          <w:szCs w:val="20"/>
          <w:color w:val="auto"/>
        </w:rPr>
      </w:pPr>
    </w:p>
    <w:p>
      <w:pPr>
        <w:spacing w:after="0" w:line="24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By:</w:t>
        <w:tab/>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486025" cy="171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486025" cy="1714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Name:Jonas Grossman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057295"/>
    <w:multiLevelType w:val="hybridMultilevel"/>
    <w:lvl w:ilvl="0">
      <w:lvlJc w:val="left"/>
      <w:lvlText w:val="☐"/>
      <w:numFmt w:val="bullet"/>
      <w:start w:val="1"/>
    </w:lvl>
  </w:abstractNum>
  <w:abstractNum w:abstractNumId="1">
    <w:nsid w:val="2771AC80"/>
    <w:multiLevelType w:val="hybridMultilevel"/>
    <w:lvl w:ilvl="0">
      <w:lvlJc w:val="left"/>
      <w:lvlText w:val="●"/>
      <w:numFmt w:val="bullet"/>
      <w:start w:val="1"/>
    </w:lvl>
  </w:abstractNum>
  <w:abstractNum w:abstractNumId="2">
    <w:nsid w:val="1C4A08EC"/>
    <w:multiLevelType w:val="hybridMultilevel"/>
    <w:lvl w:ilvl="0">
      <w:lvlJc w:val="left"/>
      <w:lvlText w:val="%1."/>
      <w:numFmt w:val="decimal"/>
      <w:start w:val="1"/>
    </w:lvl>
  </w:abstractNum>
  <w:abstractNum w:abstractNumId="3">
    <w:nsid w:val="1958BD17"/>
    <w:multiLevelType w:val="hybridMultilevel"/>
    <w:lvl w:ilvl="0">
      <w:lvlJc w:val="left"/>
      <w:lvlText w:val="(%1)"/>
      <w:numFmt w:val="lowerRoman"/>
      <w:start w:val="3"/>
    </w:lvl>
  </w:abstractNum>
  <w:abstractNum w:abstractNumId="4">
    <w:nsid w:val="4E647FE4"/>
    <w:multiLevelType w:val="hybridMultilevel"/>
    <w:lvl w:ilvl="0">
      <w:lvlJc w:val="left"/>
      <w:lvlText w:val="(%1)"/>
      <w:numFmt w:val="lowerRoman"/>
      <w:start w:val="1"/>
    </w:lvl>
  </w:abstractNum>
  <w:abstractNum w:abstractNumId="5">
    <w:nsid w:val="E0BB885"/>
    <w:multiLevelType w:val="hybridMultilevel"/>
    <w:lvl w:ilvl="0">
      <w:lvlJc w:val="left"/>
      <w:lvlText w:val="(%1)"/>
      <w:numFmt w:val="lowerRoman"/>
      <w:start w:val="5"/>
    </w:lvl>
  </w:abstractNum>
  <w:abstractNum w:abstractNumId="6">
    <w:nsid w:val="565976F1"/>
    <w:multiLevelType w:val="hybridMultilevel"/>
    <w:lvl w:ilvl="0">
      <w:lvlJc w:val="left"/>
      <w:lvlText w:val="(%1)"/>
      <w:numFmt w:val="decimal"/>
      <w:start w:val="4"/>
    </w:lvl>
  </w:abstractNum>
  <w:abstractNum w:abstractNumId="7">
    <w:nsid w:val="64212B8C"/>
    <w:multiLevelType w:val="hybridMultilevel"/>
    <w:lvl w:ilvl="0">
      <w:lvlJc w:val="left"/>
      <w:lvlText w:val="%1."/>
      <w:numFmt w:val="decimal"/>
      <w:start w:val="4"/>
    </w:lvl>
  </w:abstractNum>
  <w:abstractNum w:abstractNumId="8">
    <w:nsid w:val="5C17530C"/>
    <w:multiLevelType w:val="hybridMultilevel"/>
    <w:lvl w:ilvl="0">
      <w:lvlJc w:val="left"/>
      <w:lvlText w:val="(%1)"/>
      <w:numFmt w:val="lowerLetter"/>
      <w:start w:val="1"/>
    </w:lvl>
  </w:abstractNum>
  <w:abstractNum w:abstractNumId="9">
    <w:nsid w:val="19A52566"/>
    <w:multiLevelType w:val="hybridMultilevel"/>
    <w:lvl w:ilvl="0">
      <w:lvlJc w:val="left"/>
      <w:lvlText w:val="%1."/>
      <w:numFmt w:val="decimal"/>
      <w:start w:val="5"/>
    </w:lvl>
  </w:abstractNum>
  <w:abstractNum w:abstractNumId="10">
    <w:nsid w:val="335A1DF1"/>
    <w:multiLevelType w:val="hybridMultilevel"/>
    <w:lvl w:ilvl="0">
      <w:lvlJc w:val="left"/>
      <w:lvlText w:val="(%1)"/>
      <w:numFmt w:val="lowerRoman"/>
      <w:start w:val="1"/>
    </w:lvl>
  </w:abstractNum>
  <w:abstractNum w:abstractNumId="11">
    <w:nsid w:val="28677B7C"/>
    <w:multiLevelType w:val="hybridMultilevel"/>
    <w:lvl w:ilvl="0">
      <w:lvlJc w:val="left"/>
      <w:lvlText w:val="%1."/>
      <w:numFmt w:val="decimal"/>
      <w:start w:val="6"/>
    </w:lvl>
  </w:abstractNum>
  <w:abstractNum w:abstractNumId="12">
    <w:nsid w:val="378D97C0"/>
    <w:multiLevelType w:val="hybridMultilevel"/>
    <w:lvl w:ilvl="0">
      <w:lvlJc w:val="left"/>
      <w:lvlText w:val="%1."/>
      <w:numFmt w:val="decimal"/>
      <w:start w:val="7"/>
    </w:lvl>
  </w:abstractNum>
  <w:abstractNum w:abstractNumId="13">
    <w:nsid w:val="1D91467C"/>
    <w:multiLevelType w:val="hybridMultilevel"/>
    <w:lvl w:ilvl="0">
      <w:lvlJc w:val="left"/>
      <w:lvlText w:val="%1."/>
      <w:numFmt w:val="decimal"/>
      <w:start w:val="8"/>
    </w:lvl>
  </w:abstractNum>
  <w:abstractNum w:abstractNumId="14">
    <w:nsid w:val="316032BB"/>
    <w:multiLevelType w:val="hybridMultilevel"/>
    <w:lvl w:ilvl="0">
      <w:lvlJc w:val="left"/>
      <w:lvlText w:val="(%1)"/>
      <w:numFmt w:val="lowerRoman"/>
      <w:start w:val="6"/>
    </w:lvl>
  </w:abstractNum>
  <w:abstractNum w:abstractNumId="15">
    <w:nsid w:val="44344C22"/>
    <w:multiLevelType w:val="hybridMultilevel"/>
    <w:lvl w:ilvl="0">
      <w:lvlJc w:val="left"/>
      <w:lvlText w:val="%1."/>
      <w:numFmt w:val="decimal"/>
      <w:start w:val="10"/>
    </w:lvl>
  </w:abstractNum>
  <w:abstractNum w:abstractNumId="16">
    <w:nsid w:val="13CDFCFC"/>
    <w:multiLevelType w:val="hybridMultilevel"/>
    <w:lvl w:ilvl="0">
      <w:lvlJc w:val="left"/>
      <w:lvlText w:val="%1."/>
      <w:numFmt w:val="decimal"/>
      <w:start w:val="1"/>
    </w:lvl>
  </w:abstractNum>
  <w:abstractNum w:abstractNumId="17">
    <w:nsid w:val="471745E4"/>
    <w:multiLevelType w:val="hybridMultilevel"/>
    <w:lvl w:ilvl="0">
      <w:lvlJc w:val="left"/>
      <w:lvlText w:val="%1."/>
      <w:numFmt w:val="decimal"/>
      <w:start w:val="1"/>
    </w:lvl>
  </w:abstractNum>
  <w:abstractNum w:abstractNumId="18">
    <w:nsid w:val="1DDBC66"/>
    <w:multiLevelType w:val="hybridMultilevel"/>
    <w:lvl w:ilvl="0">
      <w:lvlJc w:val="left"/>
      <w:lvlText w:val="%1."/>
      <w:numFmt w:val="decimal"/>
      <w:start w:val="3"/>
    </w:lvl>
  </w:abstractNum>
  <w:abstractNum w:abstractNumId="19">
    <w:nsid w:val="30AADFDA"/>
    <w:multiLevelType w:val="hybridMultilevel"/>
    <w:lvl w:ilvl="0">
      <w:lvlJc w:val="left"/>
      <w:lvlText w:val="(%1)"/>
      <w:numFmt w:val="lowerRoman"/>
      <w:start w:val="1"/>
    </w:lvl>
  </w:abstractNum>
  <w:abstractNum w:abstractNumId="20">
    <w:nsid w:val="30EADA61"/>
    <w:multiLevelType w:val="hybridMultilevel"/>
    <w:lvl w:ilvl="0">
      <w:lvlJc w:val="left"/>
      <w:lvlText w:val="(%1)"/>
      <w:numFmt w:val="lowerRoman"/>
      <w:start w:val="2"/>
    </w:lvl>
  </w:abstractNum>
  <w:abstractNum w:abstractNumId="21">
    <w:nsid w:val="27179C0B"/>
    <w:multiLevelType w:val="hybridMultilevel"/>
    <w:lvl w:ilvl="0">
      <w:lvlJc w:val="left"/>
      <w:lvlText w:val="(%1)"/>
      <w:numFmt w:val="decimal"/>
      <w:start w:val="3"/>
    </w:lvl>
  </w:abstractNum>
  <w:abstractNum w:abstractNumId="22">
    <w:nsid w:val="5E636063"/>
    <w:multiLevelType w:val="hybridMultilevel"/>
    <w:lvl w:ilvl="0">
      <w:lvlJc w:val="left"/>
      <w:lvlText w:val="%1."/>
      <w:numFmt w:val="decimal"/>
      <w:start w:val="4"/>
    </w:lvl>
  </w:abstractNum>
  <w:abstractNum w:abstractNumId="23">
    <w:nsid w:val="215641AF"/>
    <w:multiLevelType w:val="hybridMultilevel"/>
    <w:lvl w:ilvl="0">
      <w:lvlJc w:val="left"/>
      <w:lvlText w:val="%1."/>
      <w:numFmt w:val="decimal"/>
      <w:start w:val="5"/>
    </w:lvl>
  </w:abstractNum>
  <w:abstractNum w:abstractNumId="24">
    <w:nsid w:val="53280662"/>
    <w:multiLevelType w:val="hybridMultilevel"/>
    <w:lvl w:ilvl="0">
      <w:lvlJc w:val="left"/>
      <w:lvlText w:val="%1."/>
      <w:numFmt w:val="decimal"/>
      <w:start w:val="6"/>
    </w:lvl>
  </w:abstractNum>
  <w:abstractNum w:abstractNumId="25">
    <w:nsid w:val="46B24DBC"/>
    <w:multiLevelType w:val="hybridMultilevel"/>
    <w:lvl w:ilvl="0">
      <w:lvlJc w:val="left"/>
      <w:lvlText w:val="%1."/>
      <w:numFmt w:val="decimal"/>
      <w:start w:val="7"/>
    </w:lvl>
  </w:abstractNum>
  <w:abstractNum w:abstractNumId="26">
    <w:nsid w:val="75B52783"/>
    <w:multiLevelType w:val="hybridMultilevel"/>
    <w:lvl w:ilvl="0">
      <w:lvlJc w:val="left"/>
      <w:lvlText w:val="%1."/>
      <w:numFmt w:val="decimal"/>
      <w:start w:val="8"/>
    </w:lvl>
  </w:abstractNum>
  <w:abstractNum w:abstractNumId="27">
    <w:nsid w:val="57CE66B4"/>
    <w:multiLevelType w:val="hybridMultilevel"/>
    <w:lvl w:ilvl="0">
      <w:lvlJc w:val="left"/>
      <w:lvlText w:val="%1."/>
      <w:numFmt w:val="decimal"/>
      <w:start w:val="9"/>
    </w:lvl>
  </w:abstractNum>
  <w:abstractNum w:abstractNumId="28">
    <w:nsid w:val="67A70B69"/>
    <w:multiLevelType w:val="hybridMultilevel"/>
    <w:lvl w:ilvl="0">
      <w:lvlJc w:val="left"/>
      <w:lvlText w:val="%1."/>
      <w:numFmt w:val="decimal"/>
      <w:start w:val="1"/>
    </w:lvl>
  </w:abstractNum>
  <w:abstractNum w:abstractNumId="29">
    <w:nsid w:val="5953172F"/>
    <w:multiLevelType w:val="hybridMultilevel"/>
    <w:lvl w:ilvl="0">
      <w:lvlJc w:val="left"/>
      <w:lvlText w:val="%1."/>
      <w:numFmt w:val="decimal"/>
      <w:start w:val="3"/>
    </w:lvl>
  </w:abstractNum>
  <w:abstractNum w:abstractNumId="30">
    <w:nsid w:val="27EDFE3A"/>
    <w:multiLevelType w:val="hybridMultilevel"/>
    <w:lvl w:ilvl="0">
      <w:lvlJc w:val="left"/>
      <w:lvlText w:val="%1."/>
      <w:numFmt w:val="decimal"/>
      <w:start w:val="4"/>
    </w:lvl>
  </w:abstractNum>
  <w:abstractNum w:abstractNumId="31">
    <w:nsid w:val="52AC7DFF"/>
    <w:multiLevelType w:val="hybridMultilevel"/>
    <w:lvl w:ilvl="0">
      <w:lvlJc w:val="left"/>
      <w:lvlText w:val="%1."/>
      <w:numFmt w:val="decimal"/>
      <w:start w:val="5"/>
    </w:lvl>
  </w:abstractNum>
  <w:abstractNum w:abstractNumId="32">
    <w:nsid w:val="C4C3AF"/>
    <w:multiLevelType w:val="hybridMultilevel"/>
    <w:lvl w:ilvl="0">
      <w:lvlJc w:val="left"/>
      <w:lvlText w:val="%1."/>
      <w:numFmt w:val="decimal"/>
      <w:start w:val="6"/>
    </w:lvl>
  </w:abstractNum>
  <w:abstractNum w:abstractNumId="33">
    <w:nsid w:val="44380727"/>
    <w:multiLevelType w:val="hybridMultilevel"/>
    <w:lvl w:ilvl="0">
      <w:lvlJc w:val="left"/>
      <w:lvlText w:val="%1."/>
      <w:numFmt w:val="decimal"/>
      <w:start w:val="7"/>
    </w:lvl>
  </w:abstractNum>
  <w:abstractNum w:abstractNumId="34">
    <w:nsid w:val="6C053B16"/>
    <w:multiLevelType w:val="hybridMultilevel"/>
    <w:lvl w:ilvl="0">
      <w:lvlJc w:val="left"/>
      <w:lvlText w:val="%1."/>
      <w:numFmt w:val="decimal"/>
      <w:start w:val="1"/>
    </w:lvl>
    <w:lvl w:ilvl="1">
      <w:lvlJc w:val="left"/>
      <w:lvlText w:val="(%2)"/>
      <w:numFmt w:val="lowerLetter"/>
      <w:start w:val="2"/>
    </w:lvl>
  </w:abstractNum>
  <w:abstractNum w:abstractNumId="35">
    <w:nsid w:val="4F294393"/>
    <w:multiLevelType w:val="hybridMultilevel"/>
    <w:lvl w:ilvl="0">
      <w:lvlJc w:val="left"/>
      <w:lvlText w:val="%1"/>
      <w:numFmt w:val="lowerLetter"/>
      <w:start w:val="1"/>
    </w:lvl>
    <w:lvl w:ilvl="1">
      <w:lvlJc w:val="left"/>
      <w:lvlText w:val="%2."/>
      <w:numFmt w:val="decimal"/>
      <w:start w:val="5"/>
    </w:lvl>
  </w:abstractNum>
  <w:abstractNum w:abstractNumId="36">
    <w:nsid w:val="5243BFAC"/>
    <w:multiLevelType w:val="hybridMultilevel"/>
    <w:lvl w:ilvl="0">
      <w:lvlJc w:val="left"/>
      <w:lvlText w:val="(%1)"/>
      <w:numFmt w:val="lowerLetter"/>
      <w:start w:val="1"/>
    </w:lvl>
    <w:lvl w:ilvl="1">
      <w:lvlJc w:val="left"/>
      <w:lvlText w:val="%2"/>
      <w:numFmt w:val="decimal"/>
      <w:start w:val="1"/>
    </w:lvl>
  </w:abstractNum>
  <w:abstractNum w:abstractNumId="37">
    <w:nsid w:val="425EB207"/>
    <w:multiLevelType w:val="hybridMultilevel"/>
    <w:lvl w:ilvl="0">
      <w:lvlJc w:val="left"/>
      <w:lvlText w:val="(%1)"/>
      <w:numFmt w:val="lowerLetter"/>
      <w:start w:val="9"/>
    </w:lvl>
  </w:abstractNum>
  <w:abstractNum w:abstractNumId="38">
    <w:nsid w:val="334A6F1F"/>
    <w:multiLevelType w:val="hybridMultilevel"/>
    <w:lvl w:ilvl="0">
      <w:lvlJc w:val="left"/>
      <w:lvlText w:val="(%1)"/>
      <w:numFmt w:val="lowerLetter"/>
      <w:start w:val="18"/>
    </w:lvl>
    <w:lvl w:ilvl="1">
      <w:lvlJc w:val="left"/>
      <w:lvlText w:val="%2."/>
      <w:numFmt w:val="decimal"/>
      <w:start w:val="7"/>
    </w:lvl>
  </w:abstractNum>
  <w:abstractNum w:abstractNumId="39">
    <w:nsid w:val="2E5B12B8"/>
    <w:multiLevelType w:val="hybridMultilevel"/>
    <w:lvl w:ilvl="0">
      <w:lvlJc w:val="left"/>
      <w:lvlText w:val="%1."/>
      <w:numFmt w:val="decimal"/>
      <w:start w:val="12"/>
    </w:lvl>
  </w:abstractNum>
  <w:abstractNum w:abstractNumId="40">
    <w:nsid w:val="5C03D76D"/>
    <w:multiLevelType w:val="hybridMultilevel"/>
    <w:lvl w:ilvl="0">
      <w:lvlJc w:val="left"/>
      <w:lvlText w:val="%1."/>
      <w:numFmt w:val="decimal"/>
      <w:start w:val="13"/>
    </w:lvl>
  </w:abstractNum>
  <w:abstractNum w:abstractNumId="41">
    <w:nsid w:val="66A48D11"/>
    <w:multiLevelType w:val="hybridMultilevel"/>
    <w:lvl w:ilvl="0">
      <w:lvlJc w:val="left"/>
      <w:lvlText w:val="%1."/>
      <w:numFmt w:val="decimal"/>
      <w:start w:val="1"/>
    </w:lvl>
    <w:lvl w:ilvl="1">
      <w:lvlJc w:val="left"/>
      <w:lvlText w:val="(%2)"/>
      <w:numFmt w:val="lowerLetter"/>
      <w:start w:val="2"/>
    </w:lvl>
  </w:abstractNum>
  <w:abstractNum w:abstractNumId="42">
    <w:nsid w:val="56C28E34"/>
    <w:multiLevelType w:val="hybridMultilevel"/>
    <w:lvl w:ilvl="0">
      <w:lvlJc w:val="left"/>
      <w:lvlText w:val="%1"/>
      <w:numFmt w:val="lowerLetter"/>
      <w:start w:val="1"/>
    </w:lvl>
    <w:lvl w:ilvl="1">
      <w:lvlJc w:val="left"/>
      <w:lvlText w:val="%2."/>
      <w:numFmt w:val="decimal"/>
      <w:start w:val="5"/>
    </w:lvl>
  </w:abstractNum>
  <w:abstractNum w:abstractNumId="43">
    <w:nsid w:val="13916F2D"/>
    <w:multiLevelType w:val="hybridMultilevel"/>
    <w:lvl w:ilvl="0">
      <w:lvlJc w:val="left"/>
      <w:lvlText w:val="(%1)"/>
      <w:numFmt w:val="lowerLetter"/>
      <w:start w:val="1"/>
    </w:lvl>
    <w:lvl w:ilvl="1">
      <w:lvlJc w:val="left"/>
      <w:lvlText w:val="%2"/>
      <w:numFmt w:val="decimal"/>
      <w:start w:val="1"/>
    </w:lvl>
  </w:abstractNum>
  <w:abstractNum w:abstractNumId="44">
    <w:nsid w:val="435D38D"/>
    <w:multiLevelType w:val="hybridMultilevel"/>
    <w:lvl w:ilvl="0">
      <w:lvlJc w:val="left"/>
      <w:lvlText w:val="(%1)"/>
      <w:numFmt w:val="lowerLetter"/>
      <w:start w:val="8"/>
    </w:lvl>
  </w:abstractNum>
  <w:abstractNum w:abstractNumId="45">
    <w:nsid w:val="822C0EF"/>
    <w:multiLevelType w:val="hybridMultilevel"/>
    <w:lvl w:ilvl="0">
      <w:lvlJc w:val="left"/>
      <w:lvlText w:val="(%1)"/>
      <w:numFmt w:val="lowerLetter"/>
      <w:start w:val="16"/>
    </w:lvl>
  </w:abstractNum>
  <w:abstractNum w:abstractNumId="46">
    <w:nsid w:val="57C5BB4F"/>
    <w:multiLevelType w:val="hybridMultilevel"/>
    <w:lvl w:ilvl="0">
      <w:lvlJc w:val="left"/>
      <w:lvlText w:val="%1."/>
      <w:numFmt w:val="decimal"/>
      <w:start w:val="8"/>
    </w:lvl>
  </w:abstractNum>
  <w:abstractNum w:abstractNumId="47">
    <w:nsid w:val="1803D089"/>
    <w:multiLevelType w:val="hybridMultilevel"/>
    <w:lvl w:ilvl="0">
      <w:lvlJc w:val="left"/>
      <w:lvlText w:val="%1."/>
      <w:numFmt w:val="decimal"/>
      <w:start w:val="13"/>
    </w:lvl>
  </w:abstractNum>
  <w:abstractNum w:abstractNumId="48">
    <w:nsid w:val="4F3A06D4"/>
    <w:multiLevelType w:val="hybridMultilevel"/>
    <w:lvl w:ilvl="0">
      <w:lvlJc w:val="left"/>
      <w:lvlText w:val="%1."/>
      <w:numFmt w:val="decimal"/>
      <w:start w:val="14"/>
    </w:lvl>
  </w:abstractNum>
  <w:abstractNum w:abstractNumId="49">
    <w:nsid w:val="59A377B6"/>
    <w:multiLevelType w:val="hybridMultilevel"/>
    <w:lvl w:ilvl="0">
      <w:lvlJc w:val="left"/>
      <w:lvlText w:val="%1."/>
      <w:numFmt w:val="decimal"/>
      <w:start w:val="1"/>
    </w:lvl>
    <w:lvl w:ilvl="1">
      <w:lvlJc w:val="left"/>
      <w:lvlText w:val="(%2)"/>
      <w:numFmt w:val="lowerLetter"/>
      <w:start w:val="2"/>
    </w:lvl>
  </w:abstractNum>
  <w:abstractNum w:abstractNumId="50">
    <w:nsid w:val="48AEB063"/>
    <w:multiLevelType w:val="hybridMultilevel"/>
    <w:lvl w:ilvl="0">
      <w:lvlJc w:val="left"/>
      <w:lvlText w:val="%1"/>
      <w:numFmt w:val="lowerLetter"/>
      <w:start w:val="1"/>
    </w:lvl>
    <w:lvl w:ilvl="1">
      <w:lvlJc w:val="left"/>
      <w:lvlText w:val="%2."/>
      <w:numFmt w:val="decimal"/>
      <w:start w:val="5"/>
    </w:lvl>
  </w:abstractNum>
  <w:abstractNum w:abstractNumId="51">
    <w:nsid w:val="24E135"/>
    <w:multiLevelType w:val="hybridMultilevel"/>
    <w:lvl w:ilvl="0">
      <w:lvlJc w:val="left"/>
      <w:lvlText w:val="(%1)"/>
      <w:numFmt w:val="lowerLetter"/>
      <w:start w:val="1"/>
    </w:lvl>
    <w:lvl w:ilvl="1">
      <w:lvlJc w:val="left"/>
      <w:lvlText w:val="%2"/>
      <w:numFmt w:val="decimal"/>
      <w:start w:val="1"/>
    </w:lvl>
  </w:abstractNum>
  <w:abstractNum w:abstractNumId="52">
    <w:nsid w:val="BB13C1"/>
    <w:multiLevelType w:val="hybridMultilevel"/>
    <w:lvl w:ilvl="0">
      <w:lvlJc w:val="left"/>
      <w:lvlText w:val="(%1)"/>
      <w:numFmt w:val="lowerLetter"/>
      <w:start w:val="8"/>
    </w:lvl>
  </w:abstractNum>
  <w:abstractNum w:abstractNumId="53">
    <w:nsid w:val="271210C7"/>
    <w:multiLevelType w:val="hybridMultilevel"/>
    <w:lvl w:ilvl="0">
      <w:lvlJc w:val="left"/>
      <w:lvlText w:val="(%1)"/>
      <w:numFmt w:val="lowerLetter"/>
      <w:start w:val="17"/>
    </w:lvl>
  </w:abstractNum>
  <w:abstractNum w:abstractNumId="54">
    <w:nsid w:val="217B22E4"/>
    <w:multiLevelType w:val="hybridMultilevel"/>
    <w:lvl w:ilvl="0">
      <w:lvlJc w:val="left"/>
      <w:lvlText w:val="%1."/>
      <w:numFmt w:val="decimal"/>
      <w:start w:val="8"/>
    </w:lvl>
  </w:abstractNum>
  <w:abstractNum w:abstractNumId="55">
    <w:nsid w:val="53E31A24"/>
    <w:multiLevelType w:val="hybridMultilevel"/>
    <w:lvl w:ilvl="0">
      <w:lvlJc w:val="left"/>
      <w:lvlText w:val="%1."/>
      <w:numFmt w:val="decimal"/>
      <w:start w:val="13"/>
    </w:lvl>
  </w:abstractNum>
  <w:abstractNum w:abstractNumId="56">
    <w:nsid w:val="6DC45E83"/>
    <w:multiLevelType w:val="hybridMultilevel"/>
    <w:lvl w:ilvl="0">
      <w:lvlJc w:val="left"/>
      <w:lvlText w:val="%1."/>
      <w:numFmt w:val="decimal"/>
      <w:start w:val="14"/>
    </w:lvl>
  </w:abstractNum>
  <w:abstractNum w:abstractNumId="57">
    <w:nsid w:val="17304A67"/>
    <w:multiLevelType w:val="hybridMultilevel"/>
    <w:lvl w:ilvl="0">
      <w:lvlJc w:val="left"/>
      <w:lvlText w:val="%1."/>
      <w:numFmt w:val="decimal"/>
      <w:start w:val="1"/>
    </w:lvl>
    <w:lvl w:ilvl="1">
      <w:lvlJc w:val="left"/>
      <w:lvlText w:val="(%2)"/>
      <w:numFmt w:val="lowerLetter"/>
      <w:start w:val="2"/>
    </w:lvl>
  </w:abstractNum>
  <w:abstractNum w:abstractNumId="58">
    <w:nsid w:val="2BB180D8"/>
    <w:multiLevelType w:val="hybridMultilevel"/>
    <w:lvl w:ilvl="0">
      <w:lvlJc w:val="left"/>
      <w:lvlText w:val="%1"/>
      <w:numFmt w:val="lowerLetter"/>
      <w:start w:val="1"/>
    </w:lvl>
    <w:lvl w:ilvl="1">
      <w:lvlJc w:val="left"/>
      <w:lvlText w:val="%2."/>
      <w:numFmt w:val="decimal"/>
      <w:start w:val="5"/>
    </w:lvl>
  </w:abstractNum>
  <w:abstractNum w:abstractNumId="59">
    <w:nsid w:val="556B69ED"/>
    <w:multiLevelType w:val="hybridMultilevel"/>
    <w:lvl w:ilvl="0">
      <w:lvlJc w:val="left"/>
      <w:lvlText w:val="(%1)"/>
      <w:numFmt w:val="lowerLetter"/>
      <w:start w:val="1"/>
    </w:lvl>
    <w:lvl w:ilvl="1">
      <w:lvlJc w:val="left"/>
      <w:lvlText w:val="%2"/>
      <w:numFmt w:val="decimal"/>
      <w:start w:val="1"/>
    </w:lvl>
  </w:abstractNum>
  <w:abstractNum w:abstractNumId="60">
    <w:nsid w:val="70836196"/>
    <w:multiLevelType w:val="hybridMultilevel"/>
    <w:lvl w:ilvl="0">
      <w:lvlJc w:val="left"/>
      <w:lvlText w:val="(%1)"/>
      <w:numFmt w:val="lowerLetter"/>
      <w:start w:val="8"/>
    </w:lvl>
  </w:abstractNum>
  <w:abstractNum w:abstractNumId="61">
    <w:nsid w:val="539F7F12"/>
    <w:multiLevelType w:val="hybridMultilevel"/>
    <w:lvl w:ilvl="0">
      <w:lvlJc w:val="left"/>
      <w:lvlText w:val="(%1)"/>
      <w:numFmt w:val="lowerLetter"/>
      <w:start w:val="17"/>
    </w:lvl>
  </w:abstractNum>
  <w:abstractNum w:abstractNumId="62">
    <w:nsid w:val="2817E7EC"/>
    <w:multiLevelType w:val="hybridMultilevel"/>
    <w:lvl w:ilvl="0">
      <w:lvlJc w:val="left"/>
      <w:lvlText w:val="%1."/>
      <w:numFmt w:val="decimal"/>
      <w:start w:val="8"/>
    </w:lvl>
  </w:abstractNum>
  <w:abstractNum w:abstractNumId="63">
    <w:nsid w:val="71482545"/>
    <w:multiLevelType w:val="hybridMultilevel"/>
    <w:lvl w:ilvl="0">
      <w:lvlJc w:val="left"/>
      <w:lvlText w:val="%1."/>
      <w:numFmt w:val="decimal"/>
      <w:start w:val="13"/>
    </w:lvl>
  </w:abstractNum>
  <w:abstractNum w:abstractNumId="64">
    <w:nsid w:val="17D78639"/>
    <w:multiLevelType w:val="hybridMultilevel"/>
    <w:lvl w:ilvl="0">
      <w:lvlJc w:val="left"/>
      <w:lvlText w:val="%1."/>
      <w:numFmt w:val="decimal"/>
      <w:start w:val="14"/>
    </w:lvl>
  </w:abstractNum>
  <w:abstractNum w:abstractNumId="65">
    <w:nsid w:val="141D2302"/>
    <w:multiLevelType w:val="hybridMultilevel"/>
    <w:lvl w:ilvl="0">
      <w:lvlJc w:val="left"/>
      <w:lvlText w:val="%1."/>
      <w:numFmt w:val="decimal"/>
      <w:start w:val="1"/>
    </w:lvl>
    <w:lvl w:ilvl="1">
      <w:lvlJc w:val="left"/>
      <w:lvlText w:val="(%2)"/>
      <w:numFmt w:val="lowerLetter"/>
      <w:start w:val="2"/>
    </w:lvl>
  </w:abstractNum>
  <w:abstractNum w:abstractNumId="66">
    <w:nsid w:val="407168D8"/>
    <w:multiLevelType w:val="hybridMultilevel"/>
    <w:lvl w:ilvl="0">
      <w:lvlJc w:val="left"/>
      <w:lvlText w:val="%1"/>
      <w:numFmt w:val="lowerLetter"/>
      <w:start w:val="1"/>
    </w:lvl>
    <w:lvl w:ilvl="1">
      <w:lvlJc w:val="left"/>
      <w:lvlText w:val="%2."/>
      <w:numFmt w:val="decimal"/>
      <w:start w:val="5"/>
    </w:lvl>
  </w:abstractNum>
  <w:abstractNum w:abstractNumId="67">
    <w:nsid w:val="6A1B45E5"/>
    <w:multiLevelType w:val="hybridMultilevel"/>
    <w:lvl w:ilvl="0">
      <w:lvlJc w:val="left"/>
      <w:lvlText w:val="(%1)"/>
      <w:numFmt w:val="lowerLetter"/>
      <w:start w:val="1"/>
    </w:lvl>
    <w:lvl w:ilvl="1">
      <w:lvlJc w:val="left"/>
      <w:lvlText w:val="%2"/>
      <w:numFmt w:val="decimal"/>
      <w:start w:val="1"/>
    </w:lvl>
  </w:abstractNum>
  <w:abstractNum w:abstractNumId="68">
    <w:nsid w:val="567BD50A"/>
    <w:multiLevelType w:val="hybridMultilevel"/>
    <w:lvl w:ilvl="0">
      <w:lvlJc w:val="left"/>
      <w:lvlText w:val="(%1)"/>
      <w:numFmt w:val="lowerLetter"/>
      <w:start w:val="8"/>
    </w:lvl>
  </w:abstractNum>
  <w:abstractNum w:abstractNumId="69">
    <w:nsid w:val="73BBD7F8"/>
    <w:multiLevelType w:val="hybridMultilevel"/>
    <w:lvl w:ilvl="0">
      <w:lvlJc w:val="left"/>
      <w:lvlText w:val="(%1)"/>
      <w:numFmt w:val="lowerLetter"/>
      <w:start w:val="17"/>
    </w:lvl>
  </w:abstractNum>
  <w:abstractNum w:abstractNumId="70">
    <w:nsid w:val="1876589D"/>
    <w:multiLevelType w:val="hybridMultilevel"/>
    <w:lvl w:ilvl="0">
      <w:lvlJc w:val="left"/>
      <w:lvlText w:val="%1."/>
      <w:numFmt w:val="decimal"/>
      <w:start w:val="8"/>
    </w:lvl>
  </w:abstractNum>
  <w:abstractNum w:abstractNumId="71">
    <w:nsid w:val="327FAC77"/>
    <w:multiLevelType w:val="hybridMultilevel"/>
    <w:lvl w:ilvl="0">
      <w:lvlJc w:val="left"/>
      <w:lvlText w:val="%1."/>
      <w:numFmt w:val="decimal"/>
      <w:start w:val="12"/>
    </w:lvl>
  </w:abstractNum>
  <w:abstractNum w:abstractNumId="72">
    <w:nsid w:val="5A606509"/>
    <w:multiLevelType w:val="hybridMultilevel"/>
    <w:lvl w:ilvl="0">
      <w:lvlJc w:val="left"/>
      <w:lvlText w:val="%1."/>
      <w:numFmt w:val="decimal"/>
      <w:start w:val="14"/>
    </w:lvl>
  </w:abstractNum>
  <w:abstractNum w:abstractNumId="73">
    <w:nsid w:val="6F38E6D1"/>
    <w:multiLevelType w:val="hybridMultilevel"/>
    <w:lvl w:ilvl="0">
      <w:lvlJc w:val="left"/>
      <w:lvlText w:val="%1."/>
      <w:numFmt w:val="decimal"/>
      <w:start w:val="1"/>
    </w:lvl>
    <w:lvl w:ilvl="1">
      <w:lvlJc w:val="left"/>
      <w:lvlText w:val="(%2)"/>
      <w:numFmt w:val="lowerLetter"/>
      <w:start w:val="2"/>
    </w:lvl>
  </w:abstractNum>
  <w:abstractNum w:abstractNumId="74">
    <w:nsid w:val="46111BA5"/>
    <w:multiLevelType w:val="hybridMultilevel"/>
    <w:lvl w:ilvl="0">
      <w:lvlJc w:val="left"/>
      <w:lvlText w:val="%1"/>
      <w:numFmt w:val="lowerLetter"/>
      <w:start w:val="1"/>
    </w:lvl>
    <w:lvl w:ilvl="1">
      <w:lvlJc w:val="left"/>
      <w:lvlText w:val="%2."/>
      <w:numFmt w:val="decimal"/>
      <w:start w:val="5"/>
    </w:lvl>
  </w:abstractNum>
  <w:abstractNum w:abstractNumId="75">
    <w:nsid w:val="5E963896"/>
    <w:multiLevelType w:val="hybridMultilevel"/>
    <w:lvl w:ilvl="0">
      <w:lvlJc w:val="left"/>
      <w:lvlText w:val="(%1)"/>
      <w:numFmt w:val="lowerLetter"/>
      <w:start w:val="1"/>
    </w:lvl>
    <w:lvl w:ilvl="1">
      <w:lvlJc w:val="left"/>
      <w:lvlText w:val="%2"/>
      <w:numFmt w:val="decimal"/>
      <w:start w:val="1"/>
    </w:lvl>
  </w:abstractNum>
  <w:abstractNum w:abstractNumId="76">
    <w:nsid w:val="775BA7C1"/>
    <w:multiLevelType w:val="hybridMultilevel"/>
    <w:lvl w:ilvl="0">
      <w:lvlJc w:val="left"/>
      <w:lvlText w:val="(%1)"/>
      <w:numFmt w:val="lowerLetter"/>
      <w:start w:val="8"/>
    </w:lvl>
  </w:abstractNum>
  <w:abstractNum w:abstractNumId="77">
    <w:nsid w:val="1DD6D6F4"/>
    <w:multiLevelType w:val="hybridMultilevel"/>
    <w:lvl w:ilvl="0">
      <w:lvlJc w:val="left"/>
      <w:lvlText w:val="(%1)"/>
      <w:numFmt w:val="lowerLetter"/>
      <w:start w:val="17"/>
    </w:lvl>
  </w:abstractNum>
  <w:abstractNum w:abstractNumId="78">
    <w:nsid w:val="769A091F"/>
    <w:multiLevelType w:val="hybridMultilevel"/>
    <w:lvl w:ilvl="0">
      <w:lvlJc w:val="left"/>
      <w:lvlText w:val="%1."/>
      <w:numFmt w:val="decimal"/>
      <w:start w:val="8"/>
    </w:lvl>
  </w:abstractNum>
  <w:abstractNum w:abstractNumId="79">
    <w:nsid w:val="4695AE95"/>
    <w:multiLevelType w:val="hybridMultilevel"/>
    <w:lvl w:ilvl="0">
      <w:lvlJc w:val="left"/>
      <w:lvlText w:val="%1."/>
      <w:numFmt w:val="decimal"/>
      <w:start w:val="13"/>
    </w:lvl>
  </w:abstractNum>
  <w:abstractNum w:abstractNumId="80">
    <w:nsid w:val="777A4EAA"/>
    <w:multiLevelType w:val="hybridMultilevel"/>
    <w:lvl w:ilvl="0">
      <w:lvlJc w:val="left"/>
      <w:lvlText w:val="%1."/>
      <w:numFmt w:val="decimal"/>
      <w:start w:val="14"/>
    </w:lvl>
  </w:abstractNum>
  <w:abstractNum w:abstractNumId="81">
    <w:nsid w:val="3F48B982"/>
    <w:multiLevelType w:val="hybridMultilevel"/>
    <w:lvl w:ilvl="0">
      <w:lvlJc w:val="left"/>
      <w:lvlText w:val="%1."/>
      <w:numFmt w:val="decimal"/>
      <w:start w:val="1"/>
    </w:lvl>
    <w:lvl w:ilvl="1">
      <w:lvlJc w:val="left"/>
      <w:lvlText w:val="(%2)"/>
      <w:numFmt w:val="lowerLetter"/>
      <w:start w:val="2"/>
    </w:lvl>
  </w:abstractNum>
  <w:abstractNum w:abstractNumId="82">
    <w:nsid w:val="46BA8FCA"/>
    <w:multiLevelType w:val="hybridMultilevel"/>
    <w:lvl w:ilvl="0">
      <w:lvlJc w:val="left"/>
      <w:lvlText w:val="%1"/>
      <w:numFmt w:val="lowerLetter"/>
      <w:start w:val="1"/>
    </w:lvl>
    <w:lvl w:ilvl="1">
      <w:lvlJc w:val="left"/>
      <w:lvlText w:val="%2."/>
      <w:numFmt w:val="decimal"/>
      <w:start w:val="5"/>
    </w:lvl>
  </w:abstractNum>
  <w:abstractNum w:abstractNumId="83">
    <w:nsid w:val="7835626C"/>
    <w:multiLevelType w:val="hybridMultilevel"/>
    <w:lvl w:ilvl="0">
      <w:lvlJc w:val="left"/>
      <w:lvlText w:val="(%1)"/>
      <w:numFmt w:val="lowerLetter"/>
      <w:start w:val="1"/>
    </w:lvl>
    <w:lvl w:ilvl="1">
      <w:lvlJc w:val="left"/>
      <w:lvlText w:val="%2"/>
      <w:numFmt w:val="decimal"/>
      <w:start w:val="1"/>
    </w:lvl>
  </w:abstractNum>
  <w:abstractNum w:abstractNumId="84">
    <w:nsid w:val="665ACA49"/>
    <w:multiLevelType w:val="hybridMultilevel"/>
    <w:lvl w:ilvl="0">
      <w:lvlJc w:val="left"/>
      <w:lvlText w:val="(%1)"/>
      <w:numFmt w:val="lowerLetter"/>
      <w:start w:val="8"/>
    </w:lvl>
  </w:abstractNum>
  <w:abstractNum w:abstractNumId="85">
    <w:nsid w:val="6835B2AE"/>
    <w:multiLevelType w:val="hybridMultilevel"/>
    <w:lvl w:ilvl="0">
      <w:lvlJc w:val="left"/>
      <w:lvlText w:val="(%1)"/>
      <w:numFmt w:val="lowerLetter"/>
      <w:start w:val="17"/>
    </w:lvl>
  </w:abstractNum>
  <w:abstractNum w:abstractNumId="86">
    <w:nsid w:val="4C187C90"/>
    <w:multiLevelType w:val="hybridMultilevel"/>
    <w:lvl w:ilvl="0">
      <w:lvlJc w:val="left"/>
      <w:lvlText w:val="%1."/>
      <w:numFmt w:val="decimal"/>
      <w:start w:val="8"/>
    </w:lvl>
  </w:abstractNum>
  <w:abstractNum w:abstractNumId="87">
    <w:nsid w:val="541F28CD"/>
    <w:multiLevelType w:val="hybridMultilevel"/>
    <w:lvl w:ilvl="0">
      <w:lvlJc w:val="left"/>
      <w:lvlText w:val="%1."/>
      <w:numFmt w:val="decimal"/>
      <w:start w:val="13"/>
    </w:lvl>
  </w:abstractNum>
  <w:abstractNum w:abstractNumId="88">
    <w:nsid w:val="7F65FD16"/>
    <w:multiLevelType w:val="hybridMultilevel"/>
    <w:lvl w:ilvl="0">
      <w:lvlJc w:val="left"/>
      <w:lvlText w:val="%1."/>
      <w:numFmt w:val="decimal"/>
      <w:start w:val="14"/>
    </w:lvl>
  </w:abstractNum>
  <w:abstractNum w:abstractNumId="89">
    <w:nsid w:val="77C9FD68"/>
    <w:multiLevelType w:val="hybridMultilevel"/>
    <w:lvl w:ilvl="0">
      <w:lvlJc w:val="left"/>
      <w:lvlText w:val="%1."/>
      <w:numFmt w:val="decimal"/>
      <w:start w:val="1"/>
    </w:lvl>
    <w:lvl w:ilvl="1">
      <w:lvlJc w:val="left"/>
      <w:lvlText w:val="(%2)"/>
      <w:numFmt w:val="lowerLetter"/>
      <w:start w:val="2"/>
    </w:lvl>
  </w:abstractNum>
  <w:abstractNum w:abstractNumId="90">
    <w:nsid w:val="298A92BA"/>
    <w:multiLevelType w:val="hybridMultilevel"/>
    <w:lvl w:ilvl="0">
      <w:lvlJc w:val="left"/>
      <w:lvlText w:val="%1"/>
      <w:numFmt w:val="lowerLetter"/>
      <w:start w:val="1"/>
    </w:lvl>
    <w:lvl w:ilvl="1">
      <w:lvlJc w:val="left"/>
      <w:lvlText w:val="%2."/>
      <w:numFmt w:val="decimal"/>
      <w:start w:val="5"/>
    </w:lvl>
  </w:abstractNum>
  <w:abstractNum w:abstractNumId="91">
    <w:nsid w:val="6FE95EAC"/>
    <w:multiLevelType w:val="hybridMultilevel"/>
    <w:lvl w:ilvl="0">
      <w:lvlJc w:val="left"/>
      <w:lvlText w:val="(%1)"/>
      <w:numFmt w:val="lowerLetter"/>
      <w:start w:val="1"/>
    </w:lvl>
    <w:lvl w:ilvl="1">
      <w:lvlJc w:val="left"/>
      <w:lvlText w:val="%2"/>
      <w:numFmt w:val="decimal"/>
      <w:start w:val="1"/>
    </w:lvl>
  </w:abstractNum>
  <w:abstractNum w:abstractNumId="92">
    <w:nsid w:val="4B697C7A"/>
    <w:multiLevelType w:val="hybridMultilevel"/>
    <w:lvl w:ilvl="0">
      <w:lvlJc w:val="left"/>
      <w:lvlText w:val="(%1)"/>
      <w:numFmt w:val="lowerLetter"/>
      <w:start w:val="8"/>
    </w:lvl>
  </w:abstractNum>
  <w:abstractNum w:abstractNumId="93">
    <w:nsid w:val="51A27AA6"/>
    <w:multiLevelType w:val="hybridMultilevel"/>
    <w:lvl w:ilvl="0">
      <w:lvlJc w:val="left"/>
      <w:lvlText w:val="(%1)"/>
      <w:numFmt w:val="lowerLetter"/>
      <w:start w:val="17"/>
    </w:lvl>
  </w:abstractNum>
  <w:abstractNum w:abstractNumId="94">
    <w:nsid w:val="613183F2"/>
    <w:multiLevelType w:val="hybridMultilevel"/>
    <w:lvl w:ilvl="0">
      <w:lvlJc w:val="left"/>
      <w:lvlText w:val="%1."/>
      <w:numFmt w:val="decimal"/>
      <w:start w:val="8"/>
    </w:lvl>
  </w:abstractNum>
  <w:abstractNum w:abstractNumId="95">
    <w:nsid w:val="634102B4"/>
    <w:multiLevelType w:val="hybridMultilevel"/>
    <w:lvl w:ilvl="0">
      <w:lvlJc w:val="left"/>
      <w:lvlText w:val="%1."/>
      <w:numFmt w:val="decimal"/>
      <w:start w:val="13"/>
    </w:lvl>
  </w:abstractNum>
  <w:abstractNum w:abstractNumId="96">
    <w:nsid w:val="65BF9DA8"/>
    <w:multiLevelType w:val="hybridMultilevel"/>
    <w:lvl w:ilvl="0">
      <w:lvlJc w:val="left"/>
      <w:lvlText w:val="%1."/>
      <w:numFmt w:val="decimal"/>
      <w:start w:val="14"/>
    </w:lvl>
  </w:abstractNum>
  <w:abstractNum w:abstractNumId="97">
    <w:nsid w:val="21A2ECCA"/>
    <w:multiLevelType w:val="hybridMultilevel"/>
    <w:lvl w:ilvl="0">
      <w:lvlJc w:val="left"/>
      <w:lvlText w:val="%1."/>
      <w:numFmt w:val="decimal"/>
      <w:start w:val="1"/>
    </w:lvl>
    <w:lvl w:ilvl="1">
      <w:lvlJc w:val="left"/>
      <w:lvlText w:val="(%2)"/>
      <w:numFmt w:val="lowerLetter"/>
      <w:start w:val="2"/>
    </w:lvl>
  </w:abstractNum>
  <w:abstractNum w:abstractNumId="98">
    <w:nsid w:val="4D5C4899"/>
    <w:multiLevelType w:val="hybridMultilevel"/>
    <w:lvl w:ilvl="0">
      <w:lvlJc w:val="left"/>
      <w:lvlText w:val="%1"/>
      <w:numFmt w:val="lowerLetter"/>
      <w:start w:val="1"/>
    </w:lvl>
    <w:lvl w:ilvl="1">
      <w:lvlJc w:val="left"/>
      <w:lvlText w:val="%2."/>
      <w:numFmt w:val="decimal"/>
      <w:start w:val="5"/>
    </w:lvl>
  </w:abstractNum>
  <w:abstractNum w:abstractNumId="99">
    <w:nsid w:val="3C3B72B2"/>
    <w:multiLevelType w:val="hybridMultilevel"/>
    <w:lvl w:ilvl="0">
      <w:lvlJc w:val="left"/>
      <w:lvlText w:val="(%1)"/>
      <w:numFmt w:val="lowerLetter"/>
      <w:start w:val="1"/>
    </w:lvl>
    <w:lvl w:ilvl="1">
      <w:lvlJc w:val="left"/>
      <w:lvlText w:val="%2"/>
      <w:numFmt w:val="decimal"/>
      <w:start w:val="1"/>
    </w:lvl>
  </w:abstractNum>
  <w:abstractNum w:abstractNumId="100">
    <w:nsid w:val="155EC4C2"/>
    <w:multiLevelType w:val="hybridMultilevel"/>
    <w:lvl w:ilvl="0">
      <w:lvlJc w:val="left"/>
      <w:lvlText w:val="(%1)"/>
      <w:numFmt w:val="lowerLetter"/>
      <w:start w:val="8"/>
    </w:lvl>
  </w:abstractNum>
  <w:abstractNum w:abstractNumId="101">
    <w:nsid w:val="65D2A137"/>
    <w:multiLevelType w:val="hybridMultilevel"/>
    <w:lvl w:ilvl="0">
      <w:lvlJc w:val="left"/>
      <w:lvlText w:val="(%1)"/>
      <w:numFmt w:val="lowerLetter"/>
      <w:start w:val="18"/>
    </w:lvl>
    <w:lvl w:ilvl="1">
      <w:lvlJc w:val="left"/>
      <w:lvlText w:val="%2."/>
      <w:numFmt w:val="decimal"/>
      <w:start w:val="8"/>
    </w:lvl>
  </w:abstractNum>
  <w:abstractNum w:abstractNumId="102">
    <w:nsid w:val="6EBB1F2A"/>
    <w:multiLevelType w:val="hybridMultilevel"/>
    <w:lvl w:ilvl="0">
      <w:lvlJc w:val="left"/>
      <w:lvlText w:val="%1."/>
      <w:numFmt w:val="decimal"/>
      <w:start w:val="12"/>
    </w:lvl>
  </w:abstractNum>
  <w:abstractNum w:abstractNumId="103">
    <w:nsid w:val="6FBF29CB"/>
    <w:multiLevelType w:val="hybridMultilevel"/>
    <w:lvl w:ilvl="0">
      <w:lvlJc w:val="left"/>
      <w:lvlText w:val="%1."/>
      <w:numFmt w:val="decimal"/>
      <w:start w:val="14"/>
    </w:lvl>
  </w:abstractNum>
  <w:abstractNum w:abstractNumId="104">
    <w:nsid w:val="550B8808"/>
    <w:multiLevelType w:val="hybridMultilevel"/>
    <w:lvl w:ilvl="0">
      <w:lvlJc w:val="left"/>
      <w:lvlText w:val="%1."/>
      <w:numFmt w:val="decimal"/>
      <w:start w:val="1"/>
    </w:lvl>
    <w:lvl w:ilvl="1">
      <w:lvlJc w:val="left"/>
      <w:lvlText w:val="(%2)"/>
      <w:numFmt w:val="lowerLetter"/>
      <w:start w:val="2"/>
    </w:lvl>
  </w:abstractNum>
  <w:abstractNum w:abstractNumId="105">
    <w:nsid w:val="34CC3ACF"/>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06">
    <w:nsid w:val="4E556261"/>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07">
    <w:nsid w:val="4C672FC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08">
    <w:nsid w:val="52A311C3"/>
    <w:multiLevelType w:val="hybridMultilevel"/>
    <w:lvl w:ilvl="0">
      <w:lvlJc w:val="left"/>
      <w:lvlText w:val="(%1)"/>
      <w:numFmt w:val="lowerLetter"/>
      <w:start w:val="5"/>
    </w:lvl>
  </w:abstractNum>
  <w:abstractNum w:abstractNumId="109">
    <w:nsid w:val="44EF6B80"/>
    <w:multiLevelType w:val="hybridMultilevel"/>
    <w:lvl w:ilvl="0">
      <w:lvlJc w:val="left"/>
      <w:lvlText w:val="(%1)"/>
      <w:numFmt w:val="lowerLetter"/>
      <w:start w:val="14"/>
    </w:lvl>
  </w:abstractNum>
  <w:abstractNum w:abstractNumId="110">
    <w:nsid w:val="12FCDE5E"/>
    <w:multiLevelType w:val="hybridMultilevel"/>
    <w:lvl w:ilvl="0">
      <w:lvlJc w:val="left"/>
      <w:lvlText w:val="%1."/>
      <w:numFmt w:val="decimal"/>
      <w:start w:val="9"/>
    </w:lvl>
  </w:abstractNum>
  <w:abstractNum w:abstractNumId="111">
    <w:nsid w:val="4A1D606E"/>
    <w:multiLevelType w:val="hybridMultilevel"/>
    <w:lvl w:ilvl="0">
      <w:lvlJc w:val="left"/>
      <w:lvlText w:val="%1."/>
      <w:numFmt w:val="decimal"/>
      <w:start w:val="12"/>
    </w:lvl>
  </w:abstractNum>
  <w:abstractNum w:abstractNumId="112">
    <w:nsid w:val="4382503"/>
    <w:multiLevelType w:val="hybridMultilevel"/>
    <w:lvl w:ilvl="0">
      <w:lvlJc w:val="left"/>
      <w:lvlText w:val="%1."/>
      <w:numFmt w:val="decimal"/>
      <w:start w:val="15"/>
    </w:lvl>
  </w:abstractNum>
  <w:abstractNum w:abstractNumId="113">
    <w:nsid w:val="59B76E28"/>
    <w:multiLevelType w:val="hybridMultilevel"/>
    <w:lvl w:ilvl="0">
      <w:lvlJc w:val="left"/>
      <w:lvlText w:val="%1."/>
      <w:numFmt w:val="decimal"/>
      <w:start w:val="1"/>
    </w:lvl>
    <w:lvl w:ilvl="1">
      <w:lvlJc w:val="left"/>
      <w:lvlText w:val="(%2)"/>
      <w:numFmt w:val="lowerLetter"/>
      <w:start w:val="2"/>
    </w:lvl>
  </w:abstractNum>
  <w:abstractNum w:abstractNumId="114">
    <w:nsid w:val="4252C2DA"/>
    <w:multiLevelType w:val="hybridMultilevel"/>
    <w:lvl w:ilvl="0">
      <w:lvlJc w:val="left"/>
      <w:lvlText w:val="%1"/>
      <w:numFmt w:val="lowerLetter"/>
      <w:start w:val="1"/>
    </w:lvl>
    <w:lvl w:ilvl="1">
      <w:lvlJc w:val="left"/>
      <w:lvlText w:val="%2."/>
      <w:numFmt w:val="decimal"/>
      <w:start w:val="5"/>
    </w:lvl>
  </w:abstractNum>
  <w:abstractNum w:abstractNumId="115">
    <w:nsid w:val="6A92EF4C"/>
    <w:multiLevelType w:val="hybridMultilevel"/>
    <w:lvl w:ilvl="0">
      <w:lvlJc w:val="left"/>
      <w:lvlText w:val="(%1)"/>
      <w:numFmt w:val="lowerLetter"/>
      <w:start w:val="1"/>
    </w:lvl>
    <w:lvl w:ilvl="1">
      <w:lvlJc w:val="left"/>
      <w:lvlText w:val="%2"/>
      <w:numFmt w:val="decimal"/>
      <w:start w:val="1"/>
    </w:lvl>
  </w:abstractNum>
  <w:abstractNum w:abstractNumId="116">
    <w:nsid w:val="41ED20D7"/>
    <w:multiLevelType w:val="hybridMultilevel"/>
    <w:lvl w:ilvl="0">
      <w:lvlJc w:val="left"/>
      <w:lvlText w:val="(%1)"/>
      <w:numFmt w:val="lowerLetter"/>
      <w:start w:val="9"/>
    </w:lvl>
  </w:abstractNum>
  <w:abstractNum w:abstractNumId="117">
    <w:nsid w:val="E6B3F6A"/>
    <w:multiLevelType w:val="hybridMultilevel"/>
    <w:lvl w:ilvl="0">
      <w:lvlJc w:val="left"/>
      <w:lvlText w:val="(%1)"/>
      <w:numFmt w:val="lowerLetter"/>
      <w:start w:val="18"/>
    </w:lvl>
    <w:lvl w:ilvl="1">
      <w:lvlJc w:val="left"/>
      <w:lvlText w:val="%2."/>
      <w:numFmt w:val="decimal"/>
      <w:start w:val="8"/>
    </w:lvl>
  </w:abstractNum>
  <w:abstractNum w:abstractNumId="118">
    <w:nsid w:val="3EB21819"/>
    <w:multiLevelType w:val="hybridMultilevel"/>
    <w:lvl w:ilvl="0">
      <w:lvlJc w:val="left"/>
      <w:lvlText w:val="%1."/>
      <w:numFmt w:val="decimal"/>
      <w:start w:val="13"/>
    </w:lvl>
  </w:abstractNum>
  <w:abstractNum w:abstractNumId="119">
    <w:nsid w:val="41531DED"/>
    <w:multiLevelType w:val="hybridMultilevel"/>
    <w:lvl w:ilvl="0">
      <w:lvlJc w:val="left"/>
      <w:lvlText w:val="%1."/>
      <w:numFmt w:val="decimal"/>
      <w:start w:val="14"/>
    </w:lvl>
  </w:abstractNum>
  <w:abstractNum w:abstractNumId="120">
    <w:nsid w:val="6353CD2"/>
    <w:multiLevelType w:val="hybridMultilevel"/>
    <w:lvl w:ilvl="0">
      <w:lvlJc w:val="left"/>
      <w:lvlText w:val="%1."/>
      <w:numFmt w:val="decimal"/>
      <w:start w:val="1"/>
    </w:lvl>
    <w:lvl w:ilvl="1">
      <w:lvlJc w:val="left"/>
      <w:lvlText w:val="(%2)"/>
      <w:numFmt w:val="lowerLetter"/>
      <w:start w:val="2"/>
    </w:lvl>
  </w:abstractNum>
  <w:abstractNum w:abstractNumId="121">
    <w:nsid w:val="683CAAD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22">
    <w:nsid w:val="313C7C99"/>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23">
    <w:nsid w:val="519EB94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24">
    <w:nsid w:val="39DF2579"/>
    <w:multiLevelType w:val="hybridMultilevel"/>
    <w:lvl w:ilvl="0">
      <w:lvlJc w:val="left"/>
      <w:lvlText w:val="(%1)"/>
      <w:numFmt w:val="lowerLetter"/>
      <w:start w:val="5"/>
    </w:lvl>
  </w:abstractNum>
  <w:abstractNum w:abstractNumId="125">
    <w:nsid w:val="126E008B"/>
    <w:multiLevelType w:val="hybridMultilevel"/>
    <w:lvl w:ilvl="0">
      <w:lvlJc w:val="left"/>
      <w:lvlText w:val="(%1)"/>
      <w:numFmt w:val="lowerLetter"/>
      <w:start w:val="14"/>
    </w:lvl>
  </w:abstractNum>
  <w:abstractNum w:abstractNumId="126">
    <w:nsid w:val="34DFBC00"/>
    <w:multiLevelType w:val="hybridMultilevel"/>
    <w:lvl w:ilvl="0">
      <w:lvlJc w:val="left"/>
      <w:lvlText w:val="%1."/>
      <w:numFmt w:val="decimal"/>
      <w:start w:val="9"/>
    </w:lvl>
  </w:abstractNum>
  <w:abstractNum w:abstractNumId="127">
    <w:nsid w:val="1F9EC322"/>
    <w:multiLevelType w:val="hybridMultilevel"/>
    <w:lvl w:ilvl="0">
      <w:lvlJc w:val="left"/>
      <w:lvlText w:val="%1."/>
      <w:numFmt w:val="decimal"/>
      <w:start w:val="13"/>
    </w:lvl>
  </w:abstractNum>
  <w:abstractNum w:abstractNumId="128">
    <w:nsid w:val="3410ED56"/>
    <w:multiLevelType w:val="hybridMultilevel"/>
    <w:lvl w:ilvl="0">
      <w:lvlJc w:val="left"/>
      <w:lvlText w:val="%1."/>
      <w:numFmt w:val="decimal"/>
      <w:start w:val="15"/>
    </w:lvl>
  </w:abstractNum>
  <w:abstractNum w:abstractNumId="129">
    <w:nsid w:val="23C049A"/>
    <w:multiLevelType w:val="hybridMultilevel"/>
    <w:lvl w:ilvl="0">
      <w:lvlJc w:val="left"/>
      <w:lvlText w:val="%1."/>
      <w:numFmt w:val="decimal"/>
      <w:start w:val="1"/>
    </w:lvl>
    <w:lvl w:ilvl="1">
      <w:lvlJc w:val="left"/>
      <w:lvlText w:val="(%2)"/>
      <w:numFmt w:val="lowerLetter"/>
      <w:start w:val="2"/>
    </w:lvl>
  </w:abstractNum>
  <w:abstractNum w:abstractNumId="130">
    <w:nsid w:val="5BDA35D4"/>
    <w:multiLevelType w:val="hybridMultilevel"/>
    <w:lvl w:ilvl="0">
      <w:lvlJc w:val="left"/>
      <w:lvlText w:val="%1"/>
      <w:numFmt w:val="lowerLetter"/>
      <w:start w:val="1"/>
    </w:lvl>
    <w:lvl w:ilvl="1">
      <w:lvlJc w:val="left"/>
      <w:lvlText w:val="%2."/>
      <w:numFmt w:val="decimal"/>
      <w:start w:val="5"/>
    </w:lvl>
  </w:abstractNum>
  <w:abstractNum w:abstractNumId="131">
    <w:nsid w:val="496FB218"/>
    <w:multiLevelType w:val="hybridMultilevel"/>
    <w:lvl w:ilvl="0">
      <w:lvlJc w:val="left"/>
      <w:lvlText w:val="(%1)"/>
      <w:numFmt w:val="lowerLetter"/>
      <w:start w:val="1"/>
    </w:lvl>
    <w:lvl w:ilvl="1">
      <w:lvlJc w:val="left"/>
      <w:lvlText w:val="%2"/>
      <w:numFmt w:val="decimal"/>
      <w:start w:val="1"/>
    </w:lvl>
  </w:abstractNum>
  <w:abstractNum w:abstractNumId="132">
    <w:nsid w:val="680EA5D1"/>
    <w:multiLevelType w:val="hybridMultilevel"/>
    <w:lvl w:ilvl="0">
      <w:lvlJc w:val="left"/>
      <w:lvlText w:val="(%1)"/>
      <w:numFmt w:val="lowerLetter"/>
      <w:start w:val="7"/>
    </w:lvl>
  </w:abstractNum>
  <w:abstractNum w:abstractNumId="133">
    <w:nsid w:val="4A9554FE"/>
    <w:multiLevelType w:val="hybridMultilevel"/>
    <w:lvl w:ilvl="0">
      <w:lvlJc w:val="left"/>
      <w:lvlText w:val="(%1)"/>
      <w:numFmt w:val="lowerLetter"/>
      <w:start w:val="17"/>
    </w:lvl>
  </w:abstractNum>
  <w:abstractNum w:abstractNumId="134">
    <w:nsid w:val="392EDBE4"/>
    <w:multiLevelType w:val="hybridMultilevel"/>
    <w:lvl w:ilvl="0">
      <w:lvlJc w:val="left"/>
      <w:lvlText w:val="%1."/>
      <w:numFmt w:val="decimal"/>
      <w:start w:val="8"/>
    </w:lvl>
  </w:abstractNum>
  <w:abstractNum w:abstractNumId="135">
    <w:nsid w:val="3D1A2DD9"/>
    <w:multiLevelType w:val="hybridMultilevel"/>
    <w:lvl w:ilvl="0">
      <w:lvlJc w:val="left"/>
      <w:lvlText w:val="%1."/>
      <w:numFmt w:val="decimal"/>
      <w:start w:val="13"/>
    </w:lvl>
  </w:abstractNum>
  <w:abstractNum w:abstractNumId="136">
    <w:nsid w:val="7F618FCD"/>
    <w:multiLevelType w:val="hybridMultilevel"/>
    <w:lvl w:ilvl="0">
      <w:lvlJc w:val="left"/>
      <w:lvlText w:val="%1."/>
      <w:numFmt w:val="decimal"/>
      <w:start w:val="14"/>
    </w:lvl>
  </w:abstractNum>
  <w:abstractNum w:abstractNumId="137">
    <w:nsid w:val="7843E45"/>
    <w:multiLevelType w:val="hybridMultilevel"/>
    <w:lvl w:ilvl="0">
      <w:lvlJc w:val="left"/>
      <w:lvlText w:val="%1."/>
      <w:numFmt w:val="decimal"/>
      <w:start w:val="1"/>
    </w:lvl>
    <w:lvl w:ilvl="1">
      <w:lvlJc w:val="left"/>
      <w:lvlText w:val="(%2)"/>
      <w:numFmt w:val="lowerLetter"/>
      <w:start w:val="1"/>
    </w:lvl>
  </w:abstractNum>
  <w:abstractNum w:abstractNumId="138">
    <w:nsid w:val="9815DA3"/>
    <w:multiLevelType w:val="hybridMultilevel"/>
    <w:lvl w:ilvl="0">
      <w:lvlJc w:val="left"/>
      <w:lvlText w:val="%1"/>
      <w:numFmt w:val="decimal"/>
      <w:start w:val="1"/>
    </w:lvl>
    <w:lvl w:ilvl="1">
      <w:lvlJc w:val="left"/>
      <w:lvlText w:val="(%2)"/>
      <w:numFmt w:val="lowerLetter"/>
      <w:start w:val="4"/>
    </w:lvl>
  </w:abstractNum>
  <w:abstractNum w:abstractNumId="139">
    <w:nsid w:val="5204A191"/>
    <w:multiLevelType w:val="hybridMultilevel"/>
    <w:lvl w:ilvl="0">
      <w:lvlJc w:val="left"/>
      <w:lvlText w:val="%1."/>
      <w:numFmt w:val="decimal"/>
      <w:start w:val="2"/>
    </w:lvl>
    <w:lvl w:ilvl="1">
      <w:lvlJc w:val="left"/>
      <w:lvlText w:val="(%2)"/>
      <w:numFmt w:val="lowerLetter"/>
      <w:start w:val="1"/>
    </w:lvl>
  </w:abstractNum>
  <w:abstractNum w:abstractNumId="140">
    <w:nsid w:val="4C73A9C6"/>
    <w:multiLevelType w:val="hybridMultilevel"/>
    <w:lvl w:ilvl="0">
      <w:lvlJc w:val="left"/>
      <w:lvlText w:val="%1."/>
      <w:numFmt w:val="decimal"/>
      <w:start w:val="3"/>
    </w:lvl>
    <w:lvl w:ilvl="1">
      <w:lvlJc w:val="left"/>
      <w:lvlText w:val="(%2)"/>
      <w:numFmt w:val="lowerLetter"/>
      <w:start w:val="1"/>
    </w:lvl>
  </w:abstractNum>
  <w:abstractNum w:abstractNumId="141">
    <w:nsid w:val="1C7E3C01"/>
    <w:multiLevelType w:val="hybridMultilevel"/>
    <w:lvl w:ilvl="0">
      <w:lvlJc w:val="left"/>
      <w:lvlText w:val="%1."/>
      <w:numFmt w:val="decimal"/>
      <w:start w:val="4"/>
    </w:lvl>
    <w:lvl w:ilvl="1">
      <w:lvlJc w:val="left"/>
      <w:lvlText w:val="(%2)"/>
      <w:numFmt w:val="lowerLetter"/>
      <w:start w:val="1"/>
    </w:lvl>
  </w:abstractNum>
  <w:abstractNum w:abstractNumId="142">
    <w:nsid w:val="1C2201FF"/>
    <w:multiLevelType w:val="hybridMultilevel"/>
    <w:lvl w:ilvl="0">
      <w:lvlJc w:val="left"/>
      <w:lvlText w:val="%1"/>
      <w:numFmt w:val="decimal"/>
      <w:start w:val="1"/>
    </w:lvl>
    <w:lvl w:ilvl="1">
      <w:lvlJc w:val="left"/>
      <w:lvlText w:val="(%2)"/>
      <w:numFmt w:val="lowerLetter"/>
      <w:start w:val="9"/>
    </w:lvl>
  </w:abstractNum>
  <w:abstractNum w:abstractNumId="143">
    <w:nsid w:val="50ABCEC9"/>
    <w:multiLevelType w:val="hybridMultilevel"/>
    <w:lvl w:ilvl="0">
      <w:lvlJc w:val="left"/>
      <w:lvlText w:val="%1."/>
      <w:numFmt w:val="decimal"/>
      <w:start w:val="5"/>
    </w:lvl>
    <w:lvl w:ilvl="1">
      <w:lvlJc w:val="left"/>
      <w:lvlText w:val="(%2)"/>
      <w:numFmt w:val="lowerLetter"/>
      <w:start w:val="1"/>
    </w:lvl>
  </w:abstractNum>
  <w:abstractNum w:abstractNumId="144">
    <w:nsid w:val="7635AA2A"/>
    <w:multiLevelType w:val="hybridMultilevel"/>
    <w:lvl w:ilvl="0">
      <w:lvlJc w:val="left"/>
      <w:lvlText w:val="(%1)"/>
      <w:numFmt w:val="lowerLetter"/>
      <w:start w:val="2"/>
    </w:lvl>
  </w:abstractNum>
  <w:abstractNum w:abstractNumId="145">
    <w:nsid w:val="5E74C4D9"/>
    <w:multiLevelType w:val="hybridMultilevel"/>
    <w:lvl w:ilvl="0">
      <w:lvlJc w:val="left"/>
      <w:lvlText w:val="(%1)"/>
      <w:numFmt w:val="lowerLetter"/>
      <w:start w:val="6"/>
    </w:lvl>
  </w:abstractNum>
  <w:abstractNum w:abstractNumId="146">
    <w:nsid w:val="3B3EBE15"/>
    <w:multiLevelType w:val="hybridMultilevel"/>
    <w:lvl w:ilvl="0">
      <w:lvlJc w:val="left"/>
      <w:lvlText w:val="%1."/>
      <w:numFmt w:val="decimal"/>
      <w:start w:val="1"/>
    </w:lvl>
  </w:abstractNum>
  <w:abstractNum w:abstractNumId="147">
    <w:nsid w:val="3822CB01"/>
    <w:multiLevelType w:val="hybridMultilevel"/>
    <w:lvl w:ilvl="0">
      <w:lvlJc w:val="left"/>
      <w:lvlText w:val="%1."/>
      <w:numFmt w:val="decimal"/>
      <w:start w:val="4"/>
    </w:lvl>
  </w:abstractNum>
  <w:abstractNum w:abstractNumId="148">
    <w:nsid w:val="6CE00443"/>
    <w:multiLevelType w:val="hybridMultilevel"/>
    <w:lvl w:ilvl="0">
      <w:lvlJc w:val="left"/>
      <w:lvlText w:val="%1."/>
      <w:numFmt w:val="decimal"/>
      <w:start w:val="5"/>
    </w:lvl>
  </w:abstractNum>
  <w:abstractNum w:abstractNumId="149">
    <w:nsid w:val="79F0D62F"/>
    <w:multiLevelType w:val="hybridMultilevel"/>
    <w:lvl w:ilvl="0">
      <w:lvlJc w:val="left"/>
      <w:lvlText w:val="%1."/>
      <w:numFmt w:val="decimal"/>
      <w:start w:val="6"/>
    </w:lvl>
  </w:abstractNum>
  <w:abstractNum w:abstractNumId="150">
    <w:nsid w:val="7975E8EE"/>
    <w:multiLevelType w:val="hybridMultilevel"/>
    <w:lvl w:ilvl="0">
      <w:lvlJc w:val="left"/>
      <w:lvlText w:val="%1."/>
      <w:numFmt w:val="decimal"/>
      <w:start w:val="2"/>
    </w:lvl>
  </w:abstractNum>
  <w:abstractNum w:abstractNumId="151">
    <w:nsid w:val="73154115"/>
    <w:multiLevelType w:val="hybridMultilevel"/>
    <w:lvl w:ilvl="0">
      <w:lvlJc w:val="left"/>
      <w:lvlText w:val="(%1)"/>
      <w:numFmt w:val="lowerLetter"/>
      <w:start w:val="1"/>
    </w:lvl>
  </w:abstractNum>
  <w:abstractNum w:abstractNumId="152">
    <w:nsid w:val="622D8102"/>
    <w:multiLevelType w:val="hybridMultilevel"/>
    <w:lvl w:ilvl="0">
      <w:lvlJc w:val="left"/>
      <w:lvlText w:val="(%1)"/>
      <w:numFmt w:val="lowerLetter"/>
      <w:start w:val="2"/>
    </w:lvl>
  </w:abstractNum>
  <w:abstractNum w:abstractNumId="153">
    <w:nsid w:val="2AB26587"/>
    <w:multiLevelType w:val="hybridMultilevel"/>
    <w:lvl w:ilvl="0">
      <w:lvlJc w:val="left"/>
      <w:lvlText w:val="%1."/>
      <w:numFmt w:val="decimal"/>
      <w:start w:val="3"/>
    </w:lvl>
  </w:abstractNum>
  <w:abstractNum w:abstractNumId="154">
    <w:nsid w:val="44B3FA61"/>
    <w:multiLevelType w:val="hybridMultilevel"/>
    <w:lvl w:ilvl="0">
      <w:lvlJc w:val="left"/>
      <w:lvlText w:val="%1."/>
      <w:numFmt w:val="decimal"/>
      <w:start w:val="4"/>
    </w:lvl>
  </w:abstractNum>
  <w:abstractNum w:abstractNumId="155">
    <w:nsid w:val="1C0CA67C"/>
    <w:multiLevelType w:val="hybridMultilevel"/>
    <w:lvl w:ilvl="0">
      <w:lvlJc w:val="left"/>
      <w:lvlText w:val="%1."/>
      <w:numFmt w:val="decimal"/>
      <w:start w:val="5"/>
    </w:lvl>
  </w:abstractNum>
  <w:abstractNum w:abstractNumId="156">
    <w:nsid w:val="3D206613"/>
    <w:multiLevelType w:val="hybridMultilevel"/>
    <w:lvl w:ilvl="0">
      <w:lvlJc w:val="left"/>
      <w:lvlText w:val="%1."/>
      <w:numFmt w:val="decimal"/>
      <w:start w:val="6"/>
    </w:lvl>
  </w:abstractNum>
  <w:abstractNum w:abstractNumId="157">
    <w:nsid w:val="7993B66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58">
    <w:nsid w:val="3BAB699E"/>
    <w:multiLevelType w:val="hybridMultilevel"/>
    <w:lvl w:ilvl="0">
      <w:lvlJc w:val="left"/>
      <w:lvlText w:val="(%1)"/>
      <w:numFmt w:val="lowerRoman"/>
      <w:start w:val="2"/>
    </w:lvl>
  </w:abstractNum>
  <w:abstractNum w:abstractNumId="159">
    <w:nsid w:val="71315369"/>
    <w:multiLevelType w:val="hybridMultilevel"/>
    <w:lvl w:ilvl="0">
      <w:lvlJc w:val="left"/>
      <w:lvlText w:val="(%1)"/>
      <w:numFmt w:val="lowerLetter"/>
      <w:start w:val="4"/>
    </w:lvl>
  </w:abstractNum>
  <w:abstractNum w:abstractNumId="160">
    <w:nsid w:val="7BCFBAFC"/>
    <w:multiLevelType w:val="hybridMultilevel"/>
    <w:lvl w:ilvl="0">
      <w:lvlJc w:val="left"/>
      <w:lvlText w:val="%1"/>
      <w:numFmt w:val="decimal"/>
      <w:start w:val="1"/>
    </w:lvl>
    <w:lvl w:ilvl="1">
      <w:lvlJc w:val="left"/>
      <w:lvlText w:val="(%2)"/>
      <w:numFmt w:val="lowerLetter"/>
      <w:start w:val="11"/>
    </w:lvl>
  </w:abstractNum>
  <w:abstractNum w:abstractNumId="161">
    <w:nsid w:val="17859F72"/>
    <w:multiLevelType w:val="hybridMultilevel"/>
    <w:lvl w:ilvl="0">
      <w:lvlJc w:val="left"/>
      <w:lvlText w:val="%1"/>
      <w:numFmt w:val="decimal"/>
      <w:start w:val="1"/>
    </w:lvl>
    <w:lvl w:ilvl="1">
      <w:lvlJc w:val="left"/>
      <w:lvlText w:val="(%2)"/>
      <w:numFmt w:val="lowerLetter"/>
      <w:start w:val="35"/>
    </w:lvl>
  </w:abstractNum>
  <w:abstractNum w:abstractNumId="162">
    <w:nsid w:val="3AA10581"/>
    <w:multiLevelType w:val="hybridMultilevel"/>
    <w:lvl w:ilvl="0">
      <w:lvlJc w:val="left"/>
      <w:lvlText w:val="%1"/>
      <w:numFmt w:val="decimal"/>
      <w:start w:val="1"/>
    </w:lvl>
    <w:lvl w:ilvl="1">
      <w:lvlJc w:val="left"/>
      <w:lvlText w:val="(%2)"/>
      <w:numFmt w:val="lowerLetter"/>
      <w:start w:val="12"/>
    </w:lvl>
  </w:abstractNum>
  <w:abstractNum w:abstractNumId="163">
    <w:nsid w:val="63DE60CD"/>
    <w:multiLevelType w:val="hybridMultilevel"/>
    <w:lvl w:ilvl="0">
      <w:lvlJc w:val="left"/>
      <w:lvlText w:val="%1."/>
      <w:numFmt w:val="decimal"/>
      <w:start w:val="3"/>
    </w:lvl>
    <w:lvl w:ilvl="1">
      <w:lvlJc w:val="left"/>
      <w:lvlText w:val="%2"/>
      <w:numFmt w:val="lowerLetter"/>
      <w:start w:val="1"/>
    </w:lvl>
  </w:abstractNum>
  <w:abstractNum w:abstractNumId="164">
    <w:nsid w:val="621AF471"/>
    <w:multiLevelType w:val="hybridMultilevel"/>
    <w:lvl w:ilvl="0">
      <w:lvlJc w:val="left"/>
      <w:lvlText w:val="%1."/>
      <w:numFmt w:val="decimal"/>
      <w:start w:val="4"/>
    </w:lvl>
  </w:abstractNum>
  <w:abstractNum w:abstractNumId="165">
    <w:nsid w:val="73CFE165"/>
    <w:multiLevelType w:val="hybridMultilevel"/>
    <w:lvl w:ilvl="0">
      <w:lvlJc w:val="left"/>
      <w:lvlText w:val="%1."/>
      <w:numFmt w:val="decimal"/>
      <w:start w:val="7"/>
    </w:lvl>
    <w:lvl w:ilvl="1">
      <w:lvlJc w:val="left"/>
      <w:lvlText w:val="(%2)"/>
      <w:numFmt w:val="lowerLetter"/>
      <w:start w:val="1"/>
    </w:lvl>
  </w:abstractNum>
  <w:abstractNum w:abstractNumId="166">
    <w:nsid w:val="20F88EA6"/>
    <w:multiLevelType w:val="hybridMultilevel"/>
    <w:lvl w:ilvl="0">
      <w:lvlJc w:val="left"/>
      <w:lvlText w:val="%1"/>
      <w:numFmt w:val="decimal"/>
      <w:start w:val="1"/>
    </w:lvl>
    <w:lvl w:ilvl="1">
      <w:lvlJc w:val="left"/>
      <w:lvlText w:val="(%2)"/>
      <w:numFmt w:val="lowerLetter"/>
      <w:start w:val="3"/>
    </w:lvl>
  </w:abstractNum>
  <w:abstractNum w:abstractNumId="167">
    <w:nsid w:val="617C843E"/>
    <w:multiLevelType w:val="hybridMultilevel"/>
    <w:lvl w:ilvl="0">
      <w:lvlJc w:val="left"/>
      <w:lvlText w:val="%1."/>
      <w:numFmt w:val="decimal"/>
      <w:start w:val="10"/>
    </w:lvl>
    <w:lvl w:ilvl="1">
      <w:lvlJc w:val="left"/>
      <w:lvlText w:val="(%2)"/>
      <w:numFmt w:val="lowerLetter"/>
      <w:start w:val="1"/>
    </w:lvl>
  </w:abstractNum>
  <w:abstractNum w:abstractNumId="168">
    <w:nsid w:val="7B541FAB"/>
    <w:multiLevelType w:val="hybridMultilevel"/>
    <w:lvl w:ilvl="0">
      <w:lvlJc w:val="left"/>
      <w:lvlText w:val="%1"/>
      <w:numFmt w:val="decimal"/>
      <w:start w:val="1"/>
    </w:lvl>
    <w:lvl w:ilvl="1">
      <w:lvlJc w:val="left"/>
      <w:lvlText w:val="(%2)"/>
      <w:numFmt w:val="lowerLetter"/>
      <w:start w:val="2"/>
    </w:lvl>
  </w:abstractNum>
  <w:abstractNum w:abstractNumId="169">
    <w:nsid w:val="2A79EC49"/>
    <w:multiLevelType w:val="hybridMultilevel"/>
    <w:lvl w:ilvl="0">
      <w:lvlJc w:val="left"/>
      <w:lvlText w:val="%1."/>
      <w:numFmt w:val="decimal"/>
      <w:start w:val="12"/>
    </w:lvl>
    <w:lvl w:ilvl="1">
      <w:lvlJc w:val="left"/>
      <w:lvlText w:val="(%2)"/>
      <w:numFmt w:val="lowerLetter"/>
      <w:start w:val="1"/>
    </w:lvl>
  </w:abstractNum>
  <w:abstractNum w:abstractNumId="170">
    <w:nsid w:val="338125CF"/>
    <w:multiLevelType w:val="hybridMultilevel"/>
    <w:lvl w:ilvl="0">
      <w:lvlJc w:val="left"/>
      <w:lvlText w:val="%1"/>
      <w:numFmt w:val="decimal"/>
      <w:start w:val="1"/>
    </w:lvl>
    <w:lvl w:ilvl="1">
      <w:lvlJc w:val="left"/>
      <w:lvlText w:val="(%2)"/>
      <w:numFmt w:val="lowerLetter"/>
      <w:start w:val="3"/>
    </w:lvl>
  </w:abstractNum>
  <w:abstractNum w:abstractNumId="171">
    <w:nsid w:val="47C7C971"/>
    <w:multiLevelType w:val="hybridMultilevel"/>
    <w:lvl w:ilvl="0">
      <w:lvlJc w:val="left"/>
      <w:lvlText w:val="%1."/>
      <w:numFmt w:val="decimal"/>
      <w:start w:val="13"/>
    </w:lvl>
    <w:lvl w:ilvl="1">
      <w:lvlJc w:val="left"/>
      <w:lvlText w:val="(%2)"/>
      <w:numFmt w:val="lowerLetter"/>
      <w:start w:val="1"/>
    </w:lvl>
  </w:abstractNum>
  <w:abstractNum w:abstractNumId="172">
    <w:nsid w:val="46F8284B"/>
    <w:multiLevelType w:val="hybridMultilevel"/>
    <w:lvl w:ilvl="0">
      <w:lvlJc w:val="left"/>
      <w:lvlText w:val="%1"/>
      <w:numFmt w:val="decimal"/>
      <w:start w:val="1"/>
    </w:lvl>
    <w:lvl w:ilvl="1">
      <w:lvlJc w:val="left"/>
      <w:lvlText w:val="(%2)"/>
      <w:numFmt w:val="lowerLetter"/>
      <w:start w:val="3"/>
    </w:lvl>
  </w:abstractNum>
  <w:abstractNum w:abstractNumId="173">
    <w:nsid w:val="4FA327CE"/>
    <w:multiLevelType w:val="hybridMultilevel"/>
    <w:lvl w:ilvl="0">
      <w:lvlJc w:val="left"/>
      <w:lvlText w:val="%1."/>
      <w:numFmt w:val="decimal"/>
      <w:start w:val="14"/>
    </w:lvl>
    <w:lvl w:ilvl="1">
      <w:lvlJc w:val="left"/>
      <w:lvlText w:val="(%2)"/>
      <w:numFmt w:val="lowerLetter"/>
      <w:start w:val="1"/>
    </w:lvl>
  </w:abstractNum>
  <w:abstractNum w:abstractNumId="174">
    <w:nsid w:val="1873983A"/>
    <w:multiLevelType w:val="hybridMultilevel"/>
    <w:lvl w:ilvl="0">
      <w:lvlJc w:val="left"/>
      <w:lvlText w:val="(%1)"/>
      <w:numFmt w:val="lowerLetter"/>
      <w:start w:val="2"/>
    </w:lvl>
  </w:abstractNum>
  <w:abstractNum w:abstractNumId="175">
    <w:nsid w:val="3D2DD275"/>
    <w:multiLevelType w:val="hybridMultilevel"/>
    <w:lvl w:ilvl="0">
      <w:lvlJc w:val="left"/>
      <w:lvlText w:val="%1."/>
      <w:numFmt w:val="decimal"/>
      <w:start w:val="15"/>
    </w:lvl>
    <w:lvl w:ilvl="1">
      <w:lvlJc w:val="left"/>
      <w:lvlText w:val="(%2)"/>
      <w:numFmt w:val="lowerLetter"/>
      <w:start w:val="1"/>
    </w:lvl>
  </w:abstractNum>
  <w:abstractNum w:abstractNumId="176">
    <w:nsid w:val="2E17ECA7"/>
    <w:multiLevelType w:val="hybridMultilevel"/>
    <w:lvl w:ilvl="0">
      <w:lvlJc w:val="left"/>
      <w:lvlText w:val="%1"/>
      <w:numFmt w:val="decimal"/>
      <w:start w:val="1"/>
    </w:lvl>
    <w:lvl w:ilvl="1">
      <w:lvlJc w:val="left"/>
      <w:lvlText w:val="(%2)"/>
      <w:numFmt w:val="lowerLetter"/>
      <w:start w:val="3"/>
    </w:lvl>
  </w:abstractNum>
  <w:abstractNum w:abstractNumId="177">
    <w:nsid w:val="53B2564F"/>
    <w:multiLevelType w:val="hybridMultilevel"/>
    <w:lvl w:ilvl="0">
      <w:lvlJc w:val="left"/>
      <w:lvlText w:val="%1."/>
      <w:numFmt w:val="decimal"/>
      <w:start w:val="17"/>
    </w:lvl>
    <w:lvl w:ilvl="1">
      <w:lvlJc w:val="left"/>
      <w:lvlText w:val="%2"/>
      <w:numFmt w:val="lowerLetter"/>
      <w:start w:val="1"/>
    </w:lvl>
  </w:abstractNum>
  <w:abstractNum w:abstractNumId="178">
    <w:nsid w:val="75509D76"/>
    <w:multiLevelType w:val="hybridMultilevel"/>
    <w:lvl w:ilvl="0">
      <w:lvlJc w:val="left"/>
      <w:lvlText w:val="%1."/>
      <w:numFmt w:val="decimal"/>
      <w:start w:val="18"/>
    </w:lvl>
    <w:lvl w:ilvl="1">
      <w:lvlJc w:val="left"/>
      <w:lvlText w:val="(%2)"/>
      <w:numFmt w:val="lowerLetter"/>
      <w:start w:val="1"/>
    </w:lvl>
  </w:abstractNum>
  <w:abstractNum w:abstractNumId="179">
    <w:nsid w:val="1AF7F0EA"/>
    <w:multiLevelType w:val="hybridMultilevel"/>
    <w:lvl w:ilvl="0">
      <w:lvlJc w:val="left"/>
      <w:lvlText w:val="%1"/>
      <w:numFmt w:val="decimal"/>
      <w:start w:val="1"/>
    </w:lvl>
    <w:lvl w:ilvl="1">
      <w:lvlJc w:val="left"/>
      <w:lvlText w:val="(%2)"/>
      <w:numFmt w:val="lowerLetter"/>
      <w:start w:val="5"/>
    </w:lvl>
  </w:abstractNum>
  <w:abstractNum w:abstractNumId="180">
    <w:nsid w:val="4DA32C7E"/>
    <w:multiLevelType w:val="hybridMultilevel"/>
    <w:lvl w:ilvl="0">
      <w:lvlJc w:val="left"/>
      <w:lvlText w:val="%1."/>
      <w:numFmt w:val="decimal"/>
      <w:start w:val="20"/>
    </w:lvl>
    <w:lvl w:ilvl="1">
      <w:lvlJc w:val="left"/>
      <w:lvlText w:val="(%2)"/>
      <w:numFmt w:val="lowerLetter"/>
      <w:start w:val="1"/>
    </w:lvl>
  </w:abstractNum>
  <w:abstractNum w:abstractNumId="181">
    <w:nsid w:val="6EC68664"/>
    <w:multiLevelType w:val="hybridMultilevel"/>
    <w:lvl w:ilvl="0">
      <w:lvlJc w:val="left"/>
      <w:lvlText w:val="%1."/>
      <w:numFmt w:val="decimal"/>
      <w:start w:val="22"/>
    </w:lvl>
  </w:abstractNum>
  <w:abstractNum w:abstractNumId="182">
    <w:nsid w:val="E0D31F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183">
    <w:nsid w:val="2FD0AD81"/>
    <w:multiLevelType w:val="hybridMultilevel"/>
    <w:lvl w:ilvl="0">
      <w:lvlJc w:val="left"/>
      <w:lvlText w:val="(%1)"/>
      <w:numFmt w:val="lowerRoman"/>
      <w:start w:val="2"/>
    </w:lvl>
  </w:abstractNum>
  <w:abstractNum w:abstractNumId="184">
    <w:nsid w:val="1978EBEB"/>
    <w:multiLevelType w:val="hybridMultilevel"/>
    <w:lvl w:ilvl="0">
      <w:lvlJc w:val="left"/>
      <w:lvlText w:val="(%1)"/>
      <w:numFmt w:val="lowerLetter"/>
      <w:start w:val="4"/>
    </w:lvl>
  </w:abstractNum>
  <w:abstractNum w:abstractNumId="185">
    <w:nsid w:val="52C12C61"/>
    <w:multiLevelType w:val="hybridMultilevel"/>
    <w:lvl w:ilvl="0">
      <w:lvlJc w:val="left"/>
      <w:lvlText w:val="%1"/>
      <w:numFmt w:val="decimal"/>
      <w:start w:val="1"/>
    </w:lvl>
    <w:lvl w:ilvl="1">
      <w:lvlJc w:val="left"/>
      <w:lvlText w:val="(%2)"/>
      <w:numFmt w:val="lowerLetter"/>
      <w:start w:val="11"/>
    </w:lvl>
  </w:abstractNum>
  <w:abstractNum w:abstractNumId="186">
    <w:nsid w:val="4BDD53FD"/>
    <w:multiLevelType w:val="hybridMultilevel"/>
    <w:lvl w:ilvl="0">
      <w:lvlJc w:val="left"/>
      <w:lvlText w:val="%1"/>
      <w:numFmt w:val="decimal"/>
      <w:start w:val="1"/>
    </w:lvl>
    <w:lvl w:ilvl="1">
      <w:lvlJc w:val="left"/>
      <w:lvlText w:val="(%2)"/>
      <w:numFmt w:val="lowerLetter"/>
      <w:start w:val="35"/>
    </w:lvl>
  </w:abstractNum>
  <w:abstractNum w:abstractNumId="187">
    <w:nsid w:val="569951FE"/>
    <w:multiLevelType w:val="hybridMultilevel"/>
    <w:lvl w:ilvl="0">
      <w:lvlJc w:val="left"/>
      <w:lvlText w:val="%1"/>
      <w:numFmt w:val="decimal"/>
      <w:start w:val="1"/>
    </w:lvl>
    <w:lvl w:ilvl="1">
      <w:lvlJc w:val="left"/>
      <w:lvlText w:val="(%2)"/>
      <w:numFmt w:val="lowerLetter"/>
      <w:start w:val="12"/>
    </w:lvl>
  </w:abstractNum>
  <w:abstractNum w:abstractNumId="188">
    <w:nsid w:val="4C54E2C3"/>
    <w:multiLevelType w:val="hybridMultilevel"/>
    <w:lvl w:ilvl="0">
      <w:lvlJc w:val="left"/>
      <w:lvlText w:val="%1."/>
      <w:numFmt w:val="decimal"/>
      <w:start w:val="3"/>
    </w:lvl>
    <w:lvl w:ilvl="1">
      <w:lvlJc w:val="left"/>
      <w:lvlText w:val="%2"/>
      <w:numFmt w:val="lowerLetter"/>
      <w:start w:val="1"/>
    </w:lvl>
  </w:abstractNum>
  <w:abstractNum w:abstractNumId="189">
    <w:nsid w:val="788BD9B"/>
    <w:multiLevelType w:val="hybridMultilevel"/>
    <w:lvl w:ilvl="0">
      <w:lvlJc w:val="left"/>
      <w:lvlText w:val="%1."/>
      <w:numFmt w:val="decimal"/>
      <w:start w:val="4"/>
    </w:lvl>
  </w:abstractNum>
  <w:abstractNum w:abstractNumId="190">
    <w:nsid w:val="47CAA567"/>
    <w:multiLevelType w:val="hybridMultilevel"/>
    <w:lvl w:ilvl="0">
      <w:lvlJc w:val="left"/>
      <w:lvlText w:val="%1."/>
      <w:numFmt w:val="decimal"/>
      <w:start w:val="7"/>
    </w:lvl>
    <w:lvl w:ilvl="1">
      <w:lvlJc w:val="left"/>
      <w:lvlText w:val="(%2)"/>
      <w:numFmt w:val="lowerLetter"/>
      <w:start w:val="1"/>
    </w:lvl>
  </w:abstractNum>
  <w:abstractNum w:abstractNumId="191">
    <w:nsid w:val="48249DBF"/>
    <w:multiLevelType w:val="hybridMultilevel"/>
    <w:lvl w:ilvl="0">
      <w:lvlJc w:val="left"/>
      <w:lvlText w:val="%1"/>
      <w:numFmt w:val="decimal"/>
      <w:start w:val="1"/>
    </w:lvl>
    <w:lvl w:ilvl="1">
      <w:lvlJc w:val="left"/>
      <w:lvlText w:val="(%2)"/>
      <w:numFmt w:val="lowerLetter"/>
      <w:start w:val="3"/>
    </w:lvl>
  </w:abstractNum>
  <w:abstractNum w:abstractNumId="192">
    <w:nsid w:val="1F0E5D0D"/>
    <w:multiLevelType w:val="hybridMultilevel"/>
    <w:lvl w:ilvl="0">
      <w:lvlJc w:val="left"/>
      <w:lvlText w:val="%1."/>
      <w:numFmt w:val="decimal"/>
      <w:start w:val="10"/>
    </w:lvl>
    <w:lvl w:ilvl="1">
      <w:lvlJc w:val="left"/>
      <w:lvlText w:val="(%2)"/>
      <w:numFmt w:val="lowerLetter"/>
      <w:start w:val="1"/>
    </w:lvl>
  </w:abstractNum>
  <w:abstractNum w:abstractNumId="193">
    <w:nsid w:val="26BAAE9"/>
    <w:multiLevelType w:val="hybridMultilevel"/>
    <w:lvl w:ilvl="0">
      <w:lvlJc w:val="left"/>
      <w:lvlText w:val="%1"/>
      <w:numFmt w:val="decimal"/>
      <w:start w:val="1"/>
    </w:lvl>
    <w:lvl w:ilvl="1">
      <w:lvlJc w:val="left"/>
      <w:lvlText w:val="(%2)"/>
      <w:numFmt w:val="lowerLetter"/>
      <w:start w:val="2"/>
    </w:lvl>
  </w:abstractNum>
  <w:abstractNum w:abstractNumId="194">
    <w:nsid w:val="2C02FE8C"/>
    <w:multiLevelType w:val="hybridMultilevel"/>
    <w:lvl w:ilvl="0">
      <w:lvlJc w:val="left"/>
      <w:lvlText w:val="%1."/>
      <w:numFmt w:val="decimal"/>
      <w:start w:val="12"/>
    </w:lvl>
    <w:lvl w:ilvl="1">
      <w:lvlJc w:val="left"/>
      <w:lvlText w:val="(%2)"/>
      <w:numFmt w:val="lowerLetter"/>
      <w:start w:val="1"/>
    </w:lvl>
  </w:abstractNum>
  <w:abstractNum w:abstractNumId="195">
    <w:nsid w:val="129517E"/>
    <w:multiLevelType w:val="hybridMultilevel"/>
    <w:lvl w:ilvl="0">
      <w:lvlJc w:val="left"/>
      <w:lvlText w:val="%1"/>
      <w:numFmt w:val="decimal"/>
      <w:start w:val="1"/>
    </w:lvl>
    <w:lvl w:ilvl="1">
      <w:lvlJc w:val="left"/>
      <w:lvlText w:val="(%2)"/>
      <w:numFmt w:val="lowerLetter"/>
      <w:start w:val="3"/>
    </w:lvl>
  </w:abstractNum>
  <w:abstractNum w:abstractNumId="196">
    <w:nsid w:val="763B8C4E"/>
    <w:multiLevelType w:val="hybridMultilevel"/>
    <w:lvl w:ilvl="0">
      <w:lvlJc w:val="left"/>
      <w:lvlText w:val="%1."/>
      <w:numFmt w:val="decimal"/>
      <w:start w:val="13"/>
    </w:lvl>
    <w:lvl w:ilvl="1">
      <w:lvlJc w:val="left"/>
      <w:lvlText w:val="(%2)"/>
      <w:numFmt w:val="lowerLetter"/>
      <w:start w:val="1"/>
    </w:lvl>
  </w:abstractNum>
  <w:abstractNum w:abstractNumId="197">
    <w:nsid w:val="4CFB8D32"/>
    <w:multiLevelType w:val="hybridMultilevel"/>
    <w:lvl w:ilvl="0">
      <w:lvlJc w:val="left"/>
      <w:lvlText w:val="%1"/>
      <w:numFmt w:val="decimal"/>
      <w:start w:val="1"/>
    </w:lvl>
    <w:lvl w:ilvl="1">
      <w:lvlJc w:val="left"/>
      <w:lvlText w:val="(%2)"/>
      <w:numFmt w:val="lowerLetter"/>
      <w:start w:val="3"/>
    </w:lvl>
  </w:abstractNum>
  <w:abstractNum w:abstractNumId="198">
    <w:nsid w:val="62A5D5BD"/>
    <w:multiLevelType w:val="hybridMultilevel"/>
    <w:lvl w:ilvl="0">
      <w:lvlJc w:val="left"/>
      <w:lvlText w:val="%1."/>
      <w:numFmt w:val="decimal"/>
      <w:start w:val="14"/>
    </w:lvl>
    <w:lvl w:ilvl="1">
      <w:lvlJc w:val="left"/>
      <w:lvlText w:val="(%2)"/>
      <w:numFmt w:val="lowerLetter"/>
      <w:start w:val="1"/>
    </w:lvl>
  </w:abstractNum>
  <w:abstractNum w:abstractNumId="199">
    <w:nsid w:val="718FABF9"/>
    <w:multiLevelType w:val="hybridMultilevel"/>
    <w:lvl w:ilvl="0">
      <w:lvlJc w:val="left"/>
      <w:lvlText w:val="(%1)"/>
      <w:numFmt w:val="lowerLetter"/>
      <w:start w:val="2"/>
    </w:lvl>
  </w:abstractNum>
  <w:abstractNum w:abstractNumId="200">
    <w:nsid w:val="7775797C"/>
    <w:multiLevelType w:val="hybridMultilevel"/>
    <w:lvl w:ilvl="0">
      <w:lvlJc w:val="left"/>
      <w:lvlText w:val="%1"/>
      <w:numFmt w:val="decimal"/>
      <w:start w:val="1"/>
    </w:lvl>
    <w:lvl w:ilvl="1">
      <w:lvlJc w:val="left"/>
      <w:lvlText w:val="(%2)"/>
      <w:numFmt w:val="lowerLetter"/>
      <w:start w:val="6"/>
    </w:lvl>
  </w:abstractNum>
  <w:abstractNum w:abstractNumId="201">
    <w:nsid w:val="1626FB8C"/>
    <w:multiLevelType w:val="hybridMultilevel"/>
    <w:lvl w:ilvl="0">
      <w:lvlJc w:val="left"/>
      <w:lvlText w:val="%1."/>
      <w:numFmt w:val="decimal"/>
      <w:start w:val="15"/>
    </w:lvl>
    <w:lvl w:ilvl="1">
      <w:lvlJc w:val="left"/>
      <w:lvlText w:val="(%2)"/>
      <w:numFmt w:val="lowerLetter"/>
      <w:start w:val="1"/>
    </w:lvl>
  </w:abstractNum>
  <w:abstractNum w:abstractNumId="202">
    <w:nsid w:val="3957756A"/>
    <w:multiLevelType w:val="hybridMultilevel"/>
    <w:lvl w:ilvl="0">
      <w:lvlJc w:val="left"/>
      <w:lvlText w:val="%1"/>
      <w:numFmt w:val="decimal"/>
      <w:start w:val="1"/>
    </w:lvl>
    <w:lvl w:ilvl="1">
      <w:lvlJc w:val="left"/>
      <w:lvlText w:val="(%2)"/>
      <w:numFmt w:val="lowerLetter"/>
      <w:start w:val="3"/>
    </w:lvl>
  </w:abstractNum>
  <w:abstractNum w:abstractNumId="203">
    <w:nsid w:val="3E6DA1C7"/>
    <w:multiLevelType w:val="hybridMultilevel"/>
    <w:lvl w:ilvl="0">
      <w:lvlJc w:val="left"/>
      <w:lvlText w:val="%1."/>
      <w:numFmt w:val="decimal"/>
      <w:start w:val="17"/>
    </w:lvl>
    <w:lvl w:ilvl="1">
      <w:lvlJc w:val="left"/>
      <w:lvlText w:val="%2"/>
      <w:numFmt w:val="lowerLetter"/>
      <w:start w:val="1"/>
    </w:lvl>
  </w:abstractNum>
  <w:abstractNum w:abstractNumId="204">
    <w:nsid w:val="65CA235B"/>
    <w:multiLevelType w:val="hybridMultilevel"/>
    <w:lvl w:ilvl="0">
      <w:lvlJc w:val="left"/>
      <w:lvlText w:val="%1."/>
      <w:numFmt w:val="decimal"/>
      <w:start w:val="18"/>
    </w:lvl>
    <w:lvl w:ilvl="1">
      <w:lvlJc w:val="left"/>
      <w:lvlText w:val="(%2)"/>
      <w:numFmt w:val="lowerLetter"/>
      <w:start w:val="1"/>
    </w:lvl>
  </w:abstractNum>
  <w:abstractNum w:abstractNumId="205">
    <w:nsid w:val="51CB0DA4"/>
    <w:multiLevelType w:val="hybridMultilevel"/>
    <w:lvl w:ilvl="0">
      <w:lvlJc w:val="left"/>
      <w:lvlText w:val="%1"/>
      <w:numFmt w:val="decimal"/>
      <w:start w:val="1"/>
    </w:lvl>
    <w:lvl w:ilvl="1">
      <w:lvlJc w:val="left"/>
      <w:lvlText w:val="(%2)"/>
      <w:numFmt w:val="lowerLetter"/>
      <w:start w:val="5"/>
    </w:lvl>
  </w:abstractNum>
  <w:abstractNum w:abstractNumId="206">
    <w:nsid w:val="7B9B743C"/>
    <w:multiLevelType w:val="hybridMultilevel"/>
    <w:lvl w:ilvl="0">
      <w:lvlJc w:val="left"/>
      <w:lvlText w:val="%1."/>
      <w:numFmt w:val="decimal"/>
      <w:start w:val="20"/>
    </w:lvl>
    <w:lvl w:ilvl="1">
      <w:lvlJc w:val="left"/>
      <w:lvlText w:val="(%2)"/>
      <w:numFmt w:val="lowerLetter"/>
      <w:start w:val="1"/>
    </w:lvl>
  </w:abstractNum>
  <w:abstractNum w:abstractNumId="207">
    <w:nsid w:val="13E21002"/>
    <w:multiLevelType w:val="hybridMultilevel"/>
    <w:lvl w:ilvl="0">
      <w:lvlJc w:val="left"/>
      <w:lvlText w:val="%1."/>
      <w:numFmt w:val="decimal"/>
      <w:start w:val="22"/>
    </w:lvl>
  </w:abstractNum>
  <w:abstractNum w:abstractNumId="208">
    <w:nsid w:val="257D63F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09">
    <w:nsid w:val="70EC11B2"/>
    <w:multiLevelType w:val="hybridMultilevel"/>
    <w:lvl w:ilvl="0">
      <w:lvlJc w:val="left"/>
      <w:lvlText w:val="(%1)"/>
      <w:numFmt w:val="lowerRoman"/>
      <w:start w:val="2"/>
    </w:lvl>
  </w:abstractNum>
  <w:abstractNum w:abstractNumId="210">
    <w:nsid w:val="2EDA00ED"/>
    <w:multiLevelType w:val="hybridMultilevel"/>
    <w:lvl w:ilvl="0">
      <w:lvlJc w:val="left"/>
      <w:lvlText w:val="(%1)"/>
      <w:numFmt w:val="lowerLetter"/>
      <w:start w:val="4"/>
    </w:lvl>
  </w:abstractNum>
  <w:abstractNum w:abstractNumId="211">
    <w:nsid w:val="73209072"/>
    <w:multiLevelType w:val="hybridMultilevel"/>
    <w:lvl w:ilvl="0">
      <w:lvlJc w:val="left"/>
      <w:lvlText w:val="%1"/>
      <w:numFmt w:val="decimal"/>
      <w:start w:val="1"/>
    </w:lvl>
    <w:lvl w:ilvl="1">
      <w:lvlJc w:val="left"/>
      <w:lvlText w:val="(%2)"/>
      <w:numFmt w:val="lowerLetter"/>
      <w:start w:val="11"/>
    </w:lvl>
  </w:abstractNum>
  <w:abstractNum w:abstractNumId="212">
    <w:nsid w:val="5FB29816"/>
    <w:multiLevelType w:val="hybridMultilevel"/>
    <w:lvl w:ilvl="0">
      <w:lvlJc w:val="left"/>
      <w:lvlText w:val="%1"/>
      <w:numFmt w:val="decimal"/>
      <w:start w:val="1"/>
    </w:lvl>
    <w:lvl w:ilvl="1">
      <w:lvlJc w:val="left"/>
      <w:lvlText w:val="(%2)"/>
      <w:numFmt w:val="lowerLetter"/>
      <w:start w:val="35"/>
    </w:lvl>
  </w:abstractNum>
  <w:abstractNum w:abstractNumId="213">
    <w:nsid w:val="3CE732EC"/>
    <w:multiLevelType w:val="hybridMultilevel"/>
    <w:lvl w:ilvl="0">
      <w:lvlJc w:val="left"/>
      <w:lvlText w:val="%1"/>
      <w:numFmt w:val="decimal"/>
      <w:start w:val="1"/>
    </w:lvl>
    <w:lvl w:ilvl="1">
      <w:lvlJc w:val="left"/>
      <w:lvlText w:val="(%2)"/>
      <w:numFmt w:val="lowerLetter"/>
      <w:start w:val="12"/>
    </w:lvl>
  </w:abstractNum>
  <w:abstractNum w:abstractNumId="214">
    <w:nsid w:val="22F13DF3"/>
    <w:multiLevelType w:val="hybridMultilevel"/>
    <w:lvl w:ilvl="0">
      <w:lvlJc w:val="left"/>
      <w:lvlText w:val="%1."/>
      <w:numFmt w:val="decimal"/>
      <w:start w:val="3"/>
    </w:lvl>
    <w:lvl w:ilvl="1">
      <w:lvlJc w:val="left"/>
      <w:lvlText w:val="%2"/>
      <w:numFmt w:val="lowerLetter"/>
      <w:start w:val="1"/>
    </w:lvl>
  </w:abstractNum>
  <w:abstractNum w:abstractNumId="215">
    <w:nsid w:val="792B8401"/>
    <w:multiLevelType w:val="hybridMultilevel"/>
    <w:lvl w:ilvl="0">
      <w:lvlJc w:val="left"/>
      <w:lvlText w:val="%1."/>
      <w:numFmt w:val="decimal"/>
      <w:start w:val="4"/>
    </w:lvl>
  </w:abstractNum>
  <w:abstractNum w:abstractNumId="216">
    <w:nsid w:val="FA85F4D"/>
    <w:multiLevelType w:val="hybridMultilevel"/>
    <w:lvl w:ilvl="0">
      <w:lvlJc w:val="left"/>
      <w:lvlText w:val="%1."/>
      <w:numFmt w:val="decimal"/>
      <w:start w:val="7"/>
    </w:lvl>
    <w:lvl w:ilvl="1">
      <w:lvlJc w:val="left"/>
      <w:lvlText w:val="(%2)"/>
      <w:numFmt w:val="lowerLetter"/>
      <w:start w:val="1"/>
    </w:lvl>
  </w:abstractNum>
  <w:abstractNum w:abstractNumId="217">
    <w:nsid w:val="6ECE91F0"/>
    <w:multiLevelType w:val="hybridMultilevel"/>
    <w:lvl w:ilvl="0">
      <w:lvlJc w:val="left"/>
      <w:lvlText w:val="%1"/>
      <w:numFmt w:val="decimal"/>
      <w:start w:val="1"/>
    </w:lvl>
    <w:lvl w:ilvl="1">
      <w:lvlJc w:val="left"/>
      <w:lvlText w:val="(%2)"/>
      <w:numFmt w:val="lowerLetter"/>
      <w:start w:val="3"/>
    </w:lvl>
  </w:abstractNum>
  <w:abstractNum w:abstractNumId="218">
    <w:nsid w:val="4FC4D600"/>
    <w:multiLevelType w:val="hybridMultilevel"/>
    <w:lvl w:ilvl="0">
      <w:lvlJc w:val="left"/>
      <w:lvlText w:val="%1."/>
      <w:numFmt w:val="decimal"/>
      <w:start w:val="10"/>
    </w:lvl>
    <w:lvl w:ilvl="1">
      <w:lvlJc w:val="left"/>
      <w:lvlText w:val="(%2)"/>
      <w:numFmt w:val="lowerLetter"/>
      <w:start w:val="1"/>
    </w:lvl>
  </w:abstractNum>
  <w:abstractNum w:abstractNumId="219">
    <w:nsid w:val="5BFD4210"/>
    <w:multiLevelType w:val="hybridMultilevel"/>
    <w:lvl w:ilvl="0">
      <w:lvlJc w:val="left"/>
      <w:lvlText w:val="%1"/>
      <w:numFmt w:val="decimal"/>
      <w:start w:val="1"/>
    </w:lvl>
    <w:lvl w:ilvl="1">
      <w:lvlJc w:val="left"/>
      <w:lvlText w:val="(%2)"/>
      <w:numFmt w:val="lowerLetter"/>
      <w:start w:val="2"/>
    </w:lvl>
  </w:abstractNum>
  <w:abstractNum w:abstractNumId="220">
    <w:nsid w:val="76574F8B"/>
    <w:multiLevelType w:val="hybridMultilevel"/>
    <w:lvl w:ilvl="0">
      <w:lvlJc w:val="left"/>
      <w:lvlText w:val="%1."/>
      <w:numFmt w:val="decimal"/>
      <w:start w:val="12"/>
    </w:lvl>
    <w:lvl w:ilvl="1">
      <w:lvlJc w:val="left"/>
      <w:lvlText w:val="(%2)"/>
      <w:numFmt w:val="lowerLetter"/>
      <w:start w:val="1"/>
    </w:lvl>
  </w:abstractNum>
  <w:abstractNum w:abstractNumId="221">
    <w:nsid w:val="178F7B67"/>
    <w:multiLevelType w:val="hybridMultilevel"/>
    <w:lvl w:ilvl="0">
      <w:lvlJc w:val="left"/>
      <w:lvlText w:val="%1"/>
      <w:numFmt w:val="decimal"/>
      <w:start w:val="1"/>
    </w:lvl>
    <w:lvl w:ilvl="1">
      <w:lvlJc w:val="left"/>
      <w:lvlText w:val="(%2)"/>
      <w:numFmt w:val="lowerLetter"/>
      <w:start w:val="3"/>
    </w:lvl>
  </w:abstractNum>
  <w:abstractNum w:abstractNumId="222">
    <w:nsid w:val="2421DFCF"/>
    <w:multiLevelType w:val="hybridMultilevel"/>
    <w:lvl w:ilvl="0">
      <w:lvlJc w:val="left"/>
      <w:lvlText w:val="%1."/>
      <w:numFmt w:val="decimal"/>
      <w:start w:val="13"/>
    </w:lvl>
    <w:lvl w:ilvl="1">
      <w:lvlJc w:val="left"/>
      <w:lvlText w:val="(%2)"/>
      <w:numFmt w:val="lowerLetter"/>
      <w:start w:val="1"/>
    </w:lvl>
  </w:abstractNum>
  <w:abstractNum w:abstractNumId="223">
    <w:nsid w:val="1565AC99"/>
    <w:multiLevelType w:val="hybridMultilevel"/>
    <w:lvl w:ilvl="0">
      <w:lvlJc w:val="left"/>
      <w:lvlText w:val="%1"/>
      <w:numFmt w:val="decimal"/>
      <w:start w:val="1"/>
    </w:lvl>
    <w:lvl w:ilvl="1">
      <w:lvlJc w:val="left"/>
      <w:lvlText w:val="(%2)"/>
      <w:numFmt w:val="lowerLetter"/>
      <w:start w:val="3"/>
    </w:lvl>
  </w:abstractNum>
  <w:abstractNum w:abstractNumId="224">
    <w:nsid w:val="19FB2650"/>
    <w:multiLevelType w:val="hybridMultilevel"/>
    <w:lvl w:ilvl="0">
      <w:lvlJc w:val="left"/>
      <w:lvlText w:val="%1."/>
      <w:numFmt w:val="decimal"/>
      <w:start w:val="14"/>
    </w:lvl>
    <w:lvl w:ilvl="1">
      <w:lvlJc w:val="left"/>
      <w:lvlText w:val="(%2)"/>
      <w:numFmt w:val="lowerLetter"/>
      <w:start w:val="1"/>
    </w:lvl>
  </w:abstractNum>
  <w:abstractNum w:abstractNumId="225">
    <w:nsid w:val="5024DE5B"/>
    <w:multiLevelType w:val="hybridMultilevel"/>
    <w:lvl w:ilvl="0">
      <w:lvlJc w:val="left"/>
      <w:lvlText w:val="(%1)"/>
      <w:numFmt w:val="lowerLetter"/>
      <w:start w:val="2"/>
    </w:lvl>
  </w:abstractNum>
  <w:abstractNum w:abstractNumId="226">
    <w:nsid w:val="168EFE17"/>
    <w:multiLevelType w:val="hybridMultilevel"/>
    <w:lvl w:ilvl="0">
      <w:lvlJc w:val="left"/>
      <w:lvlText w:val="%1"/>
      <w:numFmt w:val="decimal"/>
      <w:start w:val="1"/>
    </w:lvl>
    <w:lvl w:ilvl="1">
      <w:lvlJc w:val="left"/>
      <w:lvlText w:val="(%2)"/>
      <w:numFmt w:val="lowerLetter"/>
      <w:start w:val="6"/>
    </w:lvl>
  </w:abstractNum>
  <w:abstractNum w:abstractNumId="227">
    <w:nsid w:val="1036B29F"/>
    <w:multiLevelType w:val="hybridMultilevel"/>
    <w:lvl w:ilvl="0">
      <w:lvlJc w:val="left"/>
      <w:lvlText w:val="%1."/>
      <w:numFmt w:val="decimal"/>
      <w:start w:val="15"/>
    </w:lvl>
    <w:lvl w:ilvl="1">
      <w:lvlJc w:val="left"/>
      <w:lvlText w:val="(%2)"/>
      <w:numFmt w:val="lowerLetter"/>
      <w:start w:val="1"/>
    </w:lvl>
  </w:abstractNum>
  <w:abstractNum w:abstractNumId="228">
    <w:nsid w:val="1D206B8E"/>
    <w:multiLevelType w:val="hybridMultilevel"/>
    <w:lvl w:ilvl="0">
      <w:lvlJc w:val="left"/>
      <w:lvlText w:val="%1"/>
      <w:numFmt w:val="decimal"/>
      <w:start w:val="1"/>
    </w:lvl>
    <w:lvl w:ilvl="1">
      <w:lvlJc w:val="left"/>
      <w:lvlText w:val="(%2)"/>
      <w:numFmt w:val="lowerLetter"/>
      <w:start w:val="3"/>
    </w:lvl>
  </w:abstractNum>
  <w:abstractNum w:abstractNumId="229">
    <w:nsid w:val="7934D3D4"/>
    <w:multiLevelType w:val="hybridMultilevel"/>
    <w:lvl w:ilvl="0">
      <w:lvlJc w:val="left"/>
      <w:lvlText w:val="%1."/>
      <w:numFmt w:val="decimal"/>
      <w:start w:val="17"/>
    </w:lvl>
    <w:lvl w:ilvl="1">
      <w:lvlJc w:val="left"/>
      <w:lvlText w:val="%2"/>
      <w:numFmt w:val="lowerLetter"/>
      <w:start w:val="1"/>
    </w:lvl>
  </w:abstractNum>
  <w:abstractNum w:abstractNumId="230">
    <w:nsid w:val="1C65E98"/>
    <w:multiLevelType w:val="hybridMultilevel"/>
    <w:lvl w:ilvl="0">
      <w:lvlJc w:val="left"/>
      <w:lvlText w:val="%1."/>
      <w:numFmt w:val="decimal"/>
      <w:start w:val="18"/>
    </w:lvl>
    <w:lvl w:ilvl="1">
      <w:lvlJc w:val="left"/>
      <w:lvlText w:val="(%2)"/>
      <w:numFmt w:val="lowerLetter"/>
      <w:start w:val="1"/>
    </w:lvl>
  </w:abstractNum>
  <w:abstractNum w:abstractNumId="231">
    <w:nsid w:val="1495E50A"/>
    <w:multiLevelType w:val="hybridMultilevel"/>
    <w:lvl w:ilvl="0">
      <w:lvlJc w:val="left"/>
      <w:lvlText w:val="%1"/>
      <w:numFmt w:val="decimal"/>
      <w:start w:val="1"/>
    </w:lvl>
    <w:lvl w:ilvl="1">
      <w:lvlJc w:val="left"/>
      <w:lvlText w:val="(%2)"/>
      <w:numFmt w:val="lowerLetter"/>
      <w:start w:val="5"/>
    </w:lvl>
  </w:abstractNum>
  <w:abstractNum w:abstractNumId="232">
    <w:nsid w:val="F5BCF61"/>
    <w:multiLevelType w:val="hybridMultilevel"/>
    <w:lvl w:ilvl="0">
      <w:lvlJc w:val="left"/>
      <w:lvlText w:val="%1."/>
      <w:numFmt w:val="decimal"/>
      <w:start w:val="20"/>
    </w:lvl>
    <w:lvl w:ilvl="1">
      <w:lvlJc w:val="left"/>
      <w:lvlText w:val="(%2)"/>
      <w:numFmt w:val="lowerLetter"/>
      <w:start w:val="1"/>
    </w:lvl>
  </w:abstractNum>
  <w:abstractNum w:abstractNumId="233">
    <w:nsid w:val="3B1DD403"/>
    <w:multiLevelType w:val="hybridMultilevel"/>
    <w:lvl w:ilvl="0">
      <w:lvlJc w:val="left"/>
      <w:lvlText w:val="%1."/>
      <w:numFmt w:val="decimal"/>
      <w:start w:val="22"/>
    </w:lvl>
  </w:abstractNum>
  <w:abstractNum w:abstractNumId="234">
    <w:nsid w:val="530386D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35">
    <w:nsid w:val="7525F2BC"/>
    <w:multiLevelType w:val="hybridMultilevel"/>
    <w:lvl w:ilvl="0">
      <w:lvlJc w:val="left"/>
      <w:lvlText w:val="(%1)"/>
      <w:numFmt w:val="lowerRoman"/>
      <w:start w:val="2"/>
    </w:lvl>
  </w:abstractNum>
  <w:abstractNum w:abstractNumId="236">
    <w:nsid w:val="CE8E1A7"/>
    <w:multiLevelType w:val="hybridMultilevel"/>
    <w:lvl w:ilvl="0">
      <w:lvlJc w:val="left"/>
      <w:lvlText w:val="(%1)"/>
      <w:numFmt w:val="lowerLetter"/>
      <w:start w:val="4"/>
    </w:lvl>
  </w:abstractNum>
  <w:abstractNum w:abstractNumId="237">
    <w:nsid w:val="4E9EFB0D"/>
    <w:multiLevelType w:val="hybridMultilevel"/>
    <w:lvl w:ilvl="0">
      <w:lvlJc w:val="left"/>
      <w:lvlText w:val="%1"/>
      <w:numFmt w:val="decimal"/>
      <w:start w:val="1"/>
    </w:lvl>
    <w:lvl w:ilvl="1">
      <w:lvlJc w:val="left"/>
      <w:lvlText w:val="(%2)"/>
      <w:numFmt w:val="lowerLetter"/>
      <w:start w:val="11"/>
    </w:lvl>
  </w:abstractNum>
  <w:abstractNum w:abstractNumId="238">
    <w:nsid w:val="90802BE"/>
    <w:multiLevelType w:val="hybridMultilevel"/>
    <w:lvl w:ilvl="0">
      <w:lvlJc w:val="left"/>
      <w:lvlText w:val="%1"/>
      <w:numFmt w:val="decimal"/>
      <w:start w:val="1"/>
    </w:lvl>
    <w:lvl w:ilvl="1">
      <w:lvlJc w:val="left"/>
      <w:lvlText w:val="(%2)"/>
      <w:numFmt w:val="lowerLetter"/>
      <w:start w:val="35"/>
    </w:lvl>
  </w:abstractNum>
  <w:abstractNum w:abstractNumId="239">
    <w:nsid w:val="3266459B"/>
    <w:multiLevelType w:val="hybridMultilevel"/>
    <w:lvl w:ilvl="0">
      <w:lvlJc w:val="left"/>
      <w:lvlText w:val="%1"/>
      <w:numFmt w:val="decimal"/>
      <w:start w:val="1"/>
    </w:lvl>
    <w:lvl w:ilvl="1">
      <w:lvlJc w:val="left"/>
      <w:lvlText w:val="(%2)"/>
      <w:numFmt w:val="lowerLetter"/>
      <w:start w:val="12"/>
    </w:lvl>
  </w:abstractNum>
  <w:abstractNum w:abstractNumId="240">
    <w:nsid w:val="3F8B0CBF"/>
    <w:multiLevelType w:val="hybridMultilevel"/>
    <w:lvl w:ilvl="0">
      <w:lvlJc w:val="left"/>
      <w:lvlText w:val="%1."/>
      <w:numFmt w:val="decimal"/>
      <w:start w:val="3"/>
    </w:lvl>
    <w:lvl w:ilvl="1">
      <w:lvlJc w:val="left"/>
      <w:lvlText w:val="%2"/>
      <w:numFmt w:val="lowerLetter"/>
      <w:start w:val="1"/>
    </w:lvl>
  </w:abstractNum>
  <w:abstractNum w:abstractNumId="241">
    <w:nsid w:val="37E203AB"/>
    <w:multiLevelType w:val="hybridMultilevel"/>
    <w:lvl w:ilvl="0">
      <w:lvlJc w:val="left"/>
      <w:lvlText w:val="%1."/>
      <w:numFmt w:val="decimal"/>
      <w:start w:val="4"/>
    </w:lvl>
  </w:abstractNum>
  <w:abstractNum w:abstractNumId="242">
    <w:nsid w:val="2586D60E"/>
    <w:multiLevelType w:val="hybridMultilevel"/>
    <w:lvl w:ilvl="0">
      <w:lvlJc w:val="left"/>
      <w:lvlText w:val="%1."/>
      <w:numFmt w:val="decimal"/>
      <w:start w:val="7"/>
    </w:lvl>
    <w:lvl w:ilvl="1">
      <w:lvlJc w:val="left"/>
      <w:lvlText w:val="(%2)"/>
      <w:numFmt w:val="lowerLetter"/>
      <w:start w:val="1"/>
    </w:lvl>
  </w:abstractNum>
  <w:abstractNum w:abstractNumId="243">
    <w:nsid w:val="1F3DA4D5"/>
    <w:multiLevelType w:val="hybridMultilevel"/>
    <w:lvl w:ilvl="0">
      <w:lvlJc w:val="left"/>
      <w:lvlText w:val="%1"/>
      <w:numFmt w:val="decimal"/>
      <w:start w:val="1"/>
    </w:lvl>
    <w:lvl w:ilvl="1">
      <w:lvlJc w:val="left"/>
      <w:lvlText w:val="(%2)"/>
      <w:numFmt w:val="lowerLetter"/>
      <w:start w:val="3"/>
    </w:lvl>
  </w:abstractNum>
  <w:abstractNum w:abstractNumId="244">
    <w:nsid w:val="74C93698"/>
    <w:multiLevelType w:val="hybridMultilevel"/>
    <w:lvl w:ilvl="0">
      <w:lvlJc w:val="left"/>
      <w:lvlText w:val="%1."/>
      <w:numFmt w:val="decimal"/>
      <w:start w:val="10"/>
    </w:lvl>
    <w:lvl w:ilvl="1">
      <w:lvlJc w:val="left"/>
      <w:lvlText w:val="(%2)"/>
      <w:numFmt w:val="lowerLetter"/>
      <w:start w:val="1"/>
    </w:lvl>
  </w:abstractNum>
  <w:abstractNum w:abstractNumId="245">
    <w:nsid w:val="48781401"/>
    <w:multiLevelType w:val="hybridMultilevel"/>
    <w:lvl w:ilvl="0">
      <w:lvlJc w:val="left"/>
      <w:lvlText w:val="%1"/>
      <w:numFmt w:val="decimal"/>
      <w:start w:val="1"/>
    </w:lvl>
    <w:lvl w:ilvl="1">
      <w:lvlJc w:val="left"/>
      <w:lvlText w:val="(%2)"/>
      <w:numFmt w:val="lowerLetter"/>
      <w:start w:val="2"/>
    </w:lvl>
  </w:abstractNum>
  <w:abstractNum w:abstractNumId="246">
    <w:nsid w:val="186928D6"/>
    <w:multiLevelType w:val="hybridMultilevel"/>
    <w:lvl w:ilvl="0">
      <w:lvlJc w:val="left"/>
      <w:lvlText w:val="%1."/>
      <w:numFmt w:val="decimal"/>
      <w:start w:val="12"/>
    </w:lvl>
    <w:lvl w:ilvl="1">
      <w:lvlJc w:val="left"/>
      <w:lvlText w:val="(%2)"/>
      <w:numFmt w:val="lowerLetter"/>
      <w:start w:val="1"/>
    </w:lvl>
  </w:abstractNum>
  <w:abstractNum w:abstractNumId="247">
    <w:nsid w:val="47195E5"/>
    <w:multiLevelType w:val="hybridMultilevel"/>
    <w:lvl w:ilvl="0">
      <w:lvlJc w:val="left"/>
      <w:lvlText w:val="%1"/>
      <w:numFmt w:val="decimal"/>
      <w:start w:val="1"/>
    </w:lvl>
    <w:lvl w:ilvl="1">
      <w:lvlJc w:val="left"/>
      <w:lvlText w:val="(%2)"/>
      <w:numFmt w:val="lowerLetter"/>
      <w:start w:val="3"/>
    </w:lvl>
  </w:abstractNum>
  <w:abstractNum w:abstractNumId="248">
    <w:nsid w:val="3746A5F2"/>
    <w:multiLevelType w:val="hybridMultilevel"/>
    <w:lvl w:ilvl="0">
      <w:lvlJc w:val="left"/>
      <w:lvlText w:val="%1."/>
      <w:numFmt w:val="decimal"/>
      <w:start w:val="13"/>
    </w:lvl>
    <w:lvl w:ilvl="1">
      <w:lvlJc w:val="left"/>
      <w:lvlText w:val="(%2)"/>
      <w:numFmt w:val="lowerLetter"/>
      <w:start w:val="1"/>
    </w:lvl>
  </w:abstractNum>
  <w:abstractNum w:abstractNumId="249">
    <w:nsid w:val="682DFED6"/>
    <w:multiLevelType w:val="hybridMultilevel"/>
    <w:lvl w:ilvl="0">
      <w:lvlJc w:val="left"/>
      <w:lvlText w:val="%1"/>
      <w:numFmt w:val="decimal"/>
      <w:start w:val="1"/>
    </w:lvl>
    <w:lvl w:ilvl="1">
      <w:lvlJc w:val="left"/>
      <w:lvlText w:val="(%2)"/>
      <w:numFmt w:val="lowerLetter"/>
      <w:start w:val="3"/>
    </w:lvl>
  </w:abstractNum>
  <w:abstractNum w:abstractNumId="250">
    <w:nsid w:val="606ED7F6"/>
    <w:multiLevelType w:val="hybridMultilevel"/>
    <w:lvl w:ilvl="0">
      <w:lvlJc w:val="left"/>
      <w:lvlText w:val="%1."/>
      <w:numFmt w:val="decimal"/>
      <w:start w:val="14"/>
    </w:lvl>
    <w:lvl w:ilvl="1">
      <w:lvlJc w:val="left"/>
      <w:lvlText w:val="(%2)"/>
      <w:numFmt w:val="lowerLetter"/>
      <w:start w:val="1"/>
    </w:lvl>
  </w:abstractNum>
  <w:abstractNum w:abstractNumId="251">
    <w:nsid w:val="2D9DF57D"/>
    <w:multiLevelType w:val="hybridMultilevel"/>
    <w:lvl w:ilvl="0">
      <w:lvlJc w:val="left"/>
      <w:lvlText w:val="(%1)"/>
      <w:numFmt w:val="lowerLetter"/>
      <w:start w:val="2"/>
    </w:lvl>
  </w:abstractNum>
  <w:abstractNum w:abstractNumId="252">
    <w:nsid w:val="7FBD7A3E"/>
    <w:multiLevelType w:val="hybridMultilevel"/>
    <w:lvl w:ilvl="0">
      <w:lvlJc w:val="left"/>
      <w:lvlText w:val="%1"/>
      <w:numFmt w:val="decimal"/>
      <w:start w:val="1"/>
    </w:lvl>
    <w:lvl w:ilvl="1">
      <w:lvlJc w:val="left"/>
      <w:lvlText w:val="(%2)"/>
      <w:numFmt w:val="lowerLetter"/>
      <w:start w:val="6"/>
    </w:lvl>
  </w:abstractNum>
  <w:abstractNum w:abstractNumId="253">
    <w:nsid w:val="490B7C5"/>
    <w:multiLevelType w:val="hybridMultilevel"/>
    <w:lvl w:ilvl="0">
      <w:lvlJc w:val="left"/>
      <w:lvlText w:val="%1."/>
      <w:numFmt w:val="decimal"/>
      <w:start w:val="15"/>
    </w:lvl>
    <w:lvl w:ilvl="1">
      <w:lvlJc w:val="left"/>
      <w:lvlText w:val="(%2)"/>
      <w:numFmt w:val="lowerLetter"/>
      <w:start w:val="1"/>
    </w:lvl>
  </w:abstractNum>
  <w:abstractNum w:abstractNumId="254">
    <w:nsid w:val="4303A216"/>
    <w:multiLevelType w:val="hybridMultilevel"/>
    <w:lvl w:ilvl="0">
      <w:lvlJc w:val="left"/>
      <w:lvlText w:val="%1"/>
      <w:numFmt w:val="decimal"/>
      <w:start w:val="1"/>
    </w:lvl>
    <w:lvl w:ilvl="1">
      <w:lvlJc w:val="left"/>
      <w:lvlText w:val="(%2)"/>
      <w:numFmt w:val="lowerLetter"/>
      <w:start w:val="3"/>
    </w:lvl>
  </w:abstractNum>
  <w:abstractNum w:abstractNumId="255">
    <w:nsid w:val="19B8A08E"/>
    <w:multiLevelType w:val="hybridMultilevel"/>
    <w:lvl w:ilvl="0">
      <w:lvlJc w:val="left"/>
      <w:lvlText w:val="%1."/>
      <w:numFmt w:val="decimal"/>
      <w:start w:val="17"/>
    </w:lvl>
    <w:lvl w:ilvl="1">
      <w:lvlJc w:val="left"/>
      <w:lvlText w:val="%2"/>
      <w:numFmt w:val="lowerLetter"/>
      <w:start w:val="1"/>
    </w:lvl>
  </w:abstractNum>
  <w:abstractNum w:abstractNumId="256">
    <w:nsid w:val="54B59621"/>
    <w:multiLevelType w:val="hybridMultilevel"/>
    <w:lvl w:ilvl="0">
      <w:lvlJc w:val="left"/>
      <w:lvlText w:val="%1."/>
      <w:numFmt w:val="decimal"/>
      <w:start w:val="18"/>
    </w:lvl>
    <w:lvl w:ilvl="1">
      <w:lvlJc w:val="left"/>
      <w:lvlText w:val="(%2)"/>
      <w:numFmt w:val="lowerLetter"/>
      <w:start w:val="1"/>
    </w:lvl>
  </w:abstractNum>
  <w:abstractNum w:abstractNumId="257">
    <w:nsid w:val="5992A02E"/>
    <w:multiLevelType w:val="hybridMultilevel"/>
    <w:lvl w:ilvl="0">
      <w:lvlJc w:val="left"/>
      <w:lvlText w:val="%1"/>
      <w:numFmt w:val="decimal"/>
      <w:start w:val="1"/>
    </w:lvl>
    <w:lvl w:ilvl="1">
      <w:lvlJc w:val="left"/>
      <w:lvlText w:val="(%2)"/>
      <w:numFmt w:val="lowerLetter"/>
      <w:start w:val="5"/>
    </w:lvl>
  </w:abstractNum>
  <w:abstractNum w:abstractNumId="258">
    <w:nsid w:val="29EF532D"/>
    <w:multiLevelType w:val="hybridMultilevel"/>
    <w:lvl w:ilvl="0">
      <w:lvlJc w:val="left"/>
      <w:lvlText w:val="%1."/>
      <w:numFmt w:val="decimal"/>
      <w:start w:val="20"/>
    </w:lvl>
    <w:lvl w:ilvl="1">
      <w:lvlJc w:val="left"/>
      <w:lvlText w:val="(%2)"/>
      <w:numFmt w:val="lowerLetter"/>
      <w:start w:val="1"/>
    </w:lvl>
  </w:abstractNum>
  <w:abstractNum w:abstractNumId="259">
    <w:nsid w:val="71D601AF"/>
    <w:multiLevelType w:val="hybridMultilevel"/>
    <w:lvl w:ilvl="0">
      <w:lvlJc w:val="left"/>
      <w:lvlText w:val="%1."/>
      <w:numFmt w:val="decimal"/>
      <w:start w:val="22"/>
    </w:lvl>
  </w:abstractNum>
  <w:abstractNum w:abstractNumId="260">
    <w:nsid w:val="52C7740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61">
    <w:nsid w:val="2BB5B1C6"/>
    <w:multiLevelType w:val="hybridMultilevel"/>
    <w:lvl w:ilvl="0">
      <w:lvlJc w:val="left"/>
      <w:lvlText w:val="(%1)"/>
      <w:numFmt w:val="lowerRoman"/>
      <w:start w:val="2"/>
    </w:lvl>
  </w:abstractNum>
  <w:abstractNum w:abstractNumId="262">
    <w:nsid w:val="66BE6B9"/>
    <w:multiLevelType w:val="hybridMultilevel"/>
    <w:lvl w:ilvl="0">
      <w:lvlJc w:val="left"/>
      <w:lvlText w:val="(%1)"/>
      <w:numFmt w:val="lowerLetter"/>
      <w:start w:val="4"/>
    </w:lvl>
  </w:abstractNum>
  <w:abstractNum w:abstractNumId="263">
    <w:nsid w:val="62234363"/>
    <w:multiLevelType w:val="hybridMultilevel"/>
    <w:lvl w:ilvl="0">
      <w:lvlJc w:val="left"/>
      <w:lvlText w:val="%1"/>
      <w:numFmt w:val="decimal"/>
      <w:start w:val="1"/>
    </w:lvl>
    <w:lvl w:ilvl="1">
      <w:lvlJc w:val="left"/>
      <w:lvlText w:val="(%2)"/>
      <w:numFmt w:val="lowerLetter"/>
      <w:start w:val="11"/>
    </w:lvl>
  </w:abstractNum>
  <w:abstractNum w:abstractNumId="264">
    <w:nsid w:val="66D385C9"/>
    <w:multiLevelType w:val="hybridMultilevel"/>
    <w:lvl w:ilvl="0">
      <w:lvlJc w:val="left"/>
      <w:lvlText w:val="%1"/>
      <w:numFmt w:val="decimal"/>
      <w:start w:val="1"/>
    </w:lvl>
    <w:lvl w:ilvl="1">
      <w:lvlJc w:val="left"/>
      <w:lvlText w:val="(%2)"/>
      <w:numFmt w:val="lowerLetter"/>
      <w:start w:val="35"/>
    </w:lvl>
  </w:abstractNum>
  <w:abstractNum w:abstractNumId="265">
    <w:nsid w:val="596F6D8A"/>
    <w:multiLevelType w:val="hybridMultilevel"/>
    <w:lvl w:ilvl="0">
      <w:lvlJc w:val="left"/>
      <w:lvlText w:val="%1"/>
      <w:numFmt w:val="decimal"/>
      <w:start w:val="1"/>
    </w:lvl>
    <w:lvl w:ilvl="1">
      <w:lvlJc w:val="left"/>
      <w:lvlText w:val="(%2)"/>
      <w:numFmt w:val="lowerLetter"/>
      <w:start w:val="12"/>
    </w:lvl>
  </w:abstractNum>
  <w:abstractNum w:abstractNumId="266">
    <w:nsid w:val="5749361F"/>
    <w:multiLevelType w:val="hybridMultilevel"/>
    <w:lvl w:ilvl="0">
      <w:lvlJc w:val="left"/>
      <w:lvlText w:val="%1."/>
      <w:numFmt w:val="decimal"/>
      <w:start w:val="3"/>
    </w:lvl>
    <w:lvl w:ilvl="1">
      <w:lvlJc w:val="left"/>
      <w:lvlText w:val="%2"/>
      <w:numFmt w:val="lowerLetter"/>
      <w:start w:val="1"/>
    </w:lvl>
  </w:abstractNum>
  <w:abstractNum w:abstractNumId="267">
    <w:nsid w:val="73BC6770"/>
    <w:multiLevelType w:val="hybridMultilevel"/>
    <w:lvl w:ilvl="0">
      <w:lvlJc w:val="left"/>
      <w:lvlText w:val="%1."/>
      <w:numFmt w:val="decimal"/>
      <w:start w:val="4"/>
    </w:lvl>
  </w:abstractNum>
  <w:abstractNum w:abstractNumId="268">
    <w:nsid w:val="280E6897"/>
    <w:multiLevelType w:val="hybridMultilevel"/>
    <w:lvl w:ilvl="0">
      <w:lvlJc w:val="left"/>
      <w:lvlText w:val="%1."/>
      <w:numFmt w:val="decimal"/>
      <w:start w:val="7"/>
    </w:lvl>
    <w:lvl w:ilvl="1">
      <w:lvlJc w:val="left"/>
      <w:lvlText w:val="(%2)"/>
      <w:numFmt w:val="lowerLetter"/>
      <w:start w:val="1"/>
    </w:lvl>
  </w:abstractNum>
  <w:abstractNum w:abstractNumId="269">
    <w:nsid w:val="605138DE"/>
    <w:multiLevelType w:val="hybridMultilevel"/>
    <w:lvl w:ilvl="0">
      <w:lvlJc w:val="left"/>
      <w:lvlText w:val="%1"/>
      <w:numFmt w:val="decimal"/>
      <w:start w:val="1"/>
    </w:lvl>
    <w:lvl w:ilvl="1">
      <w:lvlJc w:val="left"/>
      <w:lvlText w:val="(%2)"/>
      <w:numFmt w:val="lowerLetter"/>
      <w:start w:val="3"/>
    </w:lvl>
  </w:abstractNum>
  <w:abstractNum w:abstractNumId="270">
    <w:nsid w:val="2622AD0C"/>
    <w:multiLevelType w:val="hybridMultilevel"/>
    <w:lvl w:ilvl="0">
      <w:lvlJc w:val="left"/>
      <w:lvlText w:val="%1."/>
      <w:numFmt w:val="decimal"/>
      <w:start w:val="10"/>
    </w:lvl>
    <w:lvl w:ilvl="1">
      <w:lvlJc w:val="left"/>
      <w:lvlText w:val="(%2)"/>
      <w:numFmt w:val="lowerLetter"/>
      <w:start w:val="1"/>
    </w:lvl>
  </w:abstractNum>
  <w:abstractNum w:abstractNumId="271">
    <w:nsid w:val="67997556"/>
    <w:multiLevelType w:val="hybridMultilevel"/>
    <w:lvl w:ilvl="0">
      <w:lvlJc w:val="left"/>
      <w:lvlText w:val="%1"/>
      <w:numFmt w:val="decimal"/>
      <w:start w:val="1"/>
    </w:lvl>
    <w:lvl w:ilvl="1">
      <w:lvlJc w:val="left"/>
      <w:lvlText w:val="(%2)"/>
      <w:numFmt w:val="lowerLetter"/>
      <w:start w:val="2"/>
    </w:lvl>
  </w:abstractNum>
  <w:abstractNum w:abstractNumId="272">
    <w:nsid w:val="18333C89"/>
    <w:multiLevelType w:val="hybridMultilevel"/>
    <w:lvl w:ilvl="0">
      <w:lvlJc w:val="left"/>
      <w:lvlText w:val="%1."/>
      <w:numFmt w:val="decimal"/>
      <w:start w:val="12"/>
    </w:lvl>
    <w:lvl w:ilvl="1">
      <w:lvlJc w:val="left"/>
      <w:lvlText w:val="(%2)"/>
      <w:numFmt w:val="lowerLetter"/>
      <w:start w:val="1"/>
    </w:lvl>
  </w:abstractNum>
  <w:abstractNum w:abstractNumId="273">
    <w:nsid w:val="4BA9831A"/>
    <w:multiLevelType w:val="hybridMultilevel"/>
    <w:lvl w:ilvl="0">
      <w:lvlJc w:val="left"/>
      <w:lvlText w:val="%1"/>
      <w:numFmt w:val="decimal"/>
      <w:start w:val="1"/>
    </w:lvl>
    <w:lvl w:ilvl="1">
      <w:lvlJc w:val="left"/>
      <w:lvlText w:val="(%2)"/>
      <w:numFmt w:val="lowerLetter"/>
      <w:start w:val="3"/>
    </w:lvl>
  </w:abstractNum>
  <w:abstractNum w:abstractNumId="274">
    <w:nsid w:val="6D71A2B"/>
    <w:multiLevelType w:val="hybridMultilevel"/>
    <w:lvl w:ilvl="0">
      <w:lvlJc w:val="left"/>
      <w:lvlText w:val="%1."/>
      <w:numFmt w:val="decimal"/>
      <w:start w:val="13"/>
    </w:lvl>
    <w:lvl w:ilvl="1">
      <w:lvlJc w:val="left"/>
      <w:lvlText w:val="(%2)"/>
      <w:numFmt w:val="lowerLetter"/>
      <w:start w:val="1"/>
    </w:lvl>
  </w:abstractNum>
  <w:abstractNum w:abstractNumId="275">
    <w:nsid w:val="CFC7321"/>
    <w:multiLevelType w:val="hybridMultilevel"/>
    <w:lvl w:ilvl="0">
      <w:lvlJc w:val="left"/>
      <w:lvlText w:val="%1"/>
      <w:numFmt w:val="decimal"/>
      <w:start w:val="1"/>
    </w:lvl>
    <w:lvl w:ilvl="1">
      <w:lvlJc w:val="left"/>
      <w:lvlText w:val="(%2)"/>
      <w:numFmt w:val="lowerLetter"/>
      <w:start w:val="3"/>
    </w:lvl>
  </w:abstractNum>
  <w:abstractNum w:abstractNumId="276">
    <w:nsid w:val="1421971B"/>
    <w:multiLevelType w:val="hybridMultilevel"/>
    <w:lvl w:ilvl="0">
      <w:lvlJc w:val="left"/>
      <w:lvlText w:val="%1."/>
      <w:numFmt w:val="decimal"/>
      <w:start w:val="14"/>
    </w:lvl>
    <w:lvl w:ilvl="1">
      <w:lvlJc w:val="left"/>
      <w:lvlText w:val="(%2)"/>
      <w:numFmt w:val="lowerLetter"/>
      <w:start w:val="1"/>
    </w:lvl>
  </w:abstractNum>
  <w:abstractNum w:abstractNumId="277">
    <w:nsid w:val="1F404301"/>
    <w:multiLevelType w:val="hybridMultilevel"/>
    <w:lvl w:ilvl="0">
      <w:lvlJc w:val="left"/>
      <w:lvlText w:val="(%1)"/>
      <w:numFmt w:val="lowerLetter"/>
      <w:start w:val="2"/>
    </w:lvl>
  </w:abstractNum>
  <w:abstractNum w:abstractNumId="278">
    <w:nsid w:val="116E0907"/>
    <w:multiLevelType w:val="hybridMultilevel"/>
    <w:lvl w:ilvl="0">
      <w:lvlJc w:val="left"/>
      <w:lvlText w:val="%1"/>
      <w:numFmt w:val="decimal"/>
      <w:start w:val="1"/>
    </w:lvl>
    <w:lvl w:ilvl="1">
      <w:lvlJc w:val="left"/>
      <w:lvlText w:val="(%2)"/>
      <w:numFmt w:val="lowerLetter"/>
      <w:start w:val="6"/>
    </w:lvl>
  </w:abstractNum>
  <w:abstractNum w:abstractNumId="279">
    <w:nsid w:val="4B683D0D"/>
    <w:multiLevelType w:val="hybridMultilevel"/>
    <w:lvl w:ilvl="0">
      <w:lvlJc w:val="left"/>
      <w:lvlText w:val="%1."/>
      <w:numFmt w:val="decimal"/>
      <w:start w:val="15"/>
    </w:lvl>
    <w:lvl w:ilvl="1">
      <w:lvlJc w:val="left"/>
      <w:lvlText w:val="(%2)"/>
      <w:numFmt w:val="lowerLetter"/>
      <w:start w:val="1"/>
    </w:lvl>
  </w:abstractNum>
  <w:abstractNum w:abstractNumId="280">
    <w:nsid w:val="76E41D8"/>
    <w:multiLevelType w:val="hybridMultilevel"/>
    <w:lvl w:ilvl="0">
      <w:lvlJc w:val="left"/>
      <w:lvlText w:val="%1"/>
      <w:numFmt w:val="decimal"/>
      <w:start w:val="1"/>
    </w:lvl>
    <w:lvl w:ilvl="1">
      <w:lvlJc w:val="left"/>
      <w:lvlText w:val="(%2)"/>
      <w:numFmt w:val="lowerLetter"/>
      <w:start w:val="3"/>
    </w:lvl>
  </w:abstractNum>
  <w:abstractNum w:abstractNumId="281">
    <w:nsid w:val="71DCE0FD"/>
    <w:multiLevelType w:val="hybridMultilevel"/>
    <w:lvl w:ilvl="0">
      <w:lvlJc w:val="left"/>
      <w:lvlText w:val="%1."/>
      <w:numFmt w:val="decimal"/>
      <w:start w:val="17"/>
    </w:lvl>
    <w:lvl w:ilvl="1">
      <w:lvlJc w:val="left"/>
      <w:lvlText w:val="%2"/>
      <w:numFmt w:val="lowerLetter"/>
      <w:start w:val="1"/>
    </w:lvl>
  </w:abstractNum>
  <w:abstractNum w:abstractNumId="282">
    <w:nsid w:val="7906328B"/>
    <w:multiLevelType w:val="hybridMultilevel"/>
    <w:lvl w:ilvl="0">
      <w:lvlJc w:val="left"/>
      <w:lvlText w:val="%1."/>
      <w:numFmt w:val="decimal"/>
      <w:start w:val="18"/>
    </w:lvl>
    <w:lvl w:ilvl="1">
      <w:lvlJc w:val="left"/>
      <w:lvlText w:val="(%2)"/>
      <w:numFmt w:val="lowerLetter"/>
      <w:start w:val="1"/>
    </w:lvl>
  </w:abstractNum>
  <w:abstractNum w:abstractNumId="283">
    <w:nsid w:val="72BBC16"/>
    <w:multiLevelType w:val="hybridMultilevel"/>
    <w:lvl w:ilvl="0">
      <w:lvlJc w:val="left"/>
      <w:lvlText w:val="%1"/>
      <w:numFmt w:val="decimal"/>
      <w:start w:val="1"/>
    </w:lvl>
    <w:lvl w:ilvl="1">
      <w:lvlJc w:val="left"/>
      <w:lvlText w:val="(%2)"/>
      <w:numFmt w:val="lowerLetter"/>
      <w:start w:val="5"/>
    </w:lvl>
  </w:abstractNum>
  <w:abstractNum w:abstractNumId="284">
    <w:nsid w:val="766D98C2"/>
    <w:multiLevelType w:val="hybridMultilevel"/>
    <w:lvl w:ilvl="0">
      <w:lvlJc w:val="left"/>
      <w:lvlText w:val="%1."/>
      <w:numFmt w:val="decimal"/>
      <w:start w:val="20"/>
    </w:lvl>
    <w:lvl w:ilvl="1">
      <w:lvlJc w:val="left"/>
      <w:lvlText w:val="(%2)"/>
      <w:numFmt w:val="lowerLetter"/>
      <w:start w:val="1"/>
    </w:lvl>
  </w:abstractNum>
  <w:abstractNum w:abstractNumId="285">
    <w:nsid w:val="3C09D4A1"/>
    <w:multiLevelType w:val="hybridMultilevel"/>
    <w:lvl w:ilvl="0">
      <w:lvlJc w:val="left"/>
      <w:lvlText w:val="%1."/>
      <w:numFmt w:val="decimal"/>
      <w:start w:val="22"/>
    </w:lvl>
  </w:abstractNum>
  <w:abstractNum w:abstractNumId="286">
    <w:nsid w:val="20E45CA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87">
    <w:nsid w:val="4B232EE3"/>
    <w:multiLevelType w:val="hybridMultilevel"/>
    <w:lvl w:ilvl="0">
      <w:lvlJc w:val="left"/>
      <w:lvlText w:val="(%1)"/>
      <w:numFmt w:val="lowerRoman"/>
      <w:start w:val="2"/>
    </w:lvl>
  </w:abstractNum>
  <w:abstractNum w:abstractNumId="288">
    <w:nsid w:val="159C74CF"/>
    <w:multiLevelType w:val="hybridMultilevel"/>
    <w:lvl w:ilvl="0">
      <w:lvlJc w:val="left"/>
      <w:lvlText w:val="(%1)"/>
      <w:numFmt w:val="lowerLetter"/>
      <w:start w:val="4"/>
    </w:lvl>
  </w:abstractNum>
  <w:abstractNum w:abstractNumId="289">
    <w:nsid w:val="4AD3AFD2"/>
    <w:multiLevelType w:val="hybridMultilevel"/>
    <w:lvl w:ilvl="0">
      <w:lvlJc w:val="left"/>
      <w:lvlText w:val="%1"/>
      <w:numFmt w:val="decimal"/>
      <w:start w:val="1"/>
    </w:lvl>
    <w:lvl w:ilvl="1">
      <w:lvlJc w:val="left"/>
      <w:lvlText w:val="(%2)"/>
      <w:numFmt w:val="lowerLetter"/>
      <w:start w:val="11"/>
    </w:lvl>
  </w:abstractNum>
  <w:abstractNum w:abstractNumId="290">
    <w:nsid w:val="3CF93092"/>
    <w:multiLevelType w:val="hybridMultilevel"/>
    <w:lvl w:ilvl="0">
      <w:lvlJc w:val="left"/>
      <w:lvlText w:val="%1"/>
      <w:numFmt w:val="decimal"/>
      <w:start w:val="1"/>
    </w:lvl>
    <w:lvl w:ilvl="1">
      <w:lvlJc w:val="left"/>
      <w:lvlText w:val="(%2)"/>
      <w:numFmt w:val="lowerLetter"/>
      <w:start w:val="35"/>
    </w:lvl>
  </w:abstractNum>
  <w:abstractNum w:abstractNumId="291">
    <w:nsid w:val="6863E8D2"/>
    <w:multiLevelType w:val="hybridMultilevel"/>
    <w:lvl w:ilvl="0">
      <w:lvlJc w:val="left"/>
      <w:lvlText w:val="%1"/>
      <w:numFmt w:val="decimal"/>
      <w:start w:val="1"/>
    </w:lvl>
    <w:lvl w:ilvl="1">
      <w:lvlJc w:val="left"/>
      <w:lvlText w:val="(%2)"/>
      <w:numFmt w:val="lowerLetter"/>
      <w:start w:val="12"/>
    </w:lvl>
  </w:abstractNum>
  <w:abstractNum w:abstractNumId="292">
    <w:nsid w:val="76896198"/>
    <w:multiLevelType w:val="hybridMultilevel"/>
    <w:lvl w:ilvl="0">
      <w:lvlJc w:val="left"/>
      <w:lvlText w:val="%1."/>
      <w:numFmt w:val="decimal"/>
      <w:start w:val="3"/>
    </w:lvl>
    <w:lvl w:ilvl="1">
      <w:lvlJc w:val="left"/>
      <w:lvlText w:val="%2"/>
      <w:numFmt w:val="lowerLetter"/>
      <w:start w:val="1"/>
    </w:lvl>
  </w:abstractNum>
  <w:abstractNum w:abstractNumId="293">
    <w:nsid w:val="4365174B"/>
    <w:multiLevelType w:val="hybridMultilevel"/>
    <w:lvl w:ilvl="0">
      <w:lvlJc w:val="left"/>
      <w:lvlText w:val="%1."/>
      <w:numFmt w:val="decimal"/>
      <w:start w:val="4"/>
    </w:lvl>
  </w:abstractNum>
  <w:abstractNum w:abstractNumId="294">
    <w:nsid w:val="4A872C35"/>
    <w:multiLevelType w:val="hybridMultilevel"/>
    <w:lvl w:ilvl="0">
      <w:lvlJc w:val="left"/>
      <w:lvlText w:val="%1."/>
      <w:numFmt w:val="decimal"/>
      <w:start w:val="7"/>
    </w:lvl>
    <w:lvl w:ilvl="1">
      <w:lvlJc w:val="left"/>
      <w:lvlText w:val="(%2)"/>
      <w:numFmt w:val="lowerLetter"/>
      <w:start w:val="1"/>
    </w:lvl>
  </w:abstractNum>
  <w:abstractNum w:abstractNumId="295">
    <w:nsid w:val="5D5CE761"/>
    <w:multiLevelType w:val="hybridMultilevel"/>
    <w:lvl w:ilvl="0">
      <w:lvlJc w:val="left"/>
      <w:lvlText w:val="%1"/>
      <w:numFmt w:val="decimal"/>
      <w:start w:val="1"/>
    </w:lvl>
    <w:lvl w:ilvl="1">
      <w:lvlJc w:val="left"/>
      <w:lvlText w:val="(%2)"/>
      <w:numFmt w:val="lowerLetter"/>
      <w:start w:val="3"/>
    </w:lvl>
  </w:abstractNum>
  <w:abstractNum w:abstractNumId="296">
    <w:nsid w:val="1CD484D5"/>
    <w:multiLevelType w:val="hybridMultilevel"/>
    <w:lvl w:ilvl="0">
      <w:lvlJc w:val="left"/>
      <w:lvlText w:val="%1."/>
      <w:numFmt w:val="decimal"/>
      <w:start w:val="10"/>
    </w:lvl>
    <w:lvl w:ilvl="1">
      <w:lvlJc w:val="left"/>
      <w:lvlText w:val="(%2)"/>
      <w:numFmt w:val="lowerLetter"/>
      <w:start w:val="1"/>
    </w:lvl>
  </w:abstractNum>
  <w:abstractNum w:abstractNumId="297">
    <w:nsid w:val="21D06255"/>
    <w:multiLevelType w:val="hybridMultilevel"/>
    <w:lvl w:ilvl="0">
      <w:lvlJc w:val="left"/>
      <w:lvlText w:val="%1"/>
      <w:numFmt w:val="decimal"/>
      <w:start w:val="1"/>
    </w:lvl>
    <w:lvl w:ilvl="1">
      <w:lvlJc w:val="left"/>
      <w:lvlText w:val="(%2)"/>
      <w:numFmt w:val="lowerLetter"/>
      <w:start w:val="2"/>
    </w:lvl>
  </w:abstractNum>
  <w:abstractNum w:abstractNumId="298">
    <w:nsid w:val="51194ED1"/>
    <w:multiLevelType w:val="hybridMultilevel"/>
    <w:lvl w:ilvl="0">
      <w:lvlJc w:val="left"/>
      <w:lvlText w:val="%1."/>
      <w:numFmt w:val="decimal"/>
      <w:start w:val="12"/>
    </w:lvl>
    <w:lvl w:ilvl="1">
      <w:lvlJc w:val="left"/>
      <w:lvlText w:val="(%2)"/>
      <w:numFmt w:val="lowerLetter"/>
      <w:start w:val="1"/>
    </w:lvl>
  </w:abstractNum>
  <w:abstractNum w:abstractNumId="299">
    <w:nsid w:val="44E2ED6C"/>
    <w:multiLevelType w:val="hybridMultilevel"/>
    <w:lvl w:ilvl="0">
      <w:lvlJc w:val="left"/>
      <w:lvlText w:val="%1"/>
      <w:numFmt w:val="decimal"/>
      <w:start w:val="1"/>
    </w:lvl>
    <w:lvl w:ilvl="1">
      <w:lvlJc w:val="left"/>
      <w:lvlText w:val="(%2)"/>
      <w:numFmt w:val="lowerLetter"/>
      <w:start w:val="3"/>
    </w:lvl>
  </w:abstractNum>
  <w:abstractNum w:abstractNumId="300">
    <w:nsid w:val="2219B33"/>
    <w:multiLevelType w:val="hybridMultilevel"/>
    <w:lvl w:ilvl="0">
      <w:lvlJc w:val="left"/>
      <w:lvlText w:val="%1."/>
      <w:numFmt w:val="decimal"/>
      <w:start w:val="13"/>
    </w:lvl>
    <w:lvl w:ilvl="1">
      <w:lvlJc w:val="left"/>
      <w:lvlText w:val="(%2)"/>
      <w:numFmt w:val="lowerLetter"/>
      <w:start w:val="1"/>
    </w:lvl>
  </w:abstractNum>
  <w:abstractNum w:abstractNumId="301">
    <w:nsid w:val="773BFBDD"/>
    <w:multiLevelType w:val="hybridMultilevel"/>
    <w:lvl w:ilvl="0">
      <w:lvlJc w:val="left"/>
      <w:lvlText w:val="%1"/>
      <w:numFmt w:val="decimal"/>
      <w:start w:val="1"/>
    </w:lvl>
    <w:lvl w:ilvl="1">
      <w:lvlJc w:val="left"/>
      <w:lvlText w:val="(%2)"/>
      <w:numFmt w:val="lowerLetter"/>
      <w:start w:val="3"/>
    </w:lvl>
  </w:abstractNum>
  <w:abstractNum w:abstractNumId="302">
    <w:nsid w:val="2C7C62C2"/>
    <w:multiLevelType w:val="hybridMultilevel"/>
    <w:lvl w:ilvl="0">
      <w:lvlJc w:val="left"/>
      <w:lvlText w:val="%1."/>
      <w:numFmt w:val="decimal"/>
      <w:start w:val="14"/>
    </w:lvl>
    <w:lvl w:ilvl="1">
      <w:lvlJc w:val="left"/>
      <w:lvlText w:val="(%2)"/>
      <w:numFmt w:val="lowerLetter"/>
      <w:start w:val="1"/>
    </w:lvl>
  </w:abstractNum>
  <w:abstractNum w:abstractNumId="303">
    <w:nsid w:val="1A54D7BC"/>
    <w:multiLevelType w:val="hybridMultilevel"/>
    <w:lvl w:ilvl="0">
      <w:lvlJc w:val="left"/>
      <w:lvlText w:val="(%1)"/>
      <w:numFmt w:val="lowerLetter"/>
      <w:start w:val="2"/>
    </w:lvl>
  </w:abstractNum>
  <w:abstractNum w:abstractNumId="304">
    <w:nsid w:val="42E57EF7"/>
    <w:multiLevelType w:val="hybridMultilevel"/>
    <w:lvl w:ilvl="0">
      <w:lvlJc w:val="left"/>
      <w:lvlText w:val="%1"/>
      <w:numFmt w:val="decimal"/>
      <w:start w:val="1"/>
    </w:lvl>
    <w:lvl w:ilvl="1">
      <w:lvlJc w:val="left"/>
      <w:lvlText w:val="(%2)"/>
      <w:numFmt w:val="lowerLetter"/>
      <w:start w:val="6"/>
    </w:lvl>
  </w:abstractNum>
  <w:abstractNum w:abstractNumId="305">
    <w:nsid w:val="33537CED"/>
    <w:multiLevelType w:val="hybridMultilevel"/>
    <w:lvl w:ilvl="0">
      <w:lvlJc w:val="left"/>
      <w:lvlText w:val="%1."/>
      <w:numFmt w:val="decimal"/>
      <w:start w:val="15"/>
    </w:lvl>
    <w:lvl w:ilvl="1">
      <w:lvlJc w:val="left"/>
      <w:lvlText w:val="(%2)"/>
      <w:numFmt w:val="lowerLetter"/>
      <w:start w:val="1"/>
    </w:lvl>
  </w:abstractNum>
  <w:abstractNum w:abstractNumId="306">
    <w:nsid w:val="27514ADE"/>
    <w:multiLevelType w:val="hybridMultilevel"/>
    <w:lvl w:ilvl="0">
      <w:lvlJc w:val="left"/>
      <w:lvlText w:val="%1"/>
      <w:numFmt w:val="decimal"/>
      <w:start w:val="1"/>
    </w:lvl>
    <w:lvl w:ilvl="1">
      <w:lvlJc w:val="left"/>
      <w:lvlText w:val="(%2)"/>
      <w:numFmt w:val="lowerLetter"/>
      <w:start w:val="3"/>
    </w:lvl>
  </w:abstractNum>
  <w:abstractNum w:abstractNumId="307">
    <w:nsid w:val="57071613"/>
    <w:multiLevelType w:val="hybridMultilevel"/>
    <w:lvl w:ilvl="0">
      <w:lvlJc w:val="left"/>
      <w:lvlText w:val="%1."/>
      <w:numFmt w:val="decimal"/>
      <w:start w:val="17"/>
    </w:lvl>
    <w:lvl w:ilvl="1">
      <w:lvlJc w:val="left"/>
      <w:lvlText w:val="%2"/>
      <w:numFmt w:val="lowerLetter"/>
      <w:start w:val="1"/>
    </w:lvl>
  </w:abstractNum>
  <w:abstractNum w:abstractNumId="308">
    <w:nsid w:val="5293BFEF"/>
    <w:multiLevelType w:val="hybridMultilevel"/>
    <w:lvl w:ilvl="0">
      <w:lvlJc w:val="left"/>
      <w:lvlText w:val="%1."/>
      <w:numFmt w:val="decimal"/>
      <w:start w:val="18"/>
    </w:lvl>
    <w:lvl w:ilvl="1">
      <w:lvlJc w:val="left"/>
      <w:lvlText w:val="(%2)"/>
      <w:numFmt w:val="lowerLetter"/>
      <w:start w:val="1"/>
    </w:lvl>
  </w:abstractNum>
  <w:abstractNum w:abstractNumId="309">
    <w:nsid w:val="38BF53E5"/>
    <w:multiLevelType w:val="hybridMultilevel"/>
    <w:lvl w:ilvl="0">
      <w:lvlJc w:val="left"/>
      <w:lvlText w:val="%1"/>
      <w:numFmt w:val="decimal"/>
      <w:start w:val="1"/>
    </w:lvl>
    <w:lvl w:ilvl="1">
      <w:lvlJc w:val="left"/>
      <w:lvlText w:val="(%2)"/>
      <w:numFmt w:val="lowerLetter"/>
      <w:start w:val="5"/>
    </w:lvl>
  </w:abstractNum>
  <w:abstractNum w:abstractNumId="310">
    <w:nsid w:val="226F5320"/>
    <w:multiLevelType w:val="hybridMultilevel"/>
    <w:lvl w:ilvl="0">
      <w:lvlJc w:val="left"/>
      <w:lvlText w:val="%1."/>
      <w:numFmt w:val="decimal"/>
      <w:start w:val="20"/>
    </w:lvl>
    <w:lvl w:ilvl="1">
      <w:lvlJc w:val="left"/>
      <w:lvlText w:val="(%2)"/>
      <w:numFmt w:val="lowerLetter"/>
      <w:start w:val="1"/>
    </w:lvl>
  </w:abstractNum>
  <w:abstractNum w:abstractNumId="311">
    <w:nsid w:val="5A0201C7"/>
    <w:multiLevelType w:val="hybridMultilevel"/>
    <w:lvl w:ilvl="0">
      <w:lvlJc w:val="left"/>
      <w:lvlText w:val="%1."/>
      <w:numFmt w:val="decimal"/>
      <w:start w:val="22"/>
    </w:lvl>
  </w:abstractNum>
  <w:abstractNum w:abstractNumId="312">
    <w:nsid w:val="2A9C34E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13">
    <w:nsid w:val="1B7585AB"/>
    <w:multiLevelType w:val="hybridMultilevel"/>
    <w:lvl w:ilvl="0">
      <w:lvlJc w:val="left"/>
      <w:lvlText w:val="(%1)"/>
      <w:numFmt w:val="lowerRoman"/>
      <w:start w:val="2"/>
    </w:lvl>
  </w:abstractNum>
  <w:abstractNum w:abstractNumId="314">
    <w:nsid w:val="612DBDDD"/>
    <w:multiLevelType w:val="hybridMultilevel"/>
    <w:lvl w:ilvl="0">
      <w:lvlJc w:val="left"/>
      <w:lvlText w:val="(%1)"/>
      <w:numFmt w:val="lowerLetter"/>
      <w:start w:val="4"/>
    </w:lvl>
  </w:abstractNum>
  <w:abstractNum w:abstractNumId="315">
    <w:nsid w:val="2109CDA4"/>
    <w:multiLevelType w:val="hybridMultilevel"/>
    <w:lvl w:ilvl="0">
      <w:lvlJc w:val="left"/>
      <w:lvlText w:val="%1"/>
      <w:numFmt w:val="decimal"/>
      <w:start w:val="1"/>
    </w:lvl>
    <w:lvl w:ilvl="1">
      <w:lvlJc w:val="left"/>
      <w:lvlText w:val="(%2)"/>
      <w:numFmt w:val="lowerLetter"/>
      <w:start w:val="11"/>
    </w:lvl>
  </w:abstractNum>
  <w:abstractNum w:abstractNumId="316">
    <w:nsid w:val="577F5A4D"/>
    <w:multiLevelType w:val="hybridMultilevel"/>
    <w:lvl w:ilvl="0">
      <w:lvlJc w:val="left"/>
      <w:lvlText w:val="%1"/>
      <w:numFmt w:val="decimal"/>
      <w:start w:val="1"/>
    </w:lvl>
    <w:lvl w:ilvl="1">
      <w:lvlJc w:val="left"/>
      <w:lvlText w:val="(%2)"/>
      <w:numFmt w:val="lowerLetter"/>
      <w:start w:val="35"/>
    </w:lvl>
  </w:abstractNum>
  <w:abstractNum w:abstractNumId="317">
    <w:nsid w:val="2121A81"/>
    <w:multiLevelType w:val="hybridMultilevel"/>
    <w:lvl w:ilvl="0">
      <w:lvlJc w:val="left"/>
      <w:lvlText w:val="%1"/>
      <w:numFmt w:val="decimal"/>
      <w:start w:val="1"/>
    </w:lvl>
    <w:lvl w:ilvl="1">
      <w:lvlJc w:val="left"/>
      <w:lvlText w:val="(%2)"/>
      <w:numFmt w:val="lowerLetter"/>
      <w:start w:val="12"/>
    </w:lvl>
  </w:abstractNum>
  <w:abstractNum w:abstractNumId="318">
    <w:nsid w:val="6C2CFC88"/>
    <w:multiLevelType w:val="hybridMultilevel"/>
    <w:lvl w:ilvl="0">
      <w:lvlJc w:val="left"/>
      <w:lvlText w:val="%1."/>
      <w:numFmt w:val="decimal"/>
      <w:start w:val="3"/>
    </w:lvl>
    <w:lvl w:ilvl="1">
      <w:lvlJc w:val="left"/>
      <w:lvlText w:val="%2"/>
      <w:numFmt w:val="lowerLetter"/>
      <w:start w:val="1"/>
    </w:lvl>
  </w:abstractNum>
  <w:abstractNum w:abstractNumId="319">
    <w:nsid w:val="6D1BCF1C"/>
    <w:multiLevelType w:val="hybridMultilevel"/>
    <w:lvl w:ilvl="0">
      <w:lvlJc w:val="left"/>
      <w:lvlText w:val="%1."/>
      <w:numFmt w:val="decimal"/>
      <w:start w:val="4"/>
    </w:lvl>
  </w:abstractNum>
  <w:abstractNum w:abstractNumId="320">
    <w:nsid w:val="4CE5CA53"/>
    <w:multiLevelType w:val="hybridMultilevel"/>
    <w:lvl w:ilvl="0">
      <w:lvlJc w:val="left"/>
      <w:lvlText w:val="%1."/>
      <w:numFmt w:val="decimal"/>
      <w:start w:val="7"/>
    </w:lvl>
    <w:lvl w:ilvl="1">
      <w:lvlJc w:val="left"/>
      <w:lvlText w:val="(%2)"/>
      <w:numFmt w:val="lowerLetter"/>
      <w:start w:val="1"/>
    </w:lvl>
  </w:abstractNum>
  <w:abstractNum w:abstractNumId="321">
    <w:nsid w:val="29262D1A"/>
    <w:multiLevelType w:val="hybridMultilevel"/>
    <w:lvl w:ilvl="0">
      <w:lvlJc w:val="left"/>
      <w:lvlText w:val="%1"/>
      <w:numFmt w:val="decimal"/>
      <w:start w:val="1"/>
    </w:lvl>
    <w:lvl w:ilvl="1">
      <w:lvlJc w:val="left"/>
      <w:lvlText w:val="(%2)"/>
      <w:numFmt w:val="lowerLetter"/>
      <w:start w:val="3"/>
    </w:lvl>
  </w:abstractNum>
  <w:abstractNum w:abstractNumId="322">
    <w:nsid w:val="557FB7EE"/>
    <w:multiLevelType w:val="hybridMultilevel"/>
    <w:lvl w:ilvl="0">
      <w:lvlJc w:val="left"/>
      <w:lvlText w:val="%1."/>
      <w:numFmt w:val="decimal"/>
      <w:start w:val="10"/>
    </w:lvl>
    <w:lvl w:ilvl="1">
      <w:lvlJc w:val="left"/>
      <w:lvlText w:val="(%2)"/>
      <w:numFmt w:val="lowerLetter"/>
      <w:start w:val="1"/>
    </w:lvl>
  </w:abstractNum>
  <w:abstractNum w:abstractNumId="323">
    <w:nsid w:val="436F2BEB"/>
    <w:multiLevelType w:val="hybridMultilevel"/>
    <w:lvl w:ilvl="0">
      <w:lvlJc w:val="left"/>
      <w:lvlText w:val="%1"/>
      <w:numFmt w:val="decimal"/>
      <w:start w:val="1"/>
    </w:lvl>
    <w:lvl w:ilvl="1">
      <w:lvlJc w:val="left"/>
      <w:lvlText w:val="(%2)"/>
      <w:numFmt w:val="lowerLetter"/>
      <w:start w:val="2"/>
    </w:lvl>
  </w:abstractNum>
  <w:abstractNum w:abstractNumId="324">
    <w:nsid w:val="6C8B4466"/>
    <w:multiLevelType w:val="hybridMultilevel"/>
    <w:lvl w:ilvl="0">
      <w:lvlJc w:val="left"/>
      <w:lvlText w:val="%1."/>
      <w:numFmt w:val="decimal"/>
      <w:start w:val="12"/>
    </w:lvl>
    <w:lvl w:ilvl="1">
      <w:lvlJc w:val="left"/>
      <w:lvlText w:val="(%2)"/>
      <w:numFmt w:val="lowerLetter"/>
      <w:start w:val="1"/>
    </w:lvl>
  </w:abstractNum>
  <w:abstractNum w:abstractNumId="325">
    <w:nsid w:val="2006E424"/>
    <w:multiLevelType w:val="hybridMultilevel"/>
    <w:lvl w:ilvl="0">
      <w:lvlJc w:val="left"/>
      <w:lvlText w:val="%1"/>
      <w:numFmt w:val="decimal"/>
      <w:start w:val="1"/>
    </w:lvl>
    <w:lvl w:ilvl="1">
      <w:lvlJc w:val="left"/>
      <w:lvlText w:val="(%2)"/>
      <w:numFmt w:val="lowerLetter"/>
      <w:start w:val="3"/>
    </w:lvl>
  </w:abstractNum>
  <w:abstractNum w:abstractNumId="326">
    <w:nsid w:val="20CC134C"/>
    <w:multiLevelType w:val="hybridMultilevel"/>
    <w:lvl w:ilvl="0">
      <w:lvlJc w:val="left"/>
      <w:lvlText w:val="%1."/>
      <w:numFmt w:val="decimal"/>
      <w:start w:val="13"/>
    </w:lvl>
    <w:lvl w:ilvl="1">
      <w:lvlJc w:val="left"/>
      <w:lvlText w:val="(%2)"/>
      <w:numFmt w:val="lowerLetter"/>
      <w:start w:val="1"/>
    </w:lvl>
  </w:abstractNum>
  <w:abstractNum w:abstractNumId="327">
    <w:nsid w:val="95FC93B"/>
    <w:multiLevelType w:val="hybridMultilevel"/>
    <w:lvl w:ilvl="0">
      <w:lvlJc w:val="left"/>
      <w:lvlText w:val="%1"/>
      <w:numFmt w:val="decimal"/>
      <w:start w:val="1"/>
    </w:lvl>
    <w:lvl w:ilvl="1">
      <w:lvlJc w:val="left"/>
      <w:lvlText w:val="(%2)"/>
      <w:numFmt w:val="lowerLetter"/>
      <w:start w:val="3"/>
    </w:lvl>
  </w:abstractNum>
  <w:abstractNum w:abstractNumId="328">
    <w:nsid w:val="41D74679"/>
    <w:multiLevelType w:val="hybridMultilevel"/>
    <w:lvl w:ilvl="0">
      <w:lvlJc w:val="left"/>
      <w:lvlText w:val="%1."/>
      <w:numFmt w:val="decimal"/>
      <w:start w:val="14"/>
    </w:lvl>
    <w:lvl w:ilvl="1">
      <w:lvlJc w:val="left"/>
      <w:lvlText w:val="(%2)"/>
      <w:numFmt w:val="lowerLetter"/>
      <w:start w:val="1"/>
    </w:lvl>
  </w:abstractNum>
  <w:abstractNum w:abstractNumId="329">
    <w:nsid w:val="71E5621E"/>
    <w:multiLevelType w:val="hybridMultilevel"/>
    <w:lvl w:ilvl="0">
      <w:lvlJc w:val="left"/>
      <w:lvlText w:val="(%1)"/>
      <w:numFmt w:val="lowerLetter"/>
      <w:start w:val="2"/>
    </w:lvl>
  </w:abstractNum>
  <w:abstractNum w:abstractNumId="330">
    <w:nsid w:val="4E42B6A8"/>
    <w:multiLevelType w:val="hybridMultilevel"/>
    <w:lvl w:ilvl="0">
      <w:lvlJc w:val="left"/>
      <w:lvlText w:val="%1"/>
      <w:numFmt w:val="decimal"/>
      <w:start w:val="1"/>
    </w:lvl>
    <w:lvl w:ilvl="1">
      <w:lvlJc w:val="left"/>
      <w:lvlText w:val="(%2)"/>
      <w:numFmt w:val="lowerLetter"/>
      <w:start w:val="6"/>
    </w:lvl>
  </w:abstractNum>
  <w:abstractNum w:abstractNumId="331">
    <w:nsid w:val="43F8E1AC"/>
    <w:multiLevelType w:val="hybridMultilevel"/>
    <w:lvl w:ilvl="0">
      <w:lvlJc w:val="left"/>
      <w:lvlText w:val="%1."/>
      <w:numFmt w:val="decimal"/>
      <w:start w:val="15"/>
    </w:lvl>
    <w:lvl w:ilvl="1">
      <w:lvlJc w:val="left"/>
      <w:lvlText w:val="(%2)"/>
      <w:numFmt w:val="lowerLetter"/>
      <w:start w:val="1"/>
    </w:lvl>
  </w:abstractNum>
  <w:abstractNum w:abstractNumId="332">
    <w:nsid w:val="69215DFB"/>
    <w:multiLevelType w:val="hybridMultilevel"/>
    <w:lvl w:ilvl="0">
      <w:lvlJc w:val="left"/>
      <w:lvlText w:val="%1"/>
      <w:numFmt w:val="decimal"/>
      <w:start w:val="1"/>
    </w:lvl>
    <w:lvl w:ilvl="1">
      <w:lvlJc w:val="left"/>
      <w:lvlText w:val="(%2)"/>
      <w:numFmt w:val="lowerLetter"/>
      <w:start w:val="3"/>
    </w:lvl>
  </w:abstractNum>
  <w:abstractNum w:abstractNumId="333">
    <w:nsid w:val="7ABF196A"/>
    <w:multiLevelType w:val="hybridMultilevel"/>
    <w:lvl w:ilvl="0">
      <w:lvlJc w:val="left"/>
      <w:lvlText w:val="%1."/>
      <w:numFmt w:val="decimal"/>
      <w:start w:val="17"/>
    </w:lvl>
    <w:lvl w:ilvl="1">
      <w:lvlJc w:val="left"/>
      <w:lvlText w:val="%2"/>
      <w:numFmt w:val="lowerLetter"/>
      <w:start w:val="1"/>
    </w:lvl>
  </w:abstractNum>
  <w:abstractNum w:abstractNumId="334">
    <w:nsid w:val="5E4DB968"/>
    <w:multiLevelType w:val="hybridMultilevel"/>
    <w:lvl w:ilvl="0">
      <w:lvlJc w:val="left"/>
      <w:lvlText w:val="%1."/>
      <w:numFmt w:val="decimal"/>
      <w:start w:val="18"/>
    </w:lvl>
    <w:lvl w:ilvl="1">
      <w:lvlJc w:val="left"/>
      <w:lvlText w:val="(%2)"/>
      <w:numFmt w:val="lowerLetter"/>
      <w:start w:val="1"/>
    </w:lvl>
  </w:abstractNum>
  <w:abstractNum w:abstractNumId="335">
    <w:nsid w:val="2C06DCF3"/>
    <w:multiLevelType w:val="hybridMultilevel"/>
    <w:lvl w:ilvl="0">
      <w:lvlJc w:val="left"/>
      <w:lvlText w:val="%1"/>
      <w:numFmt w:val="decimal"/>
      <w:start w:val="1"/>
    </w:lvl>
    <w:lvl w:ilvl="1">
      <w:lvlJc w:val="left"/>
      <w:lvlText w:val="(%2)"/>
      <w:numFmt w:val="lowerLetter"/>
      <w:start w:val="5"/>
    </w:lvl>
  </w:abstractNum>
  <w:abstractNum w:abstractNumId="336">
    <w:nsid w:val="2E129658"/>
    <w:multiLevelType w:val="hybridMultilevel"/>
    <w:lvl w:ilvl="0">
      <w:lvlJc w:val="left"/>
      <w:lvlText w:val="%1."/>
      <w:numFmt w:val="decimal"/>
      <w:start w:val="20"/>
    </w:lvl>
    <w:lvl w:ilvl="1">
      <w:lvlJc w:val="left"/>
      <w:lvlText w:val="(%2)"/>
      <w:numFmt w:val="lowerLetter"/>
      <w:start w:val="1"/>
    </w:lvl>
  </w:abstractNum>
  <w:abstractNum w:abstractNumId="337">
    <w:nsid w:val="59F0446"/>
    <w:multiLevelType w:val="hybridMultilevel"/>
    <w:lvl w:ilvl="0">
      <w:lvlJc w:val="left"/>
      <w:lvlText w:val="%1."/>
      <w:numFmt w:val="decimal"/>
      <w:start w:val="22"/>
    </w:lvl>
  </w:abstractNum>
  <w:abstractNum w:abstractNumId="338">
    <w:nsid w:val="30DF30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39">
    <w:nsid w:val="A65647"/>
    <w:multiLevelType w:val="hybridMultilevel"/>
    <w:lvl w:ilvl="0">
      <w:lvlJc w:val="left"/>
      <w:lvlText w:val="(%1)"/>
      <w:numFmt w:val="lowerRoman"/>
      <w:start w:val="2"/>
    </w:lvl>
  </w:abstractNum>
  <w:abstractNum w:abstractNumId="340">
    <w:nsid w:val="3E5E582B"/>
    <w:multiLevelType w:val="hybridMultilevel"/>
    <w:lvl w:ilvl="0">
      <w:lvlJc w:val="left"/>
      <w:lvlText w:val="(%1)"/>
      <w:numFmt w:val="lowerLetter"/>
      <w:start w:val="4"/>
    </w:lvl>
  </w:abstractNum>
  <w:abstractNum w:abstractNumId="341">
    <w:nsid w:val="257D4626"/>
    <w:multiLevelType w:val="hybridMultilevel"/>
    <w:lvl w:ilvl="0">
      <w:lvlJc w:val="left"/>
      <w:lvlText w:val="(%1)"/>
      <w:numFmt w:val="lowerLetter"/>
      <w:start w:val="35"/>
    </w:lvl>
  </w:abstractNum>
  <w:abstractNum w:abstractNumId="342">
    <w:nsid w:val="5AA8580E"/>
    <w:multiLevelType w:val="hybridMultilevel"/>
    <w:lvl w:ilvl="0">
      <w:lvlJc w:val="left"/>
      <w:lvlText w:val="%1"/>
      <w:numFmt w:val="decimal"/>
      <w:start w:val="1"/>
    </w:lvl>
    <w:lvl w:ilvl="1">
      <w:lvlJc w:val="left"/>
      <w:lvlText w:val="(%2)"/>
      <w:numFmt w:val="lowerLetter"/>
      <w:start w:val="12"/>
    </w:lvl>
  </w:abstractNum>
  <w:abstractNum w:abstractNumId="343">
    <w:nsid w:val="68FA8D0D"/>
    <w:multiLevelType w:val="hybridMultilevel"/>
    <w:lvl w:ilvl="0">
      <w:lvlJc w:val="left"/>
      <w:lvlText w:val="%1."/>
      <w:numFmt w:val="decimal"/>
      <w:start w:val="3"/>
    </w:lvl>
    <w:lvl w:ilvl="1">
      <w:lvlJc w:val="left"/>
      <w:lvlText w:val="%2"/>
      <w:numFmt w:val="lowerLetter"/>
      <w:start w:val="1"/>
    </w:lvl>
  </w:abstractNum>
  <w:abstractNum w:abstractNumId="344">
    <w:nsid w:val="40F2CBD2"/>
    <w:multiLevelType w:val="hybridMultilevel"/>
    <w:lvl w:ilvl="0">
      <w:lvlJc w:val="left"/>
      <w:lvlText w:val="%1."/>
      <w:numFmt w:val="decimal"/>
      <w:start w:val="4"/>
    </w:lvl>
  </w:abstractNum>
  <w:abstractNum w:abstractNumId="345">
    <w:nsid w:val="3BD615EB"/>
    <w:multiLevelType w:val="hybridMultilevel"/>
    <w:lvl w:ilvl="0">
      <w:lvlJc w:val="left"/>
      <w:lvlText w:val="%1."/>
      <w:numFmt w:val="decimal"/>
      <w:start w:val="7"/>
    </w:lvl>
    <w:lvl w:ilvl="1">
      <w:lvlJc w:val="left"/>
      <w:lvlText w:val="(%2)"/>
      <w:numFmt w:val="lowerLetter"/>
      <w:start w:val="1"/>
    </w:lvl>
  </w:abstractNum>
  <w:abstractNum w:abstractNumId="346">
    <w:nsid w:val="A045AB2"/>
    <w:multiLevelType w:val="hybridMultilevel"/>
    <w:lvl w:ilvl="0">
      <w:lvlJc w:val="left"/>
      <w:lvlText w:val="%1"/>
      <w:numFmt w:val="decimal"/>
      <w:start w:val="1"/>
    </w:lvl>
    <w:lvl w:ilvl="1">
      <w:lvlJc w:val="left"/>
      <w:lvlText w:val="(%2)"/>
      <w:numFmt w:val="lowerLetter"/>
      <w:start w:val="2"/>
    </w:lvl>
  </w:abstractNum>
  <w:abstractNum w:abstractNumId="347">
    <w:nsid w:val="1872261F"/>
    <w:multiLevelType w:val="hybridMultilevel"/>
    <w:lvl w:ilvl="0">
      <w:lvlJc w:val="left"/>
      <w:lvlText w:val="%1."/>
      <w:numFmt w:val="decimal"/>
      <w:start w:val="10"/>
    </w:lvl>
    <w:lvl w:ilvl="1">
      <w:lvlJc w:val="left"/>
      <w:lvlText w:val="(%2)"/>
      <w:numFmt w:val="lowerLetter"/>
      <w:start w:val="1"/>
    </w:lvl>
  </w:abstractNum>
  <w:abstractNum w:abstractNumId="348">
    <w:nsid w:val="3DE8306C"/>
    <w:multiLevelType w:val="hybridMultilevel"/>
    <w:lvl w:ilvl="0">
      <w:lvlJc w:val="left"/>
      <w:lvlText w:val="%1"/>
      <w:numFmt w:val="decimal"/>
      <w:start w:val="1"/>
    </w:lvl>
    <w:lvl w:ilvl="1">
      <w:lvlJc w:val="left"/>
      <w:lvlText w:val="(%2)"/>
      <w:numFmt w:val="lowerLetter"/>
      <w:start w:val="2"/>
    </w:lvl>
  </w:abstractNum>
  <w:abstractNum w:abstractNumId="349">
    <w:nsid w:val="7631573A"/>
    <w:multiLevelType w:val="hybridMultilevel"/>
    <w:lvl w:ilvl="0">
      <w:lvlJc w:val="left"/>
      <w:lvlText w:val="%1."/>
      <w:numFmt w:val="decimal"/>
      <w:start w:val="12"/>
    </w:lvl>
    <w:lvl w:ilvl="1">
      <w:lvlJc w:val="left"/>
      <w:lvlText w:val="(%2)"/>
      <w:numFmt w:val="lowerLetter"/>
      <w:start w:val="1"/>
    </w:lvl>
  </w:abstractNum>
  <w:abstractNum w:abstractNumId="350">
    <w:nsid w:val="58DF53B"/>
    <w:multiLevelType w:val="hybridMultilevel"/>
    <w:lvl w:ilvl="0">
      <w:lvlJc w:val="left"/>
      <w:lvlText w:val="%1"/>
      <w:numFmt w:val="decimal"/>
      <w:start w:val="1"/>
    </w:lvl>
    <w:lvl w:ilvl="1">
      <w:lvlJc w:val="left"/>
      <w:lvlText w:val="(%2)"/>
      <w:numFmt w:val="lowerLetter"/>
      <w:start w:val="3"/>
    </w:lvl>
  </w:abstractNum>
  <w:abstractNum w:abstractNumId="351">
    <w:nsid w:val="ACDFAC0"/>
    <w:multiLevelType w:val="hybridMultilevel"/>
    <w:lvl w:ilvl="0">
      <w:lvlJc w:val="left"/>
      <w:lvlText w:val="%1."/>
      <w:numFmt w:val="decimal"/>
      <w:start w:val="13"/>
    </w:lvl>
    <w:lvl w:ilvl="1">
      <w:lvlJc w:val="left"/>
      <w:lvlText w:val="(%2)"/>
      <w:numFmt w:val="lowerLetter"/>
      <w:start w:val="1"/>
    </w:lvl>
  </w:abstractNum>
  <w:abstractNum w:abstractNumId="352">
    <w:nsid w:val="1F578454"/>
    <w:multiLevelType w:val="hybridMultilevel"/>
    <w:lvl w:ilvl="0">
      <w:lvlJc w:val="left"/>
      <w:lvlText w:val="%1"/>
      <w:numFmt w:val="decimal"/>
      <w:start w:val="1"/>
    </w:lvl>
    <w:lvl w:ilvl="1">
      <w:lvlJc w:val="left"/>
      <w:lvlText w:val="(%2)"/>
      <w:numFmt w:val="lowerLetter"/>
      <w:start w:val="3"/>
    </w:lvl>
  </w:abstractNum>
  <w:abstractNum w:abstractNumId="353">
    <w:nsid w:val="5B0DAD2A"/>
    <w:multiLevelType w:val="hybridMultilevel"/>
    <w:lvl w:ilvl="0">
      <w:lvlJc w:val="left"/>
      <w:lvlText w:val="%1."/>
      <w:numFmt w:val="decimal"/>
      <w:start w:val="14"/>
    </w:lvl>
    <w:lvl w:ilvl="1">
      <w:lvlJc w:val="left"/>
      <w:lvlText w:val="(%2)"/>
      <w:numFmt w:val="lowerLetter"/>
      <w:start w:val="1"/>
    </w:lvl>
  </w:abstractNum>
  <w:abstractNum w:abstractNumId="354">
    <w:nsid w:val="4E3D26AB"/>
    <w:multiLevelType w:val="hybridMultilevel"/>
    <w:lvl w:ilvl="0">
      <w:lvlJc w:val="left"/>
      <w:lvlText w:val="(%1)"/>
      <w:numFmt w:val="lowerLetter"/>
      <w:start w:val="2"/>
    </w:lvl>
  </w:abstractNum>
  <w:abstractNum w:abstractNumId="355">
    <w:nsid w:val="BE2C8BA"/>
    <w:multiLevelType w:val="hybridMultilevel"/>
    <w:lvl w:ilvl="0">
      <w:lvlJc w:val="left"/>
      <w:lvlText w:val="%1"/>
      <w:numFmt w:val="decimal"/>
      <w:start w:val="1"/>
    </w:lvl>
    <w:lvl w:ilvl="1">
      <w:lvlJc w:val="left"/>
      <w:lvlText w:val="(%2)"/>
      <w:numFmt w:val="lowerLetter"/>
      <w:start w:val="6"/>
    </w:lvl>
  </w:abstractNum>
  <w:abstractNum w:abstractNumId="356">
    <w:nsid w:val="7B14914E"/>
    <w:multiLevelType w:val="hybridMultilevel"/>
    <w:lvl w:ilvl="0">
      <w:lvlJc w:val="left"/>
      <w:lvlText w:val="%1."/>
      <w:numFmt w:val="decimal"/>
      <w:start w:val="15"/>
    </w:lvl>
    <w:lvl w:ilvl="1">
      <w:lvlJc w:val="left"/>
      <w:lvlText w:val="(%2)"/>
      <w:numFmt w:val="lowerLetter"/>
      <w:start w:val="1"/>
    </w:lvl>
  </w:abstractNum>
  <w:abstractNum w:abstractNumId="357">
    <w:nsid w:val="6F0939F8"/>
    <w:multiLevelType w:val="hybridMultilevel"/>
    <w:lvl w:ilvl="0">
      <w:lvlJc w:val="left"/>
      <w:lvlText w:val="(%1)"/>
      <w:numFmt w:val="lowerLetter"/>
      <w:start w:val="3"/>
    </w:lvl>
  </w:abstractNum>
  <w:abstractNum w:abstractNumId="358">
    <w:nsid w:val="154291F6"/>
    <w:multiLevelType w:val="hybridMultilevel"/>
    <w:lvl w:ilvl="0">
      <w:lvlJc w:val="left"/>
      <w:lvlText w:val="%1"/>
      <w:numFmt w:val="decimal"/>
      <w:start w:val="1"/>
    </w:lvl>
    <w:lvl w:ilvl="1">
      <w:lvlJc w:val="left"/>
      <w:lvlText w:val="(%2)"/>
      <w:numFmt w:val="lowerLetter"/>
      <w:start w:val="6"/>
    </w:lvl>
  </w:abstractNum>
  <w:abstractNum w:abstractNumId="359">
    <w:nsid w:val="3CEBD7C7"/>
    <w:multiLevelType w:val="hybridMultilevel"/>
    <w:lvl w:ilvl="0">
      <w:lvlJc w:val="left"/>
      <w:lvlText w:val="%1."/>
      <w:numFmt w:val="decimal"/>
      <w:start w:val="17"/>
    </w:lvl>
    <w:lvl w:ilvl="1">
      <w:lvlJc w:val="left"/>
      <w:lvlText w:val="(%2)"/>
      <w:numFmt w:val="lowerLetter"/>
      <w:start w:val="1"/>
    </w:lvl>
  </w:abstractNum>
  <w:abstractNum w:abstractNumId="360">
    <w:nsid w:val="60EE9C16"/>
    <w:multiLevelType w:val="hybridMultilevel"/>
    <w:lvl w:ilvl="0">
      <w:lvlJc w:val="left"/>
      <w:lvlText w:val="%1"/>
      <w:numFmt w:val="decimal"/>
      <w:start w:val="1"/>
    </w:lvl>
    <w:lvl w:ilvl="1">
      <w:lvlJc w:val="left"/>
      <w:lvlText w:val="(%2)"/>
      <w:numFmt w:val="lowerLetter"/>
      <w:start w:val="3"/>
    </w:lvl>
  </w:abstractNum>
  <w:abstractNum w:abstractNumId="361">
    <w:nsid w:val="6385489E"/>
    <w:multiLevelType w:val="hybridMultilevel"/>
    <w:lvl w:ilvl="0">
      <w:lvlJc w:val="left"/>
      <w:lvlText w:val="%1."/>
      <w:numFmt w:val="decimal"/>
      <w:start w:val="20"/>
    </w:lvl>
    <w:lvl w:ilvl="1">
      <w:lvlJc w:val="left"/>
      <w:lvlText w:val="(%2)"/>
      <w:numFmt w:val="lowerLetter"/>
      <w:start w:val="1"/>
    </w:lvl>
  </w:abstractNum>
  <w:abstractNum w:abstractNumId="362">
    <w:nsid w:val="E4B973"/>
    <w:multiLevelType w:val="hybridMultilevel"/>
    <w:lvl w:ilvl="0">
      <w:lvlJc w:val="left"/>
      <w:lvlText w:val="%1."/>
      <w:numFmt w:val="decimal"/>
      <w:start w:val="22"/>
    </w:lvl>
  </w:abstractNum>
  <w:abstractNum w:abstractNumId="363">
    <w:nsid w:val="4A0FFA1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64">
    <w:nsid w:val="5E446208"/>
    <w:multiLevelType w:val="hybridMultilevel"/>
    <w:lvl w:ilvl="0">
      <w:lvlJc w:val="left"/>
      <w:lvlText w:val="(%1)"/>
      <w:numFmt w:val="lowerRoman"/>
      <w:start w:val="2"/>
    </w:lvl>
  </w:abstractNum>
  <w:abstractNum w:abstractNumId="365">
    <w:nsid w:val="5F3272DB"/>
    <w:multiLevelType w:val="hybridMultilevel"/>
    <w:lvl w:ilvl="0">
      <w:lvlJc w:val="left"/>
      <w:lvlText w:val="(%1)"/>
      <w:numFmt w:val="lowerLetter"/>
      <w:start w:val="4"/>
    </w:lvl>
  </w:abstractNum>
  <w:abstractNum w:abstractNumId="366">
    <w:nsid w:val="7616D704"/>
    <w:multiLevelType w:val="hybridMultilevel"/>
    <w:lvl w:ilvl="0">
      <w:lvlJc w:val="left"/>
      <w:lvlText w:val="%1"/>
      <w:numFmt w:val="decimal"/>
      <w:start w:val="1"/>
    </w:lvl>
    <w:lvl w:ilvl="1">
      <w:lvlJc w:val="left"/>
      <w:lvlText w:val="(%2)"/>
      <w:numFmt w:val="lowerLetter"/>
      <w:start w:val="11"/>
    </w:lvl>
  </w:abstractNum>
  <w:abstractNum w:abstractNumId="367">
    <w:nsid w:val="C56F860"/>
    <w:multiLevelType w:val="hybridMultilevel"/>
    <w:lvl w:ilvl="0">
      <w:lvlJc w:val="left"/>
      <w:lvlText w:val="%1"/>
      <w:numFmt w:val="decimal"/>
      <w:start w:val="1"/>
    </w:lvl>
    <w:lvl w:ilvl="1">
      <w:lvlJc w:val="left"/>
      <w:lvlText w:val="(%2)"/>
      <w:numFmt w:val="lowerLetter"/>
      <w:start w:val="35"/>
    </w:lvl>
  </w:abstractNum>
  <w:abstractNum w:abstractNumId="368">
    <w:nsid w:val="64D17722"/>
    <w:multiLevelType w:val="hybridMultilevel"/>
    <w:lvl w:ilvl="0">
      <w:lvlJc w:val="left"/>
      <w:lvlText w:val="%1"/>
      <w:numFmt w:val="decimal"/>
      <w:start w:val="1"/>
    </w:lvl>
    <w:lvl w:ilvl="1">
      <w:lvlJc w:val="left"/>
      <w:lvlText w:val="(%2)"/>
      <w:numFmt w:val="lowerLetter"/>
      <w:start w:val="12"/>
    </w:lvl>
  </w:abstractNum>
  <w:abstractNum w:abstractNumId="369">
    <w:nsid w:val="7924CA0A"/>
    <w:multiLevelType w:val="hybridMultilevel"/>
    <w:lvl w:ilvl="0">
      <w:lvlJc w:val="left"/>
      <w:lvlText w:val="%1."/>
      <w:numFmt w:val="decimal"/>
      <w:start w:val="3"/>
    </w:lvl>
    <w:lvl w:ilvl="1">
      <w:lvlJc w:val="left"/>
      <w:lvlText w:val="%2"/>
      <w:numFmt w:val="lowerLetter"/>
      <w:start w:val="1"/>
    </w:lvl>
  </w:abstractNum>
  <w:abstractNum w:abstractNumId="370">
    <w:nsid w:val="CFD4EA7"/>
    <w:multiLevelType w:val="hybridMultilevel"/>
    <w:lvl w:ilvl="0">
      <w:lvlJc w:val="left"/>
      <w:lvlText w:val="%1."/>
      <w:numFmt w:val="decimal"/>
      <w:start w:val="4"/>
    </w:lvl>
  </w:abstractNum>
  <w:abstractNum w:abstractNumId="371">
    <w:nsid w:val="232FCF4D"/>
    <w:multiLevelType w:val="hybridMultilevel"/>
    <w:lvl w:ilvl="0">
      <w:lvlJc w:val="left"/>
      <w:lvlText w:val="%1."/>
      <w:numFmt w:val="decimal"/>
      <w:start w:val="7"/>
    </w:lvl>
    <w:lvl w:ilvl="1">
      <w:lvlJc w:val="left"/>
      <w:lvlText w:val="(%2)"/>
      <w:numFmt w:val="lowerLetter"/>
      <w:start w:val="1"/>
    </w:lvl>
  </w:abstractNum>
  <w:abstractNum w:abstractNumId="372">
    <w:nsid w:val="1EA21031"/>
    <w:multiLevelType w:val="hybridMultilevel"/>
    <w:lvl w:ilvl="0">
      <w:lvlJc w:val="left"/>
      <w:lvlText w:val="%1"/>
      <w:numFmt w:val="decimal"/>
      <w:start w:val="1"/>
    </w:lvl>
    <w:lvl w:ilvl="1">
      <w:lvlJc w:val="left"/>
      <w:lvlText w:val="(%2)"/>
      <w:numFmt w:val="lowerLetter"/>
      <w:start w:val="3"/>
    </w:lvl>
  </w:abstractNum>
  <w:abstractNum w:abstractNumId="373">
    <w:nsid w:val="67A5A6B5"/>
    <w:multiLevelType w:val="hybridMultilevel"/>
    <w:lvl w:ilvl="0">
      <w:lvlJc w:val="left"/>
      <w:lvlText w:val="%1."/>
      <w:numFmt w:val="decimal"/>
      <w:start w:val="10"/>
    </w:lvl>
    <w:lvl w:ilvl="1">
      <w:lvlJc w:val="left"/>
      <w:lvlText w:val="(%2)"/>
      <w:numFmt w:val="lowerLetter"/>
      <w:start w:val="1"/>
    </w:lvl>
  </w:abstractNum>
  <w:abstractNum w:abstractNumId="374">
    <w:nsid w:val="C2A5C5B"/>
    <w:multiLevelType w:val="hybridMultilevel"/>
    <w:lvl w:ilvl="0">
      <w:lvlJc w:val="left"/>
      <w:lvlText w:val="%1"/>
      <w:numFmt w:val="decimal"/>
      <w:start w:val="1"/>
    </w:lvl>
    <w:lvl w:ilvl="1">
      <w:lvlJc w:val="left"/>
      <w:lvlText w:val="(%2)"/>
      <w:numFmt w:val="lowerLetter"/>
      <w:start w:val="2"/>
    </w:lvl>
  </w:abstractNum>
  <w:abstractNum w:abstractNumId="375">
    <w:nsid w:val="5F94DC03"/>
    <w:multiLevelType w:val="hybridMultilevel"/>
    <w:lvl w:ilvl="0">
      <w:lvlJc w:val="left"/>
      <w:lvlText w:val="%1."/>
      <w:numFmt w:val="decimal"/>
      <w:start w:val="12"/>
    </w:lvl>
    <w:lvl w:ilvl="1">
      <w:lvlJc w:val="left"/>
      <w:lvlText w:val="(%2)"/>
      <w:numFmt w:val="lowerLetter"/>
      <w:start w:val="1"/>
    </w:lvl>
  </w:abstractNum>
  <w:abstractNum w:abstractNumId="376">
    <w:nsid w:val="237BBCA0"/>
    <w:multiLevelType w:val="hybridMultilevel"/>
    <w:lvl w:ilvl="0">
      <w:lvlJc w:val="left"/>
      <w:lvlText w:val="%1"/>
      <w:numFmt w:val="decimal"/>
      <w:start w:val="1"/>
    </w:lvl>
    <w:lvl w:ilvl="1">
      <w:lvlJc w:val="left"/>
      <w:lvlText w:val="(%2)"/>
      <w:numFmt w:val="lowerLetter"/>
      <w:start w:val="3"/>
    </w:lvl>
  </w:abstractNum>
  <w:abstractNum w:abstractNumId="377">
    <w:nsid w:val="162EB70D"/>
    <w:multiLevelType w:val="hybridMultilevel"/>
    <w:lvl w:ilvl="0">
      <w:lvlJc w:val="left"/>
      <w:lvlText w:val="%1."/>
      <w:numFmt w:val="decimal"/>
      <w:start w:val="13"/>
    </w:lvl>
    <w:lvl w:ilvl="1">
      <w:lvlJc w:val="left"/>
      <w:lvlText w:val="(%2)"/>
      <w:numFmt w:val="lowerLetter"/>
      <w:start w:val="1"/>
    </w:lvl>
  </w:abstractNum>
  <w:abstractNum w:abstractNumId="378">
    <w:nsid w:val="78070222"/>
    <w:multiLevelType w:val="hybridMultilevel"/>
    <w:lvl w:ilvl="0">
      <w:lvlJc w:val="left"/>
      <w:lvlText w:val="%1"/>
      <w:numFmt w:val="decimal"/>
      <w:start w:val="1"/>
    </w:lvl>
    <w:lvl w:ilvl="1">
      <w:lvlJc w:val="left"/>
      <w:lvlText w:val="(%2)"/>
      <w:numFmt w:val="lowerLetter"/>
      <w:start w:val="3"/>
    </w:lvl>
  </w:abstractNum>
  <w:abstractNum w:abstractNumId="379">
    <w:nsid w:val="6163ED0D"/>
    <w:multiLevelType w:val="hybridMultilevel"/>
    <w:lvl w:ilvl="0">
      <w:lvlJc w:val="left"/>
      <w:lvlText w:val="%1."/>
      <w:numFmt w:val="decimal"/>
      <w:start w:val="14"/>
    </w:lvl>
    <w:lvl w:ilvl="1">
      <w:lvlJc w:val="left"/>
      <w:lvlText w:val="(%2)"/>
      <w:numFmt w:val="lowerLetter"/>
      <w:start w:val="1"/>
    </w:lvl>
  </w:abstractNum>
  <w:abstractNum w:abstractNumId="380">
    <w:nsid w:val="C600E47"/>
    <w:multiLevelType w:val="hybridMultilevel"/>
    <w:lvl w:ilvl="0">
      <w:lvlJc w:val="left"/>
      <w:lvlText w:val="(%1)"/>
      <w:numFmt w:val="lowerLetter"/>
      <w:start w:val="2"/>
    </w:lvl>
  </w:abstractNum>
  <w:abstractNum w:abstractNumId="381">
    <w:nsid w:val="7D94F75D"/>
    <w:multiLevelType w:val="hybridMultilevel"/>
    <w:lvl w:ilvl="0">
      <w:lvlJc w:val="left"/>
      <w:lvlText w:val="%1"/>
      <w:numFmt w:val="decimal"/>
      <w:start w:val="1"/>
    </w:lvl>
    <w:lvl w:ilvl="1">
      <w:lvlJc w:val="left"/>
      <w:lvlText w:val="(%2)"/>
      <w:numFmt w:val="lowerLetter"/>
      <w:start w:val="6"/>
    </w:lvl>
  </w:abstractNum>
  <w:abstractNum w:abstractNumId="382">
    <w:nsid w:val="6C31E7CD"/>
    <w:multiLevelType w:val="hybridMultilevel"/>
    <w:lvl w:ilvl="0">
      <w:lvlJc w:val="left"/>
      <w:lvlText w:val="%1."/>
      <w:numFmt w:val="decimal"/>
      <w:start w:val="15"/>
    </w:lvl>
    <w:lvl w:ilvl="1">
      <w:lvlJc w:val="left"/>
      <w:lvlText w:val="(%2)"/>
      <w:numFmt w:val="lowerLetter"/>
      <w:start w:val="1"/>
    </w:lvl>
  </w:abstractNum>
  <w:abstractNum w:abstractNumId="383">
    <w:nsid w:val="2BB7929B"/>
    <w:multiLevelType w:val="hybridMultilevel"/>
    <w:lvl w:ilvl="0">
      <w:lvlJc w:val="left"/>
      <w:lvlText w:val="%1"/>
      <w:numFmt w:val="decimal"/>
      <w:start w:val="1"/>
    </w:lvl>
    <w:lvl w:ilvl="1">
      <w:lvlJc w:val="left"/>
      <w:lvlText w:val="(%2)"/>
      <w:numFmt w:val="lowerLetter"/>
      <w:start w:val="3"/>
    </w:lvl>
  </w:abstractNum>
  <w:abstractNum w:abstractNumId="384">
    <w:nsid w:val="58A2A487"/>
    <w:multiLevelType w:val="hybridMultilevel"/>
    <w:lvl w:ilvl="0">
      <w:lvlJc w:val="left"/>
      <w:lvlText w:val="%1."/>
      <w:numFmt w:val="decimal"/>
      <w:start w:val="17"/>
    </w:lvl>
    <w:lvl w:ilvl="1">
      <w:lvlJc w:val="left"/>
      <w:lvlText w:val="%2"/>
      <w:numFmt w:val="lowerLetter"/>
      <w:start w:val="1"/>
    </w:lvl>
  </w:abstractNum>
  <w:abstractNum w:abstractNumId="385">
    <w:nsid w:val="3A6F0E78"/>
    <w:multiLevelType w:val="hybridMultilevel"/>
    <w:lvl w:ilvl="0">
      <w:lvlJc w:val="left"/>
      <w:lvlText w:val="%1."/>
      <w:numFmt w:val="decimal"/>
      <w:start w:val="18"/>
    </w:lvl>
    <w:lvl w:ilvl="1">
      <w:lvlJc w:val="left"/>
      <w:lvlText w:val="(%2)"/>
      <w:numFmt w:val="lowerLetter"/>
      <w:start w:val="1"/>
    </w:lvl>
  </w:abstractNum>
  <w:abstractNum w:abstractNumId="386">
    <w:nsid w:val="379A5B56"/>
    <w:multiLevelType w:val="hybridMultilevel"/>
    <w:lvl w:ilvl="0">
      <w:lvlJc w:val="left"/>
      <w:lvlText w:val="%1"/>
      <w:numFmt w:val="decimal"/>
      <w:start w:val="1"/>
    </w:lvl>
    <w:lvl w:ilvl="1">
      <w:lvlJc w:val="left"/>
      <w:lvlText w:val="(%2)"/>
      <w:numFmt w:val="lowerLetter"/>
      <w:start w:val="5"/>
    </w:lvl>
  </w:abstractNum>
  <w:abstractNum w:abstractNumId="387">
    <w:nsid w:val="53B735D5"/>
    <w:multiLevelType w:val="hybridMultilevel"/>
    <w:lvl w:ilvl="0">
      <w:lvlJc w:val="left"/>
      <w:lvlText w:val="%1."/>
      <w:numFmt w:val="decimal"/>
      <w:start w:val="20"/>
    </w:lvl>
    <w:lvl w:ilvl="1">
      <w:lvlJc w:val="left"/>
      <w:lvlText w:val="(%2)"/>
      <w:numFmt w:val="lowerLetter"/>
      <w:start w:val="1"/>
    </w:lvl>
  </w:abstractNum>
  <w:abstractNum w:abstractNumId="388">
    <w:nsid w:val="29784870"/>
    <w:multiLevelType w:val="hybridMultilevel"/>
    <w:lvl w:ilvl="0">
      <w:lvlJc w:val="left"/>
      <w:lvlText w:val="%1."/>
      <w:numFmt w:val="decimal"/>
      <w:start w:val="22"/>
    </w:lvl>
  </w:abstractNum>
  <w:abstractNum w:abstractNumId="389">
    <w:nsid w:val="4CDCED4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90">
    <w:nsid w:val="10A30D9C"/>
    <w:multiLevelType w:val="hybridMultilevel"/>
    <w:lvl w:ilvl="0">
      <w:lvlJc w:val="left"/>
      <w:lvlText w:val="(%1)"/>
      <w:numFmt w:val="lowerRoman"/>
      <w:start w:val="2"/>
    </w:lvl>
  </w:abstractNum>
  <w:abstractNum w:abstractNumId="391">
    <w:nsid w:val="A66E486"/>
    <w:multiLevelType w:val="hybridMultilevel"/>
    <w:lvl w:ilvl="0">
      <w:lvlJc w:val="left"/>
      <w:lvlText w:val="(%1)"/>
      <w:numFmt w:val="lowerLetter"/>
      <w:start w:val="4"/>
    </w:lvl>
  </w:abstractNum>
  <w:abstractNum w:abstractNumId="392">
    <w:nsid w:val="306235EA"/>
    <w:multiLevelType w:val="hybridMultilevel"/>
    <w:lvl w:ilvl="0">
      <w:lvlJc w:val="left"/>
      <w:lvlText w:val="(%1)"/>
      <w:numFmt w:val="lowerLetter"/>
      <w:start w:val="35"/>
    </w:lvl>
  </w:abstractNum>
  <w:abstractNum w:abstractNumId="393">
    <w:nsid w:val="1187C70F"/>
    <w:multiLevelType w:val="hybridMultilevel"/>
    <w:lvl w:ilvl="0">
      <w:lvlJc w:val="left"/>
      <w:lvlText w:val="%1"/>
      <w:numFmt w:val="decimal"/>
      <w:start w:val="1"/>
    </w:lvl>
    <w:lvl w:ilvl="1">
      <w:lvlJc w:val="left"/>
      <w:lvlText w:val="(%2)"/>
      <w:numFmt w:val="lowerLetter"/>
      <w:start w:val="12"/>
    </w:lvl>
  </w:abstractNum>
  <w:abstractNum w:abstractNumId="394">
    <w:nsid w:val="5476DE98"/>
    <w:multiLevelType w:val="hybridMultilevel"/>
    <w:lvl w:ilvl="0">
      <w:lvlJc w:val="left"/>
      <w:lvlText w:val="%1."/>
      <w:numFmt w:val="decimal"/>
      <w:start w:val="3"/>
    </w:lvl>
    <w:lvl w:ilvl="1">
      <w:lvlJc w:val="left"/>
      <w:lvlText w:val="%2"/>
      <w:numFmt w:val="lowerLetter"/>
      <w:start w:val="1"/>
    </w:lvl>
  </w:abstractNum>
  <w:abstractNum w:abstractNumId="395">
    <w:nsid w:val="EA697F2"/>
    <w:multiLevelType w:val="hybridMultilevel"/>
    <w:lvl w:ilvl="0">
      <w:lvlJc w:val="left"/>
      <w:lvlText w:val="%1."/>
      <w:numFmt w:val="decimal"/>
      <w:start w:val="4"/>
    </w:lvl>
  </w:abstractNum>
  <w:abstractNum w:abstractNumId="396">
    <w:nsid w:val="70BA39EB"/>
    <w:multiLevelType w:val="hybridMultilevel"/>
    <w:lvl w:ilvl="0">
      <w:lvlJc w:val="left"/>
      <w:lvlText w:val="%1."/>
      <w:numFmt w:val="decimal"/>
      <w:start w:val="7"/>
    </w:lvl>
    <w:lvl w:ilvl="1">
      <w:lvlJc w:val="left"/>
      <w:lvlText w:val="(%2)"/>
      <w:numFmt w:val="lowerLetter"/>
      <w:start w:val="1"/>
    </w:lvl>
  </w:abstractNum>
  <w:abstractNum w:abstractNumId="397">
    <w:nsid w:val="4A8DB59C"/>
    <w:multiLevelType w:val="hybridMultilevel"/>
    <w:lvl w:ilvl="0">
      <w:lvlJc w:val="left"/>
      <w:lvlText w:val="%1"/>
      <w:numFmt w:val="decimal"/>
      <w:start w:val="1"/>
    </w:lvl>
    <w:lvl w:ilvl="1">
      <w:lvlJc w:val="left"/>
      <w:lvlText w:val="(%2)"/>
      <w:numFmt w:val="lowerLetter"/>
      <w:start w:val="3"/>
    </w:lvl>
  </w:abstractNum>
  <w:abstractNum w:abstractNumId="398">
    <w:nsid w:val="1AFD9053"/>
    <w:multiLevelType w:val="hybridMultilevel"/>
    <w:lvl w:ilvl="0">
      <w:lvlJc w:val="left"/>
      <w:lvlText w:val="%1."/>
      <w:numFmt w:val="decimal"/>
      <w:start w:val="10"/>
    </w:lvl>
    <w:lvl w:ilvl="1">
      <w:lvlJc w:val="left"/>
      <w:lvlText w:val="(%2)"/>
      <w:numFmt w:val="lowerLetter"/>
      <w:start w:val="1"/>
    </w:lvl>
  </w:abstractNum>
  <w:abstractNum w:abstractNumId="399">
    <w:nsid w:val="558BB10D"/>
    <w:multiLevelType w:val="hybridMultilevel"/>
    <w:lvl w:ilvl="0">
      <w:lvlJc w:val="left"/>
      <w:lvlText w:val="%1."/>
      <w:numFmt w:val="decimal"/>
      <w:start w:val="12"/>
    </w:lvl>
    <w:lvl w:ilvl="1">
      <w:lvlJc w:val="left"/>
      <w:lvlText w:val="(%2)"/>
      <w:numFmt w:val="lowerLetter"/>
      <w:start w:val="1"/>
    </w:lvl>
  </w:abstractNum>
  <w:abstractNum w:abstractNumId="400">
    <w:nsid w:val="43B27FA7"/>
    <w:multiLevelType w:val="hybridMultilevel"/>
    <w:lvl w:ilvl="0">
      <w:lvlJc w:val="left"/>
      <w:lvlText w:val="%1"/>
      <w:numFmt w:val="decimal"/>
      <w:start w:val="1"/>
    </w:lvl>
    <w:lvl w:ilvl="1">
      <w:lvlJc w:val="left"/>
      <w:lvlText w:val="(%2)"/>
      <w:numFmt w:val="lowerLetter"/>
      <w:start w:val="3"/>
    </w:lvl>
  </w:abstractNum>
  <w:abstractNum w:abstractNumId="401">
    <w:nsid w:val="27FADEFA"/>
    <w:multiLevelType w:val="hybridMultilevel"/>
    <w:lvl w:ilvl="0">
      <w:lvlJc w:val="left"/>
      <w:lvlText w:val="%1."/>
      <w:numFmt w:val="decimal"/>
      <w:start w:val="13"/>
    </w:lvl>
    <w:lvl w:ilvl="1">
      <w:lvlJc w:val="left"/>
      <w:lvlText w:val="(%2)"/>
      <w:numFmt w:val="lowerLetter"/>
      <w:start w:val="1"/>
    </w:lvl>
  </w:abstractNum>
  <w:abstractNum w:abstractNumId="402">
    <w:nsid w:val="78BB805A"/>
    <w:multiLevelType w:val="hybridMultilevel"/>
    <w:lvl w:ilvl="0">
      <w:lvlJc w:val="left"/>
      <w:lvlText w:val="%1"/>
      <w:numFmt w:val="decimal"/>
      <w:start w:val="1"/>
    </w:lvl>
    <w:lvl w:ilvl="1">
      <w:lvlJc w:val="left"/>
      <w:lvlText w:val="(%2)"/>
      <w:numFmt w:val="lowerLetter"/>
      <w:start w:val="3"/>
    </w:lvl>
  </w:abstractNum>
  <w:abstractNum w:abstractNumId="403">
    <w:nsid w:val="62548FD8"/>
    <w:multiLevelType w:val="hybridMultilevel"/>
    <w:lvl w:ilvl="0">
      <w:lvlJc w:val="left"/>
      <w:lvlText w:val="%1."/>
      <w:numFmt w:val="decimal"/>
      <w:start w:val="14"/>
    </w:lvl>
    <w:lvl w:ilvl="1">
      <w:lvlJc w:val="left"/>
      <w:lvlText w:val="(%2)"/>
      <w:numFmt w:val="lowerLetter"/>
      <w:start w:val="1"/>
    </w:lvl>
  </w:abstractNum>
  <w:abstractNum w:abstractNumId="404">
    <w:nsid w:val="FA085B0"/>
    <w:multiLevelType w:val="hybridMultilevel"/>
    <w:lvl w:ilvl="0">
      <w:lvlJc w:val="left"/>
      <w:lvlText w:val="(%1)"/>
      <w:numFmt w:val="lowerLetter"/>
      <w:start w:val="2"/>
    </w:lvl>
  </w:abstractNum>
  <w:abstractNum w:abstractNumId="405">
    <w:nsid w:val="4E5DCB5"/>
    <w:multiLevelType w:val="hybridMultilevel"/>
    <w:lvl w:ilvl="0">
      <w:lvlJc w:val="left"/>
      <w:lvlText w:val="%1."/>
      <w:numFmt w:val="decimal"/>
      <w:start w:val="15"/>
    </w:lvl>
    <w:lvl w:ilvl="1">
      <w:lvlJc w:val="left"/>
      <w:lvlText w:val="(%2)"/>
      <w:numFmt w:val="lowerLetter"/>
      <w:start w:val="1"/>
    </w:lvl>
  </w:abstractNum>
  <w:abstractNum w:abstractNumId="406">
    <w:nsid w:val="41E96BDB"/>
    <w:multiLevelType w:val="hybridMultilevel"/>
    <w:lvl w:ilvl="0">
      <w:lvlJc w:val="left"/>
      <w:lvlText w:val="%1"/>
      <w:numFmt w:val="decimal"/>
      <w:start w:val="1"/>
    </w:lvl>
    <w:lvl w:ilvl="1">
      <w:lvlJc w:val="left"/>
      <w:lvlText w:val="(%2)"/>
      <w:numFmt w:val="lowerLetter"/>
      <w:start w:val="3"/>
    </w:lvl>
  </w:abstractNum>
  <w:abstractNum w:abstractNumId="407">
    <w:nsid w:val="331C4250"/>
    <w:multiLevelType w:val="hybridMultilevel"/>
    <w:lvl w:ilvl="0">
      <w:lvlJc w:val="left"/>
      <w:lvlText w:val="%1."/>
      <w:numFmt w:val="decimal"/>
      <w:start w:val="17"/>
    </w:lvl>
    <w:lvl w:ilvl="1">
      <w:lvlJc w:val="left"/>
      <w:lvlText w:val="%2"/>
      <w:numFmt w:val="lowerLetter"/>
      <w:start w:val="1"/>
    </w:lvl>
  </w:abstractNum>
  <w:abstractNum w:abstractNumId="408">
    <w:nsid w:val="1B1493C2"/>
    <w:multiLevelType w:val="hybridMultilevel"/>
    <w:lvl w:ilvl="0">
      <w:lvlJc w:val="left"/>
      <w:lvlText w:val="%1."/>
      <w:numFmt w:val="decimal"/>
      <w:start w:val="18"/>
    </w:lvl>
    <w:lvl w:ilvl="1">
      <w:lvlJc w:val="left"/>
      <w:lvlText w:val="(%2)"/>
      <w:numFmt w:val="lowerLetter"/>
      <w:start w:val="1"/>
    </w:lvl>
  </w:abstractNum>
  <w:abstractNum w:abstractNumId="409">
    <w:nsid w:val="39F06DFD"/>
    <w:multiLevelType w:val="hybridMultilevel"/>
    <w:lvl w:ilvl="0">
      <w:lvlJc w:val="left"/>
      <w:lvlText w:val="%1"/>
      <w:numFmt w:val="decimal"/>
      <w:start w:val="1"/>
    </w:lvl>
    <w:lvl w:ilvl="1">
      <w:lvlJc w:val="left"/>
      <w:lvlText w:val="(%2)"/>
      <w:numFmt w:val="lowerLetter"/>
      <w:start w:val="5"/>
    </w:lvl>
  </w:abstractNum>
  <w:abstractNum w:abstractNumId="410">
    <w:nsid w:val="14802F5D"/>
    <w:multiLevelType w:val="hybridMultilevel"/>
    <w:lvl w:ilvl="0">
      <w:lvlJc w:val="left"/>
      <w:lvlText w:val="%1."/>
      <w:numFmt w:val="decimal"/>
      <w:start w:val="20"/>
    </w:lvl>
    <w:lvl w:ilvl="1">
      <w:lvlJc w:val="left"/>
      <w:lvlText w:val="(%2)"/>
      <w:numFmt w:val="lowerLetter"/>
      <w:start w:val="1"/>
    </w:lvl>
  </w:abstractNum>
  <w:abstractNum w:abstractNumId="411">
    <w:nsid w:val="2774A209"/>
    <w:multiLevelType w:val="hybridMultilevel"/>
    <w:lvl w:ilvl="0">
      <w:lvlJc w:val="left"/>
      <w:lvlText w:val="%1."/>
      <w:numFmt w:val="decimal"/>
      <w:start w:val="22"/>
    </w:lvl>
  </w:abstractNum>
  <w:abstractNum w:abstractNumId="412">
    <w:nsid w:val="3785655A"/>
    <w:multiLevelType w:val="hybridMultilevel"/>
    <w:lvl w:ilvl="0">
      <w:lvlJc w:val="left"/>
      <w:lvlText w:val="●"/>
      <w:numFmt w:val="bullet"/>
      <w:start w:val="1"/>
    </w:lvl>
  </w:abstractNum>
  <w:abstractNum w:abstractNumId="413">
    <w:nsid w:val="B2172A"/>
    <w:multiLevelType w:val="hybridMultilevel"/>
    <w:lvl w:ilvl="0">
      <w:lvlJc w:val="left"/>
      <w:lvlText w:val="●"/>
      <w:numFmt w:val="bullet"/>
      <w:start w:val="1"/>
    </w:lvl>
  </w:abstractNum>
  <w:abstractNum w:abstractNumId="414">
    <w:nsid w:val="532C34A5"/>
    <w:multiLevelType w:val="hybridMultilevel"/>
    <w:lvl w:ilvl="0">
      <w:lvlJc w:val="left"/>
      <w:lvlText w:val="(%1)"/>
      <w:numFmt w:val="lowerLetter"/>
      <w:start w:val="1"/>
    </w:lvl>
  </w:abstractNum>
  <w:abstractNum w:abstractNumId="415">
    <w:nsid w:val="102809E2"/>
    <w:multiLevelType w:val="hybridMultilevel"/>
    <w:lvl w:ilvl="0">
      <w:lvlJc w:val="left"/>
      <w:lvlText w:val="(%1)"/>
      <w:numFmt w:val="lowerLetter"/>
      <w:start w:val="5"/>
    </w:lvl>
  </w:abstractNum>
  <w:abstractNum w:abstractNumId="416">
    <w:nsid w:val="3B2125A3"/>
    <w:multiLevelType w:val="hybridMultilevel"/>
    <w:lvl w:ilvl="0">
      <w:lvlJc w:val="left"/>
      <w:lvlText w:val="●"/>
      <w:numFmt w:val="bullet"/>
      <w:start w:val="1"/>
    </w:lvl>
  </w:abstractNum>
  <w:abstractNum w:abstractNumId="417">
    <w:nsid w:val="AC68FFB"/>
    <w:multiLevelType w:val="hybridMultilevel"/>
    <w:lvl w:ilvl="0">
      <w:lvlJc w:val="left"/>
      <w:lvlText w:val="●"/>
      <w:numFmt w:val="bullet"/>
      <w:start w:val="1"/>
    </w:lvl>
  </w:abstractNum>
  <w:abstractNum w:abstractNumId="418">
    <w:nsid w:val="63DF3FB7"/>
    <w:multiLevelType w:val="hybridMultilevel"/>
    <w:lvl w:ilvl="0">
      <w:lvlJc w:val="left"/>
      <w:lvlText w:val="(%1)"/>
      <w:numFmt w:val="lowerLetter"/>
      <w:start w:val="1"/>
    </w:lvl>
  </w:abstractNum>
  <w:abstractNum w:abstractNumId="419">
    <w:nsid w:val="64996E13"/>
    <w:multiLevelType w:val="hybridMultilevel"/>
    <w:lvl w:ilvl="0">
      <w:lvlJc w:val="left"/>
      <w:lvlText w:val="(%1)"/>
      <w:numFmt w:val="lowerLetter"/>
      <w:start w:val="5"/>
    </w:lvl>
  </w:abstractNum>
  <w:abstractNum w:abstractNumId="420">
    <w:nsid w:val="57A37D4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21">
    <w:nsid w:val="74824D54"/>
    <w:multiLevelType w:val="hybridMultilevel"/>
    <w:lvl w:ilvl="0">
      <w:lvlJc w:val="left"/>
      <w:lvlText w:val="(%1)"/>
      <w:numFmt w:val="lowerLetter"/>
      <w:start w:val="2"/>
    </w:lvl>
  </w:abstractNum>
  <w:abstractNum w:abstractNumId="422">
    <w:nsid w:val="6F00529A"/>
    <w:multiLevelType w:val="hybridMultilevel"/>
    <w:lvl w:ilvl="0">
      <w:lvlJc w:val="left"/>
      <w:lvlText w:val="%1."/>
      <w:numFmt w:val="decimal"/>
      <w:start w:val="2"/>
    </w:lvl>
  </w:abstractNum>
  <w:abstractNum w:abstractNumId="423">
    <w:nsid w:val="805B331"/>
    <w:multiLevelType w:val="hybridMultilevel"/>
    <w:lvl w:ilvl="0">
      <w:lvlJc w:val="left"/>
      <w:lvlText w:val="%1."/>
      <w:numFmt w:val="decimal"/>
      <w:start w:val="3"/>
    </w:lvl>
    <w:lvl w:ilvl="1">
      <w:lvlJc w:val="left"/>
      <w:lvlText w:val="(%2)"/>
      <w:numFmt w:val="lowerLetter"/>
      <w:start w:val="1"/>
    </w:lvl>
  </w:abstractNum>
  <w:abstractNum w:abstractNumId="424">
    <w:nsid w:val="60A1463"/>
    <w:multiLevelType w:val="hybridMultilevel"/>
    <w:lvl w:ilvl="0">
      <w:lvlJc w:val="left"/>
      <w:lvlText w:val="%1."/>
      <w:numFmt w:val="decimal"/>
      <w:start w:val="6"/>
    </w:lvl>
  </w:abstractNum>
  <w:abstractNum w:abstractNumId="425">
    <w:nsid w:val="43773132"/>
    <w:multiLevelType w:val="hybridMultilevel"/>
    <w:lvl w:ilvl="0">
      <w:lvlJc w:val="left"/>
      <w:lvlText w:val="%1."/>
      <w:numFmt w:val="decimal"/>
      <w:start w:val="7"/>
    </w:lvl>
  </w:abstractNum>
  <w:abstractNum w:abstractNumId="426">
    <w:nsid w:val="16AC4B23"/>
    <w:multiLevelType w:val="hybridMultilevel"/>
    <w:lvl w:ilvl="0">
      <w:lvlJc w:val="left"/>
      <w:lvlText w:val="%1."/>
      <w:numFmt w:val="decimal"/>
      <w:start w:val="8"/>
    </w:lvl>
  </w:abstractNum>
  <w:abstractNum w:abstractNumId="427">
    <w:nsid w:val="76C44E4E"/>
    <w:multiLevelType w:val="hybridMultilevel"/>
    <w:lvl w:ilvl="0">
      <w:lvlJc w:val="left"/>
      <w:lvlText w:val="%1."/>
      <w:numFmt w:val="decimal"/>
      <w:start w:val="9"/>
    </w:lvl>
  </w:abstractNum>
  <w:abstractNum w:abstractNumId="428">
    <w:nsid w:val="E04E6CE"/>
    <w:multiLevelType w:val="hybridMultilevel"/>
    <w:lvl w:ilvl="0">
      <w:lvlJc w:val="left"/>
      <w:lvlText w:val="%1."/>
      <w:numFmt w:val="decimal"/>
      <w:start w:val="10"/>
    </w:lvl>
  </w:abstractNum>
  <w:abstractNum w:abstractNumId="429">
    <w:nsid w:val="31A9DB76"/>
    <w:multiLevelType w:val="hybridMultilevel"/>
    <w:lvl w:ilvl="0">
      <w:lvlJc w:val="left"/>
      <w:lvlText w:val="%1."/>
      <w:numFmt w:val="decimal"/>
      <w:start w:val="11"/>
    </w:lvl>
  </w:abstractNum>
  <w:abstractNum w:abstractNumId="430">
    <w:nsid w:val="4C4FFF5B"/>
    <w:multiLevelType w:val="hybridMultilevel"/>
    <w:lvl w:ilvl="0">
      <w:lvlJc w:val="left"/>
      <w:lvlText w:val="%1."/>
      <w:numFmt w:val="decimal"/>
      <w:start w:val="12"/>
    </w:lvl>
  </w:abstractNum>
  <w:abstractNum w:abstractNumId="431">
    <w:nsid w:val="51B76675"/>
    <w:multiLevelType w:val="hybridMultilevel"/>
    <w:lvl w:ilvl="0">
      <w:lvlJc w:val="left"/>
      <w:lvlText w:val="%1."/>
      <w:numFmt w:val="decimal"/>
      <w:start w:val="13"/>
    </w:lvl>
  </w:abstractNum>
  <w:abstractNum w:abstractNumId="432">
    <w:nsid w:val="59A4BA71"/>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2020-12-31T05:14:57Z</dcterms:created>
  <dcterms:modified xsi:type="dcterms:W3CDTF">2020-12-31T05:14:57Z</dcterms:modified>
</cp:coreProperties>
</file>