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September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3"/>
              </w:rPr>
              <w:t>Delaware</w:t>
            </w:r>
          </w:p>
        </w:tc>
        <w:tc>
          <w:tcPr>
            <w:tcW w:w="276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001-39830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84-2968594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6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2"/>
              </w:rPr>
              <w:t>985 Industrial Road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2"/>
              </w:rPr>
              <w:t>San Carlos, CA</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94070</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817-9012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East Putman Avenue, Floor 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Warrants, each whole warrant exercisable for</w:t>
            </w:r>
          </w:p>
        </w:tc>
        <w:tc>
          <w:tcPr>
            <w:tcW w:w="38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8"/>
              </w:rPr>
              <w:t>PRSTW</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one 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disclosed, on November 10, 2021, Ventoux CCM Acquisition Corp. (“</w:t>
      </w:r>
      <w:r>
        <w:rPr>
          <w:rFonts w:ascii="Arial" w:cs="Arial" w:eastAsia="Arial" w:hAnsi="Arial"/>
          <w:sz w:val="18"/>
          <w:szCs w:val="18"/>
          <w:u w:val="single" w:color="auto"/>
          <w:color w:val="auto"/>
        </w:rPr>
        <w:t>VTAQ</w:t>
      </w:r>
      <w:r>
        <w:rPr>
          <w:rFonts w:ascii="Arial" w:cs="Arial" w:eastAsia="Arial" w:hAnsi="Arial"/>
          <w:sz w:val="18"/>
          <w:szCs w:val="18"/>
          <w:color w:val="auto"/>
        </w:rPr>
        <w:t>”), Ventoux Merger Sub I Inc. (“</w:t>
      </w:r>
      <w:r>
        <w:rPr>
          <w:rFonts w:ascii="Arial" w:cs="Arial" w:eastAsia="Arial" w:hAnsi="Arial"/>
          <w:sz w:val="18"/>
          <w:szCs w:val="18"/>
          <w:u w:val="single" w:color="auto"/>
          <w:color w:val="auto"/>
        </w:rPr>
        <w:t>Ventoux Merger Sub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Ventoux Merger Sub II LLC (“</w:t>
      </w:r>
      <w:r>
        <w:rPr>
          <w:rFonts w:ascii="Arial" w:cs="Arial" w:eastAsia="Arial" w:hAnsi="Arial"/>
          <w:sz w:val="18"/>
          <w:szCs w:val="18"/>
          <w:u w:val="single" w:color="auto"/>
          <w:color w:val="auto"/>
        </w:rPr>
        <w:t>Ventoux Merger Sub II</w:t>
      </w:r>
      <w:r>
        <w:rPr>
          <w:rFonts w:ascii="Arial" w:cs="Arial" w:eastAsia="Arial" w:hAnsi="Arial"/>
          <w:sz w:val="18"/>
          <w:szCs w:val="18"/>
          <w:color w:val="auto"/>
        </w:rPr>
        <w:t>”), and E La Carte, Inc. (“</w:t>
      </w:r>
      <w:r>
        <w:rPr>
          <w:rFonts w:ascii="Arial" w:cs="Arial" w:eastAsia="Arial" w:hAnsi="Arial"/>
          <w:sz w:val="18"/>
          <w:szCs w:val="18"/>
          <w:u w:val="single" w:color="auto"/>
          <w:color w:val="auto"/>
        </w:rPr>
        <w:t>Legacy Presto</w:t>
      </w:r>
      <w:r>
        <w:rPr>
          <w:rFonts w:ascii="Arial" w:cs="Arial" w:eastAsia="Arial" w:hAnsi="Arial"/>
          <w:sz w:val="18"/>
          <w:szCs w:val="18"/>
          <w:color w:val="auto"/>
        </w:rPr>
        <w:t>”) entered into an Agreement and Plan of Merger, as amended on April 1, 2022 and July 25, 2022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transactions, on September 21, 2022 (the “Closing Date”), Ventoux Merger Sub I merged with and into Legacy Presto (the “</w:t>
      </w:r>
      <w:r>
        <w:rPr>
          <w:rFonts w:ascii="Arial" w:cs="Arial" w:eastAsia="Arial" w:hAnsi="Arial"/>
          <w:sz w:val="18"/>
          <w:szCs w:val="18"/>
          <w:u w:val="single" w:color="auto"/>
          <w:color w:val="auto"/>
        </w:rPr>
        <w:t>First Merger</w:t>
      </w:r>
      <w:r>
        <w:rPr>
          <w:rFonts w:ascii="Arial" w:cs="Arial" w:eastAsia="Arial" w:hAnsi="Arial"/>
          <w:sz w:val="18"/>
          <w:szCs w:val="18"/>
          <w:color w:val="auto"/>
        </w:rPr>
        <w:t>”), with Legacy Presto surviving as a wholly-owned subsidiary of VTAQ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immediately following the First Merger and as part of the same overall transaction as the First Merger, the Surviving Corporation merged with and into Ventoux Merger Sub II (the “</w:t>
      </w:r>
      <w:r>
        <w:rPr>
          <w:rFonts w:ascii="Arial" w:cs="Arial" w:eastAsia="Arial" w:hAnsi="Arial"/>
          <w:sz w:val="18"/>
          <w:szCs w:val="18"/>
          <w:u w:val="single" w:color="auto"/>
          <w:color w:val="auto"/>
        </w:rPr>
        <w:t>Second Merger</w:t>
      </w:r>
      <w:r>
        <w:rPr>
          <w:rFonts w:ascii="Arial" w:cs="Arial" w:eastAsia="Arial" w:hAnsi="Arial"/>
          <w:sz w:val="18"/>
          <w:szCs w:val="18"/>
          <w:color w:val="auto"/>
        </w:rPr>
        <w:t>”), with Ventoux Merger Sub II surviving as a wholly-owned subsidiary of VTAQ (the First Merger and Second Merger, together with the other transactions described in the Merger Agreement, the “</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Combination</w:t>
      </w:r>
      <w:r>
        <w:rPr>
          <w:rFonts w:ascii="Arial" w:cs="Arial" w:eastAsia="Arial" w:hAnsi="Arial"/>
          <w:sz w:val="18"/>
          <w:szCs w:val="18"/>
          <w:color w:val="auto"/>
        </w:rPr>
        <w:t>”). In connection with the closing of the Business Combination, VTAQ changed its name to “Presto Automation Inc.” (sometimes referred to herein as “</w:t>
      </w:r>
      <w:r>
        <w:rPr>
          <w:rFonts w:ascii="Arial" w:cs="Arial" w:eastAsia="Arial" w:hAnsi="Arial"/>
          <w:sz w:val="18"/>
          <w:szCs w:val="18"/>
          <w:u w:val="single" w:color="auto"/>
          <w:color w:val="auto"/>
        </w:rPr>
        <w:t>New Presto</w:t>
      </w:r>
      <w:r>
        <w:rPr>
          <w:rFonts w:ascii="Arial" w:cs="Arial" w:eastAsia="Arial" w:hAnsi="Arial"/>
          <w:sz w:val="18"/>
          <w:szCs w:val="18"/>
          <w:color w:val="auto"/>
        </w:rPr>
        <w:t>”).</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14, 2022, VTAQ held a special meeting of its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the Business Combination. At the Special Meeting, VTAQ stockholders voted to approve the Business Combination with Legacy Presto and related proposals. Prior to the Special Meeting, a total of 323,877 shares of common stock, par value $0.0001, of VTAQ (“</w:t>
      </w:r>
      <w:r>
        <w:rPr>
          <w:rFonts w:ascii="Arial" w:cs="Arial" w:eastAsia="Arial" w:hAnsi="Arial"/>
          <w:sz w:val="18"/>
          <w:szCs w:val="18"/>
          <w:u w:val="single" w:color="auto"/>
          <w:color w:val="auto"/>
        </w:rPr>
        <w:t>VTAQ Common Stock</w:t>
      </w:r>
      <w:r>
        <w:rPr>
          <w:rFonts w:ascii="Arial" w:cs="Arial" w:eastAsia="Arial" w:hAnsi="Arial"/>
          <w:sz w:val="18"/>
          <w:szCs w:val="18"/>
          <w:color w:val="auto"/>
        </w:rPr>
        <w:t>”) were presented for redemption for cash at a price of approximately $10.20 per share in connection with the Special Meeting.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the context otherwise requires, “we,” “us,” “our” and the “Company” refer to VTAQ and its consolidated subsidiaries prior to the completion of the Business Combination (the “</w:t>
      </w:r>
      <w:r>
        <w:rPr>
          <w:rFonts w:ascii="Arial" w:cs="Arial" w:eastAsia="Arial" w:hAnsi="Arial"/>
          <w:sz w:val="18"/>
          <w:szCs w:val="18"/>
          <w:u w:val="single" w:color="auto"/>
          <w:color w:val="auto"/>
        </w:rPr>
        <w:t>Closing</w:t>
      </w:r>
      <w:r>
        <w:rPr>
          <w:rFonts w:ascii="Arial" w:cs="Arial" w:eastAsia="Arial" w:hAnsi="Arial"/>
          <w:sz w:val="18"/>
          <w:szCs w:val="18"/>
          <w:color w:val="auto"/>
        </w:rPr>
        <w:t>”) and New Presto and its consolidated subsidiaries following the Closing. All references herein to the “Board” refer to the board of directors of VTAQ or New Presto, as applicable.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and upon the Closing, among other things, VTAQ issued to stockholders of Legacy Presto an aggregate of 36,760,009 shares of common stock, par value $0.0001 per share, of New Presto (“</w:t>
      </w:r>
      <w:r>
        <w:rPr>
          <w:rFonts w:ascii="Arial" w:cs="Arial" w:eastAsia="Arial" w:hAnsi="Arial"/>
          <w:sz w:val="16"/>
          <w:szCs w:val="16"/>
          <w:u w:val="single" w:color="auto"/>
          <w:color w:val="auto"/>
        </w:rPr>
        <w:t>New Presto Common Stock</w:t>
      </w:r>
      <w:r>
        <w:rPr>
          <w:rFonts w:ascii="Arial" w:cs="Arial" w:eastAsia="Arial" w:hAnsi="Arial"/>
          <w:sz w:val="16"/>
          <w:szCs w:val="16"/>
          <w:color w:val="auto"/>
        </w:rPr>
        <w:t>”) at a deemed per share price of $10.00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and the right to receive up to an aggregate of 15,000,000 shares of New Presto Common Stock if certain price-based vesting conditions are met following the Closing (the “</w:t>
      </w:r>
      <w:r>
        <w:rPr>
          <w:rFonts w:ascii="Arial" w:cs="Arial" w:eastAsia="Arial" w:hAnsi="Arial"/>
          <w:sz w:val="16"/>
          <w:szCs w:val="16"/>
          <w:u w:val="single" w:color="auto"/>
          <w:color w:val="auto"/>
        </w:rPr>
        <w:t>Contingent Consideration</w:t>
      </w:r>
      <w:r>
        <w:rPr>
          <w:rFonts w:ascii="Arial" w:cs="Arial" w:eastAsia="Arial" w:hAnsi="Arial"/>
          <w:sz w:val="16"/>
          <w:szCs w:val="16"/>
          <w:color w:val="auto"/>
        </w:rPr>
        <w:t>”). Substantially all of the New Presto Common Stock issued to stockholders of Legacy Presto is subject to an 18-month lock-up period following the Closing pursuant to the Amended and Restated Bylaws of New Presto (“</w:t>
      </w:r>
      <w:r>
        <w:rPr>
          <w:rFonts w:ascii="Arial" w:cs="Arial" w:eastAsia="Arial" w:hAnsi="Arial"/>
          <w:sz w:val="16"/>
          <w:szCs w:val="16"/>
          <w:u w:val="single" w:color="auto"/>
          <w:color w:val="auto"/>
        </w:rPr>
        <w:t>New Bylaws</w:t>
      </w:r>
      <w:r>
        <w:rPr>
          <w:rFonts w:ascii="Arial" w:cs="Arial" w:eastAsia="Arial" w:hAnsi="Arial"/>
          <w:sz w:val="16"/>
          <w:szCs w:val="16"/>
          <w:color w:val="auto"/>
        </w:rPr>
        <w:t>”) and/or the Amended and Restated Support Agreement, dated as of July 25, 2022, between VTAQ, Legacy Presto, and certain stockholders of Legacy Presto.</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the effective time of the Business Combination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outstanding option to purchase shares of Legacy Presto common stock (a “</w:t>
      </w:r>
      <w:r>
        <w:rPr>
          <w:rFonts w:ascii="Arial" w:cs="Arial" w:eastAsia="Arial" w:hAnsi="Arial"/>
          <w:sz w:val="16"/>
          <w:szCs w:val="16"/>
          <w:u w:val="single" w:color="auto"/>
          <w:color w:val="auto"/>
        </w:rPr>
        <w:t>Legacy Presto Option</w:t>
      </w:r>
      <w:r>
        <w:rPr>
          <w:rFonts w:ascii="Arial" w:cs="Arial" w:eastAsia="Arial" w:hAnsi="Arial"/>
          <w:sz w:val="16"/>
          <w:szCs w:val="16"/>
          <w:color w:val="auto"/>
        </w:rPr>
        <w:t>”) was assumed by New Presto and converted into (i) an option to acquire New Presto Common Stock with the same terms and conditions as applied to the Legacy Presto Option immediately prior to the Effective Time (a “</w:t>
      </w:r>
      <w:r>
        <w:rPr>
          <w:rFonts w:ascii="Arial" w:cs="Arial" w:eastAsia="Arial" w:hAnsi="Arial"/>
          <w:sz w:val="16"/>
          <w:szCs w:val="16"/>
          <w:u w:val="single" w:color="auto"/>
          <w:color w:val="auto"/>
        </w:rPr>
        <w:t>New Presto Option</w:t>
      </w:r>
      <w:r>
        <w:rPr>
          <w:rFonts w:ascii="Arial" w:cs="Arial" w:eastAsia="Arial" w:hAnsi="Arial"/>
          <w:sz w:val="16"/>
          <w:szCs w:val="16"/>
          <w:color w:val="auto"/>
        </w:rPr>
        <w:t>”); and (ii) the right to receive, with respect to each share of Legacy Presto common stock subject to a Legacy Presto Option immediately prior to the Effective Time, certain Contingent Consideration (if any). The number of shares underlying a New Presto Option was determined by multiplying (i) the number of shares of Legacy Presto common stock subject to a Legacy Presto Option immediately prior to the Effective Time, by (ii) the Exchange Ratio (as defined in the Merger Agreement), rounded down to the nearest whole number of shares, and the per share exercise price of such New Presto Option was determined by dividing (i) the per share exercise price immediately prior to the Effective Time by (ii) the Exchange Ratio, rounded up to the nearest whole cent.</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Effective Time, each outstanding restricted stock unit of Legacy Presto (a “</w:t>
      </w:r>
      <w:r>
        <w:rPr>
          <w:rFonts w:ascii="Arial" w:cs="Arial" w:eastAsia="Arial" w:hAnsi="Arial"/>
          <w:sz w:val="17"/>
          <w:szCs w:val="17"/>
          <w:u w:val="single" w:color="auto"/>
          <w:color w:val="auto"/>
        </w:rPr>
        <w:t>Legacy Presto RSU</w:t>
      </w:r>
      <w:r>
        <w:rPr>
          <w:rFonts w:ascii="Arial" w:cs="Arial" w:eastAsia="Arial" w:hAnsi="Arial"/>
          <w:sz w:val="17"/>
          <w:szCs w:val="17"/>
          <w:color w:val="auto"/>
        </w:rPr>
        <w:t>”) was assumed by New Presto and converted into (i) a restricted stock unit to acquire New Presto Common Stock (a “</w:t>
      </w:r>
      <w:r>
        <w:rPr>
          <w:rFonts w:ascii="Arial" w:cs="Arial" w:eastAsia="Arial" w:hAnsi="Arial"/>
          <w:sz w:val="17"/>
          <w:szCs w:val="17"/>
          <w:u w:val="single" w:color="auto"/>
          <w:color w:val="auto"/>
        </w:rPr>
        <w:t>New Presto RSU</w:t>
      </w:r>
      <w:r>
        <w:rPr>
          <w:rFonts w:ascii="Arial" w:cs="Arial" w:eastAsia="Arial" w:hAnsi="Arial"/>
          <w:sz w:val="17"/>
          <w:szCs w:val="17"/>
          <w:color w:val="auto"/>
        </w:rPr>
        <w:t>”) with the same terms and conditions as applied to a Legacy Presto RSU immediately prior to the Effective Time; and (ii) the right to receive, with respect to each share of Legacy Presto common stock subject to a Legacy Presto RSU immediately prior to the Effective Time, certain Contingent Consideration (if any). The number of shares underlying a New Presto RSU was determined by multiplying (i) the number of shares of Legacy Presto common stock subject to a Legacy Presto RSU immediately prior to the Effective Time, by (ii) the Exchange Ratio, rounded down to the nearest whole number of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ind w:firstLine="648"/>
        <w:spacing w:after="0" w:line="270" w:lineRule="auto"/>
        <w:rPr>
          <w:sz w:val="20"/>
          <w:szCs w:val="20"/>
          <w:color w:val="auto"/>
        </w:rPr>
      </w:pPr>
      <w:r>
        <w:rPr>
          <w:rFonts w:ascii="Arial" w:cs="Arial" w:eastAsia="Arial" w:hAnsi="Arial"/>
          <w:sz w:val="17"/>
          <w:szCs w:val="17"/>
          <w:color w:val="auto"/>
        </w:rPr>
        <w:t>Immediately prior to the Effective Time, VTAQ issued an aggregate of 7,143,687 shares of New Presto Common Stock to certain investors (the “</w:t>
      </w:r>
      <w:r>
        <w:rPr>
          <w:rFonts w:ascii="Arial" w:cs="Arial" w:eastAsia="Arial" w:hAnsi="Arial"/>
          <w:sz w:val="17"/>
          <w:szCs w:val="17"/>
          <w:u w:val="single" w:color="auto"/>
          <w:color w:val="auto"/>
        </w:rPr>
        <w:t>Equity PIPE Investors</w:t>
      </w:r>
      <w:r>
        <w:rPr>
          <w:rFonts w:ascii="Arial" w:cs="Arial" w:eastAsia="Arial" w:hAnsi="Arial"/>
          <w:sz w:val="17"/>
          <w:szCs w:val="17"/>
          <w:color w:val="auto"/>
        </w:rPr>
        <w:t>”) for aggregate proceeds of $55.5 million to New Presto (the “</w:t>
      </w:r>
      <w:r>
        <w:rPr>
          <w:rFonts w:ascii="Arial" w:cs="Arial" w:eastAsia="Arial" w:hAnsi="Arial"/>
          <w:sz w:val="17"/>
          <w:szCs w:val="17"/>
          <w:u w:val="single" w:color="auto"/>
          <w:color w:val="auto"/>
        </w:rPr>
        <w:t>Equity PIPE Investment</w:t>
      </w:r>
      <w:r>
        <w:rPr>
          <w:rFonts w:ascii="Arial" w:cs="Arial" w:eastAsia="Arial" w:hAnsi="Arial"/>
          <w:sz w:val="17"/>
          <w:szCs w:val="17"/>
          <w:color w:val="auto"/>
        </w:rPr>
        <w:t>”). In connection with the Equity PIPE Investment, Ventoux Acquisition Holdings LLC and Chardan International Investments, LLC (together, the “</w:t>
      </w:r>
      <w:r>
        <w:rPr>
          <w:rFonts w:ascii="Arial" w:cs="Arial" w:eastAsia="Arial" w:hAnsi="Arial"/>
          <w:sz w:val="17"/>
          <w:szCs w:val="17"/>
          <w:u w:val="single" w:color="auto"/>
          <w:color w:val="auto"/>
        </w:rPr>
        <w:t>Sponsors</w:t>
      </w:r>
      <w:r>
        <w:rPr>
          <w:rFonts w:ascii="Arial" w:cs="Arial" w:eastAsia="Arial" w:hAnsi="Arial"/>
          <w:sz w:val="17"/>
          <w:szCs w:val="17"/>
          <w:color w:val="auto"/>
        </w:rPr>
        <w:t>”) transferred an aggregate of 456,296 shares of VTAQ Common Stock to certain of the Equity PIPE Investors. The Equity PIPE Investment included a $50 million investment from an entity affiliated with Cleveland Avenue, LLC (“</w:t>
      </w:r>
      <w:r>
        <w:rPr>
          <w:rFonts w:ascii="Arial" w:cs="Arial" w:eastAsia="Arial" w:hAnsi="Arial"/>
          <w:sz w:val="17"/>
          <w:szCs w:val="17"/>
          <w:u w:val="single" w:color="auto"/>
          <w:color w:val="auto"/>
        </w:rPr>
        <w:t>Cleveland Avenue</w:t>
      </w:r>
      <w:r>
        <w:rPr>
          <w:rFonts w:ascii="Arial" w:cs="Arial" w:eastAsia="Arial" w:hAnsi="Arial"/>
          <w:sz w:val="17"/>
          <w:szCs w:val="17"/>
          <w:color w:val="auto"/>
        </w:rPr>
        <w:t>”) at an effective price per share of $7.14. The effective price per share of Cleveland Avenue’s investment takes into account (i) the subscription of 6,593,687 shares of New Presto Common Stock for an aggregate purchase price of $50 million and (ii) the transfer of 406,313 shares of VTAQ Common Stock by the Sponsors to Cleveland Avenue for nominal consideration. As a result, at the Closing, the exercise price of VTAQ’s public warrants was reduced from $11.50 per share to $8.21 per share pursuant to the terms of VTAQ’s warrant agreement, dated as of December 23, 2020 (the “</w:t>
      </w:r>
      <w:r>
        <w:rPr>
          <w:rFonts w:ascii="Arial" w:cs="Arial" w:eastAsia="Arial" w:hAnsi="Arial"/>
          <w:sz w:val="17"/>
          <w:szCs w:val="17"/>
          <w:u w:val="single" w:color="auto"/>
          <w:color w:val="auto"/>
        </w:rPr>
        <w:t>Existing Warrant Agreement</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Closing, pursuant to the Amended and Restated Sponsor Support Agreement, dated as of July 25, 2022, between the Sponsors, certain directors, executive officers, and affiliates of the Sponsors (“</w:t>
      </w:r>
      <w:r>
        <w:rPr>
          <w:rFonts w:ascii="Arial" w:cs="Arial" w:eastAsia="Arial" w:hAnsi="Arial"/>
          <w:sz w:val="17"/>
          <w:szCs w:val="17"/>
          <w:u w:val="single" w:color="auto"/>
          <w:color w:val="auto"/>
        </w:rPr>
        <w:t>Insiders</w:t>
      </w:r>
      <w:r>
        <w:rPr>
          <w:rFonts w:ascii="Arial" w:cs="Arial" w:eastAsia="Arial" w:hAnsi="Arial"/>
          <w:sz w:val="17"/>
          <w:szCs w:val="17"/>
          <w:color w:val="auto"/>
        </w:rPr>
        <w:t>”), VTAQ, and Legacy Presto (the “</w:t>
      </w:r>
      <w:r>
        <w:rPr>
          <w:rFonts w:ascii="Arial" w:cs="Arial" w:eastAsia="Arial" w:hAnsi="Arial"/>
          <w:sz w:val="17"/>
          <w:szCs w:val="17"/>
          <w:u w:val="single" w:color="auto"/>
          <w:color w:val="auto"/>
        </w:rPr>
        <w:t>Sponsor Support Agreement</w:t>
      </w:r>
      <w:r>
        <w:rPr>
          <w:rFonts w:ascii="Arial" w:cs="Arial" w:eastAsia="Arial" w:hAnsi="Arial"/>
          <w:sz w:val="17"/>
          <w:szCs w:val="17"/>
          <w:color w:val="auto"/>
        </w:rPr>
        <w:t>”), the Sponsors and Insiders (and any permitted transferees of the Sponsors and Insiders pursuant to the terms of the Sponsor Support Agreement) (i) subjected an aggregate of 444,500 shares of VTAQ Common Stock held by them to earnout, which shares will be forfeited if certain price-based vesting conditions are not met during the five-year period following the Closing, (ii) subjected all of the shares of VTAQ Common Stock held by them to an 18-month lock-up, (iii) forfeited an aggregate of 550,000 of their VTAQ warrants (the “</w:t>
      </w:r>
      <w:r>
        <w:rPr>
          <w:rFonts w:ascii="Arial" w:cs="Arial" w:eastAsia="Arial" w:hAnsi="Arial"/>
          <w:sz w:val="17"/>
          <w:szCs w:val="17"/>
          <w:u w:val="single" w:color="auto"/>
          <w:color w:val="auto"/>
        </w:rPr>
        <w:t>Private Warrants</w:t>
      </w:r>
      <w:r>
        <w:rPr>
          <w:rFonts w:ascii="Arial" w:cs="Arial" w:eastAsia="Arial" w:hAnsi="Arial"/>
          <w:sz w:val="17"/>
          <w:szCs w:val="17"/>
          <w:color w:val="auto"/>
        </w:rPr>
        <w:t>”), and (iv) waived any adjustment to the exercise price of the Private Warrants held by them pursuant to the Existing Warrant Agreement.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Immediately after giving effect to the Business Combination, there were 69,012,713 issued and outstanding shares of New Presto Common Stock, which includes the Merger Consideration, the shares issued in the Equity PIPE Investment, shares of New Presto Common Stock underlying issued and outstanding warrants of New Presto (“</w:t>
      </w:r>
      <w:r>
        <w:rPr>
          <w:rFonts w:ascii="Arial" w:cs="Arial" w:eastAsia="Arial" w:hAnsi="Arial"/>
          <w:sz w:val="17"/>
          <w:szCs w:val="17"/>
          <w:u w:val="single" w:color="auto"/>
          <w:color w:val="auto"/>
        </w:rPr>
        <w:t>New Presto Warrants</w:t>
      </w:r>
      <w:r>
        <w:rPr>
          <w:rFonts w:ascii="Arial" w:cs="Arial" w:eastAsia="Arial" w:hAnsi="Arial"/>
          <w:sz w:val="17"/>
          <w:szCs w:val="17"/>
          <w:color w:val="auto"/>
        </w:rPr>
        <w:t>”) and the New Presto Common Stock held by VTAQ stockholders and the Sponsors (including those shares subject to vesting pursuant to the Sponsor Support Agreement), but does not include Contingent Consideration or shares which may be issued under the Incentive Plan or ESPP (as such terms are defined below). As of the Closing Date, Legacy Presto’s stockholders beneficially owned approximately 73.72% of the outstanding shares of New Presto Common Stock, the public stockholders of VTAQ immediately prior to the Closing beneficially owned approximately 1.76% of the outstanding shares of New Presto Common Stock, the holders of VTAQ Rights (as defined below) beneficially owned approximately 1.63% of the outstanding shares of New Presto Common Stock, VTAQ’s Sponsors and initial stockholders beneficially owned approximately 6.17% of the outstanding shares of New Presto Common Stock, the Equity PIPE Investors beneficially owned approximately 14.40% of the outstanding shares of New Presto Common Stock, and affiliates of Metropolitan Partners Group Administration, LLC (“</w:t>
      </w:r>
      <w:r>
        <w:rPr>
          <w:rFonts w:ascii="Arial" w:cs="Arial" w:eastAsia="Arial" w:hAnsi="Arial"/>
          <w:sz w:val="17"/>
          <w:szCs w:val="17"/>
          <w:u w:val="single" w:color="auto"/>
          <w:color w:val="auto"/>
        </w:rPr>
        <w:t>Metropolitan</w:t>
      </w:r>
      <w:r>
        <w:rPr>
          <w:rFonts w:ascii="Arial" w:cs="Arial" w:eastAsia="Arial" w:hAnsi="Arial"/>
          <w:sz w:val="17"/>
          <w:szCs w:val="17"/>
          <w:color w:val="auto"/>
        </w:rPr>
        <w:t>”) beneficially owned approximately 1.14% of the outstanding shares of New Presto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and Ancillary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21, 2022, in connection with the consummation of the Business Combination, New Presto entered into a 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with the Surviving Corporation, Metropolitan, as administrative, payment and collateral agent (the “</w:t>
      </w:r>
      <w:r>
        <w:rPr>
          <w:rFonts w:ascii="Arial" w:cs="Arial" w:eastAsia="Arial" w:hAnsi="Arial"/>
          <w:sz w:val="18"/>
          <w:szCs w:val="18"/>
          <w:u w:val="single" w:color="auto"/>
          <w:color w:val="auto"/>
        </w:rPr>
        <w:t>Agent</w:t>
      </w:r>
      <w:r>
        <w:rPr>
          <w:rFonts w:ascii="Arial" w:cs="Arial" w:eastAsia="Arial" w:hAnsi="Arial"/>
          <w:sz w:val="18"/>
          <w:szCs w:val="18"/>
          <w:color w:val="auto"/>
        </w:rPr>
        <w:t>”), the lenders (“</w:t>
      </w:r>
      <w:r>
        <w:rPr>
          <w:rFonts w:ascii="Arial" w:cs="Arial" w:eastAsia="Arial" w:hAnsi="Arial"/>
          <w:sz w:val="18"/>
          <w:szCs w:val="18"/>
          <w:u w:val="single" w:color="auto"/>
          <w:color w:val="auto"/>
        </w:rPr>
        <w:t>Lenders</w:t>
      </w:r>
      <w:r>
        <w:rPr>
          <w:rFonts w:ascii="Arial" w:cs="Arial" w:eastAsia="Arial" w:hAnsi="Arial"/>
          <w:sz w:val="18"/>
          <w:szCs w:val="18"/>
          <w:color w:val="auto"/>
        </w:rPr>
        <w:t>”) and other parties party thereto, pursuant to which the Lenders extended term loans having an aggregate original principal amount of $55 million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w:t>
      </w:r>
      <w:r>
        <w:rPr>
          <w:rFonts w:ascii="Arial" w:cs="Arial" w:eastAsia="Arial" w:hAnsi="Arial"/>
          <w:sz w:val="16"/>
          <w:szCs w:val="16"/>
          <w:u w:val="single" w:color="auto"/>
          <w:color w:val="auto"/>
        </w:rPr>
        <w:t>PIK Interest</w:t>
      </w:r>
      <w:r>
        <w:rPr>
          <w:rFonts w:ascii="Arial" w:cs="Arial" w:eastAsia="Arial" w:hAnsi="Arial"/>
          <w:sz w:val="16"/>
          <w:szCs w:val="16"/>
          <w:color w:val="auto"/>
        </w:rPr>
        <w: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ind w:firstLine="648"/>
        <w:spacing w:after="0" w:line="255" w:lineRule="auto"/>
        <w:rPr>
          <w:sz w:val="20"/>
          <w:szCs w:val="20"/>
          <w:color w:val="auto"/>
        </w:rPr>
      </w:pPr>
      <w:r>
        <w:rPr>
          <w:rFonts w:ascii="Arial" w:cs="Arial" w:eastAsia="Arial" w:hAnsi="Arial"/>
          <w:sz w:val="18"/>
          <w:szCs w:val="18"/>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92"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500 basis points.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Credit Agreement is not complete and is subject to and qualified in its entirety by reference to the Credit Agreement, a copy of which is attached hereto as Exhibit 10.1 and the terms of which are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Subscription Agreement and Founder Share Transfer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Term Loans, New Presto also agreed to issue the Lenders under the Term Loans 1,500,000 New Presto Warrants, and the Sponsors agreed to transfer the Lenders an aggregate of 600,000 founder shares. The New Presto Warrants have substantially similar terms to the Private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September 21, 2022, in connection with the consummation of the Business Combination and as contemplated by the Merger Agreement, the Company entered into the Amended and Restated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with the Sponsors, New Presto’s directors and officers, certain stockholders of VTAQ, Metropolitan and certain stockholders of Legacy Presto. Pursuant to the Registration Rights Agreement, New Presto agreed to register for resale, pursuant to Rule 415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certain shares of New Presto Common Stock and other equity securities of New Presto that are held by the parties thereto from time to time. The parties to the Registration Rights Agreement are entitled to certain demand and piggyback registration rights, in each case subject to certain limitations set forth in the Registration Rights Agreement. Other material terms of the Registration Rights Agreement are described on page 34 of the final prospectus and definitive proxy statement, dated as of August 12, 2022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entitled “</w:t>
      </w:r>
      <w:r>
        <w:rPr>
          <w:rFonts w:ascii="Arial" w:cs="Arial" w:eastAsia="Arial" w:hAnsi="Arial"/>
          <w:sz w:val="16"/>
          <w:szCs w:val="16"/>
          <w:i w:val="1"/>
          <w:iCs w:val="1"/>
          <w:color w:val="auto"/>
        </w:rPr>
        <w:t>Summary of the Proxy Statement / Prospectus—Ancillary</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Agreements—Amended and Restated Registration Rights Agreement</w:t>
      </w:r>
      <w:r>
        <w:rPr>
          <w:rFonts w:ascii="Arial" w:cs="Arial" w:eastAsia="Arial" w:hAnsi="Arial"/>
          <w:sz w:val="16"/>
          <w:szCs w:val="16"/>
          <w:color w:val="auto"/>
        </w:rPr>
        <w:t>” and that information is incorporated herein by reference.</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Registration Rights Agreement is not complete and is subject to and qualified in its entirety by reference to the Registration Rights Agreement, a copy of which is attached hereto as Exhibit 10.2 and the terms of which are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Warrant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21, 2022, in connection with the consummation of the Business Combination and as contemplated by the Merger Agreement, the Company entered into an Amended and Restated Warrant Agreement (“</w:t>
      </w:r>
      <w:r>
        <w:rPr>
          <w:rFonts w:ascii="Arial" w:cs="Arial" w:eastAsia="Arial" w:hAnsi="Arial"/>
          <w:sz w:val="17"/>
          <w:szCs w:val="17"/>
          <w:u w:val="single" w:color="auto"/>
          <w:color w:val="auto"/>
        </w:rPr>
        <w:t>Amended and Restated Warrant Agreement</w:t>
      </w:r>
      <w:r>
        <w:rPr>
          <w:rFonts w:ascii="Arial" w:cs="Arial" w:eastAsia="Arial" w:hAnsi="Arial"/>
          <w:sz w:val="17"/>
          <w:szCs w:val="17"/>
          <w:color w:val="auto"/>
        </w:rPr>
        <w:t>”) with Continental Stock Transfer and Trust Company, as warrant agent (“</w:t>
      </w:r>
      <w:r>
        <w:rPr>
          <w:rFonts w:ascii="Arial" w:cs="Arial" w:eastAsia="Arial" w:hAnsi="Arial"/>
          <w:sz w:val="17"/>
          <w:szCs w:val="17"/>
          <w:u w:val="single" w:color="auto"/>
          <w:color w:val="auto"/>
        </w:rPr>
        <w:t>Continental</w:t>
      </w:r>
      <w:r>
        <w:rPr>
          <w:rFonts w:ascii="Arial" w:cs="Arial" w:eastAsia="Arial" w:hAnsi="Arial"/>
          <w:sz w:val="17"/>
          <w:szCs w:val="17"/>
          <w:color w:val="auto"/>
        </w:rPr>
        <w:t>”), to reflect the issuance of the Metropolitan Warrants, to reflect the transfer of 500,000 Private Warrants (the “</w:t>
      </w:r>
      <w:r>
        <w:rPr>
          <w:rFonts w:ascii="Arial" w:cs="Arial" w:eastAsia="Arial" w:hAnsi="Arial"/>
          <w:sz w:val="17"/>
          <w:szCs w:val="17"/>
          <w:u w:val="single" w:color="auto"/>
          <w:color w:val="auto"/>
        </w:rPr>
        <w:t>Silver Rock Warrants</w:t>
      </w:r>
      <w:r>
        <w:rPr>
          <w:rFonts w:ascii="Arial" w:cs="Arial" w:eastAsia="Arial" w:hAnsi="Arial"/>
          <w:sz w:val="17"/>
          <w:szCs w:val="17"/>
          <w:color w:val="auto"/>
        </w:rPr>
        <w:t>”) to affiliates of Silver Rock Capital Partners LP (“</w:t>
      </w:r>
      <w:r>
        <w:rPr>
          <w:rFonts w:ascii="Arial" w:cs="Arial" w:eastAsia="Arial" w:hAnsi="Arial"/>
          <w:sz w:val="17"/>
          <w:szCs w:val="17"/>
          <w:u w:val="single" w:color="auto"/>
          <w:color w:val="auto"/>
        </w:rPr>
        <w:t>Silver Rock</w:t>
      </w:r>
      <w:r>
        <w:rPr>
          <w:rFonts w:ascii="Arial" w:cs="Arial" w:eastAsia="Arial" w:hAnsi="Arial"/>
          <w:sz w:val="17"/>
          <w:szCs w:val="17"/>
          <w:color w:val="auto"/>
        </w:rPr>
        <w:t>”) and provide that 550,000 of the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Amended and Restated Warrant Agreement is not complete and is subject to and qualified in its entirety by reference to the Amended and Restated Warrant Agreement, a copy of which is attached hereto as Exhibit 10.3 and the terms of which are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Closing, New Presto, Rajat Suri, REMUS Capital, an affiliate of Legacy Presto, Cleveland Avenue and certain other parties set forth therein, entered into a Governance Agreement (the “</w:t>
      </w:r>
      <w:r>
        <w:rPr>
          <w:rFonts w:ascii="Arial" w:cs="Arial" w:eastAsia="Arial" w:hAnsi="Arial"/>
          <w:sz w:val="18"/>
          <w:szCs w:val="18"/>
          <w:u w:val="single" w:color="auto"/>
          <w:color w:val="auto"/>
        </w:rPr>
        <w:t>Governance Agreement</w:t>
      </w:r>
      <w:r>
        <w:rPr>
          <w:rFonts w:ascii="Arial" w:cs="Arial" w:eastAsia="Arial" w:hAnsi="Arial"/>
          <w:sz w:val="18"/>
          <w:szCs w:val="18"/>
          <w:color w:val="auto"/>
        </w:rPr>
        <w:t>”) to provide for certain governance rights and address certain governance matters relating to New Presto. The Governance Agreement provides each of Mr. Suri, Cleveland Avenue and REMUS Capital with the right to nominate one individual to New Presto’s Board, subject to certain qualifications, requirements and exceptions as set forth therein, including varying equity holding threshold requirements. The material terms of the Governance Agreement are described on page 34 of the Proxy Statement/Prospectus in the section entitled “</w:t>
      </w:r>
      <w:r>
        <w:rPr>
          <w:rFonts w:ascii="Arial" w:cs="Arial" w:eastAsia="Arial" w:hAnsi="Arial"/>
          <w:sz w:val="18"/>
          <w:szCs w:val="18"/>
          <w:i w:val="1"/>
          <w:iCs w:val="1"/>
          <w:color w:val="auto"/>
        </w:rPr>
        <w:t>Summary of the Proxy Statement / Prospectus—Ancillary Agreements—Governance Agreement</w:t>
      </w:r>
      <w:r>
        <w:rPr>
          <w:rFonts w:ascii="Arial" w:cs="Arial" w:eastAsia="Arial" w:hAnsi="Arial"/>
          <w:sz w:val="18"/>
          <w:szCs w:val="18"/>
          <w:color w:val="auto"/>
        </w:rPr>
        <w:t>” and that information is incorporated herein by reference.</w:t>
      </w:r>
    </w:p>
    <w:p>
      <w:pPr>
        <w:spacing w:after="0" w:line="19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description of the Governance Agreement does not purport to be complete and is qualified in its entirety by the terms and conditions of the Governance Agreement, which is attached as Exhibit 10.4 hereto, and the terms of which are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September 21, 2022, the Company entered into separate indemnification agreements with each of its directors and executive officers that, among other things, require the Company to indemnify its directors and executive officers from and against all loss and liability suffered and expenses (including attorneys’ fees), judgments, fines and amounts paid in settlement by or on behalf of such director or executive officer in any threatened, pending or completed action, suit or proceeding, whether civil, criminal or administrative or investigative and whether formal or informal, including any appeals, in which such director or executive officer may be involved, or is threatened to be involved, as a party or otherwise, by reason of the fact of that he or she is or was or has agreed to serve as a director, officer, employee or agent of the Company or otherwise at its request, to the fullest extent permitted by Delaware law. Further information about the indemnification of the Company’s directors and executive officers is set forth on page 246 of the Proxy Statement/Prospectus in the section titled “</w:t>
      </w:r>
      <w:r>
        <w:rPr>
          <w:rFonts w:ascii="Arial" w:cs="Arial" w:eastAsia="Arial" w:hAnsi="Arial"/>
          <w:sz w:val="17"/>
          <w:szCs w:val="17"/>
          <w:i w:val="1"/>
          <w:iCs w:val="1"/>
          <w:color w:val="auto"/>
        </w:rPr>
        <w:t>Description of New Presto Securities—Limitation on Liability and Indemnification of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w:t>
      </w:r>
      <w:r>
        <w:rPr>
          <w:rFonts w:ascii="Arial" w:cs="Arial" w:eastAsia="Arial" w:hAnsi="Arial"/>
          <w:sz w:val="17"/>
          <w:szCs w:val="17"/>
          <w:color w:val="auto"/>
        </w:rPr>
        <w:t>” and that information is incorporated herein by reference.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indemnification agreements is not complete and is subject to and qualified in its entirety by reference to the form of indemnification agreement, a copy of which is attached hereto as Exhibit 10.5 and the terms of which are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21, 2022, in connection with the Closing, VTAQ and Chardan Capital Markets, LLC (“</w:t>
      </w:r>
      <w:r>
        <w:rPr>
          <w:rFonts w:ascii="Arial" w:cs="Arial" w:eastAsia="Arial" w:hAnsi="Arial"/>
          <w:sz w:val="18"/>
          <w:szCs w:val="18"/>
          <w:u w:val="single" w:color="auto"/>
          <w:color w:val="auto"/>
        </w:rPr>
        <w:t>Chardan</w:t>
      </w:r>
      <w:r>
        <w:rPr>
          <w:rFonts w:ascii="Arial" w:cs="Arial" w:eastAsia="Arial" w:hAnsi="Arial"/>
          <w:sz w:val="18"/>
          <w:szCs w:val="18"/>
          <w:color w:val="auto"/>
        </w:rPr>
        <w:t>”) waived certain obligations of New Presto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 dated August 9, 2021, by and between VTAQ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21, 2022, in connection with the Closing, VTAQ, Legacy Presto and affiliates of Silver Rock agreed to terminate that certain Amended and Restated Convertible Note Subscription Agreement, dated July 25, 2022 (the “</w:t>
      </w:r>
      <w:r>
        <w:rPr>
          <w:rFonts w:ascii="Arial" w:cs="Arial" w:eastAsia="Arial" w:hAnsi="Arial"/>
          <w:sz w:val="16"/>
          <w:szCs w:val="16"/>
          <w:u w:val="single" w:color="auto"/>
          <w:color w:val="auto"/>
        </w:rPr>
        <w:t>Convertible Note Subscription Agreement</w:t>
      </w:r>
      <w:r>
        <w:rPr>
          <w:rFonts w:ascii="Arial" w:cs="Arial" w:eastAsia="Arial" w:hAnsi="Arial"/>
          <w:sz w:val="16"/>
          <w:szCs w:val="16"/>
          <w:color w:val="auto"/>
        </w:rPr>
        <w:t>”), pursuant to a Termination Agreement by and among VTAQ, Legacy Presto and Silver Rock (the “</w:t>
      </w:r>
      <w:r>
        <w:rPr>
          <w:rFonts w:ascii="Arial" w:cs="Arial" w:eastAsia="Arial" w:hAnsi="Arial"/>
          <w:sz w:val="16"/>
          <w:szCs w:val="16"/>
          <w:u w:val="single" w:color="auto"/>
          <w:color w:val="auto"/>
        </w:rPr>
        <w:t>Termination Agreement</w:t>
      </w:r>
      <w:r>
        <w:rPr>
          <w:rFonts w:ascii="Arial" w:cs="Arial" w:eastAsia="Arial" w:hAnsi="Arial"/>
          <w:sz w:val="16"/>
          <w:szCs w:val="16"/>
          <w:color w:val="auto"/>
        </w:rPr>
        <w:t>”). Pursuant to the Termination Agreement, Silver Rock agreed to terminate the Convertible Note Subscription Agreement in exchange for 400,000 shares of common stock of Legacy Presto which were converted into 322,868 shares of New Presto Common Stock pursuant to the terms of the Merger Agreement, 500,000 warrants held by the Sponsors (which will continue to be entitled to registration rights pursuant to the Registration Right Agreement) and the payment of certain expenses of Silver Rock.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in the “Explanatory Note” above is incorporated into this Item 2.01 by reference.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Item 2.01(f) of Form 8-K states that if the predecessor registrant was a shell company, as VTAQ was immediately before the Business Combination, then the registrant must disclose the information that would be required if the registrant were filing a general form for registration of securities on Form 10. Accordingly, the Company, as the successor issuer to VTAQ, is providing the information below that would be included in a Form 10 if the Company were to file a Form 10. Please note that the information provided below relates to the Company as the combined company after the consummation of the Business Combination, unless otherwise specifically indicated or the context otherwise requires.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information in this Current Report on Form 8-K includes “forward-looking statements” for purposes of the safe harbor provisions of the United States Private Securities Litigation Reform Act of 1995, including statements about the anticipated benefits of the Business Combination, and the financial condition, results of operations, earnings outlook and prospects of VTAQ, Legacy Presto and New Presto. Investors should note that on April 8, 2021, the staff of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issued a public statement entitled “SPACs, IPOs and Liability Risk under the Securities Laws,” in which the SEC staff indicated that there is uncertainty as to the availability of the safe harbor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These forward-looking statements are based on various assumptions, whether or not identified herein, and on the current expectations of New Presto’s management and are not predictions of actual performance. Because forward-looking statements are predictions, projections and other statements about future events that are based on current expectations and assumptions, whether or not identified in this Current Report on Form 8-K, they are subject to inherent uncertainties, risks and changes in circumstances that are difficult to predict. Many factors could cause actual results and condition (financial or otherwise) to differ materially from those indicated in the forward-looking statements, including but not limited to:</w:t>
      </w:r>
    </w:p>
    <w:p>
      <w:pPr>
        <w:spacing w:after="0" w:line="17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incurrence of significant costs in connection with and following the Business Combination, including unexpected costs or expenses;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diminished amount of working capital we received in the Business Combination due to high levels of redemptions of VTAQ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litigation relating to the Business Combination, and litigation and regulatory proceedings relating to our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 and uncertain future prospects and rate of growth due to our limited operating history, including our ability to implement business plans and other expectations;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manage growth profitably, maintain relationships with customers, and retain management and key employees;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intense competition in the restaurant technology space, including with competitors who have significantly more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continued investments in our AI-powered technology platform;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data security and privacy, including the risk of cyber-attacks or other security incidents;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attract, train, and retain a highly-skilled technical workforce;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the New Presto Common Stock and New Presto Warrants on Nasdaq;</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securities’ potential liquidity and trading, including that the price of our securities may be volatile;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issuances, sales or resales of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grant and future exercise of registration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future financing, if needed, and our ability to repay any future indebtedness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partners for a significant portion of our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 including market interest rates;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54 of the Proxy Statement/Prospectus.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foregoing list of factors is not exhaustive. You should carefully consider the foregoing factors and the other risks and uncertainties described in the Proxy Statement/Prospectus and other documents filed or that may be filed by New Presto from time to time with SEC. These forward-looking statements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New Presto. Forward-looking statements speak only as of the date they are made. While New Presto may elect to update these forward-looking statements at some point in the future, New Presto specifically disclaims any obligation to do so. These forward-looking statements should not be relied upon as representing New Presto’s assessments as of any date subsequent to the date of this Current Report on Form 8-K. Accordingly, undue reliance should not be placed upon the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businesses of VTAQ and Legacy Presto prior to the Business Combination and the Company following the Business Combination are described in the Proxy Statement/Prospectus in the sections titled “</w:t>
      </w:r>
      <w:r>
        <w:rPr>
          <w:rFonts w:ascii="Arial" w:cs="Arial" w:eastAsia="Arial" w:hAnsi="Arial"/>
          <w:sz w:val="18"/>
          <w:szCs w:val="18"/>
          <w:i w:val="1"/>
          <w:iCs w:val="1"/>
          <w:color w:val="auto"/>
        </w:rPr>
        <w:t>Information Related to VTAQ</w:t>
      </w:r>
      <w:r>
        <w:rPr>
          <w:rFonts w:ascii="Arial" w:cs="Arial" w:eastAsia="Arial" w:hAnsi="Arial"/>
          <w:sz w:val="18"/>
          <w:szCs w:val="18"/>
          <w:color w:val="auto"/>
        </w:rPr>
        <w:t>” beginning on page 178 and “</w:t>
      </w:r>
      <w:r>
        <w:rPr>
          <w:rFonts w:ascii="Arial" w:cs="Arial" w:eastAsia="Arial" w:hAnsi="Arial"/>
          <w:sz w:val="18"/>
          <w:szCs w:val="18"/>
          <w:i w:val="1"/>
          <w:iCs w:val="1"/>
          <w:color w:val="auto"/>
        </w:rPr>
        <w:t>Information About Presto</w:t>
      </w:r>
      <w:r>
        <w:rPr>
          <w:rFonts w:ascii="Arial" w:cs="Arial" w:eastAsia="Arial" w:hAnsi="Arial"/>
          <w:sz w:val="18"/>
          <w:szCs w:val="18"/>
          <w:color w:val="auto"/>
        </w:rPr>
        <w:t>” beginning on page 191,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risk factors related to the Company’s business and operations and the Business Combination are set forth beginning on page 54 of the Proxy Statement/Prospectus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properties of the Company are described in the Proxy Statement/Prospectus in the section titled “</w:t>
      </w:r>
      <w:r>
        <w:rPr>
          <w:rFonts w:ascii="Arial" w:cs="Arial" w:eastAsia="Arial" w:hAnsi="Arial"/>
          <w:sz w:val="18"/>
          <w:szCs w:val="18"/>
          <w:i w:val="1"/>
          <w:iCs w:val="1"/>
          <w:color w:val="auto"/>
        </w:rPr>
        <w:t>Information About Presto—Our Facilities</w:t>
      </w:r>
      <w:r>
        <w:rPr>
          <w:rFonts w:ascii="Arial" w:cs="Arial" w:eastAsia="Arial" w:hAnsi="Arial"/>
          <w:sz w:val="18"/>
          <w:szCs w:val="18"/>
          <w:color w:val="auto"/>
        </w:rPr>
        <w:t>” on page 198, and that information is incorporated herein by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audited financial statements of VTAQ as of and for the years ended December 31, 2021 and 2020 included in the Proxy Statement/Prospectus beginning on page F-2 are incorporated herein by reference. The unaudited financial statements of VTAQ as of and for the three and six months ended June 30, 2022 filed on VTAQ’s Quarterly Report Form 10-Q with the SEC on August 15, 2022 are incorporated herein by reference.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audited financial statements of Legacy Presto as of and for years ended June 30, 2022, and 2021 are set forth in Exhibit 99.2 and incorporated herein by reference.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condensed combined financial information of Legacy Presto and VTAQ is set forth in Exhibit 99.3 and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Discussion and Analysis of Financial Condition and Results of Operations is set forth in Exhibit 99.4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beneficial ownership of New Presto Common Stock immediately following consummation of the Business Combination by:</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New Presto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person who is an executive officer or director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52,762,713 shares of New Presto Common Stock issued and outstanding immediately following the consummation of the Business Combination.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of New</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 of New</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Presto</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Presto</w:t>
            </w:r>
          </w:p>
        </w:tc>
        <w:tc>
          <w:tcPr>
            <w:tcW w:w="0" w:type="dxa"/>
            <w:vAlign w:val="bottom"/>
          </w:tcPr>
          <w:p>
            <w:pPr>
              <w:spacing w:after="0"/>
              <w:rPr>
                <w:sz w:val="1"/>
                <w:szCs w:val="1"/>
                <w:color w:val="auto"/>
              </w:rPr>
            </w:pPr>
          </w:p>
        </w:tc>
      </w:tr>
      <w:tr>
        <w:trPr>
          <w:trHeight w:val="216"/>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41"/>
        </w:trPr>
        <w:tc>
          <w:tcPr>
            <w:tcW w:w="8640" w:type="dxa"/>
            <w:vAlign w:val="bottom"/>
            <w:gridSpan w:val="2"/>
            <w:vMerge w:val="continue"/>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16"/>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New Presto Directors and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Krishna K. Gupta</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13,549,381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Rajat Suri</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7,466,262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Kravcik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Gail Zauder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Ilya Golubovich</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4,579,508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Kim Axel Lopdrup</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Gupta</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William Healey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40,496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Mosher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40" w:type="dxa"/>
            <w:vAlign w:val="bottom"/>
            <w:gridSpan w:val="2"/>
          </w:tcPr>
          <w:p>
            <w:pPr>
              <w:spacing w:after="0" w:line="256" w:lineRule="exact"/>
              <w:rPr>
                <w:sz w:val="20"/>
                <w:szCs w:val="20"/>
                <w:color w:val="auto"/>
              </w:rPr>
            </w:pPr>
            <w:r>
              <w:rPr>
                <w:rFonts w:ascii="Arial" w:cs="Arial" w:eastAsia="Arial" w:hAnsi="Arial"/>
                <w:sz w:val="18"/>
                <w:szCs w:val="18"/>
                <w:color w:val="auto"/>
              </w:rPr>
              <w:t>Edward Scheetz</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2,008,033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(ten individuals)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27,653,680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New Presto 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Cleveland Avenue, LLC</w:t>
            </w:r>
            <w:r>
              <w:rPr>
                <w:rFonts w:ascii="Arial" w:cs="Arial" w:eastAsia="Arial" w:hAnsi="Arial"/>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New Presto’s stockholders is c/o Presto Automation Inc., 985 Industrial Road, San Carlos, CA 94070.</w:t>
      </w: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(i) 279,680 shares of New Presto Common Stock held of record by KKG Enterprises LLC, for which Krishna K. Gupta is the managing member; (ii) 244,903 shares of New Presto Common Stock held of record by Romulus Capital I, L.P. (“</w:t>
      </w:r>
      <w:r>
        <w:rPr>
          <w:rFonts w:ascii="Arial" w:cs="Arial" w:eastAsia="Arial" w:hAnsi="Arial"/>
          <w:sz w:val="16"/>
          <w:szCs w:val="16"/>
          <w:u w:val="single" w:color="auto"/>
          <w:color w:val="auto"/>
        </w:rPr>
        <w:t>Romulus I</w:t>
      </w:r>
      <w:r>
        <w:rPr>
          <w:rFonts w:ascii="Arial" w:cs="Arial" w:eastAsia="Arial" w:hAnsi="Arial"/>
          <w:sz w:val="16"/>
          <w:szCs w:val="16"/>
          <w:color w:val="auto"/>
        </w:rPr>
        <w:t>”), for which Mr. Gupta is one of two members of Palatine Hill Ventures GP LLC, the general partner of Romulus I, through which Mr. Gupta exercises joint voting and dispositive control of the New Presto Common Stock held by Romulus I; (iii) 3,691,313 shares of New Presto Common Stock held of record by Romulus Capital II, L.P. (“</w:t>
      </w:r>
      <w:r>
        <w:rPr>
          <w:rFonts w:ascii="Arial" w:cs="Arial" w:eastAsia="Arial" w:hAnsi="Arial"/>
          <w:sz w:val="16"/>
          <w:szCs w:val="16"/>
          <w:u w:val="single" w:color="auto"/>
          <w:color w:val="auto"/>
        </w:rPr>
        <w:t>Romulus II</w:t>
      </w:r>
      <w:r>
        <w:rPr>
          <w:rFonts w:ascii="Arial" w:cs="Arial" w:eastAsia="Arial" w:hAnsi="Arial"/>
          <w:sz w:val="16"/>
          <w:szCs w:val="16"/>
          <w:color w:val="auto"/>
        </w:rPr>
        <w:t>”), for which Mr. Gupta is one of two managing members of Romulus Capital II GP, LLC (the “</w:t>
      </w:r>
      <w:r>
        <w:rPr>
          <w:rFonts w:ascii="Arial" w:cs="Arial" w:eastAsia="Arial" w:hAnsi="Arial"/>
          <w:sz w:val="16"/>
          <w:szCs w:val="16"/>
          <w:u w:val="single" w:color="auto"/>
          <w:color w:val="auto"/>
        </w:rPr>
        <w:t>Romulus GP</w:t>
      </w:r>
      <w:r>
        <w:rPr>
          <w:rFonts w:ascii="Arial" w:cs="Arial" w:eastAsia="Arial" w:hAnsi="Arial"/>
          <w:sz w:val="16"/>
          <w:szCs w:val="16"/>
          <w:color w:val="auto"/>
        </w:rPr>
        <w:t>”), the general partner of Romulus II, through which Mr. Gupta exercises joint voting and dispositive control of the New Presto Common Stock held by Romulus II; (iv) 8,118,894 shares of New Presto Common Stock held of record by Romulus Capital III, L.P. (“</w:t>
      </w:r>
      <w:r>
        <w:rPr>
          <w:rFonts w:ascii="Arial" w:cs="Arial" w:eastAsia="Arial" w:hAnsi="Arial"/>
          <w:sz w:val="16"/>
          <w:szCs w:val="16"/>
          <w:u w:val="single" w:color="auto"/>
          <w:color w:val="auto"/>
        </w:rPr>
        <w:t>Romulus III</w:t>
      </w:r>
      <w:r>
        <w:rPr>
          <w:rFonts w:ascii="Arial" w:cs="Arial" w:eastAsia="Arial" w:hAnsi="Arial"/>
          <w:sz w:val="16"/>
          <w:szCs w:val="16"/>
          <w:color w:val="auto"/>
        </w:rPr>
        <w:t>”), for which Mr. Gupta is one of two managing members of Romulus GP, which is the general partner of Romulus III, through which Mr. Gupta exercises joint voting and dispositive control of the New Presto Common Stock held by Romulus III; (v) 162,869 shares of New Presto Common Stock held of record by Romulus ELC B3 Special Opportunity, L.P. (“</w:t>
      </w:r>
      <w:r>
        <w:rPr>
          <w:rFonts w:ascii="Arial" w:cs="Arial" w:eastAsia="Arial" w:hAnsi="Arial"/>
          <w:sz w:val="16"/>
          <w:szCs w:val="16"/>
          <w:u w:val="single" w:color="auto"/>
          <w:color w:val="auto"/>
        </w:rPr>
        <w:t>Romulus Special Opportunity</w:t>
      </w:r>
      <w:r>
        <w:rPr>
          <w:rFonts w:ascii="Arial" w:cs="Arial" w:eastAsia="Arial" w:hAnsi="Arial"/>
          <w:sz w:val="16"/>
          <w:szCs w:val="16"/>
          <w:color w:val="auto"/>
        </w:rPr>
        <w:t>”), for which Mr. Gupta is one of two managing members of Romulus GP, which is the general partner of Romulus Special Opportunity, through which Mr. Gupta exercises joint voting and dispositive control of the New Presto Common Stock held by Romulus Special Opportunity; (vi) 652,740 shares of New Presto Common Stock held of record by Zaffran Special Opportunities LLC, for which Mr. Gupta is the sole general partner; and (vii) 398,982 shares of New Presto Common Stock underlying RSUs.</w:t>
      </w:r>
    </w:p>
    <w:p>
      <w:pPr>
        <w:spacing w:after="0" w:line="7"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of New Presto Common Stock held of record by I2BF Global Investments LTD (“</w:t>
      </w:r>
      <w:r>
        <w:rPr>
          <w:rFonts w:ascii="Arial" w:cs="Arial" w:eastAsia="Arial" w:hAnsi="Arial"/>
          <w:sz w:val="18"/>
          <w:szCs w:val="18"/>
          <w:u w:val="single" w:color="auto"/>
          <w:color w:val="auto"/>
        </w:rPr>
        <w:t>I2BF</w:t>
      </w:r>
      <w:r>
        <w:rPr>
          <w:rFonts w:ascii="Arial" w:cs="Arial" w:eastAsia="Arial" w:hAnsi="Arial"/>
          <w:sz w:val="18"/>
          <w:szCs w:val="18"/>
          <w:color w:val="auto"/>
        </w:rPr>
        <w:t>”). Ilya Golubovich is the sole director of I2BF and possesses both voting and dispositive power over the shares. The business address of I2BF is C/O Campbells Corporate Services Ltd., Floor 4, Willow House, Cricket Square, Grand Cayman KY 1-9010, Cayman Islands.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owned by Ventoux Acquisition Holdings LLC, for which Edward Scheetz is a managing member and has voting and/or dispositive powers with respect to such shares.</w:t>
      </w:r>
    </w:p>
    <w:p>
      <w:pPr>
        <w:jc w:val="both"/>
        <w:ind w:left="340" w:hanging="332"/>
        <w:spacing w:after="0" w:line="25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7,000,000 shares of New Presto Common Stock held of record by Presto CA LLC (“</w:t>
      </w:r>
      <w:r>
        <w:rPr>
          <w:rFonts w:ascii="Arial" w:cs="Arial" w:eastAsia="Arial" w:hAnsi="Arial"/>
          <w:sz w:val="18"/>
          <w:szCs w:val="18"/>
          <w:u w:val="single" w:color="auto"/>
          <w:color w:val="auto"/>
        </w:rPr>
        <w:t>Presto CA</w:t>
      </w:r>
      <w:r>
        <w:rPr>
          <w:rFonts w:ascii="Arial" w:cs="Arial" w:eastAsia="Arial" w:hAnsi="Arial"/>
          <w:sz w:val="18"/>
          <w:szCs w:val="18"/>
          <w:color w:val="auto"/>
        </w:rPr>
        <w:t>”). Cleveland Avenue Food and Beverage Fund II, LP (“</w:t>
      </w:r>
      <w:r>
        <w:rPr>
          <w:rFonts w:ascii="Arial" w:cs="Arial" w:eastAsia="Arial" w:hAnsi="Arial"/>
          <w:sz w:val="18"/>
          <w:szCs w:val="18"/>
          <w:u w:val="single" w:color="auto"/>
          <w:color w:val="auto"/>
        </w:rPr>
        <w:t>CAFB Fund II</w:t>
      </w:r>
      <w:r>
        <w:rPr>
          <w:rFonts w:ascii="Arial" w:cs="Arial" w:eastAsia="Arial" w:hAnsi="Arial"/>
          <w:sz w:val="18"/>
          <w:szCs w:val="18"/>
          <w:color w:val="auto"/>
        </w:rPr>
        <w:t>”) is the sole member of Presto CA. Cleveland Avenue GP II, LLC (“</w:t>
      </w:r>
      <w:r>
        <w:rPr>
          <w:rFonts w:ascii="Arial" w:cs="Arial" w:eastAsia="Arial" w:hAnsi="Arial"/>
          <w:sz w:val="18"/>
          <w:szCs w:val="18"/>
          <w:u w:val="single" w:color="auto"/>
          <w:color w:val="auto"/>
        </w:rPr>
        <w:t>Cleveland Avenue GP II</w:t>
      </w:r>
      <w:r>
        <w:rPr>
          <w:rFonts w:ascii="Arial" w:cs="Arial" w:eastAsia="Arial" w:hAnsi="Arial"/>
          <w:sz w:val="18"/>
          <w:szCs w:val="18"/>
          <w:color w:val="auto"/>
        </w:rPr>
        <w:t>”) is the general partner of CAFB Fund II. Cleveland Avenue, LLC (“</w:t>
      </w:r>
      <w:r>
        <w:rPr>
          <w:rFonts w:ascii="Arial" w:cs="Arial" w:eastAsia="Arial" w:hAnsi="Arial"/>
          <w:sz w:val="18"/>
          <w:szCs w:val="18"/>
          <w:u w:val="single" w:color="auto"/>
          <w:color w:val="auto"/>
        </w:rPr>
        <w:t>CA LLC</w:t>
      </w:r>
      <w:r>
        <w:rPr>
          <w:rFonts w:ascii="Arial" w:cs="Arial" w:eastAsia="Arial" w:hAnsi="Arial"/>
          <w:sz w:val="18"/>
          <w:szCs w:val="18"/>
          <w:color w:val="auto"/>
        </w:rPr>
        <w:t>”)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directors and executive officers after the Closing are described beginning on page 229 of the Proxy Statement/Prospectus in the section titled “</w:t>
      </w:r>
      <w:r>
        <w:rPr>
          <w:rFonts w:ascii="Arial" w:cs="Arial" w:eastAsia="Arial" w:hAnsi="Arial"/>
          <w:sz w:val="17"/>
          <w:szCs w:val="17"/>
          <w:i w:val="1"/>
          <w:iCs w:val="1"/>
          <w:color w:val="auto"/>
        </w:rPr>
        <w:t>New Presto Management After the Business Combination</w:t>
      </w:r>
      <w:r>
        <w:rPr>
          <w:rFonts w:ascii="Arial" w:cs="Arial" w:eastAsia="Arial" w:hAnsi="Arial"/>
          <w:sz w:val="17"/>
          <w:szCs w:val="17"/>
          <w:color w:val="auto"/>
        </w:rPr>
        <w:t>,” and that information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with respect to the independence of the Company’s directors is set forth beginning on page 233 of the Proxy Statement/Prospectus in the section titled “</w:t>
      </w:r>
      <w:r>
        <w:rPr>
          <w:rFonts w:ascii="Arial" w:cs="Arial" w:eastAsia="Arial" w:hAnsi="Arial"/>
          <w:sz w:val="18"/>
          <w:szCs w:val="18"/>
          <w:i w:val="1"/>
          <w:iCs w:val="1"/>
          <w:color w:val="auto"/>
        </w:rPr>
        <w:t>New Presto Management After the Business Combination—Director Independence</w:t>
      </w:r>
      <w:r>
        <w:rPr>
          <w:rFonts w:ascii="Arial" w:cs="Arial" w:eastAsia="Arial" w:hAnsi="Arial"/>
          <w:sz w:val="18"/>
          <w:szCs w:val="18"/>
          <w:color w:val="auto"/>
        </w:rPr>
        <w:t>,” and that information is incorporated herein by reference.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with respect to the composition of the Board immediately after the Closing is set forth in the Proxy Statement/Prospectus in the section titled “</w:t>
      </w:r>
      <w:r>
        <w:rPr>
          <w:rFonts w:ascii="Arial" w:cs="Arial" w:eastAsia="Arial" w:hAnsi="Arial"/>
          <w:sz w:val="18"/>
          <w:szCs w:val="18"/>
          <w:i w:val="1"/>
          <w:iCs w:val="1"/>
          <w:color w:val="auto"/>
        </w:rPr>
        <w:t>New Presto Management After the Business Combination—Committees of the Board of Directors</w:t>
      </w:r>
      <w:r>
        <w:rPr>
          <w:rFonts w:ascii="Arial" w:cs="Arial" w:eastAsia="Arial" w:hAnsi="Arial"/>
          <w:sz w:val="18"/>
          <w:szCs w:val="18"/>
          <w:color w:val="auto"/>
        </w:rPr>
        <w:t>” beginning on page 233,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description of the compensation of the named executive officers of Legacy Presto before the consummation of the Business Combination is set forth beginning on page 236 of the Proxy Statement/Prospectus in the section titled “</w:t>
      </w:r>
      <w:r>
        <w:rPr>
          <w:rFonts w:ascii="Arial" w:cs="Arial" w:eastAsia="Arial" w:hAnsi="Arial"/>
          <w:sz w:val="18"/>
          <w:szCs w:val="18"/>
          <w:i w:val="1"/>
          <w:iCs w:val="1"/>
          <w:color w:val="auto"/>
        </w:rPr>
        <w:t>Presto’s Executive and Director Compensation</w:t>
      </w:r>
      <w:r>
        <w:rPr>
          <w:rFonts w:ascii="Arial" w:cs="Arial" w:eastAsia="Arial" w:hAnsi="Arial"/>
          <w:sz w:val="18"/>
          <w:szCs w:val="18"/>
          <w:color w:val="auto"/>
        </w:rPr>
        <w:t>,” and that information is incorporated herein by reference.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the Special Meeting, VTAQ stockholders approved the Presto Automation Inc. 2022 Incentive Award Plan (the “</w:t>
      </w:r>
      <w:r>
        <w:rPr>
          <w:rFonts w:ascii="Arial" w:cs="Arial" w:eastAsia="Arial" w:hAnsi="Arial"/>
          <w:sz w:val="17"/>
          <w:szCs w:val="17"/>
          <w:u w:val="single" w:color="auto"/>
          <w:color w:val="auto"/>
        </w:rPr>
        <w:t>Incentive Plan</w:t>
      </w:r>
      <w:r>
        <w:rPr>
          <w:rFonts w:ascii="Arial" w:cs="Arial" w:eastAsia="Arial" w:hAnsi="Arial"/>
          <w:sz w:val="17"/>
          <w:szCs w:val="17"/>
          <w:color w:val="auto"/>
        </w:rPr>
        <w:t>”). As a result, the Board is authorized to approve grants of awards under the Incentive Plan to eligible participants, subject to various limitations. The description of the Incentive Plan is set forth beginning on page 148 of the Proxy Statement/Prospectus section entitled “</w:t>
      </w:r>
      <w:r>
        <w:rPr>
          <w:rFonts w:ascii="Arial" w:cs="Arial" w:eastAsia="Arial" w:hAnsi="Arial"/>
          <w:sz w:val="17"/>
          <w:szCs w:val="17"/>
          <w:i w:val="1"/>
          <w:iCs w:val="1"/>
          <w:color w:val="auto"/>
        </w:rPr>
        <w:t>The Incentive Plan Proposal</w:t>
      </w:r>
      <w:r>
        <w:rPr>
          <w:rFonts w:ascii="Arial" w:cs="Arial" w:eastAsia="Arial" w:hAnsi="Arial"/>
          <w:sz w:val="17"/>
          <w:szCs w:val="17"/>
          <w:color w:val="auto"/>
        </w:rPr>
        <w:t>,” which is incorporated herein by reference. The description of the Incentive Plan is not complete and is subject to and qualified in its entirety by reference to the Incentive Plan, a copy of which is attached hereto as Exhibit 10.6 and the terms of which are incorporated by reference herein.</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the Special Meeting, VTAQ stockholders approved the Presto Automation Inc. 2022 Employee Stock Purchase Plan (the “</w:t>
      </w:r>
      <w:r>
        <w:rPr>
          <w:rFonts w:ascii="Arial" w:cs="Arial" w:eastAsia="Arial" w:hAnsi="Arial"/>
          <w:sz w:val="16"/>
          <w:szCs w:val="16"/>
          <w:u w:val="single" w:color="auto"/>
          <w:color w:val="auto"/>
        </w:rPr>
        <w:t>ESPP</w:t>
      </w:r>
      <w:r>
        <w:rPr>
          <w:rFonts w:ascii="Arial" w:cs="Arial" w:eastAsia="Arial" w:hAnsi="Arial"/>
          <w:sz w:val="16"/>
          <w:szCs w:val="16"/>
          <w:color w:val="auto"/>
        </w:rPr>
        <w:t>”). As a result, New Presto is authorized to offer eligible employees the ability to purchase shares of New Presto Common Stock at a discount, subject to various limitations. The description of the ESPP is set forth beginning on page 153 of the Proxy Statement/Prospectus section entitled “</w:t>
      </w:r>
      <w:r>
        <w:rPr>
          <w:rFonts w:ascii="Arial" w:cs="Arial" w:eastAsia="Arial" w:hAnsi="Arial"/>
          <w:sz w:val="16"/>
          <w:szCs w:val="16"/>
          <w:i w:val="1"/>
          <w:iCs w:val="1"/>
          <w:color w:val="auto"/>
        </w:rPr>
        <w:t>The Employee Stock</w:t>
      </w:r>
      <w:r>
        <w:rPr>
          <w:rFonts w:ascii="Arial" w:cs="Arial" w:eastAsia="Arial" w:hAnsi="Arial"/>
          <w:sz w:val="16"/>
          <w:szCs w:val="16"/>
          <w:color w:val="auto"/>
        </w:rPr>
        <w:t xml:space="preserve"> </w:t>
      </w:r>
      <w:r>
        <w:rPr>
          <w:rFonts w:ascii="Arial" w:cs="Arial" w:eastAsia="Arial" w:hAnsi="Arial"/>
          <w:sz w:val="16"/>
          <w:szCs w:val="16"/>
          <w:i w:val="1"/>
          <w:iCs w:val="1"/>
          <w:color w:val="auto"/>
        </w:rPr>
        <w:t>Purchase Plan Proposal</w:t>
      </w:r>
      <w:r>
        <w:rPr>
          <w:rFonts w:ascii="Arial" w:cs="Arial" w:eastAsia="Arial" w:hAnsi="Arial"/>
          <w:sz w:val="16"/>
          <w:szCs w:val="16"/>
          <w:color w:val="auto"/>
        </w:rPr>
        <w:t>,” which is incorporated herein by reference. The description of the ESPP is not complete and is subject to and qualified in its</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by reference to the ESPP, a copy of which is attached hereto as Exhibit 10.7 and the terms of which are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description of the compensation of the directors of Legacy Presto before the consummation of the Business Combination is set forth on page 240 of the Proxy Statement/Prospectus in the section titled “</w:t>
      </w:r>
      <w:r>
        <w:rPr>
          <w:rFonts w:ascii="Arial" w:cs="Arial" w:eastAsia="Arial" w:hAnsi="Arial"/>
          <w:sz w:val="18"/>
          <w:szCs w:val="18"/>
          <w:i w:val="1"/>
          <w:iCs w:val="1"/>
          <w:color w:val="auto"/>
        </w:rPr>
        <w:t>Presto’s Executive and Director Compensation—Non-Employee Director Compensation</w:t>
      </w:r>
      <w:r>
        <w:rPr>
          <w:rFonts w:ascii="Arial" w:cs="Arial" w:eastAsia="Arial" w:hAnsi="Arial"/>
          <w:sz w:val="18"/>
          <w:szCs w:val="18"/>
          <w:color w:val="auto"/>
        </w:rPr>
        <w:t>,”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description of the employment agreements that Legacy Presto entered into with certain Company officers is set forth on page 237 of the Proxy Statement/Prospectus in the sections titled “</w:t>
      </w:r>
      <w:r>
        <w:rPr>
          <w:rFonts w:ascii="Arial" w:cs="Arial" w:eastAsia="Arial" w:hAnsi="Arial"/>
          <w:sz w:val="18"/>
          <w:szCs w:val="18"/>
          <w:i w:val="1"/>
          <w:iCs w:val="1"/>
          <w:color w:val="auto"/>
        </w:rPr>
        <w:t>Presto’s Executive and Director Compensation—Employment Agreements</w:t>
      </w:r>
      <w:r>
        <w:rPr>
          <w:rFonts w:ascii="Arial" w:cs="Arial" w:eastAsia="Arial" w:hAnsi="Arial"/>
          <w:sz w:val="18"/>
          <w:szCs w:val="18"/>
          <w:color w:val="auto"/>
        </w:rPr>
        <w:t>,”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Person Transactions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relationships and related party transactions of VTAQ and Legacy Presto are described beginning on page 252 of the Proxy Statement/Prospectus in the section 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and that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the disclosure regarding legal proceedings in the section of the Proxy Statement/Prospectus titled “</w:t>
      </w:r>
      <w:r>
        <w:rPr>
          <w:rFonts w:ascii="Arial" w:cs="Arial" w:eastAsia="Arial" w:hAnsi="Arial"/>
          <w:sz w:val="18"/>
          <w:szCs w:val="18"/>
          <w:i w:val="1"/>
          <w:iCs w:val="1"/>
          <w:color w:val="auto"/>
        </w:rPr>
        <w:t>Information About VTAQ</w:t>
      </w:r>
      <w:r>
        <w:rPr>
          <w:rFonts w:ascii="Arial" w:cs="Arial" w:eastAsia="Arial" w:hAnsi="Arial"/>
          <w:sz w:val="18"/>
          <w:szCs w:val="18"/>
          <w:color w:val="auto"/>
        </w:rPr>
        <w:t xml:space="preserve"> </w:t>
      </w:r>
      <w:r>
        <w:rPr>
          <w:rFonts w:ascii="Arial" w:cs="Arial" w:eastAsia="Arial" w:hAnsi="Arial"/>
          <w:sz w:val="18"/>
          <w:szCs w:val="18"/>
          <w:i w:val="1"/>
          <w:iCs w:val="1"/>
          <w:color w:val="auto"/>
        </w:rPr>
        <w:t>—Legal Proceedings</w:t>
      </w:r>
      <w:r>
        <w:rPr>
          <w:rFonts w:ascii="Arial" w:cs="Arial" w:eastAsia="Arial" w:hAnsi="Arial"/>
          <w:sz w:val="18"/>
          <w:szCs w:val="18"/>
          <w:color w:val="auto"/>
        </w:rPr>
        <w:t>” on page 177, “</w:t>
      </w:r>
      <w:r>
        <w:rPr>
          <w:rFonts w:ascii="Arial" w:cs="Arial" w:eastAsia="Arial" w:hAnsi="Arial"/>
          <w:sz w:val="18"/>
          <w:szCs w:val="18"/>
          <w:i w:val="1"/>
          <w:iCs w:val="1"/>
          <w:color w:val="auto"/>
        </w:rPr>
        <w:t>Executive Officers and Directors of VTAQ—Legal Proceedings</w:t>
      </w:r>
      <w:r>
        <w:rPr>
          <w:rFonts w:ascii="Arial" w:cs="Arial" w:eastAsia="Arial" w:hAnsi="Arial"/>
          <w:sz w:val="18"/>
          <w:szCs w:val="18"/>
          <w:color w:val="auto"/>
        </w:rPr>
        <w:t>” on page 183, and “</w:t>
      </w:r>
      <w:r>
        <w:rPr>
          <w:rFonts w:ascii="Arial" w:cs="Arial" w:eastAsia="Arial" w:hAnsi="Arial"/>
          <w:sz w:val="18"/>
          <w:szCs w:val="18"/>
          <w:i w:val="1"/>
          <w:iCs w:val="1"/>
          <w:color w:val="auto"/>
        </w:rPr>
        <w:t>Information About Presto—Legal Proceedings</w:t>
      </w:r>
      <w:r>
        <w:rPr>
          <w:rFonts w:ascii="Arial" w:cs="Arial" w:eastAsia="Arial" w:hAnsi="Arial"/>
          <w:sz w:val="18"/>
          <w:szCs w:val="18"/>
          <w:color w:val="auto"/>
        </w:rPr>
        <w:t>” on page 198, and that information is incorporated herein by reference.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Stock and Related Stockholder Matters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VTAQ Common Stock, VTAQ’s units (“</w:t>
      </w:r>
      <w:r>
        <w:rPr>
          <w:rFonts w:ascii="Arial" w:cs="Arial" w:eastAsia="Arial" w:hAnsi="Arial"/>
          <w:sz w:val="18"/>
          <w:szCs w:val="18"/>
          <w:u w:val="single" w:color="auto"/>
          <w:color w:val="auto"/>
        </w:rPr>
        <w:t>VTAQ Units</w:t>
      </w:r>
      <w:r>
        <w:rPr>
          <w:rFonts w:ascii="Arial" w:cs="Arial" w:eastAsia="Arial" w:hAnsi="Arial"/>
          <w:sz w:val="18"/>
          <w:szCs w:val="18"/>
          <w:color w:val="auto"/>
        </w:rPr>
        <w:t>”), each consisting of one share of VTAQ Common Stock, one warrant to purchase one-half of a share of VTAQ Common Stock (“</w:t>
      </w:r>
      <w:r>
        <w:rPr>
          <w:rFonts w:ascii="Arial" w:cs="Arial" w:eastAsia="Arial" w:hAnsi="Arial"/>
          <w:sz w:val="18"/>
          <w:szCs w:val="18"/>
          <w:u w:val="single" w:color="auto"/>
          <w:color w:val="auto"/>
        </w:rPr>
        <w:t>VTAQ Warrants</w:t>
      </w:r>
      <w:r>
        <w:rPr>
          <w:rFonts w:ascii="Arial" w:cs="Arial" w:eastAsia="Arial" w:hAnsi="Arial"/>
          <w:sz w:val="18"/>
          <w:szCs w:val="18"/>
          <w:color w:val="auto"/>
        </w:rPr>
        <w:t>”) and one right to receive 1/20 of a share of VTAQ Common Stock (“</w:t>
      </w:r>
      <w:r>
        <w:rPr>
          <w:rFonts w:ascii="Arial" w:cs="Arial" w:eastAsia="Arial" w:hAnsi="Arial"/>
          <w:sz w:val="18"/>
          <w:szCs w:val="18"/>
          <w:u w:val="single" w:color="auto"/>
          <w:color w:val="auto"/>
        </w:rPr>
        <w:t>VTAQ Rights</w:t>
      </w:r>
      <w:r>
        <w:rPr>
          <w:rFonts w:ascii="Arial" w:cs="Arial" w:eastAsia="Arial" w:hAnsi="Arial"/>
          <w:sz w:val="18"/>
          <w:szCs w:val="18"/>
          <w:color w:val="auto"/>
        </w:rPr>
        <w:t>”), VTAQ Warrants, and VTAQ Rights were historically listed on Nasdaq under the symbols “VTAQ,” “VTAQU,” “VTAQW,” and “VTAQR,” respectively. On September 22, 2022, the New Presto Common Stock and New Presto Warrants outstanding upon the Closing began trading on the Nasdaq under the symbols “PRST” and “PRSTW,” respectively. At the Closing, each VTAQ Unit separated into its components and, as a result, the VTAQ Units are no longer outstanding. At the Closing, each VTAQ Right was automatically exchanged for 1/20th of a share of New Presto Common Stock and, as a result, the VTAQ Rights are no longer outstanding.</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not paid any cash dividends on the New Presto Common Stock to date. The Company currently intends to retain its future earnings, if any, to finance the further development and expansion of its business and does not intend to pay cash dividends in the foreseeable future. Any future determination to pay dividends will be at the discretion of the Board and will depend on the Company’s financial condition, results of operations, capital requirements, restrictions contained in future agreements and financing instruments, business prospects and such other factors as its Board deems relevant. As a result, you may not receive any return on an investment in New Presto Common Stock unless you sell New Presto Common Stock for a price greater than that which you paid for it. Reference is made to the disclosure on page 53 of the Proxy Statement/Prospectus entitled “</w:t>
      </w:r>
      <w:r>
        <w:rPr>
          <w:rFonts w:ascii="Arial" w:cs="Arial" w:eastAsia="Arial" w:hAnsi="Arial"/>
          <w:sz w:val="17"/>
          <w:szCs w:val="17"/>
          <w:i w:val="1"/>
          <w:iCs w:val="1"/>
          <w:color w:val="auto"/>
        </w:rPr>
        <w:t>Ticker Symbol, Market</w:t>
      </w:r>
      <w:r>
        <w:rPr>
          <w:rFonts w:ascii="Arial" w:cs="Arial" w:eastAsia="Arial" w:hAnsi="Arial"/>
          <w:sz w:val="17"/>
          <w:szCs w:val="17"/>
          <w:color w:val="auto"/>
        </w:rPr>
        <w:t xml:space="preserve"> </w:t>
      </w:r>
      <w:r>
        <w:rPr>
          <w:rFonts w:ascii="Arial" w:cs="Arial" w:eastAsia="Arial" w:hAnsi="Arial"/>
          <w:sz w:val="17"/>
          <w:szCs w:val="17"/>
          <w:i w:val="1"/>
          <w:iCs w:val="1"/>
          <w:color w:val="auto"/>
        </w:rPr>
        <w:t>Price and Dividend Policy</w:t>
      </w:r>
      <w:r>
        <w:rPr>
          <w:rFonts w:ascii="Arial" w:cs="Arial" w:eastAsia="Arial" w:hAnsi="Arial"/>
          <w:sz w:val="17"/>
          <w:szCs w:val="17"/>
          <w:color w:val="auto"/>
        </w:rPr>
        <w:t>,” and such information is incorporated herein by reference.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Closing Date, there were approximately 105 record holders of New Presto Common Stock and 28 record holders of New Presto Warrants. The number of record holders may not be representative of the number of beneficial owners of the New Presto Common Stock and New Presto Warrants, whose shares are held in street name by banks, brokers and other nominees.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the disclosure set forth below under Item 3.02 of this Current Report on Form 8-K concerning the issuance and sale by the Company of certain unregistered securities,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Securities to Be Registered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of the Company’s securities is contained beginning on page 241 of the Proxy Statement/Prospectus in the section titled “</w:t>
      </w:r>
      <w:r>
        <w:rPr>
          <w:rFonts w:ascii="Arial" w:cs="Arial" w:eastAsia="Arial" w:hAnsi="Arial"/>
          <w:sz w:val="18"/>
          <w:szCs w:val="18"/>
          <w:i w:val="1"/>
          <w:iCs w:val="1"/>
          <w:color w:val="auto"/>
        </w:rPr>
        <w:t>Description of New Presto Securities</w:t>
      </w:r>
      <w:r>
        <w:rPr>
          <w:rFonts w:ascii="Arial" w:cs="Arial" w:eastAsia="Arial" w:hAnsi="Arial"/>
          <w:sz w:val="18"/>
          <w:szCs w:val="18"/>
          <w:color w:val="auto"/>
        </w:rPr>
        <w:t>,” and that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disclosure set forth in Item 1.01 of this Current Report on Form 8-K under the heading “Indemnification of Directors and Officers” is incorporated into this Item 2.01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and Exhibits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under the section entitled “</w:t>
      </w:r>
      <w:r>
        <w:rPr>
          <w:rFonts w:ascii="Arial" w:cs="Arial" w:eastAsia="Arial" w:hAnsi="Arial"/>
          <w:sz w:val="18"/>
          <w:szCs w:val="18"/>
          <w:i w:val="1"/>
          <w:iCs w:val="1"/>
          <w:color w:val="auto"/>
        </w:rPr>
        <w:t>Financial Statements</w:t>
      </w:r>
      <w:r>
        <w:rPr>
          <w:rFonts w:ascii="Arial" w:cs="Arial" w:eastAsia="Arial" w:hAnsi="Arial"/>
          <w:sz w:val="18"/>
          <w:szCs w:val="18"/>
          <w:color w:val="auto"/>
        </w:rPr>
        <w:t>” above and Item 9.01 of this Current Report on Form 8-K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the Closing, the Company consummated the Term Loan. Reference is made to the information contained in Item 1.01 of this Current Report on Form 8-K under the heading “Credit Agreement and Ancillary Agreements,” which is incorporated herein by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This summary is qualified in its entirety by reference to Credit Agreement, which is included as Exhibit 10.1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PIPE Investment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the Closing, the Company consummated the Equity PIPE Investment. Reference is made to the information contained in the “Explanatory Note” to this Current Report on Form 8-K, which is incorporated herein by reference. This summary is qualified in its entirety by reference to (i) Amended</w:t>
      </w:r>
    </w:p>
    <w:p>
      <w:pPr>
        <w:jc w:val="both"/>
        <w:ind w:firstLine="8"/>
        <w:spacing w:after="0" w:line="277"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Restated Cleveland Avenue Subscription Agreement, dated as of July 25, 2022, by and between VTAQ and Presto CA, LLC, which is included as Exhibit 10.8 to this Current Report on Form 8-K and is incorporated herein by reference, and (ii) the Form of Amended &amp; Restated Equity Subscription Agreement, which is included as Exhibit 10.9 to this Current Report on Form 8-K and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Lender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the Closing, the Company issued 1,500,000 New Presto Warrants to the Lenders party to the Term Loans. Reference is made to the information contained in the “Explanatory Note” to this Current Report on Form 8-K and the disclosure in Item 1.01 under the heading “Warrant Subscription Agreement and Founder Shares Transfer” of this Current Report on Form 8-K, each of which is incorporated herein by reference.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New Presto Common Stock issued to the Equity PIPE Investors in the Equity PIPE Investment and the 1,500,000 New Presto Warrants were issued pursuant to and in accordance with the exemption from registration under the Securities Act, under Section 4(a)(2) promulgated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Business Combination, on September 21, 2022, the Company filed a Second Amended and Restated Certificate of Incorporation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Delaware Secretary of State, and also adopted the New Bylaws on September 21, 2022, which replace VTAQ’s Amended and Restated Certificate of Incorporation and Bylaws in effect as of such time, respectively. The material terms of the Certificate of Incorporation and the New Bylaws and the general effect upon the rights of holders of New Presto Common Stock are discussed in the Proxy Statement/Prospectus in the sections titled “</w:t>
      </w:r>
      <w:r>
        <w:rPr>
          <w:rFonts w:ascii="Arial" w:cs="Arial" w:eastAsia="Arial" w:hAnsi="Arial"/>
          <w:sz w:val="18"/>
          <w:szCs w:val="18"/>
          <w:i w:val="1"/>
          <w:iCs w:val="1"/>
          <w:color w:val="auto"/>
        </w:rPr>
        <w:t>The Charter Amendment Proposal</w:t>
      </w:r>
      <w:r>
        <w:rPr>
          <w:rFonts w:ascii="Arial" w:cs="Arial" w:eastAsia="Arial" w:hAnsi="Arial"/>
          <w:sz w:val="18"/>
          <w:szCs w:val="18"/>
          <w:color w:val="auto"/>
        </w:rPr>
        <w:t>” beginning on page 136 and “</w:t>
      </w:r>
      <w:r>
        <w:rPr>
          <w:rFonts w:ascii="Arial" w:cs="Arial" w:eastAsia="Arial" w:hAnsi="Arial"/>
          <w:sz w:val="18"/>
          <w:szCs w:val="18"/>
          <w:i w:val="1"/>
          <w:iCs w:val="1"/>
          <w:color w:val="auto"/>
        </w:rPr>
        <w:t>The Governance Proposal</w:t>
      </w:r>
      <w:r>
        <w:rPr>
          <w:rFonts w:ascii="Arial" w:cs="Arial" w:eastAsia="Arial" w:hAnsi="Arial"/>
          <w:sz w:val="18"/>
          <w:szCs w:val="18"/>
          <w:color w:val="auto"/>
        </w:rPr>
        <w:t>” beginning on page 142, and that information is incorporated herein by reference.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Certificate of Incorporation and the New Bylaws is not complete and is subject to and qualified in its entirety by reference to the Certificate of Incorporation and the New Bylaws, copies of which are attached hereto as Exhibits 3.1 and 3.2 and the terms of which are incorporated by reference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New Presto Common Stock and New Presto Warrants are listed for trading on Nasdaq under the symbols “PRST” and “PRSTW,” respectively. On the Closing Date, the CUSIP numbers relating to the New Presto Common Stock and New Presto Warrants changed to 74113T105 and 74113T113,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made to the disclosure beginning on page 101 of the Proxy Statement/Prospectus in the section 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which is incorporated herein by reference. Further reference is made to the information contained in the “Explanatory Note” above and Item</w:t>
      </w:r>
      <w:r>
        <w:rPr>
          <w:rFonts w:ascii="Arial" w:cs="Arial" w:eastAsia="Arial" w:hAnsi="Arial"/>
          <w:sz w:val="18"/>
          <w:szCs w:val="18"/>
          <w:i w:val="1"/>
          <w:iCs w:val="1"/>
          <w:color w:val="auto"/>
        </w:rPr>
        <w:t xml:space="preserve"> </w:t>
      </w:r>
      <w:r>
        <w:rPr>
          <w:rFonts w:ascii="Arial" w:cs="Arial" w:eastAsia="Arial" w:hAnsi="Arial"/>
          <w:sz w:val="18"/>
          <w:szCs w:val="18"/>
          <w:color w:val="auto"/>
        </w:rPr>
        <w:t>2.01 to this Current Report on Form 8-K, which is incorporated herein by reference.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Closing Date, and in accordance with the terms of the Merger Agreement, the Board became comprised of seven directors: (i) Krishna K. Gupta, Keith Kravcik and Edward Scheetz as Class I directors, (ii) Ilya Golubovich and Rajat Suri as Class II directors, and (iii) Kim Axel Lopdrup and Gail Zauder as Class III directors. Immediately following the consummation of the Business Combination, the following individuals became the executive officers of the Company: Rajat Suri, Chief Executive Officer, Ashish Gupta, Chief Financial Officer, William (Bill) Healey, Chief Technology Officer, and Dan Mosher, Chief Revenue Officer. Concurrently with the consummation of the Business Combination, VTAQ’s officers and directors resigned from their respective positions at VTAQ.</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the Closing Date, the Company’s audit committee consisted of Keith Kravcik, Ilya Golubovich and Gail Zauder with Ms. Zauder serving as the chair of the committee. The Board determined that each member of the audit committee qualifies as an independent director under the independence requirements of the Sarbanes-Oxley Act of 2002, as amended, Rule 10A-3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applicable Nasdaq listing requirements, that Ms. Zauder qualifies as an “audit committee financial expert,” as defined in Item 407(d)(5) of Regulation S-K, and that the members of the committee possess financial sophistication, as defined under the rules of Nasdaq.</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Closing Date, the Company’s compensation committee consisted of Ilya Golubovich, Kim Axel Lopdrup and Gail Zauder with Mr. Lopdrup serving as chair of the committee. The Board determined that each member of the compensation committee is “independent” as defined under the applicable Nasdaq requirements and SEC rules and regulations.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Closing Date, the Company’s nominating and governance committee consisted of Ilya Golubovich, Krishna K. Gupta and Keith Kravcik with Mr. Golubovich serving as chair of the committee. The Board determined that each member of the nominating and governance committee is “independent” as defined under the applicable Nasdaq requirements and SEC rules and regulations.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disclosure set forth in Item 2.01 of this Current Report on Form 8-K under the headings “Executive Compensation,” “Director Compensation,” “Employment Agreements,” “Certain Relationships and Related Person Transactions” and “Indemnification of Directors and Officers” is incorporated in this Item 5.02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disclosure set forth in Item 3.03 of this Current Report is incorporated into this Item 5.03 by reference. In connection with the Closing of the Business Combination, the Company changed its fiscal year end from December 31 to June 30.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Effective upon the Closing Date, in connection with the consummation of the Business Combination, the Board adopted a new Code of Business Conduct and Ethics, which is applicable to all employees, officers and directors of the Company, which is available on the Company’s website at </w:t>
      </w:r>
      <w:r>
        <w:rPr>
          <w:rFonts w:ascii="Arial" w:cs="Arial" w:eastAsia="Arial" w:hAnsi="Arial"/>
          <w:sz w:val="18"/>
          <w:szCs w:val="18"/>
          <w:u w:val="single" w:color="auto"/>
          <w:color w:val="auto"/>
        </w:rPr>
        <w:t>https://presto.com/investor-relations</w:t>
      </w:r>
      <w:r>
        <w:rPr>
          <w:rFonts w:ascii="Arial" w:cs="Arial" w:eastAsia="Arial" w:hAnsi="Arial"/>
          <w:sz w:val="18"/>
          <w:szCs w:val="18"/>
          <w:color w:val="auto"/>
        </w:rPr>
        <w:t>. The information on the Company’s website does not constitute part of this Current Report and is not incorporated by reference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5.06 Change in Shell Company Status.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the Closing, the Company ceased to be a shell company. The material terms of the Business Combination are described beginning on page 101 of the Proxy Statement/Prospectus in the section titled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 and are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21, 2022, the Company issued a press release announcing the Closing. The press release is furnished as Exhibit 99.1 to this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648"/>
        <w:spacing w:after="0" w:line="263"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Exchange Act, or otherwise subject to liabilities under that section, and shall not be deemed to be incorporated by reference into the filings of the Company under the Securities Act or the Exchange Act, regardless of any general incorporation language in such filings.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260" w:hanging="68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audited consolidated financial statements of Legacy Presto as of June 30, 2022 and 2021 are included as Exhibit 99.2 hereto and are incorporated herein by reference.</w:t>
      </w:r>
    </w:p>
    <w:p>
      <w:pPr>
        <w:spacing w:after="0" w:line="170" w:lineRule="exact"/>
        <w:rPr>
          <w:sz w:val="20"/>
          <w:szCs w:val="20"/>
          <w:color w:val="auto"/>
        </w:rPr>
      </w:pPr>
    </w:p>
    <w:p>
      <w:pPr>
        <w:ind w:left="1260" w:hanging="685"/>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unaudited pro forma condensed combined financial information of VTAQ and Legacy Presto as of and for the year ended June 30, 2022 is set forth in Exhibit 99.3 hereto and is incorporated herein by reference.</w:t>
      </w:r>
    </w:p>
    <w:p>
      <w:pPr>
        <w:spacing w:after="0" w:line="170" w:lineRule="exact"/>
        <w:rPr>
          <w:sz w:val="20"/>
          <w:szCs w:val="20"/>
          <w:color w:val="auto"/>
        </w:rPr>
      </w:pPr>
    </w:p>
    <w:p>
      <w:pPr>
        <w:ind w:left="1260" w:hanging="68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8"/>
            <w:shd w:val="clear" w:color="auto" w:fill="CCEEFF"/>
          </w:tcPr>
          <w:p>
            <w:pPr>
              <w:spacing w:after="0" w:line="176" w:lineRule="exact"/>
              <w:rPr>
                <w:rFonts w:ascii="Arial" w:cs="Arial" w:eastAsia="Arial" w:hAnsi="Arial"/>
                <w:sz w:val="18"/>
                <w:szCs w:val="18"/>
                <w:color w:val="0000EE"/>
                <w:w w:val="94"/>
              </w:rPr>
            </w:pPr>
            <w:hyperlink r:id="rId31">
              <w:r>
                <w:rPr>
                  <w:rFonts w:ascii="Arial" w:cs="Arial" w:eastAsia="Arial" w:hAnsi="Arial"/>
                  <w:sz w:val="18"/>
                  <w:szCs w:val="18"/>
                  <w:color w:val="0000EE"/>
                  <w:w w:val="94"/>
                </w:rPr>
                <w:t>Merger Agreement, dated as of November 10, 2021, by and among VTAQ, Ventoux Merger Sub I, Ventoux Merger Sub II and Legacy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Presto (incorporated by reference to Exhibit 2.1 to the Current Report on Form 8-K filed on November 10,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Amendment No. 1 to Merger Agreement, dated as of April 1, 2022, by and among VTAQ, Ventoux Merger Sub I, Ventoux Merger Sub II</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and Presto (incorporated by reference to Exhibit 2.1 to the Current Report on Form 8-K filed on April 4,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Amendment No. 2 to Merger Agreement, dated as of July 25, 2022, by and among VTAQ, Ventoux Merger Sub I, Ventoux Merger Sub II</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and Presto (incorporated by reference to Exhibit 2.1 to the Current Report on Form 8-K filed on July 26, 2022).</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tcPr>
          <w:p>
            <w:pPr>
              <w:spacing w:after="0"/>
              <w:rPr>
                <w:sz w:val="15"/>
                <w:szCs w:val="15"/>
                <w:color w:val="auto"/>
              </w:rPr>
            </w:pPr>
          </w:p>
        </w:tc>
        <w:tc>
          <w:tcPr>
            <w:tcW w:w="802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Second Amended &amp; Restated Certificate of Incorporation.</w:t>
            </w:r>
          </w:p>
        </w:tc>
        <w:tc>
          <w:tcPr>
            <w:tcW w:w="2080" w:type="dxa"/>
            <w:vAlign w:val="bottom"/>
            <w:tcBorders>
              <w:top w:val="single" w:sz="8" w:color="CCEEFF"/>
            </w:tcBorders>
            <w:gridSpan w:val="5"/>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Bylaws of Presto Automation Inc.</w:t>
            </w:r>
          </w:p>
        </w:tc>
        <w:tc>
          <w:tcPr>
            <w:tcW w:w="7640" w:type="dxa"/>
            <w:vAlign w:val="bottom"/>
            <w:tcBorders>
              <w:bottom w:val="single" w:sz="8" w:color="CCEEFF"/>
            </w:tcBorders>
            <w:gridSpan w:val="15"/>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95"/>
              </w:rPr>
              <w:t>Credit Agreement, dated as of September 21, 2022, by and among New Presto, Surviving Corporation, Metropolitan Partners Group</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Arial" w:cs="Arial" w:eastAsia="Arial" w:hAnsi="Arial"/>
                <w:sz w:val="18"/>
                <w:szCs w:val="18"/>
                <w:color w:val="0000EE"/>
              </w:rPr>
              <w:t>Administration, LLC, as administrative, payment and collateral agent, and the lenders from time to time party thereto.</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0"/>
              </w:rPr>
              <w:t>Amended &amp; Restated Registration Rights Agreement dated as of September 21, 2022, by and among New Presto, the Sponsors, Cleveland</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0000EE"/>
            </w:tcBorders>
            <w:gridSpan w:val="11"/>
            <w:shd w:val="clear" w:color="auto" w:fill="CCEEFF"/>
          </w:tcPr>
          <w:p>
            <w:pPr>
              <w:spacing w:after="0" w:line="196" w:lineRule="exact"/>
              <w:rPr>
                <w:sz w:val="20"/>
                <w:szCs w:val="20"/>
                <w:color w:val="auto"/>
              </w:rPr>
            </w:pPr>
            <w:r>
              <w:rPr>
                <w:rFonts w:ascii="Arial" w:cs="Arial" w:eastAsia="Arial" w:hAnsi="Arial"/>
                <w:sz w:val="18"/>
                <w:szCs w:val="18"/>
                <w:color w:val="0000EE"/>
                <w:w w:val="91"/>
              </w:rPr>
              <w:t>Avenue, VTAQ’s officers and directors, Metropolitan and certain Legacy Presto stockholders.</w:t>
            </w:r>
          </w:p>
        </w:tc>
        <w:tc>
          <w:tcPr>
            <w:tcW w:w="334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w w:val="90"/>
              </w:rPr>
              <w:t>Amended &amp; Restated Warrant Agreement dated as of September 21, 2022, by and among, New Presto, the Sponsors and Continental Stock</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Transfer &amp; Trust Company.</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Governance Agreement, dated as of September 21, 2022 by and among, New Presto and certain of its affiliates.</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tcPr>
          <w:p>
            <w:pPr>
              <w:spacing w:after="0"/>
              <w:rPr>
                <w:sz w:val="15"/>
                <w:szCs w:val="15"/>
                <w:color w:val="auto"/>
              </w:rPr>
            </w:pPr>
          </w:p>
        </w:tc>
        <w:tc>
          <w:tcPr>
            <w:tcW w:w="802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Form of Indemnification Agreement.</w:t>
            </w:r>
          </w:p>
        </w:tc>
        <w:tc>
          <w:tcPr>
            <w:tcW w:w="2080" w:type="dxa"/>
            <w:vAlign w:val="bottom"/>
            <w:tcBorders>
              <w:top w:val="single" w:sz="8" w:color="CCEEFF"/>
            </w:tcBorders>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Presto Automation Inc. 2022 Incentive Award Plan.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rPr>
              <w:t>Presto Automation Inc. 2022 Employee Stock Purchase Plan.</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Amended &amp; Restated Cleveland Avenue Subscription Agreement, dated as of July 25, 2022, by and between VTAQ and Presto CA, LLC</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32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(incorporated by reference to Exhibit 10.2 to the Current Report on Form 8-K filed on July 26, 2022).</w:t>
              </w:r>
            </w:hyperlink>
          </w:p>
        </w:tc>
        <w:tc>
          <w:tcPr>
            <w:tcW w:w="278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Form of Amended &amp; Restated Equity Subscription Agreement (incorporated by reference to Exhibit 10.3 to the Current Report on Form 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K filed on July 26,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96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6"/>
              </w:rPr>
              <w:t>Press Release dated September 21, 2022.</w:t>
            </w:r>
          </w:p>
        </w:tc>
        <w:tc>
          <w:tcPr>
            <w:tcW w:w="7140" w:type="dxa"/>
            <w:vAlign w:val="bottom"/>
            <w:tcBorders>
              <w:bottom w:val="single" w:sz="8" w:color="CCEEFF"/>
            </w:tcBorders>
            <w:gridSpan w:val="1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w w:val="91"/>
              </w:rPr>
              <w:t>Audited Consolidated Financial Statements of Legacy Presto as of June 30, 2022 and 2021 and the Year Ended June 30, 2022 and 2021.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Unaudited Pro Forma Condensed Combined Financial Information.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40" w:right="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or compensatory plan.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Arial" w:cs="Arial" w:eastAsia="Arial" w:hAnsi="Arial"/>
                <w:sz w:val="18"/>
                <w:szCs w:val="18"/>
                <w:b w:val="1"/>
                <w:bCs w:val="1"/>
                <w:color w:val="auto"/>
              </w:rPr>
              <w:t>PRESTO AUTOMATION INC.</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September 27, 2022</w:t>
            </w:r>
          </w:p>
        </w:tc>
        <w:tc>
          <w:tcPr>
            <w:tcW w:w="3600" w:type="dxa"/>
            <w:vAlign w:val="bottom"/>
          </w:tcPr>
          <w:p>
            <w:pPr>
              <w:ind w:left="30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202"/>
        </w:trPr>
        <w:tc>
          <w:tcPr>
            <w:tcW w:w="3720" w:type="dxa"/>
            <w:vAlign w:val="bottom"/>
          </w:tcPr>
          <w:p>
            <w:pPr>
              <w:spacing w:after="0"/>
              <w:rPr>
                <w:sz w:val="17"/>
                <w:szCs w:val="17"/>
                <w:color w:val="auto"/>
              </w:rPr>
            </w:pPr>
          </w:p>
        </w:tc>
        <w:tc>
          <w:tcPr>
            <w:tcW w:w="3600" w:type="dxa"/>
            <w:vAlign w:val="bottom"/>
          </w:tcPr>
          <w:p>
            <w:pPr>
              <w:ind w:left="30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Ashish Gupta</w:t>
            </w:r>
          </w:p>
        </w:tc>
      </w:tr>
      <w:tr>
        <w:trPr>
          <w:trHeight w:val="230"/>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14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Ventoux CCM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firstLine="1304"/>
        <w:spacing w:after="0" w:line="275" w:lineRule="auto"/>
        <w:tabs>
          <w:tab w:leader="none" w:pos="14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original certificate of incorporation of the Corporation was filed with the Secretary of State of the State of Delaware on July 10, 2019 (the “</w:t>
      </w:r>
      <w:r>
        <w:rPr>
          <w:rFonts w:ascii="Arial" w:cs="Arial" w:eastAsia="Arial" w:hAnsi="Arial"/>
          <w:sz w:val="17"/>
          <w:szCs w:val="17"/>
          <w:b w:val="1"/>
          <w:bCs w:val="1"/>
          <w:i w:val="1"/>
          <w:iCs w:val="1"/>
          <w:color w:val="auto"/>
        </w:rPr>
        <w:t>Original Certificate of Incorporation</w:t>
      </w:r>
      <w:r>
        <w:rPr>
          <w:rFonts w:ascii="Arial" w:cs="Arial" w:eastAsia="Arial" w:hAnsi="Arial"/>
          <w:sz w:val="17"/>
          <w:szCs w:val="17"/>
          <w:color w:val="auto"/>
        </w:rPr>
        <w:t>”). The name under which the Original Certificate of Incorporation was filed is “Chardan Global Acquisition Corp.” Thereafter, the Original Certificate of Incorporation was amended by a certificate of amendment to the Original Certificate of Incorporation on July 17, 2019, changing the name of the Corporation to “Chardan International Acquisition Corp.” and a certificate of amendment to the Original Certificate of Incorporation on July 29, 2020 further changing the name of the Corporation to “Ventoux CCM Acquisition Corp.”</w:t>
      </w:r>
    </w:p>
    <w:p>
      <w:pPr>
        <w:spacing w:after="0" w:line="176" w:lineRule="exact"/>
        <w:rPr>
          <w:rFonts w:ascii="Arial" w:cs="Arial" w:eastAsia="Arial" w:hAnsi="Arial"/>
          <w:sz w:val="17"/>
          <w:szCs w:val="17"/>
          <w:color w:val="auto"/>
        </w:rPr>
      </w:pPr>
    </w:p>
    <w:p>
      <w:pPr>
        <w:jc w:val="both"/>
        <w:ind w:firstLine="1304"/>
        <w:spacing w:after="0" w:line="301" w:lineRule="auto"/>
        <w:tabs>
          <w:tab w:leader="none" w:pos="14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amended and restated certificate of incorporation, which restated the provisions of the Original Certificate of Incorporation, was duly adopted in accordance with Sections 242 and 245 of the General Corporation Law of the State of Delaware, as amended from time to time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and such restated certificate of incorporation was filed with the Secretary of State of the State of Delaware on December 23, 2020 (the “</w:t>
      </w:r>
      <w:r>
        <w:rPr>
          <w:rFonts w:ascii="Arial" w:cs="Arial" w:eastAsia="Arial" w:hAnsi="Arial"/>
          <w:sz w:val="16"/>
          <w:szCs w:val="16"/>
          <w:b w:val="1"/>
          <w:bCs w:val="1"/>
          <w:i w:val="1"/>
          <w:i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Amended and Restated Certificate</w:t>
      </w:r>
      <w:r>
        <w:rPr>
          <w:rFonts w:ascii="Arial" w:cs="Arial" w:eastAsia="Arial" w:hAnsi="Arial"/>
          <w:sz w:val="16"/>
          <w:szCs w:val="16"/>
          <w:color w:val="auto"/>
        </w:rPr>
        <w:t>”). The name under which the First Restated Certificate of Incorporation was filed is “Ventoux CCM Acquisition Corp.”</w:t>
      </w:r>
    </w:p>
    <w:p>
      <w:pPr>
        <w:spacing w:after="0" w:line="157" w:lineRule="exact"/>
        <w:rPr>
          <w:rFonts w:ascii="Arial" w:cs="Arial" w:eastAsia="Arial" w:hAnsi="Arial"/>
          <w:sz w:val="16"/>
          <w:szCs w:val="16"/>
          <w:color w:val="auto"/>
        </w:rPr>
      </w:pPr>
    </w:p>
    <w:p>
      <w:pPr>
        <w:jc w:val="both"/>
        <w:ind w:firstLine="1304"/>
        <w:spacing w:after="0" w:line="259" w:lineRule="auto"/>
        <w:tabs>
          <w:tab w:leader="none" w:pos="14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Amended and Restated Certificate is being amended and restated in connection with the transactions contemplated by that certain Agreement and Plan of Merger, dated as of November 10, 2021 (as it may be amended, supplemented or restated from time to time in accordance with the terms of such agreement,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Corporation, Ventoux Merger Sub Inc., a Delaware corporation, and Ventoux CCM Acquisition Corp., a Delaware corporation.</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(this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 was approved and declared advisable by the board of directors of the Corporation and duly adopted by the stockholders in accordance with Sections 228, 242 and 245 of the DGCL, as applicable.</w:t>
      </w:r>
    </w:p>
    <w:p>
      <w:pPr>
        <w:spacing w:after="0" w:line="183" w:lineRule="exact"/>
        <w:rPr>
          <w:rFonts w:ascii="Arial" w:cs="Arial" w:eastAsia="Arial" w:hAnsi="Arial"/>
          <w:sz w:val="18"/>
          <w:szCs w:val="18"/>
          <w:color w:val="auto"/>
        </w:rPr>
      </w:pPr>
    </w:p>
    <w:p>
      <w:pPr>
        <w:ind w:firstLine="1304"/>
        <w:spacing w:after="0" w:line="277" w:lineRule="auto"/>
        <w:tabs>
          <w:tab w:leader="none" w:pos="15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Second Amended and Restated Certificate restates, integrates and amends the provisions of the First Amended and Restated Certificate and shall become effective on the date of filing with the Secretary of State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firstLine="1304"/>
        <w:spacing w:after="0" w:line="277" w:lineRule="auto"/>
        <w:tabs>
          <w:tab w:leader="none" w:pos="14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Sections 242 and 245 of the DGCL, the text of the First Amended and Restated Certificate of Incorporation is hereby amended and restated in its entirety to read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this corporation is Presto Automation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919 N. Market Street, Suite 725, in the city of Wilmington, County of New Castle, Delaware 19801, and the name of the Corporation’s registered agent at such address is Delaware Corporate Services,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DGCL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4.1 Authorized Capital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4.1.1 The total number of shares of all classes of stock that the Corporation has authority to issue is 181,500,000 shares, consisting of two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classes: 180,000,000 shares of Common Stock, $0.0001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1,500,000 shares of Preferred Stock, $0.0001 par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4.1.2 The number of authorized shares of Common Stock may be increased or decreased (but not below the number of shares thereof then outstanding) by the affirmative vote of the holders of capital stock representing a majority of the voting power of all the then-outstanding shares of capital stock of the Corporation entitled to vote thereon, irrespective of the provisions of Section 242(b)(2) of the DGCL, and no vote of the holders of the Common Stock voting separately as a class shall be required therefor.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4.2 Designation of Additional Series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4.2.1 The Corporation’s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DGCL, unless a vote of any such holders is required pursuant to the terms of any Certificate of Designation designating a series of Preferred Stock.</w:t>
      </w:r>
    </w:p>
    <w:p>
      <w:pPr>
        <w:spacing w:after="0" w:line="18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4.2.2 Except as otherwise expressly provided in any Certificate of Designation designating any series of Preferred Stock pursuant to the foregoing provisions of this Article IV,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rights of the Common Stock, the Preferred Stock or any future class or series of Preferred Stock or Common Stock.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firstLine="1296"/>
        <w:spacing w:after="0" w:line="290" w:lineRule="auto"/>
        <w:rPr>
          <w:sz w:val="20"/>
          <w:szCs w:val="20"/>
          <w:color w:val="auto"/>
        </w:rPr>
      </w:pPr>
      <w:r>
        <w:rPr>
          <w:rFonts w:ascii="Arial" w:cs="Arial" w:eastAsia="Arial" w:hAnsi="Arial"/>
          <w:sz w:val="16"/>
          <w:szCs w:val="16"/>
          <w:color w:val="auto"/>
        </w:rPr>
        <w:t>4.2.3 The holders of shares of Common Stock shall (a) be entitled to notice of any stockholders’ meeting in accordance with the Bylaws of the Corporation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and (b) be entitled to vote upon such matters and in such manner as may be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shares of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Common Stock shall have the right to one vote per share of Common Stock held of record by such holder as of the applicable record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Section 5.1 The business and affairs of the Corporation shall be managed by or under the direction of the Board, except as otherwise provided by law. In addition to the powers and authority expressly conferred upon them by statute or by this Second Amended and Restated Certificate or the Bylaws, the directors are hereby empowered to exercise all such powers and do all such acts and things as may be exercised or done by the Corporation.</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5.2 Subject to the rights of the holders of any series of Preferred Stock to elect additional directors under specified circumstances, the total number of directors constituting the Whole Board shall be fixed from time to time exclusively by resolution adopted by a majority of the Whole Board. For purposes of this Second Amended and Restated Certificate,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mean the total number of authorized directors whether or not there exist any vacancies or unfilled seats in previously authorized directorships.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5.3 Subject to the special rights of the holders of any series of Preferred Stock to elect directors,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is authorized to assign members of the Board already in office to such classes of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Effectiveness Date, the initial term of office of the Class II directors shall expire at the Corporation’s second annual meeting of stockholders following the Effectiveness Date and the initial term of office of the Class III directors shall expire at the Corporation’s third annual meeting of stockholders following the Effectiveness Date. At each annual meeting of stockholders following the Effectiveness Date, directors elected to succeed those directors of the class whose terms then expire shall be elected for a term of office to expire at the third succeeding annual meeting of stockholders after their election.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three classes of directors so as to ensure that no one class has more than one director more than any other class.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ind w:firstLine="648"/>
        <w:spacing w:after="0" w:line="287" w:lineRule="auto"/>
        <w:rPr>
          <w:sz w:val="20"/>
          <w:szCs w:val="20"/>
          <w:color w:val="auto"/>
        </w:rPr>
      </w:pPr>
      <w:r>
        <w:rPr>
          <w:rFonts w:ascii="Arial" w:cs="Arial" w:eastAsia="Arial" w:hAnsi="Arial"/>
          <w:sz w:val="16"/>
          <w:szCs w:val="16"/>
          <w:color w:val="auto"/>
        </w:rPr>
        <w:t>Section 5.4 Each director shall hold office until the annual meeting at which such director’s term expires and until such director’s successor is elected and qualified, or until such director’s earlier death, resignation, disqualification or removal. Any director may resign at any time upon notice to the Corporation given in writing or by any electronic transmission permitted by the Bylaws.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generally in the election of directors voting together as a single class. In the event of any increase or decrease in the authorized number of directors, (a) each director then serving as such shall nevertheless continue as a director of the class of which the director is a member and (b) the newly created or eliminated directorships resulting from such increase or decrease shall be apportioned by the Board among the classes of directors so as to ensure that no one class has more than one director more than any other class. To the extent possible, consistent with the foregoing rule, any newly created directorships shall be added to those classes whose terms of office are to expire at the latest dates following such allocation, and any newly eliminated directorships shall be subtracted from those classes whose terms of office are to expire at the earliest dates following such allocation, unless otherwise provided from time to time by resolution adopted by the Board. No decrease in the authorized number of directors constituting the Board shall shorten the term of any incumbent director.</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5.5 Subject to the special rights of the holders of any series of Preferred Stock to elect directors,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 assigned expires or until such director’s successor shall have been duly elected and qualified, or until such director’s earlier death, resignation, disqualification or removal. No decrease in the authorized number of directors shall shorten the term of any incumbent director.</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5.6 Election of directors need not be by written ballot unless the Bylaws shall so provide. Except as may otherwise be set forth in the resolution or resolutions of the Board providing for the issuance of one or more series of Preferred Stock, and then only with respect to such series of Preferred Stock, cumulative voting in the election of directors is specifically denied.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6.1 To the fullest extent permitted by law, no director of the Corporation shall be personally liable to the Corporation or its stockholders for monetary damages 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6.2 Neither any amendment nor repeal of this Article VI, nor the adoption of any provision of this Second Amended and Restated Certificate inconsistent with this Article VI, shall eliminate, reduce or otherwise adversely affect any limitation on the personal liability of a director of the Corporation existing at the time of such amendment, repeal or adoption of such an inconsistent provision.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The Board is expressly authorized to make, repeal, alter, amend and rescind, in whole or in part, the Bylaws without the assent or vote of the stockholders in any manner not inconsistent with the laws of the State of Delaware or this Second Amended and Restated Certificate of Incorporation.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other provision of this Second Amended and Restated Certificate (including any Certificate of Designation) or any provision of law that might otherwise permit a lesser or no vote, but in addition to any vote of the holders of any class or series of stock of the Corporation required by applicable law or by this Second Amended and Restated Certificate (including any Preferred Stock issued pursuant to any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least two-thirds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adopt, amend or repeal any provision of the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alteration, change, addition to or repeal of Article VI (</w:t>
      </w:r>
      <w:r>
        <w:rPr>
          <w:rFonts w:ascii="Arial" w:cs="Arial" w:eastAsia="Arial" w:hAnsi="Arial"/>
          <w:sz w:val="16"/>
          <w:szCs w:val="16"/>
          <w:i w:val="1"/>
          <w:iCs w:val="1"/>
          <w:color w:val="auto"/>
        </w:rPr>
        <w:t>Indemnification</w:t>
      </w:r>
      <w:r>
        <w:rPr>
          <w:rFonts w:ascii="Arial" w:cs="Arial" w:eastAsia="Arial" w:hAnsi="Arial"/>
          <w:sz w:val="16"/>
          <w:szCs w:val="16"/>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(regardless of when such Proceeding is first threatened, commenced or completed) arising out of, or related to, any act or omission occurring prior to such repeal or amendment or adoption of such inconsistent provision.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8.1 Subject to the rights of any series of Preferred Stock then outstanding,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Section 8.2 Special meetings of stockholders of the Corporation may be called only by the Chairperson of the Board, the Chief Executive Officer or the Board acting pursuant to a resolution adopted by a majority of the Whole Board, and may not be called by any other person or persons. Only such business shall be considered at a special meeting of stockholders as shall have been stated in the notice for such meeting.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8.3 Advance notice of stockholder nominations for the election of directors and of business to be brought by stockholders before any meeting of the stockholders of the Corporation shall be given in the manner and to the extent provided in the Bylaws.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8.4 Notwithstanding anything contained in this Second Amended and Restated Certificate of Incorporation to the contrary, the affirmative vote of the holders of at least two-thirds of the voting power of all of the then-outstanding shares of the capital stock of the Corporation entitled to vote generally in the election of directors, voting together as a single class, shall be required to amend, repeal or adopt any provision inconsistent with this Article VIII.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Section 9.1 Unless the Corporation consents in writing to the selection of an alternative forum, the Court of Chancery of the State of Delaware shall, to the fullest extent permitted by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This exclusive forum provision will not apply to suits brought to enforce any duty or liability created by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any other claim for which the federal courts have exclusive jurisdiction.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Exchange Act, the Securities Act, or any other claim for which the federal courts have exclusive jurisdiction.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Section 9.2 If any action the subject matter of which is within the scope of Section 9.1 immediately above is filed in a court other than a court located within the State of Delaware (a “</w:t>
      </w:r>
      <w:r>
        <w:rPr>
          <w:rFonts w:ascii="Arial" w:cs="Arial" w:eastAsia="Arial" w:hAnsi="Arial"/>
          <w:sz w:val="17"/>
          <w:szCs w:val="17"/>
          <w:b w:val="1"/>
          <w:bCs w:val="1"/>
          <w:i w:val="1"/>
          <w:iCs w:val="1"/>
          <w:color w:val="auto"/>
        </w:rPr>
        <w:t>Foreign Action</w:t>
      </w:r>
      <w:r>
        <w:rPr>
          <w:rFonts w:ascii="Arial" w:cs="Arial" w:eastAsia="Arial" w:hAnsi="Arial"/>
          <w:sz w:val="17"/>
          <w:szCs w:val="17"/>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immediately above (a “</w:t>
      </w:r>
      <w:r>
        <w:rPr>
          <w:rFonts w:ascii="Arial" w:cs="Arial" w:eastAsia="Arial" w:hAnsi="Arial"/>
          <w:sz w:val="17"/>
          <w:szCs w:val="17"/>
          <w:b w:val="1"/>
          <w:bCs w:val="1"/>
          <w:i w:val="1"/>
          <w:iCs w:val="1"/>
          <w:color w:val="auto"/>
        </w:rPr>
        <w:t>Presto Enforcement Action</w:t>
      </w:r>
      <w:r>
        <w:rPr>
          <w:rFonts w:ascii="Arial" w:cs="Arial" w:eastAsia="Arial" w:hAnsi="Arial"/>
          <w:sz w:val="17"/>
          <w:szCs w:val="17"/>
          <w:color w:val="auto"/>
        </w:rPr>
        <w:t>”) and (ii) having service of process made upon such stockholder in any such Presto Enforcement Action by service upon such stockholder’s counsel in the Foreign Action as agent for such stockholder.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9.3 Any person or entity holding, owning or otherwise acquiring any interest in any security of the Corporation shall be deemed to have notice of and to have consented to the provisions of this Article IX.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Section 10.1 In recognition and anticipation that (i) certain directors, principals, officers, employees, equityholders and/or other representatives of Ventoux Acquisition Holdings LLC, a Delaware limited liability company and Chardan International Investments, LLC, a Delaware limited liability company (the “</w:t>
      </w:r>
      <w:r>
        <w:rPr>
          <w:rFonts w:ascii="Arial" w:cs="Arial" w:eastAsia="Arial" w:hAnsi="Arial"/>
          <w:sz w:val="17"/>
          <w:szCs w:val="17"/>
          <w:b w:val="1"/>
          <w:bCs w:val="1"/>
          <w:i w:val="1"/>
          <w:iCs w:val="1"/>
          <w:color w:val="auto"/>
        </w:rPr>
        <w:t>Sponsors</w:t>
      </w:r>
      <w:r>
        <w:rPr>
          <w:rFonts w:ascii="Arial" w:cs="Arial" w:eastAsia="Arial" w:hAnsi="Arial"/>
          <w:sz w:val="17"/>
          <w:szCs w:val="17"/>
          <w:color w:val="auto"/>
        </w:rPr>
        <w:t>”) and their respective Affiliates and Affiliated Entities (each, as defined below) may serve as directors, officers or agents of the Corporation (the “</w:t>
      </w:r>
      <w:r>
        <w:rPr>
          <w:rFonts w:ascii="Arial" w:cs="Arial" w:eastAsia="Arial" w:hAnsi="Arial"/>
          <w:sz w:val="17"/>
          <w:szCs w:val="17"/>
          <w:b w:val="1"/>
          <w:bCs w:val="1"/>
          <w:i w:val="1"/>
          <w:iCs w:val="1"/>
          <w:color w:val="auto"/>
        </w:rPr>
        <w:t>Sponsors’ Persons</w:t>
      </w:r>
      <w:r>
        <w:rPr>
          <w:rFonts w:ascii="Arial" w:cs="Arial" w:eastAsia="Arial" w:hAnsi="Arial"/>
          <w:sz w:val="17"/>
          <w:szCs w:val="17"/>
          <w:color w:val="auto"/>
        </w:rPr>
        <w:t>”), (ii) the Sponsors and their respective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(the “</w:t>
      </w:r>
      <w:r>
        <w:rPr>
          <w:rFonts w:ascii="Arial" w:cs="Arial" w:eastAsia="Arial" w:hAnsi="Arial"/>
          <w:sz w:val="17"/>
          <w:szCs w:val="17"/>
          <w:b w:val="1"/>
          <w:bCs w:val="1"/>
          <w:i w:val="1"/>
          <w:iCs w:val="1"/>
          <w:color w:val="auto"/>
        </w:rPr>
        <w:t>Sponsors’ Entities</w:t>
      </w:r>
      <w:r>
        <w:rPr>
          <w:rFonts w:ascii="Arial" w:cs="Arial" w:eastAsia="Arial" w:hAnsi="Arial"/>
          <w:sz w:val="17"/>
          <w:szCs w:val="17"/>
          <w:color w:val="auto"/>
        </w:rPr>
        <w:t>”),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of the Corporation (“</w:t>
      </w:r>
      <w:r>
        <w:rPr>
          <w:rFonts w:ascii="Arial" w:cs="Arial" w:eastAsia="Arial" w:hAnsi="Arial"/>
          <w:sz w:val="17"/>
          <w:szCs w:val="17"/>
          <w:b w:val="1"/>
          <w:bCs w:val="1"/>
          <w:i w:val="1"/>
          <w:iCs w:val="1"/>
          <w:color w:val="auto"/>
        </w:rPr>
        <w:t>Non-Employee Directors</w:t>
      </w:r>
      <w:r>
        <w:rPr>
          <w:rFonts w:ascii="Arial" w:cs="Arial" w:eastAsia="Arial" w:hAnsi="Arial"/>
          <w:sz w:val="17"/>
          <w:szCs w:val="17"/>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(the “</w:t>
      </w:r>
      <w:r>
        <w:rPr>
          <w:rFonts w:ascii="Arial" w:cs="Arial" w:eastAsia="Arial" w:hAnsi="Arial"/>
          <w:sz w:val="17"/>
          <w:szCs w:val="17"/>
          <w:b w:val="1"/>
          <w:bCs w:val="1"/>
          <w:i w:val="1"/>
          <w:iCs w:val="1"/>
          <w:color w:val="auto"/>
        </w:rPr>
        <w:t>Non-Employee Director Entities</w:t>
      </w:r>
      <w:r>
        <w:rPr>
          <w:rFonts w:ascii="Arial" w:cs="Arial" w:eastAsia="Arial" w:hAnsi="Arial"/>
          <w:sz w:val="17"/>
          <w:szCs w:val="17"/>
          <w:color w:val="auto"/>
        </w:rPr>
        <w:t>”),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 are set forth to regulate and define the conduct of certain affairs of the Corporation with respect to certain classes or categories of business opportunities as they may involve the Sponsors, any of the Non-Employee Directors or their respective Affiliates or Affiliated Entities and the powers, rights, duties and liabilities of the Corporation and its directors, officers and stockholders in connection therewith.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48"/>
        <w:spacing w:after="0" w:line="285" w:lineRule="auto"/>
        <w:rPr>
          <w:sz w:val="20"/>
          <w:szCs w:val="20"/>
          <w:color w:val="auto"/>
        </w:rPr>
      </w:pPr>
      <w:r>
        <w:rPr>
          <w:rFonts w:ascii="Arial" w:cs="Arial" w:eastAsia="Arial" w:hAnsi="Arial"/>
          <w:sz w:val="16"/>
          <w:szCs w:val="16"/>
          <w:color w:val="auto"/>
        </w:rPr>
        <w:t>Section 10.2 None of Sponsors, Sponsors’ Persons, Sponsors’ Entities, Non-Employee Directors and Non-Employee Director Entities or his, her, its or their respective Affiliates or Affiliated Entities (the Persons (as defined below) above being referred to, collectively, as “</w:t>
      </w:r>
      <w:r>
        <w:rPr>
          <w:rFonts w:ascii="Arial" w:cs="Arial" w:eastAsia="Arial" w:hAnsi="Arial"/>
          <w:sz w:val="16"/>
          <w:szCs w:val="16"/>
          <w:b w:val="1"/>
          <w:bCs w:val="1"/>
          <w:i w:val="1"/>
          <w:iCs w:val="1"/>
          <w:color w:val="auto"/>
        </w:rPr>
        <w:t>Identified Persons</w:t>
      </w:r>
      <w:r>
        <w:rPr>
          <w:rFonts w:ascii="Arial" w:cs="Arial" w:eastAsia="Arial" w:hAnsi="Arial"/>
          <w:sz w:val="16"/>
          <w:szCs w:val="16"/>
          <w:color w:val="auto"/>
        </w:rPr>
        <w:t>” and, individually, as an “</w:t>
      </w:r>
      <w:r>
        <w:rPr>
          <w:rFonts w:ascii="Arial" w:cs="Arial" w:eastAsia="Arial" w:hAnsi="Arial"/>
          <w:sz w:val="16"/>
          <w:szCs w:val="16"/>
          <w:b w:val="1"/>
          <w:bCs w:val="1"/>
          <w:i w:val="1"/>
          <w:iCs w:val="1"/>
          <w:color w:val="auto"/>
        </w:rPr>
        <w:t>Identified Person</w:t>
      </w:r>
      <w:r>
        <w:rPr>
          <w:rFonts w:ascii="Arial" w:cs="Arial" w:eastAsia="Arial" w:hAnsi="Arial"/>
          <w:sz w:val="16"/>
          <w:szCs w:val="16"/>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10.3. Subject to said Section 10.3, in the event that any Identified Person first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10.3 The Corporation does not renounce its interest in any corporate opportunity offered to any Non-Employee Director if such opportunity is first expressly offered to such person solely in his or her capacity as a director of the Corporation, and the provisions of Section 10.2 shall not apply to any such corporate opportunity.</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10.4 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w:t>
      </w:r>
    </w:p>
    <w:p>
      <w:pPr>
        <w:spacing w:after="0" w:line="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one in which the Corporation has no interest or reasonable expectancy.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80" w:hanging="106"/>
        <w:spacing w:after="0"/>
        <w:tabs>
          <w:tab w:leader="none" w:pos="5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jc w:val="both"/>
        <w:ind w:firstLine="648"/>
        <w:spacing w:after="0" w:line="269" w:lineRule="auto"/>
        <w:rPr>
          <w:sz w:val="20"/>
          <w:szCs w:val="20"/>
          <w:color w:val="auto"/>
        </w:rPr>
      </w:pPr>
      <w:r>
        <w:rPr>
          <w:rFonts w:ascii="Arial" w:cs="Arial" w:eastAsia="Arial" w:hAnsi="Arial"/>
          <w:sz w:val="17"/>
          <w:szCs w:val="17"/>
          <w:color w:val="auto"/>
        </w:rPr>
        <w:t>Section 10.5 For purposes of this Article X, (i) “Affiliate” shall mean (A) in respect of a Sponsor, any Person that, directly or indirectly, is controlled by such Sponsor (as applicable), controls such Sponsor (as applicable) or is under common control with such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any Affiliate of such Sponsor,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(ii) “Affiliated Entity”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“Person” shall mean any individual, corporation, general or limited partnership, limited liability company, joint venture, trust, association or any other entity.</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10.6 To the fullest extent permitted by law, any Person purchasing or otherwise acquiring any interest in any shares of capital stock of the Corporation shall be deemed to have notice of and to have consented to the provisions of this Article X.</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Section 10.7 Neither the alteration, amendment, addition to or repeal of this Article X, nor the adoption of any provision of this Second Amended and Restated Certificate (including any Preferred Stock designation) inconsistent with this Article X, shall eliminate or reduce the effect of this Article X upon the Sponsor, Sponsor Persons, Sponsor Entities, Non-Employee Directors and Non-Employee Director Entities or his, her, its or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Second Amended and Restated Certificate, the Bylaws or applicable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any provision of this Second Amended and Restated Certificate shall be held to be invalid, illegal or unenforceable, then such provision shall nonetheless be enforced to the maximum extent possible consistent with such holding and the remaining provisions of this Second Amended and Restated Certificate (including without limitation, all portions of any section of this Second Amended and Restated Certificate containing any such provision held to be invalid, illegal or unenforceable, that are not themselves invalid, illegal or unenforceable) shall remain in full force and effect.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12.1 To the fullest extent permitted by the DGCL, as the same exists or as may hereafter be amended, a director of the Corporation shall not be personally liable to the Corporation or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automatically and without further action, upon the date of such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both"/>
        <w:ind w:firstLine="648"/>
        <w:spacing w:after="0" w:line="279" w:lineRule="auto"/>
        <w:rPr>
          <w:sz w:val="20"/>
          <w:szCs w:val="20"/>
          <w:color w:val="auto"/>
        </w:rPr>
      </w:pPr>
      <w:r>
        <w:rPr>
          <w:rFonts w:ascii="Arial" w:cs="Arial" w:eastAsia="Arial" w:hAnsi="Arial"/>
          <w:sz w:val="17"/>
          <w:szCs w:val="17"/>
          <w:color w:val="auto"/>
        </w:rPr>
        <w:t>Section 12.2 The Corporation, to the fullest extent permitted by law, may indemnify and advance expenses to any Person made or threatened to be made a party to an action, suit or proceeding, whether criminal, civil, administrative or investigative, by reason of the fact that he or she is or was a director, officer, employee or agent of the Corporation or any predecessor of the Corporation or is or was serving at the request of the Corporation as a director, officer, employee or agent of another corporation, partnership, joint venture, trust or other enterprise.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12.3 Neither any amendment nor repeal of this Article XII, nor the adoption by amendment of this Second Amended and Restated Certificate of Incorporation of any provision inconsistent with this Article, shall eliminate or reduce the effect of this Article XII in respect of any matter occurring, or any action or proceeding accruing or arising (or that, but for this Article XII, would accrue or arise) prior to such amendment or repeal or adoption of an inconsistent provision.</w:t>
      </w:r>
    </w:p>
    <w:p>
      <w:pPr>
        <w:spacing w:after="0" w:line="18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AMENDMENT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13.1 The Corporation reserves the right to amend or repeal any provision contained in this Second Amended and Restated Certificate in the manner prescribed by the laws of the State of Delaware and all rights conferred upon stockholders are granted subject to this reservation;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other provision of this Second Amended and Restated Certificate (including any Certificate of Designation) or any provision of law that might otherwise permit a lesser vote or no vote, but in addition to any vote of the holders of any class or series of the stock of the Corporation required by law or by this Second Amended and Restated Certificate (including any Certificate of Designation), and subject to Sections 4.1 and 4.2.1,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or adopt any provision inconsistent with Sections 4.1.2 and 4.2, or Article V, Article VI, Article VII, Article VIII, Article IX, Article X, Article XI, Article XII or this Section 13.1 (the “</w:t>
      </w:r>
      <w:r>
        <w:rPr>
          <w:rFonts w:ascii="Arial" w:cs="Arial" w:eastAsia="Arial" w:hAnsi="Arial"/>
          <w:sz w:val="17"/>
          <w:szCs w:val="17"/>
          <w:b w:val="1"/>
          <w:bCs w:val="1"/>
          <w:i w:val="1"/>
          <w:iCs w:val="1"/>
          <w:color w:val="auto"/>
        </w:rPr>
        <w:t>Specified Provisions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two-thirds of the Whole Board has approved such amendment or repeal of, or any provision inconsistent with, the Specified Provisions, then only the affirmative vote of the holders of at least a majority of the voting power of all of the then-outstanding shares of the capital stock of the Corporation entitled to vote generally in the election of directors, voting together as a single class, shall be required to amend or repeal, or adopt any provision inconsistent with, the Specified Provisions.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13.2 Notwithstanding any other provision of this Second Amended and Restated Certificate (including any Certificate of Designation) or any provision of law that might otherwise permit a lesser vote or no vote, but in addition to any vote of the holders of any class or series of the stock of the Corporation required by law or by this Second Amended and Restated Certificate (including any Certificate of Designation), the affirmative vote of the holders of Common Stock representing at least 75% of the voting power of the then-outstanding shares of Common Stock shall be required to amend or repeal, or to adopt any provision inconsistent with, Section 4.3 or this Section 13.2.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IN WITNESS WHEREOF, Presto Automation Inc. has caused this Second Amended and Restated Certificate of Incorporation to be executed in its name and signed on its behalf by its duly authorized officer on this 21st day of September, 2022.</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Rajat Suri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AMENDED AND RESTATED BYLAWS</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Adopted September 21, 2022 and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As Effective September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837565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760" w:type="dxa"/>
            <w:vAlign w:val="bottom"/>
          </w:tcPr>
          <w:p>
            <w:pPr>
              <w:ind w:left="3320"/>
              <w:spacing w:after="0"/>
              <w:rPr>
                <w:sz w:val="20"/>
                <w:szCs w:val="20"/>
                <w:color w:val="auto"/>
              </w:rPr>
            </w:pPr>
            <w:r>
              <w:rPr>
                <w:rFonts w:ascii="Arial" w:cs="Arial" w:eastAsia="Arial" w:hAnsi="Arial"/>
                <w:sz w:val="18"/>
                <w:szCs w:val="18"/>
                <w:b w:val="1"/>
                <w:bCs w:val="1"/>
                <w:color w:val="auto"/>
              </w:rPr>
              <w:t>TABLE OF CONTENT</w:t>
            </w:r>
          </w:p>
        </w:tc>
        <w:tc>
          <w:tcPr>
            <w:tcW w:w="1120" w:type="dxa"/>
            <w:vAlign w:val="bottom"/>
          </w:tcPr>
          <w:p>
            <w:pPr>
              <w:spacing w:after="0"/>
              <w:rPr>
                <w:sz w:val="20"/>
                <w:szCs w:val="20"/>
                <w:color w:val="auto"/>
              </w:rPr>
            </w:pPr>
          </w:p>
        </w:tc>
      </w:tr>
      <w:tr>
        <w:trPr>
          <w:trHeight w:val="459"/>
        </w:trPr>
        <w:tc>
          <w:tcPr>
            <w:tcW w:w="1360" w:type="dxa"/>
            <w:vAlign w:val="bottom"/>
            <w:tcBorders>
              <w:bottom w:val="single" w:sz="8" w:color="CCEEFF"/>
            </w:tcBorders>
          </w:tcPr>
          <w:p>
            <w:pPr>
              <w:spacing w:after="0"/>
              <w:rPr>
                <w:sz w:val="24"/>
                <w:szCs w:val="24"/>
                <w:color w:val="auto"/>
              </w:rPr>
            </w:pPr>
          </w:p>
        </w:tc>
        <w:tc>
          <w:tcPr>
            <w:tcW w:w="87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0"/>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STOCKHOLDERS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1.1</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Annual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1.2</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1.4</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Adjournments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1.5</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Quorum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1.6</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1.7</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Voting; Proxies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1.8</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Fixing Date for Determination of Stockholders of Record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1.9</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 of Stockholders Entitled to Vote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1.10</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Inspectors of Elections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1.11</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Conduct of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1.12</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Stockholder Business; Nominations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BOARD OF DIRECTORS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2.1</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Number; Qualifications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2.2</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Election; Resignation; Removal; Vacancies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2.3</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Regular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2.4</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Meetings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2.5</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Remote Meetings Permitted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2.6</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Quorum; Vote Required for Action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2.7</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2.8</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Unanimous Action by Directors in Lieu of a Meeting</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2.9</w:t>
            </w:r>
          </w:p>
        </w:tc>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Powers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8720" w:type="dxa"/>
            <w:vAlign w:val="bottom"/>
          </w:tcPr>
          <w:p>
            <w:pPr>
              <w:ind w:left="32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8720" w:type="dxa"/>
            <w:vAlign w:val="bottom"/>
          </w:tcPr>
          <w:p>
            <w:pPr>
              <w:ind w:left="3800"/>
              <w:spacing w:after="0"/>
              <w:rPr>
                <w:sz w:val="20"/>
                <w:szCs w:val="20"/>
                <w:color w:val="auto"/>
              </w:rPr>
            </w:pPr>
            <w:r>
              <w:rPr>
                <w:rFonts w:ascii="Arial" w:cs="Arial" w:eastAsia="Arial" w:hAnsi="Arial"/>
                <w:sz w:val="18"/>
                <w:szCs w:val="18"/>
                <w:color w:val="auto"/>
              </w:rPr>
              <w:t>(continued)</w:t>
            </w:r>
          </w:p>
        </w:tc>
        <w:tc>
          <w:tcPr>
            <w:tcW w:w="1120" w:type="dxa"/>
            <w:vAlign w:val="bottom"/>
          </w:tcPr>
          <w:p>
            <w:pPr>
              <w:spacing w:after="0"/>
              <w:rPr>
                <w:sz w:val="20"/>
                <w:szCs w:val="20"/>
                <w:color w:val="auto"/>
              </w:rPr>
            </w:pPr>
          </w:p>
        </w:tc>
      </w:tr>
      <w:tr>
        <w:trPr>
          <w:trHeight w:val="466"/>
        </w:trPr>
        <w:tc>
          <w:tcPr>
            <w:tcW w:w="140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2.10</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Compensation of Directors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2.11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Confidentiality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COMMITTEES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3.2</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Committee Rules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OFFICERS; CHAIRPERSON; LEAD INDEPENDENT 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Generally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4.2</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Executive Officer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4.3</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Chairperson of the Board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4.4</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Lead Independent 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4.5</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President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4.6</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Treasurer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4.8</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Vice President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4.9</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Secretary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4.10</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Delegation of Authority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4.11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Removal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Article V STOCK</w:t>
            </w:r>
          </w:p>
        </w:tc>
        <w:tc>
          <w:tcPr>
            <w:tcW w:w="87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5.1</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Certificates; Uncertificated Shares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5.2</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5.3</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Lock-Up.</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4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5.4</w:t>
            </w:r>
          </w:p>
        </w:tc>
        <w:tc>
          <w:tcPr>
            <w:tcW w:w="8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Regulations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80" w:type="dxa"/>
            <w:vAlign w:val="bottom"/>
            <w:gridSpan w:val="2"/>
          </w:tcPr>
          <w:p>
            <w:pPr>
              <w:jc w:val="center"/>
              <w:ind w:right="4470"/>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680" w:type="dxa"/>
            <w:vAlign w:val="bottom"/>
            <w:gridSpan w:val="2"/>
          </w:tcPr>
          <w:p>
            <w:pPr>
              <w:jc w:val="center"/>
              <w:ind w:right="4470"/>
              <w:spacing w:after="0"/>
              <w:rPr>
                <w:sz w:val="20"/>
                <w:szCs w:val="20"/>
                <w:color w:val="auto"/>
              </w:rPr>
            </w:pPr>
            <w:r>
              <w:rPr>
                <w:rFonts w:ascii="Arial" w:cs="Arial" w:eastAsia="Arial" w:hAnsi="Arial"/>
                <w:sz w:val="18"/>
                <w:szCs w:val="18"/>
                <w:color w:val="auto"/>
                <w:w w:val="93"/>
              </w:rPr>
              <w:t>(continued)</w:t>
            </w:r>
          </w:p>
        </w:tc>
      </w:tr>
      <w:tr>
        <w:trPr>
          <w:trHeight w:val="486"/>
        </w:trPr>
        <w:tc>
          <w:tcPr>
            <w:tcW w:w="130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5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PAGE</w:t>
            </w: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INDEMNIFICATION</w:t>
            </w:r>
          </w:p>
        </w:tc>
        <w:tc>
          <w:tcPr>
            <w:tcW w:w="55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6.1</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Indemnification of Officers and Directors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25</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6.2</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 of Expenses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6.3</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Non-Exclusivity of Rights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6.4</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Indemnification Contracts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6.5</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Indemnitee to Bring Suit</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26</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6.6</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Nature of Rights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27</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6.7</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27</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6.8</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Rights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27</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ARTICLE VII NOTICES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28</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7.1</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28</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7.2</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 of Notice</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INTERESTED DIRECTORS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8.1</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Interested Directors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8.2</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Quorum</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MISCELLANEOUS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9.1</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Fiscal Year</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9.2</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Seal</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9.3</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Records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29</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9.4</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Reliance Upon Books and Records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9.5</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 of Incorporation Governs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9.6</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Severability</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30</w:t>
            </w:r>
          </w:p>
        </w:tc>
      </w:tr>
      <w:tr>
        <w:trPr>
          <w:trHeight w:val="216"/>
        </w:trPr>
        <w:tc>
          <w:tcPr>
            <w:tcW w:w="1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9.7</w:t>
            </w:r>
          </w:p>
        </w:tc>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Periods</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30</w:t>
            </w:r>
          </w:p>
        </w:tc>
      </w:tr>
      <w:tr>
        <w:trPr>
          <w:trHeight w:val="216"/>
        </w:trPr>
        <w:tc>
          <w:tcPr>
            <w:tcW w:w="4560" w:type="dxa"/>
            <w:vAlign w:val="bottom"/>
            <w:gridSpan w:val="2"/>
          </w:tcPr>
          <w:p>
            <w:pPr>
              <w:spacing w:after="0"/>
              <w:rPr>
                <w:sz w:val="18"/>
                <w:szCs w:val="18"/>
                <w:color w:val="auto"/>
              </w:rPr>
            </w:pPr>
          </w:p>
        </w:tc>
        <w:tc>
          <w:tcPr>
            <w:tcW w:w="5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AMENDMENT</w:t>
            </w:r>
          </w:p>
        </w:tc>
        <w:tc>
          <w:tcPr>
            <w:tcW w:w="668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89"/>
              </w:rPr>
              <w:t>31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September 21, 2022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Effective September 21,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annual meeting of stockholders shall be held for the election of directors at such date and time as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Presto Automation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The meeting may be held either at a place, within or without the State of Delaware as permitted by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Special meetings of stockholders for any purpose or purposes shall be called in the manner set forth in the Second Amended and Restated Certificate of Incorporation of the Corporation (as the same may be amended and/or restated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Notice of Meetings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10, nor more than 60, days before the date of the meeting to each stockholder of record entitled to vote at such meeting as of the record date for determining the stockholders entitled to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Adjournments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Notwithstanding Section 1.5 of these Bylaws, the chairperson of the meeting shall have the power to adjourn the meeting to another time, date and place (if any), regardless of whether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Except as otherwise provided by applicable law, the Certificate of Incorporation or these 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Meetings of stockholders shall be presided over by (a) such person as the Board may designate, or (b) in such person’s absence, the Chairperson of the Board, or (c) in such person’s absence, the Lead Independent Director, if elected, or, (d) in such person’s absence, the Chief Executive Officer of the Corporation, or (e) in such person’s absence, the President of the Corporation, or (f) in the absence of such person, by a Vice President. Such person shall be chairperson of the meeting and, subject to Section 1.10 of these Bylaws, shall determine the order of business and the procedure at the meeting, including such regulation of the manner of voting and the conduct of discussion as seems to such person to be in order. The Secretary of the Corporation shall act as secretary of the meeting, but in such person’s absence the chairperson of the meeting may appoint any person to act as secretary of the meeting.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Voting; Proxies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stockholder of record entitled to vote at a meeting of stockholders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the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Fixing Date for Determination of Stockholders of Record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List of Stockholders Entitled to Vote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Secretary shall prepare, at least 10 days before every meeting of stockholders, a 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10 days before the date of the meeting, the list shall reflect the stockholders entitled to vote as of the 10th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as permitted by applicable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information required to gain access to the list is provided with the notice of the meeting), or (b)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a list of stockholders entitled to vote at the meeting shall be open to the examination of any stockholder during the whole time of the meeting on a reasonably accessible electronic network, and the information required to access the list shall be provided with the notice of the meeting. Except as otherwise provided by law, the list shall presumptively determine the identity of the stockholders entitled to vote at the meeting and the number of shares held by each of them.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Inspectors of Elections</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u w:val="single" w:color="auto"/>
          <w:color w:val="auto"/>
        </w:rPr>
        <w:t>Applicability.</w:t>
      </w:r>
      <w:r>
        <w:rPr>
          <w:rFonts w:ascii="Arial" w:cs="Arial" w:eastAsia="Arial" w:hAnsi="Arial"/>
          <w:sz w:val="16"/>
          <w:szCs w:val="16"/>
          <w:color w:val="auto"/>
        </w:rPr>
        <w:t xml:space="preserve"> Unless otherwise required by the Certificate of Incorporation or by the DGCL,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296"/>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such inspector’s duties, shall take and sign an oath faithfully to execute the duties of inspector with strict impartiality and according to the best of such inspector’s ability.</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Duties of Inspectors</w:t>
      </w:r>
      <w:r>
        <w:rPr>
          <w:rFonts w:ascii="Arial" w:cs="Arial" w:eastAsia="Arial" w:hAnsi="Arial"/>
          <w:sz w:val="16"/>
          <w:szCs w:val="16"/>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w:t>
      </w: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determine and retain for a reasonable period of time a record of the disposition of any challenges made to any determination by the inspectors, and</w:t>
      </w:r>
    </w:p>
    <w:p>
      <w:pPr>
        <w:spacing w:after="0" w:line="32" w:lineRule="exact"/>
        <w:rPr>
          <w:rFonts w:ascii="Arial" w:cs="Arial" w:eastAsia="Arial" w:hAnsi="Arial"/>
          <w:sz w:val="16"/>
          <w:szCs w:val="16"/>
          <w:color w:val="auto"/>
        </w:rPr>
      </w:pPr>
    </w:p>
    <w:p>
      <w:pPr>
        <w:ind w:right="20" w:firstLine="8"/>
        <w:spacing w:after="0" w:line="260" w:lineRule="auto"/>
        <w:tabs>
          <w:tab w:leader="none" w:pos="2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8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Conduct of Meetings.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(such person to be selected by the Board)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Notice of Stockholder Business; Nominations</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5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7"/>
          <w:szCs w:val="17"/>
          <w:b w:val="1"/>
          <w:bCs w:val="1"/>
          <w:i w:val="1"/>
          <w:iCs w:val="1"/>
          <w:color w:val="auto"/>
        </w:rPr>
        <w:t>Record Stockholder</w:t>
      </w:r>
      <w:r>
        <w:rPr>
          <w:rFonts w:ascii="Arial" w:cs="Arial" w:eastAsia="Arial" w:hAnsi="Arial"/>
          <w:sz w:val="17"/>
          <w:szCs w:val="17"/>
          <w:color w:val="auto"/>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80" w:lineRule="exact"/>
        <w:rPr>
          <w:rFonts w:ascii="Arial" w:cs="Arial" w:eastAsia="Arial" w:hAnsi="Arial"/>
          <w:sz w:val="17"/>
          <w:szCs w:val="17"/>
          <w:color w:val="auto"/>
        </w:rPr>
      </w:pPr>
    </w:p>
    <w:p>
      <w:pPr>
        <w:ind w:firstLine="1304"/>
        <w:spacing w:after="0" w:line="277" w:lineRule="auto"/>
        <w:tabs>
          <w:tab w:leader="none" w:pos="1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70" w:lineRule="exact"/>
        <w:rPr>
          <w:rFonts w:ascii="Arial" w:cs="Arial" w:eastAsia="Arial" w:hAnsi="Arial"/>
          <w:sz w:val="18"/>
          <w:szCs w:val="18"/>
          <w:color w:val="auto"/>
        </w:rPr>
      </w:pPr>
    </w:p>
    <w:p>
      <w:pPr>
        <w:ind w:firstLine="1952"/>
        <w:spacing w:after="0" w:line="277" w:lineRule="auto"/>
        <w:tabs>
          <w:tab w:leader="none" w:pos="21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70" w:lineRule="exact"/>
        <w:rPr>
          <w:rFonts w:ascii="Arial" w:cs="Arial" w:eastAsia="Arial" w:hAnsi="Arial"/>
          <w:sz w:val="18"/>
          <w:szCs w:val="18"/>
          <w:color w:val="auto"/>
        </w:rPr>
      </w:pPr>
    </w:p>
    <w:p>
      <w:pPr>
        <w:ind w:left="2220" w:hanging="268"/>
        <w:spacing w:after="0"/>
        <w:tabs>
          <w:tab w:leader="none" w:pos="22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action;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952"/>
        <w:spacing w:after="0" w:line="273" w:lineRule="auto"/>
        <w:tabs>
          <w:tab w:leader="none" w:pos="2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77" w:lineRule="exact"/>
        <w:rPr>
          <w:rFonts w:ascii="Arial" w:cs="Arial" w:eastAsia="Arial" w:hAnsi="Arial"/>
          <w:sz w:val="17"/>
          <w:szCs w:val="17"/>
          <w:color w:val="auto"/>
        </w:rPr>
      </w:pPr>
    </w:p>
    <w:p>
      <w:pPr>
        <w:jc w:val="both"/>
        <w:ind w:firstLine="1952"/>
        <w:spacing w:after="0" w:line="263" w:lineRule="auto"/>
        <w:tabs>
          <w:tab w:leader="none" w:pos="22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To be timely, a Record Stockholder’s notice must be delivered to the Secretary at the principal executive offices of the Corporation not later than 5:00 p.m. Eastern Time on the 90th day nor earlier than 5:00 p.m. Eastern Time on the 120th day prior to the first anniversary of the preceding year’s annual meeting (except in the case of the Corporation’s first annual meeting following the closing of the Transaction (as defined below), for which such notice shall be timely if delivered in the same time period as if such meeting were a special meeting governed by Section 1.12.3 of these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30 days before or more than 70 days after such anniversary date, notice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Record Stockholder to be timely must be so delivered (A) no earlier than 5:00 p.m. Eastern Time on the 120th day prior to such annual meeting and (B) no later than 5:00 p.m. Eastern Time on the later of the 90th day prior to such annual meeting or 5:00 p.m. Eastern Time on the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 Such Record Stockholder’s notice shall set forth:</w:t>
      </w:r>
    </w:p>
    <w:p>
      <w:pPr>
        <w:spacing w:after="0" w:line="185"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225" w:lineRule="exact"/>
        <w:rPr>
          <w:rFonts w:ascii="Arial" w:cs="Arial" w:eastAsia="Arial" w:hAnsi="Arial"/>
          <w:sz w:val="18"/>
          <w:szCs w:val="18"/>
          <w:color w:val="auto"/>
        </w:rPr>
      </w:pPr>
    </w:p>
    <w:p>
      <w:pPr>
        <w:ind w:firstLine="1952"/>
        <w:spacing w:after="0" w:line="277" w:lineRule="auto"/>
        <w:tabs>
          <w:tab w:leader="none" w:pos="22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952"/>
        <w:spacing w:after="0" w:line="275" w:lineRule="auto"/>
        <w:tabs>
          <w:tab w:leader="none" w:pos="2199"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 (including such person’s written consent to being named in the proxy statement as a nominee, to the public disclosure of information regarding or related to such person provided to the Corporation by such person or otherwise pursuant to this Section 1.12 and to serving as a director if elected);</w:t>
      </w:r>
    </w:p>
    <w:p>
      <w:pPr>
        <w:spacing w:after="0" w:line="176" w:lineRule="exact"/>
        <w:rPr>
          <w:rFonts w:ascii="Arial" w:cs="Arial" w:eastAsia="Arial" w:hAnsi="Arial"/>
          <w:sz w:val="17"/>
          <w:szCs w:val="17"/>
          <w:color w:val="auto"/>
        </w:rPr>
      </w:pPr>
    </w:p>
    <w:p>
      <w:pPr>
        <w:ind w:firstLine="1952"/>
        <w:spacing w:after="0" w:line="277" w:lineRule="auto"/>
        <w:tabs>
          <w:tab w:leader="none" w:pos="226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whether such person meets the independence requirements of the stock exchange upon which the Corporation’s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is primarily traded;</w:t>
      </w:r>
    </w:p>
    <w:p>
      <w:pPr>
        <w:spacing w:after="0" w:line="170" w:lineRule="exact"/>
        <w:rPr>
          <w:rFonts w:ascii="Arial" w:cs="Arial" w:eastAsia="Arial" w:hAnsi="Arial"/>
          <w:sz w:val="18"/>
          <w:szCs w:val="18"/>
          <w:color w:val="auto"/>
        </w:rPr>
      </w:pPr>
    </w:p>
    <w:p>
      <w:pPr>
        <w:jc w:val="both"/>
        <w:ind w:firstLine="1952"/>
        <w:spacing w:after="0" w:line="296" w:lineRule="auto"/>
        <w:tabs>
          <w:tab w:leader="none" w:pos="23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61" w:lineRule="exact"/>
        <w:rPr>
          <w:rFonts w:ascii="Arial" w:cs="Arial" w:eastAsia="Arial" w:hAnsi="Arial"/>
          <w:sz w:val="16"/>
          <w:szCs w:val="16"/>
          <w:color w:val="auto"/>
        </w:rPr>
      </w:pPr>
    </w:p>
    <w:p>
      <w:pPr>
        <w:ind w:left="2360" w:hanging="408"/>
        <w:spacing w:after="0"/>
        <w:tabs>
          <w:tab w:leader="none" w:pos="23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completed and signed questionnaire, representation and agreement required by Section 1.12.2 of these Bylaws;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to any other business, other than the nomination of a director or directors that the Record Stockholder proposes to bring before the meeting:</w:t>
      </w:r>
    </w:p>
    <w:p>
      <w:pPr>
        <w:spacing w:after="0" w:line="248" w:lineRule="exact"/>
        <w:rPr>
          <w:rFonts w:ascii="Arial" w:cs="Arial" w:eastAsia="Arial" w:hAnsi="Arial"/>
          <w:sz w:val="16"/>
          <w:szCs w:val="16"/>
          <w:color w:val="auto"/>
        </w:rPr>
      </w:pPr>
    </w:p>
    <w:p>
      <w:pPr>
        <w:jc w:val="both"/>
        <w:ind w:firstLine="1952"/>
        <w:spacing w:after="0" w:line="259" w:lineRule="auto"/>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20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to the Proposing Person giving the notice:</w:t>
      </w:r>
    </w:p>
    <w:p>
      <w:pPr>
        <w:spacing w:after="0" w:line="225" w:lineRule="exact"/>
        <w:rPr>
          <w:rFonts w:ascii="Arial" w:cs="Arial" w:eastAsia="Arial" w:hAnsi="Arial"/>
          <w:sz w:val="18"/>
          <w:szCs w:val="18"/>
          <w:color w:val="auto"/>
        </w:rPr>
      </w:pPr>
    </w:p>
    <w:p>
      <w:pPr>
        <w:ind w:right="20" w:firstLine="1952"/>
        <w:spacing w:after="0" w:line="277" w:lineRule="auto"/>
        <w:tabs>
          <w:tab w:leader="none" w:pos="22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83" w:lineRule="exact"/>
        <w:rPr>
          <w:rFonts w:ascii="Arial" w:cs="Arial" w:eastAsia="Arial" w:hAnsi="Arial"/>
          <w:sz w:val="18"/>
          <w:szCs w:val="18"/>
          <w:color w:val="auto"/>
        </w:rPr>
      </w:pPr>
    </w:p>
    <w:p>
      <w:pPr>
        <w:jc w:val="both"/>
        <w:ind w:firstLine="1952"/>
        <w:spacing w:after="0" w:line="268" w:lineRule="auto"/>
        <w:tabs>
          <w:tab w:leader="none" w:pos="2212" w:val="left"/>
        </w:tabs>
        <w:numPr>
          <w:ilvl w:val="1"/>
          <w:numId w:val="23"/>
        </w:numPr>
        <w:rPr>
          <w:rFonts w:ascii="Arial" w:cs="Arial" w:eastAsia="Arial" w:hAnsi="Arial"/>
          <w:sz w:val="17"/>
          <w:szCs w:val="17"/>
          <w:color w:val="auto"/>
        </w:rPr>
      </w:pPr>
      <w:r>
        <w:rPr>
          <w:rFonts w:ascii="Arial" w:cs="Arial" w:eastAsia="Arial" w:hAnsi="Arial"/>
          <w:sz w:val="17"/>
          <w:szCs w:val="17"/>
          <w:color w:val="auto"/>
        </w:rPr>
        <w:t>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7"/>
          <w:szCs w:val="17"/>
          <w:b w:val="1"/>
          <w:bCs w:val="1"/>
          <w:i w:val="1"/>
          <w:iCs w:val="1"/>
          <w:color w:val="auto"/>
        </w:rPr>
        <w:t>Short Interest</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jc w:val="both"/>
        <w:ind w:firstLine="1952"/>
        <w:spacing w:after="0" w:line="263" w:lineRule="auto"/>
        <w:tabs>
          <w:tab w:leader="none" w:pos="22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32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direct or indirect material interest in any material contract or agreement with the Corporation, any affiliate of the Corporation or any principal competitor of the Corporation (including, in any such case, any employment agreement, collective bargaining agreement or consulting agreement);</w:t>
      </w:r>
    </w:p>
    <w:p>
      <w:pPr>
        <w:spacing w:after="0" w:line="183" w:lineRule="exact"/>
        <w:rPr>
          <w:rFonts w:ascii="Arial" w:cs="Arial" w:eastAsia="Arial" w:hAnsi="Arial"/>
          <w:sz w:val="18"/>
          <w:szCs w:val="18"/>
          <w:color w:val="auto"/>
        </w:rPr>
      </w:pPr>
    </w:p>
    <w:p>
      <w:pPr>
        <w:ind w:firstLine="1952"/>
        <w:spacing w:after="0" w:line="277" w:lineRule="auto"/>
        <w:tabs>
          <w:tab w:leader="none" w:pos="23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principal competitor of the Business held by such Proposing Person and/or any of its respective affiliates or associates;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firstLine="1952"/>
        <w:spacing w:after="0" w:line="277" w:lineRule="auto"/>
        <w:tabs>
          <w:tab w:leader="none" w:pos="22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material relationship between such Proposing Person, on the one hand, and the Corporation, any affiliate of the Corporation or any principal competitor of the Corporation, on the other hand;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83" w:lineRule="exact"/>
        <w:rPr>
          <w:rFonts w:ascii="Arial" w:cs="Arial" w:eastAsia="Arial" w:hAnsi="Arial"/>
          <w:sz w:val="18"/>
          <w:szCs w:val="18"/>
          <w:color w:val="auto"/>
        </w:rPr>
      </w:pPr>
    </w:p>
    <w:p>
      <w:pPr>
        <w:jc w:val="both"/>
        <w:ind w:firstLine="1952"/>
        <w:spacing w:after="0" w:line="254" w:lineRule="auto"/>
        <w:tabs>
          <w:tab w:leader="none" w:pos="2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 (the disclosures to be made pursuant to the foregoing clauses (iv) through (vii) are referred to as “</w:t>
      </w:r>
      <w:r>
        <w:rPr>
          <w:rFonts w:ascii="Arial" w:cs="Arial" w:eastAsia="Arial" w:hAnsi="Arial"/>
          <w:sz w:val="18"/>
          <w:szCs w:val="18"/>
          <w:b w:val="1"/>
          <w:bCs w:val="1"/>
          <w:i w:val="1"/>
          <w:iCs w:val="1"/>
          <w:color w:val="auto"/>
        </w:rPr>
        <w:t>Disclosable Interests</w:t>
      </w:r>
      <w:r>
        <w:rPr>
          <w:rFonts w:ascii="Arial" w:cs="Arial" w:eastAsia="Arial" w:hAnsi="Arial"/>
          <w:sz w:val="18"/>
          <w:szCs w:val="18"/>
          <w:color w:val="auto"/>
        </w:rPr>
        <w:t>”). For purposes hereof “Disclosable Interests”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94" w:lineRule="exact"/>
        <w:rPr>
          <w:rFonts w:ascii="Arial" w:cs="Arial" w:eastAsia="Arial" w:hAnsi="Arial"/>
          <w:sz w:val="18"/>
          <w:szCs w:val="18"/>
          <w:color w:val="auto"/>
        </w:rPr>
      </w:pPr>
    </w:p>
    <w:p>
      <w:pPr>
        <w:ind w:left="2300" w:hanging="348"/>
        <w:spacing w:after="0"/>
        <w:tabs>
          <w:tab w:leader="none" w:pos="2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1.12;</w:t>
      </w:r>
    </w:p>
    <w:p>
      <w:pPr>
        <w:spacing w:after="0" w:line="210" w:lineRule="exact"/>
        <w:rPr>
          <w:rFonts w:ascii="Arial" w:cs="Arial" w:eastAsia="Arial" w:hAnsi="Arial"/>
          <w:sz w:val="16"/>
          <w:szCs w:val="16"/>
          <w:color w:val="auto"/>
        </w:rPr>
      </w:pPr>
    </w:p>
    <w:p>
      <w:pPr>
        <w:jc w:val="both"/>
        <w:ind w:firstLine="1952"/>
        <w:spacing w:after="0" w:line="286" w:lineRule="auto"/>
        <w:tabs>
          <w:tab w:leader="none" w:pos="23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65" w:lineRule="exact"/>
        <w:rPr>
          <w:rFonts w:ascii="Arial" w:cs="Arial" w:eastAsia="Arial" w:hAnsi="Arial"/>
          <w:sz w:val="17"/>
          <w:szCs w:val="17"/>
          <w:color w:val="auto"/>
        </w:rPr>
      </w:pPr>
    </w:p>
    <w:p>
      <w:pPr>
        <w:jc w:val="both"/>
        <w:ind w:firstLine="1952"/>
        <w:spacing w:after="0" w:line="259" w:lineRule="auto"/>
        <w:tabs>
          <w:tab w:leader="none" w:pos="23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to each person whom such Proposing Person proposes to nominate for election or re-election as a director, any agreement, arrangement or understanding of such person with any other person or entity other than the Corporation with respect to any direct or indirect compensation, reimbursement or indemnification in connection with service or action as a director known to such Proposing Person after reasonable inquiry;</w:t>
      </w:r>
    </w:p>
    <w:p>
      <w:pPr>
        <w:spacing w:after="0" w:line="186" w:lineRule="exact"/>
        <w:rPr>
          <w:rFonts w:ascii="Arial" w:cs="Arial" w:eastAsia="Arial" w:hAnsi="Arial"/>
          <w:sz w:val="18"/>
          <w:szCs w:val="18"/>
          <w:color w:val="auto"/>
        </w:rPr>
      </w:pPr>
    </w:p>
    <w:p>
      <w:pPr>
        <w:ind w:right="20" w:firstLine="1952"/>
        <w:spacing w:after="0" w:line="277" w:lineRule="auto"/>
        <w:tabs>
          <w:tab w:leader="none" w:pos="23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70" w:lineRule="exact"/>
        <w:rPr>
          <w:rFonts w:ascii="Arial" w:cs="Arial" w:eastAsia="Arial" w:hAnsi="Arial"/>
          <w:sz w:val="18"/>
          <w:szCs w:val="18"/>
          <w:color w:val="auto"/>
        </w:rPr>
      </w:pPr>
    </w:p>
    <w:p>
      <w:pPr>
        <w:jc w:val="both"/>
        <w:ind w:firstLine="1952"/>
        <w:spacing w:after="0" w:line="259" w:lineRule="auto"/>
        <w:tabs>
          <w:tab w:leader="none" w:pos="23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8"/>
          <w:szCs w:val="18"/>
          <w:b w:val="1"/>
          <w:bCs w:val="1"/>
          <w:i w:val="1"/>
          <w:iCs w:val="1"/>
          <w:color w:val="auto"/>
        </w:rPr>
        <w:t>Solicitation Notice</w:t>
      </w:r>
      <w:r>
        <w:rPr>
          <w:rFonts w:ascii="Arial" w:cs="Arial" w:eastAsia="Arial" w:hAnsi="Arial"/>
          <w:sz w:val="18"/>
          <w:szCs w:val="18"/>
          <w:color w:val="auto"/>
        </w:rPr>
        <w: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firstLine="1952"/>
        <w:spacing w:after="0" w:line="277" w:lineRule="auto"/>
        <w:tabs>
          <w:tab w:leader="none" w:pos="2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stockholder providing written notice required by this Section 1.12 will update and supplement such notice in writing, if necessary, so that the information provided or required to be provided in such notice is true and correct in all material respects as of (i) the record date for the meeting and</w:t>
      </w:r>
    </w:p>
    <w:p>
      <w:pPr>
        <w:jc w:val="both"/>
        <w:ind w:firstLine="8"/>
        <w:spacing w:after="0" w:line="268" w:lineRule="auto"/>
        <w:tabs>
          <w:tab w:leader="none" w:pos="2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5:00 p.m. Eastern Time on the fifth business day prior to the meeting and, in the event of any adjournment or postponement thereof, 5:00 p.m. Eastern Time on the fifth business day prior to such adjourned or postponed meeting. In the case of an update and supplement pursuant to clause (i) of the foregoing sentence, such update and supplement will be received by the Secretary of the Corporation at the principal executive office of the Corporation not later than eight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81" w:lineRule="exact"/>
        <w:rPr>
          <w:rFonts w:ascii="Arial" w:cs="Arial" w:eastAsia="Arial" w:hAnsi="Arial"/>
          <w:sz w:val="17"/>
          <w:szCs w:val="17"/>
          <w:color w:val="auto"/>
        </w:rPr>
      </w:pPr>
    </w:p>
    <w:p>
      <w:pPr>
        <w:jc w:val="both"/>
        <w:ind w:firstLine="1304"/>
        <w:spacing w:after="0" w:line="272"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Section 1.12.1(b) of these Bylaws to the contrary, in the event that the number of directors to be elected to the Board is increased and there is no Public Announcement by the Corporation naming all of the nominees for director or specifying the size of the increased Board at least 90 days prior to the first anniversary of the preceding year’s annual meeting (or, if the annual meeting is held more than 30 days before or 60 days after such anniversary date, at least 90 days prior to such annual meeting), a stockholder’s notice required by this Section 1.12 shall also be considered timely, but only with respect to nominees for any new positions created by such increase, if it shall be delivered to the Secretary of the Corporation at the principal executive office of the Corporation no later than 5:00 p.m. Eastern Time on the 10th day following the day on which such Public Announcement is first made by the Corporation.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anything in this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years shall be ineligible to be nominated or serve as a member of the Board, absent a prior waiver for such nomination or service approved by two-thirds of the Whole Board.</w:t>
      </w:r>
    </w:p>
    <w:p>
      <w:pPr>
        <w:spacing w:after="0" w:line="1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87" w:lineRule="auto"/>
        <w:rPr>
          <w:sz w:val="20"/>
          <w:szCs w:val="20"/>
          <w:color w:val="auto"/>
        </w:rPr>
      </w:pPr>
      <w:r>
        <w:rPr>
          <w:rFonts w:ascii="Arial" w:cs="Arial" w:eastAsia="Arial" w:hAnsi="Arial"/>
          <w:sz w:val="16"/>
          <w:szCs w:val="16"/>
          <w:color w:val="auto"/>
        </w:rPr>
        <w:t xml:space="preserve">1.12.3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120th day prior to such special meeting and (ii) no later than 5:00 p.m. Eastern Time on the later of the 90th day prior to such special meeting or the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8" w:lineRule="auto"/>
        <w:tabs>
          <w:tab w:leader="none" w:pos="1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87" w:lineRule="auto"/>
        <w:tabs>
          <w:tab w:leader="none" w:pos="15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any series of Preferred Stock to elect directors pursuant to any applicable provisions of the Certificate of Incorporation.</w:t>
      </w:r>
    </w:p>
    <w:p>
      <w:pPr>
        <w:spacing w:after="0" w:line="210" w:lineRule="exact"/>
        <w:rPr>
          <w:rFonts w:ascii="Arial" w:cs="Arial" w:eastAsia="Arial" w:hAnsi="Arial"/>
          <w:sz w:val="18"/>
          <w:szCs w:val="18"/>
          <w:color w:val="auto"/>
        </w:rPr>
      </w:pPr>
    </w:p>
    <w:p>
      <w:pPr>
        <w:ind w:left="1540" w:hanging="236"/>
        <w:spacing w:after="0"/>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225" w:lineRule="exact"/>
        <w:rPr>
          <w:rFonts w:ascii="Arial" w:cs="Arial" w:eastAsia="Arial" w:hAnsi="Arial"/>
          <w:sz w:val="18"/>
          <w:szCs w:val="18"/>
          <w:color w:val="auto"/>
        </w:rPr>
      </w:pPr>
    </w:p>
    <w:p>
      <w:pPr>
        <w:jc w:val="both"/>
        <w:ind w:left="1960" w:hanging="8"/>
        <w:spacing w:after="0" w:line="269" w:lineRule="auto"/>
        <w:tabs>
          <w:tab w:leader="none" w:pos="2268" w:val="left"/>
        </w:tabs>
        <w:numPr>
          <w:ilvl w:val="2"/>
          <w:numId w:val="29"/>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xml:space="preserve">”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78" w:lineRule="exact"/>
        <w:rPr>
          <w:rFonts w:ascii="Arial" w:cs="Arial" w:eastAsia="Arial" w:hAnsi="Arial"/>
          <w:sz w:val="17"/>
          <w:szCs w:val="17"/>
          <w:color w:val="auto"/>
        </w:rPr>
      </w:pPr>
    </w:p>
    <w:p>
      <w:pPr>
        <w:ind w:left="2240" w:hanging="288"/>
        <w:spacing w:after="0"/>
        <w:tabs>
          <w:tab w:leader="none" w:pos="2240" w:val="left"/>
        </w:tabs>
        <w:numPr>
          <w:ilvl w:val="2"/>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Associated Person</w:t>
      </w:r>
      <w:r>
        <w:rPr>
          <w:rFonts w:ascii="Arial" w:cs="Arial" w:eastAsia="Arial" w:hAnsi="Arial"/>
          <w:sz w:val="16"/>
          <w:szCs w:val="16"/>
          <w:color w:val="auto"/>
        </w:rPr>
        <w:t>” shall mean with respect to any subject stockholder or other person (including any proposed nominee)</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6"/>
          <w:szCs w:val="16"/>
          <w:color w:val="auto"/>
        </w:rPr>
        <w:t>(1) any person directly or indirectly controlling, controlled by or under common control with such stockholder or other person,</w:t>
      </w:r>
    </w:p>
    <w:p>
      <w:pPr>
        <w:spacing w:after="0" w:line="32" w:lineRule="exact"/>
        <w:rPr>
          <w:rFonts w:ascii="Arial" w:cs="Arial" w:eastAsia="Arial" w:hAnsi="Arial"/>
          <w:sz w:val="16"/>
          <w:szCs w:val="16"/>
          <w:color w:val="auto"/>
        </w:rPr>
      </w:pPr>
    </w:p>
    <w:p>
      <w:pPr>
        <w:jc w:val="both"/>
        <w:ind w:left="1960"/>
        <w:spacing w:after="0" w:line="253" w:lineRule="auto"/>
        <w:rPr>
          <w:rFonts w:ascii="Arial" w:cs="Arial" w:eastAsia="Arial" w:hAnsi="Arial"/>
          <w:sz w:val="16"/>
          <w:szCs w:val="16"/>
          <w:color w:val="auto"/>
        </w:rPr>
      </w:pPr>
      <w:r>
        <w:rPr>
          <w:rFonts w:ascii="Arial" w:cs="Arial" w:eastAsia="Arial" w:hAnsi="Arial"/>
          <w:sz w:val="18"/>
          <w:szCs w:val="18"/>
          <w:color w:val="auto"/>
        </w:rPr>
        <w:t>(2) any beneficial owner of shares of stock of the Corporation owned of record or beneficially by such stockholder or other person, (3) any associate (as defined in Rule 405 under the Securities Act of 1933, as amended), of such stockholder or other person, and (4) any person directly or indirectly controlling, controlled by or under common control or Acting in Concert with any such Associated Person;</w:t>
      </w:r>
    </w:p>
    <w:p>
      <w:pPr>
        <w:spacing w:after="0" w:line="192" w:lineRule="exact"/>
        <w:rPr>
          <w:rFonts w:ascii="Arial" w:cs="Arial" w:eastAsia="Arial" w:hAnsi="Arial"/>
          <w:sz w:val="16"/>
          <w:szCs w:val="16"/>
          <w:color w:val="auto"/>
        </w:rPr>
      </w:pPr>
    </w:p>
    <w:p>
      <w:pPr>
        <w:jc w:val="both"/>
        <w:ind w:left="1960" w:hanging="8"/>
        <w:spacing w:after="0" w:line="279" w:lineRule="auto"/>
        <w:tabs>
          <w:tab w:leader="none" w:pos="2272" w:val="left"/>
        </w:tabs>
        <w:numPr>
          <w:ilvl w:val="2"/>
          <w:numId w:val="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Compensation Arrangement</w:t>
      </w:r>
      <w:r>
        <w:rPr>
          <w:rFonts w:ascii="Arial" w:cs="Arial" w:eastAsia="Arial" w:hAnsi="Arial"/>
          <w:sz w:val="17"/>
          <w:szCs w:val="17"/>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1" w:lineRule="exact"/>
        <w:rPr>
          <w:rFonts w:ascii="Arial" w:cs="Arial" w:eastAsia="Arial" w:hAnsi="Arial"/>
          <w:sz w:val="17"/>
          <w:szCs w:val="17"/>
          <w:color w:val="auto"/>
        </w:rPr>
      </w:pPr>
    </w:p>
    <w:p>
      <w:pPr>
        <w:jc w:val="both"/>
        <w:ind w:left="1960" w:hanging="8"/>
        <w:spacing w:after="0" w:line="255" w:lineRule="auto"/>
        <w:tabs>
          <w:tab w:leader="none" w:pos="2282"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shall mean (1) the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92" w:lineRule="exact"/>
        <w:rPr>
          <w:rFonts w:ascii="Arial" w:cs="Arial" w:eastAsia="Arial" w:hAnsi="Arial"/>
          <w:sz w:val="18"/>
          <w:szCs w:val="18"/>
          <w:color w:val="auto"/>
        </w:rPr>
      </w:pPr>
    </w:p>
    <w:p>
      <w:pPr>
        <w:jc w:val="both"/>
        <w:ind w:left="1960" w:hanging="8"/>
        <w:spacing w:after="0" w:line="263" w:lineRule="auto"/>
        <w:tabs>
          <w:tab w:leader="none" w:pos="2248" w:val="left"/>
        </w:tabs>
        <w:numPr>
          <w:ilvl w:val="2"/>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left="1960" w:hanging="8"/>
        <w:spacing w:after="0" w:line="284" w:lineRule="auto"/>
        <w:tabs>
          <w:tab w:leader="none" w:pos="223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be considered a “</w:t>
      </w:r>
      <w:r>
        <w:rPr>
          <w:rFonts w:ascii="Arial" w:cs="Arial" w:eastAsia="Arial" w:hAnsi="Arial"/>
          <w:sz w:val="16"/>
          <w:szCs w:val="16"/>
          <w:b w:val="1"/>
          <w:bCs w:val="1"/>
          <w:i w:val="1"/>
          <w:iCs w:val="1"/>
          <w:color w:val="auto"/>
        </w:rPr>
        <w:t>Qualified Representative</w:t>
      </w:r>
      <w:r>
        <w:rPr>
          <w:rFonts w:ascii="Arial" w:cs="Arial" w:eastAsia="Arial" w:hAnsi="Arial"/>
          <w:sz w:val="16"/>
          <w:szCs w:val="16"/>
          <w:color w:val="auto"/>
        </w:rPr>
        <w:t xml:space="preserve">” of a stockholder, a person must be a duly authorized officer, manager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annual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stockholder is (1) a general or limited partnership, any general partner or person who functions as a general partner of the general or limited partnership or who controls the general or limited partnership shall be deemed a Qualified Representative,</w:t>
      </w:r>
    </w:p>
    <w:p>
      <w:pPr>
        <w:spacing w:after="0" w:line="4" w:lineRule="exact"/>
        <w:rPr>
          <w:rFonts w:ascii="Arial" w:cs="Arial" w:eastAsia="Arial" w:hAnsi="Arial"/>
          <w:sz w:val="16"/>
          <w:szCs w:val="16"/>
          <w:color w:val="auto"/>
        </w:rPr>
      </w:pPr>
    </w:p>
    <w:p>
      <w:pPr>
        <w:jc w:val="both"/>
        <w:ind w:left="1960"/>
        <w:spacing w:after="0" w:line="252" w:lineRule="auto"/>
        <w:rPr>
          <w:rFonts w:ascii="Arial" w:cs="Arial" w:eastAsia="Arial" w:hAnsi="Arial"/>
          <w:sz w:val="16"/>
          <w:szCs w:val="16"/>
          <w:color w:val="auto"/>
        </w:rPr>
      </w:pPr>
      <w:r>
        <w:rPr>
          <w:rFonts w:ascii="Arial" w:cs="Arial" w:eastAsia="Arial" w:hAnsi="Arial"/>
          <w:sz w:val="18"/>
          <w:szCs w:val="18"/>
          <w:color w:val="auto"/>
        </w:rPr>
        <w:t>(2) a corporation or a limited liability company, any officer or person who functions as the substantial equivalent of an officer of the corporation or limited liability company or any officer, director, general partner or person who functions as an officer, director or general partner of any entity ultimately in control of the corporation or limited liability company shall be deemed a Qualified Representative or (3) a trust, any trustee of such trust shall be deemed a Qualified Representative.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No Action by Stockholder Consent in Lieu of a Meeting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the stockholders of Corporation and may not be effected by any consent by such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number of directors constituting the Board (the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be fixed from time to time in the manner set forth in the Certificate of Incorporation. No decrease in the authorized number of directors constituting the Whole Board shall shorten the term of any incumbent director. Directors need not be stockholders of the Corporation.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Election of directors need not be by written ballot. Unless otherwise provided by the Certificate of Incorporation and subject to the special rights of holders of any series of Preferred Stock to elect directors, the Board shall be divided into three classes, designated as Class I, Class II and Class III. Each class shall consist, as nearly as may be possible, of one third of the Whole Board.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Regular meetings of the Board may be held at such places, within or without the State of Delaware, and at such times as the Board may from time to time determine. Notice of regular meetings need not be given if the date, times and places thereof are fixed by resolution of the Board.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Special meetings of the Board may be called by the Chairperson of the Board, the Chief Executive Officer, the Lead Independent Director or a majority of the members of the Board then in office and may be held at any time, date or place, within or without the State of Delaware, as the person or persons calling the meeting shall fix. Special meetings of the Board may not be called by any other person or persons. Notice of the time, date and place of such meeting shall be given, orally, in writing or by electronic transmission (including electronic mail), by or at the direction of the person or persons calling the meeting to all directors at least four days before the meeting if the notice is mailed, or at least 24 hours before the meeting if such notice is given by telephone, hand delivery, telegram, telex, mailgram, facsimile, electronic mail or other means of electronic transmission;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Members of the Board, or any committee of the Board, may participate in a meeting of the Board or such committee by means of conference telephone or other remote communications by means of which all persons participating in the meeting can hear each other, and participation in a meeting pursuant to conference telephone or other remote communications shall constitute presence in person at such meeting.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all meetings of the Board, a majority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Organization</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Meetings of the Board shall be presided over by (a) the Chairperson of the Board, or (b) in such person’s absence, the Lead Independent Director, if elected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action required or permitted to be taken at any meeting of the Board, or of any committee thereof, must be taken without a meeting if all members of the Board or such committee, as the case may be, consent thereto in writing or by electronic transmission.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provided by the Certificate of Incorporation or the DGCL, the business and affairs of the Corporation shall be managed by or under the direction of the Board.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Members of the Board, as such, may receive, pursuant to a resolution of the Board, fees and other compensation for their services as directors, including without limitation their services as members of committees of the Board.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director shall maintain the confidentiality of, and shall not share with any third party person or entity (including third parties that originally sponsored, nominated or designated such director (the “</w:t>
      </w:r>
      <w:r>
        <w:rPr>
          <w:rFonts w:ascii="Arial" w:cs="Arial" w:eastAsia="Arial" w:hAnsi="Arial"/>
          <w:sz w:val="18"/>
          <w:szCs w:val="18"/>
          <w:b w:val="1"/>
          <w:bCs w:val="1"/>
          <w:i w:val="1"/>
          <w:iCs w:val="1"/>
          <w:color w:val="auto"/>
        </w:rPr>
        <w:t>Sponsoring Party</w:t>
      </w:r>
      <w:r>
        <w:rPr>
          <w:rFonts w:ascii="Arial" w:cs="Arial" w:eastAsia="Arial" w:hAnsi="Arial"/>
          <w:sz w:val="18"/>
          <w:szCs w:val="18"/>
          <w:color w:val="auto"/>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Arial" w:cs="Arial" w:eastAsia="Arial" w:hAnsi="Arial"/>
          <w:sz w:val="18"/>
          <w:szCs w:val="18"/>
          <w:b w:val="1"/>
          <w:bCs w:val="1"/>
          <w:i w:val="1"/>
          <w:iCs w:val="1"/>
          <w:color w:val="auto"/>
        </w:rPr>
        <w:t>Board Confidentiality Policy</w:t>
      </w:r>
      <w:r>
        <w:rPr>
          <w:rFonts w:ascii="Arial" w:cs="Arial" w:eastAsia="Arial" w:hAnsi="Arial"/>
          <w:sz w:val="18"/>
          <w:szCs w:val="18"/>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Committee Rules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CHAIRPERSON; LEAD INDEPENDENT DIRECTOR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Generally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officers of the Corporation shall consist of a Chief Executive Officer (who may be 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the control of the Board and such supervisory powers, if any, as may be given by the Board, the powers and duties of the Chief Executive Officer of the Corporation are:</w:t>
      </w:r>
    </w:p>
    <w:p>
      <w:pPr>
        <w:spacing w:after="0" w:line="170" w:lineRule="exact"/>
        <w:rPr>
          <w:sz w:val="20"/>
          <w:szCs w:val="20"/>
          <w:color w:val="auto"/>
        </w:rPr>
      </w:pPr>
    </w:p>
    <w:p>
      <w:pPr>
        <w:ind w:right="20" w:firstLine="1304"/>
        <w:spacing w:after="0" w:line="277" w:lineRule="auto"/>
        <w:tabs>
          <w:tab w:leader="none" w:pos="15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Article I, Section 1.6 of these Bylaws, to preside at all meetings of the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firstLine="1304"/>
        <w:spacing w:after="0" w:line="277" w:lineRule="auto"/>
        <w:tabs>
          <w:tab w:leader="none" w:pos="15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and</w:t>
      </w:r>
    </w:p>
    <w:p>
      <w:pPr>
        <w:spacing w:after="0" w:line="183" w:lineRule="exact"/>
        <w:rPr>
          <w:rFonts w:ascii="Arial" w:cs="Arial" w:eastAsia="Arial" w:hAnsi="Arial"/>
          <w:sz w:val="18"/>
          <w:szCs w:val="18"/>
          <w:color w:val="auto"/>
        </w:rPr>
      </w:pPr>
    </w:p>
    <w:p>
      <w:pPr>
        <w:ind w:firstLine="1304"/>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provisions of Section 2.7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Lead Independent Director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in its discretion, elect a lead independent director from among its members that are Independent Directors (as defined below) (such director, the “</w:t>
      </w:r>
      <w:r>
        <w:rPr>
          <w:rFonts w:ascii="Arial" w:cs="Arial" w:eastAsia="Arial" w:hAnsi="Arial"/>
          <w:sz w:val="18"/>
          <w:szCs w:val="18"/>
          <w:b w:val="1"/>
          <w:bCs w:val="1"/>
          <w:i w:val="1"/>
          <w:iCs w:val="1"/>
          <w:color w:val="auto"/>
        </w:rPr>
        <w:t>Lead Independent Director</w:t>
      </w:r>
      <w:r>
        <w:rPr>
          <w:rFonts w:ascii="Arial" w:cs="Arial" w:eastAsia="Arial" w:hAnsi="Arial"/>
          <w:sz w:val="18"/>
          <w:szCs w:val="18"/>
          <w:color w:val="auto"/>
        </w:rPr>
        <w:t>”). The Lead Independent Director shall preside at all Board meetings at which the Chairperson of the Board is not present and shall exercise such other powers and duties as may from time to time be assigned to such person by the Board or as prescribed by these Bylaws. For purposes of these Bylaws, “</w:t>
      </w:r>
      <w:r>
        <w:rPr>
          <w:rFonts w:ascii="Arial" w:cs="Arial" w:eastAsia="Arial" w:hAnsi="Arial"/>
          <w:sz w:val="18"/>
          <w:szCs w:val="18"/>
          <w:b w:val="1"/>
          <w:bCs w:val="1"/>
          <w:i w:val="1"/>
          <w:iCs w:val="1"/>
          <w:color w:val="auto"/>
        </w:rPr>
        <w:t>Independent Director</w:t>
      </w:r>
      <w:r>
        <w:rPr>
          <w:rFonts w:ascii="Arial" w:cs="Arial" w:eastAsia="Arial" w:hAnsi="Arial"/>
          <w:sz w:val="18"/>
          <w:szCs w:val="18"/>
          <w:color w:val="auto"/>
        </w:rPr>
        <w:t>” has the meaning ascribed to such term under the rules of the exchange upon which the Corporation’s Common Stock is primarily traded.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President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person holding the office of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u w:val="single" w:color="auto"/>
          <w:color w:val="auto"/>
        </w:rPr>
        <w:t>Vice President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Vice President shall have all such powers and duties as are commonly incident to the office of Vice President or that are delegated to such Vice President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Secretary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may from time to time delegate the powers or duties of any officer of the Corporation to any other officers or agents of the Corporation, notwithstanding any provision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Removal</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Any officer of the Corporation shall serve at the pleasure of the Board and may be removed at any time, with or without cause, by the Board;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that if the Board has empowered the Chief Executive Officer to appoint any officer of the Corporation, then such officer may also be removed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Chief Executive Officer. Such removal shall be without prejudice to the contractual rights of such officer, if any, with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Certificates; Uncertificated Shares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shares of capital stock of the Corporation shall be uncertificated shares;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the Chairperson or Vice-Chairperson of the Board, the Chief Executive Officer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Lost, Stolen or Destroyed Stock Certificates; Issuance of New Certificates or Uncertificated Shares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Lock-Up</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Lock-Up</w:t>
      </w:r>
      <w:r>
        <w:rPr>
          <w:rFonts w:ascii="Arial" w:cs="Arial" w:eastAsia="Arial" w:hAnsi="Arial"/>
          <w:sz w:val="18"/>
          <w:szCs w:val="18"/>
          <w:color w:val="auto"/>
        </w:rPr>
        <w:t>. Subject to Section 5.3.2, the holders of Lock-Up Shares (the “</w:t>
      </w:r>
      <w:r>
        <w:rPr>
          <w:rFonts w:ascii="Arial" w:cs="Arial" w:eastAsia="Arial" w:hAnsi="Arial"/>
          <w:sz w:val="18"/>
          <w:szCs w:val="18"/>
          <w:b w:val="1"/>
          <w:bCs w:val="1"/>
          <w:i w:val="1"/>
          <w:iCs w:val="1"/>
          <w:color w:val="auto"/>
        </w:rPr>
        <w:t>Lock-Up Holders</w:t>
      </w:r>
      <w:r>
        <w:rPr>
          <w:rFonts w:ascii="Arial" w:cs="Arial" w:eastAsia="Arial" w:hAnsi="Arial"/>
          <w:sz w:val="18"/>
          <w:szCs w:val="18"/>
          <w:color w:val="auto"/>
        </w:rPr>
        <w:t>”), and their Permitted Transferees, may not effect any Transfer, or make a public announcement of any intention to effect such Transfer, of any Lock-Up Shares until the expiration of the applicable Lock-Up Period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1300"/>
        <w:spacing w:after="0"/>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w:t>
      </w:r>
    </w:p>
    <w:p>
      <w:pPr>
        <w:spacing w:after="0" w:line="225" w:lineRule="exact"/>
        <w:rPr>
          <w:sz w:val="20"/>
          <w:szCs w:val="20"/>
          <w:color w:val="auto"/>
        </w:rPr>
      </w:pPr>
    </w:p>
    <w:p>
      <w:pPr>
        <w:ind w:firstLine="1304"/>
        <w:spacing w:after="0" w:line="277" w:lineRule="auto"/>
        <w:tabs>
          <w:tab w:leader="none" w:pos="15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prohibition in Section 5.3.1 shall apply to: (i) Transfers permitted by Section 5.3.2(b) (except as otherwise provided in Section 5.3.2(c)); or (ii) Transfers by any Lock-Up Holder following the expiration of the applicable Lock-Up Period.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5.3 (including Section 5.3.1), subject to Section 5.3.2(c), during the applicable Lock-Up Period, each Lock-Up Holder may Transfer, without the consent of the Corporation, any of such Lock-Up Holder’s Lock-Up Shares:</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Corporation’s officers or directors or any Affiliate or Family Member of an officer or director;</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222"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to any of such Lock-Up Holder’s Permitted Transferees;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respect of Transfers to a Family Member or an Affiliate of a Family Member of such Lock-Up Holder (other than pursuant to Section 5.3.2(b)(iii)), no consideration is paid by such Family Member or such Affiliate of a Family Member and such Transfer is conditioned on the receipt by the Corporation of an undertaking by such Family Member or Affiliate of a Family Member to Transfer such Lock-Up Shares back to the applicable Transferor if such Family Member or Affiliate of a Family Member ceases to be a Family Member or an Affiliate of a Family Member of such Transferor;</w:t>
      </w:r>
    </w:p>
    <w:p>
      <w:pPr>
        <w:spacing w:after="0" w:line="187" w:lineRule="exact"/>
        <w:rPr>
          <w:rFonts w:ascii="Arial" w:cs="Arial" w:eastAsia="Arial" w:hAnsi="Arial"/>
          <w:sz w:val="18"/>
          <w:szCs w:val="18"/>
          <w:color w:val="auto"/>
        </w:rPr>
      </w:pPr>
    </w:p>
    <w:p>
      <w:pPr>
        <w:jc w:val="both"/>
        <w:ind w:firstLine="1952"/>
        <w:spacing w:after="0" w:line="263" w:lineRule="auto"/>
        <w:tabs>
          <w:tab w:leader="none" w:pos="2259"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 Lock-Up Holder that is a natural person, (i) upon death of such Lock-Up Holder by will or other instrument taking effect at the death of such Lock-Up Holder or by applicable laws of descent and distribution to such Lock-Up Holder’s Family Members, (ii) pursuant to a qualified domestic relations order or (iii) by bona fide gift for no consideration to a Charitable Organization;</w:t>
      </w:r>
    </w:p>
    <w:p>
      <w:pPr>
        <w:spacing w:after="0" w:line="183" w:lineRule="exact"/>
        <w:rPr>
          <w:rFonts w:ascii="Arial" w:cs="Arial" w:eastAsia="Arial" w:hAnsi="Arial"/>
          <w:sz w:val="18"/>
          <w:szCs w:val="18"/>
          <w:color w:val="auto"/>
        </w:rPr>
      </w:pPr>
    </w:p>
    <w:p>
      <w:pPr>
        <w:ind w:firstLine="1952"/>
        <w:spacing w:after="0" w:line="277" w:lineRule="auto"/>
        <w:tabs>
          <w:tab w:leader="none" w:pos="22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connection with any bona fide mortgage, encumbrance or pledge to a financial institution in connection with any bona fide loan or debt transaction or enforcement thereunder, including foreclosure thereof;</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pursuant to any liquidation, merger, amalgamation, stock exchange or other similar transaction of the Corporation with a Third-Party Purchaser that results in all of the Corporation’s stockholders having the right to exchange their shares of Common Stock for cash, securities or other property and a change in control of the Corporation that has been approved by the Board;</w:t>
      </w:r>
    </w:p>
    <w:p>
      <w:pPr>
        <w:spacing w:after="0" w:line="183" w:lineRule="exact"/>
        <w:rPr>
          <w:rFonts w:ascii="Arial" w:cs="Arial" w:eastAsia="Arial" w:hAnsi="Arial"/>
          <w:sz w:val="18"/>
          <w:szCs w:val="18"/>
          <w:color w:val="auto"/>
        </w:rPr>
      </w:pPr>
    </w:p>
    <w:p>
      <w:pPr>
        <w:ind w:left="2260" w:hanging="308"/>
        <w:spacing w:after="0"/>
        <w:tabs>
          <w:tab w:leader="none" w:pos="2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Corporation;</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326"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(A) to the Corporation for the purposes of exercising (including for the payment of tax withholdings or remittance payments due as a result of such exercise) on a “net exercise” or “cashless exercise” basis options to purchase Common Stock and (B) in connection with the vesting or settlement of restricted stock units, including any transfer to the Corporation for the payment of tax withholdings or remittance payments due as a result of the vesting or settlement of such restricted stock units, and any transfer necessary to generate such amount of cash needed for the payment of taxes, including estimated taxes, due as a result of the vesting or settlement of restricted stock units whether by means of a “net settlement” or otherwise,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in all such cases described in subclauses (A) and (B), any such shares of Common Stock received upon such exercise, vesting or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the terms of this Section 5.3;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firstLine="1952"/>
        <w:spacing w:after="0" w:line="277" w:lineRule="auto"/>
        <w:tabs>
          <w:tab w:leader="none" w:pos="2376"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entering into a written plan meeting the requirements of Rule 10b5-1 under the Securities Exchange Act of 1934, as amended, relating to the sale of Common Stock,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 such sales occur during the Lock-up Period;</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respect of any Transfers permitted by Section 5.3.2(b)(i) through (iv), (i) the applicable Transferee shall be required, at the time of and as a condition to such Transfer, to deliver an executed written acknowledgement, in a form reasonably satisfactory to the Board, pursuant to which such Transferee acknowledges and agrees that it is subject to the rights, restrictions and obligations of this Section 5.3 in respect of the Lock-Up Shares Transferred to such Transferee, and such Transfer shall not be recognized unless and until such acknowledgement is executed and delivered to the Board,</w:t>
      </w:r>
    </w:p>
    <w:p>
      <w:pPr>
        <w:spacing w:after="0" w:line="1" w:lineRule="exact"/>
        <w:rPr>
          <w:rFonts w:ascii="Arial" w:cs="Arial" w:eastAsia="Arial" w:hAnsi="Arial"/>
          <w:sz w:val="16"/>
          <w:szCs w:val="16"/>
          <w:color w:val="auto"/>
        </w:rPr>
      </w:pPr>
    </w:p>
    <w:p>
      <w:pPr>
        <w:jc w:val="both"/>
        <w:ind w:firstLine="8"/>
        <w:spacing w:after="0" w:line="253" w:lineRule="auto"/>
        <w:tabs>
          <w:tab w:leader="none" w:pos="2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written notice of such Transfer shall be given to the Board, and (iii) the applicable Transferee shall not be permitted to further Transfer such Lock-Up Shares without compliance with the provisions of this Section 5.3 that are applicable to the initial Transferor. For the avoidance of doubt, in connection with any Transfer of Lock-Up Shares pursuant to Section 5.3.2(b)(i) through (iv), the restrictions and obligations contained in this Section 5.3 shall continue to apply to such Lock-Up Shares for the applicable Lock-Up Period.</w:t>
      </w:r>
    </w:p>
    <w:p>
      <w:pPr>
        <w:spacing w:after="0" w:line="19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5.3.3 </w:t>
      </w:r>
      <w:r>
        <w:rPr>
          <w:rFonts w:ascii="Arial" w:cs="Arial" w:eastAsia="Arial" w:hAnsi="Arial"/>
          <w:sz w:val="17"/>
          <w:szCs w:val="17"/>
          <w:u w:val="single" w:color="auto"/>
          <w:color w:val="auto"/>
        </w:rPr>
        <w:t>Authority</w:t>
      </w:r>
      <w:r>
        <w:rPr>
          <w:rFonts w:ascii="Arial" w:cs="Arial" w:eastAsia="Arial" w:hAnsi="Arial"/>
          <w:sz w:val="17"/>
          <w:szCs w:val="17"/>
          <w:color w:val="auto"/>
        </w:rPr>
        <w:t xml:space="preserve">. Notwithstanding the other provisions set forth in this Section 5.3, the Board may, in its sole discretion, determine to waive, amend, or repeal the Lock-Up obligations set forth herein;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any such waiver, amendment or repeal of any Lock-Up obligations set forth herein shall require, in addition to any other vote of the members of the Board required to take such action pursuant to these Bylaws or applicable law, the affirmative vote of the majority of the independent directors;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to the extent the applicable Lock-Up Holder is a party to either the Support Agreement, dated as of November 10, 2021 by and among the Company and certain of the stockholders of the Company (as amended) and/or the Sponsor Support Agreement, dated as of November 10, 2021, by and among the Company, the Sponsors (as defined below) and several others (as amended) (collectively the “</w:t>
      </w:r>
      <w:r>
        <w:rPr>
          <w:rFonts w:ascii="Arial" w:cs="Arial" w:eastAsia="Arial" w:hAnsi="Arial"/>
          <w:sz w:val="17"/>
          <w:szCs w:val="17"/>
          <w:u w:val="single" w:color="auto"/>
          <w:color w:val="auto"/>
        </w:rPr>
        <w:t>Support Agreements</w:t>
      </w:r>
      <w:r>
        <w:rPr>
          <w:rFonts w:ascii="Arial" w:cs="Arial" w:eastAsia="Arial" w:hAnsi="Arial"/>
          <w:sz w:val="17"/>
          <w:szCs w:val="17"/>
          <w:color w:val="auto"/>
        </w:rPr>
        <w:t>”), no waiver, amendment or repeal of the Lock-Up obligations set forth herein by the Board shall affect any provisions, rights, obligations or restrictions applicable to such Lock-Up Holder in the Support Agreements, which provisions, rights, obligations and restrictions in the Support Agreements shall continue to apply to such Lock-Up Holder and the shares of Common Stock held by such Lock-Up Holder in accordance with the terms of the Support Agreements.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5.3.4 </w:t>
      </w:r>
      <w:r>
        <w:rPr>
          <w:rFonts w:ascii="Arial" w:cs="Arial" w:eastAsia="Arial" w:hAnsi="Arial"/>
          <w:sz w:val="18"/>
          <w:szCs w:val="18"/>
          <w:u w:val="single" w:color="auto"/>
          <w:color w:val="auto"/>
        </w:rPr>
        <w:t>Miscellaneous Provisions Relating to Transfers of Lock-Up Shares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15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Corporation shall place customary restrictive legends on the certificates or book entries representing the Lock-Up Shares, in addition to any legends required by applicable law or these Bylaws, and remove such restrictive legends reasonably promptly after the expiration of the applicable Lock-Up Period.</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attempt to Transfer any Lock-Up Shares that is not in compliance with this Section 5.3 shall be null and void ab initio, and the Corporation shall not, and shall cause any transfer agent not to, give any effect in the Corporation’s stock records to such attempted Transfer and the purported Transferee in any such purported Transfer shall not be treated as the owner of such Lock-Up Shares for purposes of these Bylaws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this Section 5.3 shall continue to apply to such Lock-Up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1304"/>
        <w:spacing w:after="0" w:line="259" w:lineRule="auto"/>
        <w:tabs>
          <w:tab w:leader="none" w:pos="15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5.3, the Lock-Up Shares, in each case, beneficially owned (as defined in Rule 13d-3 promulgated under the Exchange Act) by a Lock-Up Holder shall remain subject to any restrictions on Transfer under applicable federal, state, local or foreign securities laws, including all applicable holding periods under the Securities Act of 1933 and other rules of the Securities Exchange Commission, and, as applicable, these Bylaws and the Certificate of Incorporation.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5.3.5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5.3:</w:t>
      </w:r>
    </w:p>
    <w:p>
      <w:pPr>
        <w:spacing w:after="0" w:line="225" w:lineRule="exact"/>
        <w:rPr>
          <w:sz w:val="20"/>
          <w:szCs w:val="20"/>
          <w:color w:val="auto"/>
        </w:rPr>
      </w:pPr>
    </w:p>
    <w:p>
      <w:pPr>
        <w:jc w:val="both"/>
        <w:ind w:right="20" w:firstLine="1304"/>
        <w:spacing w:after="0" w:line="263" w:lineRule="auto"/>
        <w:tabs>
          <w:tab w:leader="none" w:pos="15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particular Person shall mean any other Person controlling, controlled by or under common control with such Person, where “control” means the possession, directly or indirectly, of the power to direct the management and policies of a Person whether through the ownership of voting securities, its capacity as a sole or managing member or otherwise;</w:t>
      </w:r>
    </w:p>
    <w:p>
      <w:pPr>
        <w:spacing w:after="0" w:line="183" w:lineRule="exact"/>
        <w:rPr>
          <w:rFonts w:ascii="Arial" w:cs="Arial" w:eastAsia="Arial" w:hAnsi="Arial"/>
          <w:sz w:val="18"/>
          <w:szCs w:val="18"/>
          <w:color w:val="auto"/>
        </w:rPr>
      </w:pPr>
    </w:p>
    <w:p>
      <w:pPr>
        <w:ind w:firstLine="1304"/>
        <w:spacing w:after="0" w:line="277" w:lineRule="auto"/>
        <w:tabs>
          <w:tab w:leader="none" w:pos="15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Charitable Organization</w:t>
      </w:r>
      <w:r>
        <w:rPr>
          <w:rFonts w:ascii="Arial" w:cs="Arial" w:eastAsia="Arial" w:hAnsi="Arial"/>
          <w:sz w:val="18"/>
          <w:szCs w:val="18"/>
          <w:color w:val="auto"/>
        </w:rPr>
        <w:t>” means any charitable organization that is tax-exempt under Section 501(c)(3) of the Internal Revenue Code of 1986, as amended,</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Controlled Entity</w:t>
      </w:r>
      <w:r>
        <w:rPr>
          <w:rFonts w:ascii="Arial" w:cs="Arial" w:eastAsia="Arial" w:hAnsi="Arial"/>
          <w:sz w:val="16"/>
          <w:szCs w:val="16"/>
          <w:color w:val="auto"/>
        </w:rPr>
        <w:t>” shall mean, as to any Person, (i) any corporation more than fifty percent (50%) of the outstanding voting stock of which is owned by such Person or such Person’s Family Members or Affiliates, (ii) any trust, whether or not revocable, of which such Person or such Person’s Family Members or Affiliates are the sole beneficiaries, (iii) any partnership of which such Person or an Affiliate of such Person is the managing or general partner or in which such Person or such Person’s Family Members or Affiliates hold partnership interests representing at least fifty percent (50%) of such partnership’s capital and profits and (iv) any limited liability company of which such Person or an Affiliate of such Person is the sole manager or managing member or appoints a majority of the board of managers or in which such Person or such Person’s Family Members or Affiliates hold membership interests representing at least fifty percent (50%) of such limited liability company’s capital and profits;</w:t>
      </w:r>
    </w:p>
    <w:p>
      <w:pPr>
        <w:spacing w:after="0" w:line="166" w:lineRule="exact"/>
        <w:rPr>
          <w:rFonts w:ascii="Arial" w:cs="Arial" w:eastAsia="Arial" w:hAnsi="Arial"/>
          <w:sz w:val="16"/>
          <w:szCs w:val="16"/>
          <w:color w:val="auto"/>
        </w:rPr>
      </w:pPr>
    </w:p>
    <w:p>
      <w:pPr>
        <w:jc w:val="both"/>
        <w:ind w:firstLine="1304"/>
        <w:spacing w:after="0" w:line="259" w:lineRule="auto"/>
        <w:tabs>
          <w:tab w:leader="none" w:pos="15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Family Member</w:t>
      </w:r>
      <w:r>
        <w:rPr>
          <w:rFonts w:ascii="Arial" w:cs="Arial" w:eastAsia="Arial" w:hAnsi="Arial"/>
          <w:sz w:val="18"/>
          <w:szCs w:val="18"/>
          <w:color w:val="auto"/>
        </w:rPr>
        <w:t xml:space="preserve">” means, with respect to any Person, such Person’s spouse, ancestors, descendants (whether by blood, marriage or adoption) or spouse of a descendant of such Person, brothers and sisters (whether by blood, marriage or adoption) and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trusts of which only such Person and his spouse, ancestors, descendants (whether by blood, marriage or adoption), brothers and sisters (whether by blood, marriage or adoption) are beneficiaries;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Equity Holders</w:t>
      </w:r>
      <w:r>
        <w:rPr>
          <w:rFonts w:ascii="Arial" w:cs="Arial" w:eastAsia="Arial" w:hAnsi="Arial"/>
          <w:sz w:val="18"/>
          <w:szCs w:val="18"/>
          <w:color w:val="auto"/>
        </w:rPr>
        <w:t>” means the holders of equity securities (including, without limitation, restricted stock units, equity awards, warrants, exercised options or other convertible securities) of the Target (as defined below), excluding the equity securities held by the Sponsors, immediately prior to the closing of the Transaction (as defined below) and shall exclude the holders of unexercised options immediately prior to the closing of the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8" w:firstLine="1304"/>
        <w:spacing w:after="0" w:line="277" w:lineRule="auto"/>
        <w:tabs>
          <w:tab w:leader="none" w:pos="15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means (i) with respect to all of the Lock-Up Shares held by the Sponsors and the Equity Holders, the period beginning on the Closing Date and ending on the eighteen-month anniversary of the Closing Date;</w:t>
      </w:r>
    </w:p>
    <w:p>
      <w:pPr>
        <w:spacing w:after="0" w:line="173" w:lineRule="exact"/>
        <w:rPr>
          <w:rFonts w:ascii="Arial" w:cs="Arial" w:eastAsia="Arial" w:hAnsi="Arial"/>
          <w:sz w:val="18"/>
          <w:szCs w:val="18"/>
          <w:color w:val="auto"/>
        </w:rPr>
      </w:pPr>
    </w:p>
    <w:p>
      <w:pPr>
        <w:jc w:val="both"/>
        <w:ind w:left="-8" w:firstLine="1304"/>
        <w:spacing w:after="0" w:line="247" w:lineRule="auto"/>
        <w:tabs>
          <w:tab w:leader="none" w:pos="1543"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Lock-Up Shares</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means any shares of Common Stock held by the Equity Holders and the Sponsors as of and immediately following the Closing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in no such event shall “Lock-Up Shares” include any shares of Common Stock purchased pursuant to a subscription agreement entered into between the Corporation and the party thereto as of the date of that certain Agreement and Plan of Merger, dated as of November 10, 2021 (as it may be amended, supplemented or restated from time to time in accordance with the terms of such agreement,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and among the Corporation, Ventoux Merger Sub Inc., and Ventoux CCM Acquisition Corp. (the</w:t>
      </w:r>
      <w:r>
        <w:rPr>
          <w:rFonts w:ascii="Arial" w:cs="Arial" w:eastAsia="Arial" w:hAnsi="Arial"/>
          <w:sz w:val="17"/>
          <w:szCs w:val="17"/>
          <w:b w:val="1"/>
          <w:bCs w:val="1"/>
          <w:i w:val="1"/>
          <w:iCs w:val="1"/>
          <w:color w:val="auto"/>
        </w:rPr>
        <w:t xml:space="preserve"> “SPAC”</w:t>
      </w:r>
      <w:r>
        <w:rPr>
          <w:rFonts w:ascii="Arial" w:cs="Arial" w:eastAsia="Arial" w:hAnsi="Arial"/>
          <w:sz w:val="17"/>
          <w:szCs w:val="17"/>
          <w:color w:val="auto"/>
        </w:rPr>
        <w:t>);</w:t>
      </w:r>
    </w:p>
    <w:p>
      <w:pPr>
        <w:spacing w:after="0" w:line="196" w:lineRule="exact"/>
        <w:rPr>
          <w:rFonts w:ascii="Arial" w:cs="Arial" w:eastAsia="Arial" w:hAnsi="Arial"/>
          <w:sz w:val="17"/>
          <w:szCs w:val="17"/>
          <w:color w:val="auto"/>
        </w:rPr>
      </w:pPr>
    </w:p>
    <w:p>
      <w:pPr>
        <w:jc w:val="both"/>
        <w:ind w:left="-8" w:firstLine="1304"/>
        <w:spacing w:after="0" w:line="257" w:lineRule="auto"/>
        <w:tabs>
          <w:tab w:leader="none" w:pos="154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xml:space="preserve">” means with respect to any Person, (i) any Family Member of such Person, (ii) any Affiliate of such Person, (iii) any Affiliate of any Family Member of such Person (excluding any Affiliate under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who operates or engages in a business which competes with the business of the Corporation or any of its subsidiaries), (iv) any Controlled Entity of such Person and (v) any Lock-Up Holder or any direct or indirect partners, members or equity holders if the Lock-Up Holders, any Affiliates of the Lock-Up Holders or any related investment funds or vehicles controlled or managed by such Persons or their respective Affiliates;</w:t>
      </w:r>
    </w:p>
    <w:p>
      <w:pPr>
        <w:spacing w:after="0" w:line="187" w:lineRule="exact"/>
        <w:rPr>
          <w:rFonts w:ascii="Arial" w:cs="Arial" w:eastAsia="Arial" w:hAnsi="Arial"/>
          <w:sz w:val="18"/>
          <w:szCs w:val="18"/>
          <w:color w:val="auto"/>
        </w:rPr>
      </w:pPr>
    </w:p>
    <w:p>
      <w:pPr>
        <w:jc w:val="both"/>
        <w:ind w:left="-8" w:firstLine="1304"/>
        <w:spacing w:after="0" w:line="257" w:lineRule="auto"/>
        <w:tabs>
          <w:tab w:leader="none" w:pos="15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federal, state, provincial, municipal, local or foreign government, governmental authority, any political subdivision thereof, regulatory or administrative agency, governmental commission, department, board, bureau, body, authority, rate setting agency, division, office, agency or instrumentality, court or tribunal;</w:t>
      </w:r>
    </w:p>
    <w:p>
      <w:pPr>
        <w:spacing w:after="0" w:line="187" w:lineRule="exact"/>
        <w:rPr>
          <w:rFonts w:ascii="Arial" w:cs="Arial" w:eastAsia="Arial" w:hAnsi="Arial"/>
          <w:sz w:val="18"/>
          <w:szCs w:val="18"/>
          <w:color w:val="auto"/>
        </w:rPr>
      </w:pPr>
    </w:p>
    <w:p>
      <w:pPr>
        <w:jc w:val="both"/>
        <w:ind w:left="-8" w:firstLine="1304"/>
        <w:spacing w:after="0" w:line="263" w:lineRule="auto"/>
        <w:tabs>
          <w:tab w:leader="none" w:pos="15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Third-Party Purchaser</w:t>
      </w:r>
      <w:r>
        <w:rPr>
          <w:rFonts w:ascii="Arial" w:cs="Arial" w:eastAsia="Arial" w:hAnsi="Arial"/>
          <w:sz w:val="18"/>
          <w:szCs w:val="18"/>
          <w:color w:val="auto"/>
        </w:rPr>
        <w:t>” means any Person who, immediately prior to the contemplated transaction, does not beneficially own (as defined in Rule 13d-3 promulgated under the Exchange Act) or directly or indirectly have the right to acquire any outstanding shares of Common Stock;</w:t>
      </w:r>
    </w:p>
    <w:p>
      <w:pPr>
        <w:spacing w:after="0" w:line="183" w:lineRule="exact"/>
        <w:rPr>
          <w:rFonts w:ascii="Arial" w:cs="Arial" w:eastAsia="Arial" w:hAnsi="Arial"/>
          <w:sz w:val="18"/>
          <w:szCs w:val="18"/>
          <w:color w:val="auto"/>
        </w:rPr>
      </w:pPr>
    </w:p>
    <w:p>
      <w:pPr>
        <w:jc w:val="both"/>
        <w:ind w:left="-8" w:firstLine="1304"/>
        <w:spacing w:after="0" w:line="286" w:lineRule="auto"/>
        <w:tabs>
          <w:tab w:leader="none" w:pos="157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w:t>
      </w:r>
    </w:p>
    <w:p>
      <w:pPr>
        <w:spacing w:after="0" w:line="1" w:lineRule="exact"/>
        <w:rPr>
          <w:rFonts w:ascii="Arial" w:cs="Arial" w:eastAsia="Arial" w:hAnsi="Arial"/>
          <w:sz w:val="16"/>
          <w:szCs w:val="16"/>
          <w:color w:val="auto"/>
        </w:rPr>
      </w:pPr>
    </w:p>
    <w:p>
      <w:pPr>
        <w:jc w:val="both"/>
        <w:ind w:left="-8" w:firstLine="8"/>
        <w:spacing w:after="0" w:line="255" w:lineRule="auto"/>
        <w:tabs>
          <w:tab w:leader="none" w:pos="2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w:t>
      </w:r>
      <w:r>
        <w:rPr>
          <w:rFonts w:ascii="Arial" w:cs="Arial" w:eastAsia="Arial" w:hAnsi="Arial"/>
          <w:sz w:val="18"/>
          <w:szCs w:val="18"/>
          <w:b w:val="1"/>
          <w:bCs w:val="1"/>
          <w:i w:val="1"/>
          <w:iCs w:val="1"/>
          <w:color w:val="auto"/>
        </w:rPr>
        <w:t>Transferor</w:t>
      </w:r>
      <w:r>
        <w:rPr>
          <w:rFonts w:ascii="Arial" w:cs="Arial" w:eastAsia="Arial" w:hAnsi="Arial"/>
          <w:sz w:val="18"/>
          <w:szCs w:val="18"/>
          <w:color w:val="auto"/>
        </w:rPr>
        <w:t>,” “</w:t>
      </w:r>
      <w:r>
        <w:rPr>
          <w:rFonts w:ascii="Arial" w:cs="Arial" w:eastAsia="Arial" w:hAnsi="Arial"/>
          <w:sz w:val="18"/>
          <w:szCs w:val="18"/>
          <w:b w:val="1"/>
          <w:bCs w:val="1"/>
          <w:i w:val="1"/>
          <w:iCs w:val="1"/>
          <w:color w:val="auto"/>
        </w:rPr>
        <w:t>Transferred</w:t>
      </w:r>
      <w:r>
        <w:rPr>
          <w:rFonts w:ascii="Arial" w:cs="Arial" w:eastAsia="Arial" w:hAnsi="Arial"/>
          <w:sz w:val="18"/>
          <w:szCs w:val="18"/>
          <w:color w:val="auto"/>
        </w:rPr>
        <w:t>,” and other forms of the word “</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correlative meanings;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6" w:lineRule="exact"/>
        <w:rPr>
          <w:sz w:val="20"/>
          <w:szCs w:val="20"/>
          <w:color w:val="auto"/>
        </w:rPr>
      </w:pPr>
    </w:p>
    <w:p>
      <w:pPr>
        <w:ind w:left="5532" w:right="4540" w:hanging="5532"/>
        <w:spacing w:after="0" w:line="806" w:lineRule="auto"/>
        <w:tabs>
          <w:tab w:leader="none" w:pos="330" w:val="left"/>
        </w:tabs>
        <w:numPr>
          <w:ilvl w:val="0"/>
          <w:numId w:val="42"/>
        </w:numPr>
        <w:rPr>
          <w:rFonts w:ascii="Arial" w:cs="Arial" w:eastAsia="Arial" w:hAnsi="Arial"/>
          <w:sz w:val="29"/>
          <w:szCs w:val="29"/>
          <w:color w:val="auto"/>
          <w:vertAlign w:val="superscript"/>
        </w:rPr>
      </w:pPr>
      <w:r>
        <w:rPr>
          <w:rFonts w:ascii="Arial" w:cs="Arial" w:eastAsia="Arial" w:hAnsi="Arial"/>
          <w:sz w:val="17"/>
          <w:szCs w:val="17"/>
          <w:b w:val="1"/>
          <w:bCs w:val="1"/>
          <w:u w:val="single" w:color="auto"/>
          <w:color w:val="auto"/>
        </w:rPr>
        <w:t>Note to Draft:</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shares underlying PIPE convertible notes to be determined.</w:t>
      </w:r>
      <w:r>
        <w:rPr>
          <w:rFonts w:ascii="Arial" w:cs="Arial" w:eastAsia="Arial" w:hAnsi="Arial"/>
          <w:sz w:val="17"/>
          <w:szCs w:val="17"/>
          <w:b w:val="1"/>
          <w:bCs w:val="1"/>
          <w:color w:val="auto"/>
        </w:rPr>
        <w:t xml:space="preserve"> </w:t>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3" w:name="page54"/>
    <w:bookmarkEnd w:id="53"/>
    <w:p>
      <w:pPr>
        <w:ind w:left="1520" w:hanging="216"/>
        <w:spacing w:after="0"/>
        <w:tabs>
          <w:tab w:leader="none" w:pos="15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means the following outstanding warrants of the Corporation, each exercisable for one share of Common Stock:</w:t>
      </w:r>
    </w:p>
    <w:p>
      <w:pPr>
        <w:spacing w:after="0" w:line="46" w:lineRule="exact"/>
        <w:rPr>
          <w:rFonts w:ascii="Arial" w:cs="Arial" w:eastAsia="Arial" w:hAnsi="Arial"/>
          <w:sz w:val="16"/>
          <w:szCs w:val="16"/>
          <w:color w:val="auto"/>
        </w:rPr>
      </w:pPr>
    </w:p>
    <w:p>
      <w:pPr>
        <w:jc w:val="both"/>
        <w:ind w:firstLine="8"/>
        <w:spacing w:after="0" w:line="270" w:lineRule="auto"/>
        <w:tabs>
          <w:tab w:leader="none" w:pos="2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warrants entitling Ventoux Acquisition Holdings LLC (the “</w:t>
      </w:r>
      <w:r>
        <w:rPr>
          <w:rFonts w:ascii="Arial" w:cs="Arial" w:eastAsia="Arial" w:hAnsi="Arial"/>
          <w:sz w:val="17"/>
          <w:szCs w:val="17"/>
          <w:b w:val="1"/>
          <w:bCs w:val="1"/>
          <w:i w:val="1"/>
          <w:iCs w:val="1"/>
          <w:color w:val="auto"/>
        </w:rPr>
        <w:t>Co-Sponsor</w:t>
      </w:r>
      <w:r>
        <w:rPr>
          <w:rFonts w:ascii="Arial" w:cs="Arial" w:eastAsia="Arial" w:hAnsi="Arial"/>
          <w:sz w:val="17"/>
          <w:szCs w:val="17"/>
          <w:color w:val="auto"/>
        </w:rPr>
        <w:t>”) to purchase 4,450,000 shares of Common Stock, issued to the Co-Sponsor pursuant to that certain Subscription Agreement, dated December 23, 2020, by and between the Co-Sponsor and the Corporation, for a purchase price of $1.00 per warrant and (ii) warrants entitling Chardan International Investments, LLC (“</w:t>
      </w:r>
      <w:r>
        <w:rPr>
          <w:rFonts w:ascii="Arial" w:cs="Arial" w:eastAsia="Arial" w:hAnsi="Arial"/>
          <w:sz w:val="17"/>
          <w:szCs w:val="17"/>
          <w:b w:val="1"/>
          <w:bCs w:val="1"/>
          <w:i w:val="1"/>
          <w:iCs w:val="1"/>
          <w:color w:val="auto"/>
        </w:rPr>
        <w:t>Co-Sponsor II”,</w:t>
      </w:r>
      <w:r>
        <w:rPr>
          <w:rFonts w:ascii="Arial" w:cs="Arial" w:eastAsia="Arial" w:hAnsi="Arial"/>
          <w:sz w:val="17"/>
          <w:szCs w:val="17"/>
          <w:color w:val="auto"/>
        </w:rPr>
        <w:t xml:space="preserve"> and together with the Co-Sponsor, the </w:t>
      </w:r>
      <w:r>
        <w:rPr>
          <w:rFonts w:ascii="Arial" w:cs="Arial" w:eastAsia="Arial" w:hAnsi="Arial"/>
          <w:sz w:val="17"/>
          <w:szCs w:val="17"/>
          <w:b w:val="1"/>
          <w:bCs w:val="1"/>
          <w:i w:val="1"/>
          <w:iCs w:val="1"/>
          <w:color w:val="auto"/>
        </w:rPr>
        <w:t>“Sponsors”</w:t>
      </w:r>
      <w:r>
        <w:rPr>
          <w:rFonts w:ascii="Arial" w:cs="Arial" w:eastAsia="Arial" w:hAnsi="Arial"/>
          <w:sz w:val="17"/>
          <w:szCs w:val="17"/>
          <w:color w:val="auto"/>
        </w:rPr>
        <w:t>) to purchase 2,225,000 shares of Common Stock, issued to the Co-Sponsor II pursuant to that certain Subscription Agreement, 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23, 2020, by and between the Co-Sponsor and the Corporation, for a purchase price of $1.00 per warrant converted immediately prior to the Effective Time into warrants of the Corporation pursuant to the Merger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Other Regulations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applicable law, the Certificate of Incorporation and these Bylaws, the issue, transfer, conversion and registration of shares represented by certificates and of uncertificated shares shall be governed by such other regulations as the Board may establish.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Indemnification of Officers and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person who was or is made a party to, or is threatened to be made a party to, or is involved in any threatened, pending or completed action, suit or proceeding, whether civil, criminal, administrative, legislative or any other type whatsoever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Advance of Expenses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Except as otherwise provided in a written indemnification contract between the Corporation and an Indemnitee, the Corporation shall pay all expenses (including attorneys’ fees) incurred by an Indemnitee in defending any Proceeding in advance of its final disposition;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Non-Exclusivity of Rights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Right of Indemnitee to Bring Suit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shall apply to the extent not in conflict with any indemnification contract provided for in Section 6.4 of these Bylaws.</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6.5.1 </w:t>
      </w:r>
      <w:r>
        <w:rPr>
          <w:rFonts w:ascii="Arial" w:cs="Arial" w:eastAsia="Arial" w:hAnsi="Arial"/>
          <w:sz w:val="17"/>
          <w:szCs w:val="17"/>
          <w:u w:val="single" w:color="auto"/>
          <w:color w:val="auto"/>
        </w:rPr>
        <w:t>Right to Bring Suit</w:t>
      </w:r>
      <w:r>
        <w:rPr>
          <w:rFonts w:ascii="Arial" w:cs="Arial" w:eastAsia="Arial" w:hAnsi="Arial"/>
          <w:sz w:val="17"/>
          <w:szCs w:val="17"/>
          <w:color w:val="auto"/>
        </w:rPr>
        <w:t>. If a claim under Section 6.1 or 6.2 of these Bylaws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296"/>
        <w:spacing w:after="0" w:line="279" w:lineRule="auto"/>
        <w:rPr>
          <w:sz w:val="20"/>
          <w:szCs w:val="20"/>
          <w:color w:val="auto"/>
        </w:rPr>
      </w:pPr>
      <w:r>
        <w:rPr>
          <w:rFonts w:ascii="Arial" w:cs="Arial" w:eastAsia="Arial" w:hAnsi="Arial"/>
          <w:sz w:val="17"/>
          <w:szCs w:val="17"/>
          <w:color w:val="auto"/>
        </w:rPr>
        <w:t xml:space="preserve">6.5.2 </w:t>
      </w:r>
      <w:r>
        <w:rPr>
          <w:rFonts w:ascii="Arial" w:cs="Arial" w:eastAsia="Arial" w:hAnsi="Arial"/>
          <w:sz w:val="17"/>
          <w:szCs w:val="17"/>
          <w:u w:val="single" w:color="auto"/>
          <w:color w:val="auto"/>
        </w:rPr>
        <w:t>Effect of Determination</w:t>
      </w:r>
      <w:r>
        <w:rPr>
          <w:rFonts w:ascii="Arial" w:cs="Arial" w:eastAsia="Arial" w:hAnsi="Arial"/>
          <w:sz w:val="17"/>
          <w:szCs w:val="17"/>
          <w:color w:val="auto"/>
        </w:rPr>
        <w:t>. Neither the absence of a determination prior to the commencement of such suit that indemnification of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7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Nature of Rights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Contract Rights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conferred upon Indemnitees in this Article VI shall be contract rights and such 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Form and Delivery</w:t>
      </w:r>
      <w:r>
        <w:rPr>
          <w:rFonts w:ascii="Arial" w:cs="Arial" w:eastAsia="Arial" w:hAnsi="Arial"/>
          <w:sz w:val="17"/>
          <w:szCs w:val="17"/>
          <w:color w:val="auto"/>
        </w:rPr>
        <w:t>. Except as otherwise specifically required in these Bylaws (including, without limitation, Section 7.1.2 of these Bylaws) or by applicable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8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inadvertent failure to treat such inability as a revocation shall not invalidate any meeting or other action. Notice given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Waiver of Notice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INTERESTED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Interested Directors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 contract or transaction between the Corporation and one or more of its members 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such director’s or officer’s votes are counted for such purpose, if: (a) the material facts as to such director’s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such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Interested directors may be counted in determining the presence of a quorum at a meeting of the Board or of a committee which authorizes the contract or transaction.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determined by resolution of the Board.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Seal</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may provide for a corporate seal, which may have the name of the Corporation inscribed thereon and shall otherwise be in such form as may be approved from time to time by the Board.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Form of Records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any conflict between the provisions of the Certificate of Incorporation and Bylaws, the provisions of the Certificate of Incorporation shall govern.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u w:val="single" w:color="auto"/>
          <w:color w:val="auto"/>
        </w:rPr>
        <w:t>Time Periods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Notwithstanding any other provision of these Bylaws, any alteration, amendment or repeal of these Bylaws, and any adoption of new Bylaws, shall require the approval of the Board or the stockholders of the Corporation as expressly provided in the Certificate of Incorporation;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Section 5.3 and any provision of these Bylaws related thereto may only be altered, amended or repealed in accordance with Section 5.3.3.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CERTIFICATION OF AMENDED AND RESTATED 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Ashish Gupta, certify that I am Secretary of Presto Automation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and that the attached Bylaws are a true and complete copy of the Amended and Restated Bylaws of the Corporation in effect as of the date of this certificate.</w:t>
      </w:r>
    </w:p>
    <w:p>
      <w:pPr>
        <w:spacing w:after="0" w:line="18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Dated: September 21, 2022</w:t>
      </w:r>
    </w:p>
    <w:p>
      <w:pPr>
        <w:spacing w:after="0" w:line="22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Ashish Gupta</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September 21, 2022, among</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 LA CARTE,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(F/K/A VENTOUX MERGER SUB II LLC),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(F/K/A VENTOUX CCM ACQUISITION CORP.),</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Parent,</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METROPOLITAN PARTNERS GROUP ADMINISTRATION,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1394460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60" w:type="dxa"/>
            <w:vAlign w:val="bottom"/>
            <w:gridSpan w:val="2"/>
          </w:tcPr>
          <w:p>
            <w:pPr>
              <w:ind w:left="80"/>
              <w:spacing w:after="0"/>
              <w:rPr>
                <w:sz w:val="20"/>
                <w:szCs w:val="20"/>
                <w:color w:val="auto"/>
              </w:rPr>
            </w:pPr>
            <w:r>
              <w:rPr>
                <w:rFonts w:ascii="Arial" w:cs="Arial" w:eastAsia="Arial" w:hAnsi="Arial"/>
                <w:sz w:val="18"/>
                <w:szCs w:val="18"/>
                <w:b w:val="1"/>
                <w:bCs w:val="1"/>
                <w:color w:val="auto"/>
              </w:rPr>
              <w:t>TABLE OF CONTENTS</w:t>
            </w:r>
          </w:p>
        </w:tc>
      </w:tr>
      <w:tr>
        <w:trPr>
          <w:trHeight w:val="439"/>
        </w:trPr>
        <w:tc>
          <w:tcPr>
            <w:tcW w:w="6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DEFINITIONS</w:t>
            </w:r>
          </w:p>
        </w:tc>
        <w:tc>
          <w:tcPr>
            <w:tcW w:w="6660" w:type="dxa"/>
            <w:vAlign w:val="bottom"/>
            <w:gridSpan w:val="2"/>
            <w:shd w:val="clear" w:color="auto" w:fill="CCEEFF"/>
          </w:tcPr>
          <w:p>
            <w:pPr>
              <w:jc w:val="center"/>
              <w:ind w:left="5450"/>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1.1</w:t>
            </w:r>
          </w:p>
        </w:tc>
        <w:tc>
          <w:tcPr>
            <w:tcW w:w="394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tc>
        <w:tc>
          <w:tcPr>
            <w:tcW w:w="6660" w:type="dxa"/>
            <w:vAlign w:val="bottom"/>
            <w:gridSpan w:val="2"/>
          </w:tcPr>
          <w:p>
            <w:pPr>
              <w:jc w:val="center"/>
              <w:ind w:left="5450"/>
              <w:spacing w:after="0"/>
              <w:rPr>
                <w:sz w:val="20"/>
                <w:szCs w:val="20"/>
                <w:color w:val="auto"/>
              </w:rPr>
            </w:pPr>
            <w:r>
              <w:rPr>
                <w:rFonts w:ascii="Arial" w:cs="Arial" w:eastAsia="Arial" w:hAnsi="Arial"/>
                <w:sz w:val="18"/>
                <w:szCs w:val="18"/>
                <w:color w:val="auto"/>
                <w:w w:val="79"/>
              </w:rPr>
              <w:t>1</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1.2</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D</w:t>
            </w:r>
            <w:r>
              <w:rPr>
                <w:rFonts w:ascii="Arial" w:cs="Arial" w:eastAsia="Arial" w:hAnsi="Arial"/>
                <w:sz w:val="12"/>
                <w:szCs w:val="12"/>
                <w:color w:val="auto"/>
              </w:rPr>
              <w:t>efinitional</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22</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SECTION 2 AMOUNT AND TERMS OF COMMITMENTS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24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ommitments</w:t>
            </w:r>
            <w:r>
              <w:rPr>
                <w:rFonts w:ascii="Arial" w:cs="Arial" w:eastAsia="Arial" w:hAnsi="Arial"/>
                <w:sz w:val="18"/>
                <w:szCs w:val="18"/>
                <w:color w:val="auto"/>
              </w:rPr>
              <w:t>; R</w:t>
            </w:r>
            <w:r>
              <w:rPr>
                <w:rFonts w:ascii="Arial" w:cs="Arial" w:eastAsia="Arial" w:hAnsi="Arial"/>
                <w:sz w:val="12"/>
                <w:szCs w:val="12"/>
                <w:color w:val="auto"/>
              </w:rPr>
              <w:t>epayment</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24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2.2</w:t>
            </w:r>
          </w:p>
        </w:tc>
        <w:tc>
          <w:tcPr>
            <w:tcW w:w="394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dvances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25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2.3</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ees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26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2.4</w:t>
            </w:r>
          </w:p>
        </w:tc>
        <w:tc>
          <w:tcPr>
            <w:tcW w:w="3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ates and</w:t>
            </w:r>
            <w:r>
              <w:rPr>
                <w:rFonts w:ascii="Arial" w:cs="Arial" w:eastAsia="Arial" w:hAnsi="Arial"/>
                <w:sz w:val="18"/>
                <w:szCs w:val="18"/>
                <w:color w:val="auto"/>
              </w:rPr>
              <w:t xml:space="preserve"> P</w:t>
            </w:r>
            <w:r>
              <w:rPr>
                <w:rFonts w:ascii="Arial" w:cs="Arial" w:eastAsia="Arial" w:hAnsi="Arial"/>
                <w:sz w:val="12"/>
                <w:szCs w:val="12"/>
                <w:color w:val="auto"/>
              </w:rPr>
              <w:t>ayment</w:t>
            </w:r>
            <w:r>
              <w:rPr>
                <w:rFonts w:ascii="Arial" w:cs="Arial" w:eastAsia="Arial" w:hAnsi="Arial"/>
                <w:sz w:val="18"/>
                <w:szCs w:val="18"/>
                <w:color w:val="auto"/>
              </w:rPr>
              <w:t xml:space="preserve"> D</w:t>
            </w:r>
            <w:r>
              <w:rPr>
                <w:rFonts w:ascii="Arial" w:cs="Arial" w:eastAsia="Arial" w:hAnsi="Arial"/>
                <w:sz w:val="12"/>
                <w:szCs w:val="12"/>
                <w:color w:val="auto"/>
              </w:rPr>
              <w:t>ates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26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omputation of</w:t>
            </w:r>
            <w:r>
              <w:rPr>
                <w:rFonts w:ascii="Arial" w:cs="Arial" w:eastAsia="Arial" w:hAnsi="Arial"/>
                <w:sz w:val="18"/>
                <w:szCs w:val="18"/>
                <w:color w:val="auto"/>
              </w:rPr>
              <w:t xml:space="preserve"> I</w:t>
            </w:r>
            <w:r>
              <w:rPr>
                <w:rFonts w:ascii="Arial" w:cs="Arial" w:eastAsia="Arial" w:hAnsi="Arial"/>
                <w:sz w:val="12"/>
                <w:szCs w:val="12"/>
                <w:color w:val="auto"/>
              </w:rPr>
              <w:t>nterest and</w:t>
            </w:r>
            <w:r>
              <w:rPr>
                <w:rFonts w:ascii="Arial" w:cs="Arial" w:eastAsia="Arial" w:hAnsi="Arial"/>
                <w:sz w:val="18"/>
                <w:szCs w:val="18"/>
                <w:color w:val="auto"/>
              </w:rPr>
              <w:t xml:space="preserve"> F</w:t>
            </w:r>
            <w:r>
              <w:rPr>
                <w:rFonts w:ascii="Arial" w:cs="Arial" w:eastAsia="Arial" w:hAnsi="Arial"/>
                <w:sz w:val="12"/>
                <w:szCs w:val="12"/>
                <w:color w:val="auto"/>
              </w:rPr>
              <w:t>ees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26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2.6</w:t>
            </w:r>
          </w:p>
        </w:tc>
        <w:tc>
          <w:tcPr>
            <w:tcW w:w="39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26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2.7</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2.8</w:t>
            </w:r>
          </w:p>
        </w:tc>
        <w:tc>
          <w:tcPr>
            <w:tcW w:w="394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28</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ollections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30</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2.10</w:t>
            </w:r>
          </w:p>
        </w:tc>
        <w:tc>
          <w:tcPr>
            <w:tcW w:w="3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31</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2.11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itigation</w:t>
            </w:r>
            <w:r>
              <w:rPr>
                <w:rFonts w:ascii="Arial" w:cs="Arial" w:eastAsia="Arial" w:hAnsi="Arial"/>
                <w:sz w:val="18"/>
                <w:szCs w:val="18"/>
                <w:color w:val="auto"/>
              </w:rPr>
              <w:t xml:space="preserve"> O</w:t>
            </w:r>
            <w:r>
              <w:rPr>
                <w:rFonts w:ascii="Arial" w:cs="Arial" w:eastAsia="Arial" w:hAnsi="Arial"/>
                <w:sz w:val="12"/>
                <w:szCs w:val="12"/>
                <w:color w:val="auto"/>
              </w:rPr>
              <w:t>bligations</w:t>
            </w:r>
            <w:r>
              <w:rPr>
                <w:rFonts w:ascii="Arial" w:cs="Arial" w:eastAsia="Arial" w:hAnsi="Arial"/>
                <w:sz w:val="18"/>
                <w:szCs w:val="18"/>
                <w:color w:val="auto"/>
              </w:rPr>
              <w:t>.</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SECTION 3 REPRESENTATIONS AND WARRANTIES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ondition</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3.2</w:t>
            </w:r>
          </w:p>
        </w:tc>
        <w:tc>
          <w:tcPr>
            <w:tcW w:w="39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hange</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3.4</w:t>
            </w:r>
          </w:p>
        </w:tc>
        <w:tc>
          <w:tcPr>
            <w:tcW w:w="39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ower</w:t>
            </w:r>
            <w:r>
              <w:rPr>
                <w:rFonts w:ascii="Arial" w:cs="Arial" w:eastAsia="Arial" w:hAnsi="Arial"/>
                <w:sz w:val="18"/>
                <w:szCs w:val="18"/>
                <w:color w:val="auto"/>
              </w:rPr>
              <w:t>, A</w:t>
            </w:r>
            <w:r>
              <w:rPr>
                <w:rFonts w:ascii="Arial" w:cs="Arial" w:eastAsia="Arial" w:hAnsi="Arial"/>
                <w:sz w:val="12"/>
                <w:szCs w:val="12"/>
                <w:color w:val="auto"/>
              </w:rPr>
              <w:t>uthorization</w:t>
            </w:r>
            <w:r>
              <w:rPr>
                <w:rFonts w:ascii="Arial" w:cs="Arial" w:eastAsia="Arial" w:hAnsi="Arial"/>
                <w:sz w:val="18"/>
                <w:szCs w:val="18"/>
                <w:color w:val="auto"/>
              </w:rPr>
              <w:t>; E</w:t>
            </w:r>
            <w:r>
              <w:rPr>
                <w:rFonts w:ascii="Arial" w:cs="Arial" w:eastAsia="Arial" w:hAnsi="Arial"/>
                <w:sz w:val="12"/>
                <w:szCs w:val="12"/>
                <w:color w:val="auto"/>
              </w:rPr>
              <w:t>nforceable</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L</w:t>
            </w:r>
            <w:r>
              <w:rPr>
                <w:rFonts w:ascii="Arial" w:cs="Arial" w:eastAsia="Arial" w:hAnsi="Arial"/>
                <w:sz w:val="12"/>
                <w:szCs w:val="12"/>
                <w:color w:val="auto"/>
              </w:rPr>
              <w:t>egal</w:t>
            </w:r>
            <w:r>
              <w:rPr>
                <w:rFonts w:ascii="Arial" w:cs="Arial" w:eastAsia="Arial" w:hAnsi="Arial"/>
                <w:sz w:val="18"/>
                <w:szCs w:val="18"/>
                <w:color w:val="auto"/>
              </w:rPr>
              <w:t xml:space="preserve"> B</w:t>
            </w:r>
            <w:r>
              <w:rPr>
                <w:rFonts w:ascii="Arial" w:cs="Arial" w:eastAsia="Arial" w:hAnsi="Arial"/>
                <w:sz w:val="12"/>
                <w:szCs w:val="12"/>
                <w:color w:val="auto"/>
              </w:rPr>
              <w:t>ar</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3.6</w:t>
            </w:r>
          </w:p>
        </w:tc>
        <w:tc>
          <w:tcPr>
            <w:tcW w:w="394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itigation</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3.7</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3.8</w:t>
            </w:r>
          </w:p>
        </w:tc>
        <w:tc>
          <w:tcPr>
            <w:tcW w:w="394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3.9</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w:t>
            </w:r>
            <w:r>
              <w:rPr>
                <w:rFonts w:ascii="Arial" w:cs="Arial" w:eastAsia="Arial" w:hAnsi="Arial"/>
                <w:sz w:val="18"/>
                <w:szCs w:val="18"/>
                <w:color w:val="auto"/>
              </w:rPr>
              <w:t xml:space="preserve"> S</w:t>
            </w:r>
            <w:r>
              <w:rPr>
                <w:rFonts w:ascii="Arial" w:cs="Arial" w:eastAsia="Arial" w:hAnsi="Arial"/>
                <w:sz w:val="12"/>
                <w:szCs w:val="12"/>
                <w:color w:val="auto"/>
              </w:rPr>
              <w:t>tock</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3.10</w:t>
            </w:r>
          </w:p>
        </w:tc>
        <w:tc>
          <w:tcPr>
            <w:tcW w:w="3940" w:type="dxa"/>
            <w:vAlign w:val="bottom"/>
          </w:tcPr>
          <w:p>
            <w:pPr>
              <w:ind w:left="160"/>
              <w:spacing w:after="0"/>
              <w:rPr>
                <w:sz w:val="20"/>
                <w:szCs w:val="20"/>
                <w:color w:val="auto"/>
              </w:rPr>
            </w:pPr>
            <w:r>
              <w:rPr>
                <w:rFonts w:ascii="Arial" w:cs="Arial" w:eastAsia="Arial" w:hAnsi="Arial"/>
                <w:sz w:val="18"/>
                <w:szCs w:val="18"/>
                <w:color w:val="auto"/>
              </w:rPr>
              <w:t>ERISA</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3.12</w:t>
            </w:r>
          </w:p>
        </w:tc>
        <w:tc>
          <w:tcPr>
            <w:tcW w:w="3940" w:type="dxa"/>
            <w:vAlign w:val="bottom"/>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3.13</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nvironmental</w:t>
            </w:r>
            <w:r>
              <w:rPr>
                <w:rFonts w:ascii="Arial" w:cs="Arial" w:eastAsia="Arial" w:hAnsi="Arial"/>
                <w:sz w:val="18"/>
                <w:szCs w:val="18"/>
                <w:color w:val="auto"/>
              </w:rPr>
              <w:t xml:space="preserve"> M</w:t>
            </w:r>
            <w:r>
              <w:rPr>
                <w:rFonts w:ascii="Arial" w:cs="Arial" w:eastAsia="Arial" w:hAnsi="Arial"/>
                <w:sz w:val="12"/>
                <w:szCs w:val="12"/>
                <w:color w:val="auto"/>
              </w:rPr>
              <w:t>atters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3.14</w:t>
            </w:r>
          </w:p>
        </w:tc>
        <w:tc>
          <w:tcPr>
            <w:tcW w:w="394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ccuracy of</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color w:val="auto"/>
              </w:rPr>
              <w:t>.</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3.15</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ecurity</w:t>
            </w:r>
            <w:r>
              <w:rPr>
                <w:rFonts w:ascii="Arial" w:cs="Arial" w:eastAsia="Arial" w:hAnsi="Arial"/>
                <w:sz w:val="18"/>
                <w:szCs w:val="18"/>
                <w:color w:val="auto"/>
              </w:rPr>
              <w:t xml:space="preserve"> D</w:t>
            </w:r>
            <w:r>
              <w:rPr>
                <w:rFonts w:ascii="Arial" w:cs="Arial" w:eastAsia="Arial" w:hAnsi="Arial"/>
                <w:sz w:val="12"/>
                <w:szCs w:val="12"/>
                <w:color w:val="auto"/>
              </w:rPr>
              <w:t>ocuments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3.16</w:t>
            </w:r>
          </w:p>
        </w:tc>
        <w:tc>
          <w:tcPr>
            <w:tcW w:w="394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olvency</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3.17</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3.18</w:t>
            </w:r>
          </w:p>
        </w:tc>
        <w:tc>
          <w:tcPr>
            <w:tcW w:w="394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itle</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3.19</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ubsidiaries</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3.20</w:t>
            </w:r>
          </w:p>
        </w:tc>
        <w:tc>
          <w:tcPr>
            <w:tcW w:w="394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mployees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3.21</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ollateral</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3.22</w:t>
            </w:r>
          </w:p>
        </w:tc>
        <w:tc>
          <w:tcPr>
            <w:tcW w:w="39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3.23</w:t>
            </w: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apitalization</w:t>
            </w:r>
          </w:p>
        </w:tc>
        <w:tc>
          <w:tcPr>
            <w:tcW w:w="6660" w:type="dxa"/>
            <w:vAlign w:val="bottom"/>
            <w:gridSpan w:val="2"/>
            <w:shd w:val="clear" w:color="auto" w:fill="CCEEFF"/>
          </w:tcPr>
          <w:p>
            <w:pPr>
              <w:jc w:val="center"/>
              <w:ind w:left="5430"/>
              <w:spacing w:after="0"/>
              <w:rPr>
                <w:sz w:val="20"/>
                <w:szCs w:val="20"/>
                <w:color w:val="auto"/>
              </w:rPr>
            </w:pPr>
            <w:r>
              <w:rPr>
                <w:rFonts w:ascii="Arial" w:cs="Arial" w:eastAsia="Arial" w:hAnsi="Arial"/>
                <w:sz w:val="18"/>
                <w:szCs w:val="18"/>
                <w:color w:val="auto"/>
                <w:w w:val="89"/>
              </w:rPr>
              <w:t>36</w:t>
            </w:r>
          </w:p>
        </w:tc>
      </w:tr>
      <w:tr>
        <w:trPr>
          <w:trHeight w:val="230"/>
        </w:trPr>
        <w:tc>
          <w:tcPr>
            <w:tcW w:w="640" w:type="dxa"/>
            <w:vAlign w:val="bottom"/>
          </w:tcPr>
          <w:p>
            <w:pPr>
              <w:ind w:left="160"/>
              <w:spacing w:after="0"/>
              <w:rPr>
                <w:sz w:val="20"/>
                <w:szCs w:val="20"/>
                <w:color w:val="auto"/>
              </w:rPr>
            </w:pPr>
            <w:r>
              <w:rPr>
                <w:rFonts w:ascii="Arial" w:cs="Arial" w:eastAsia="Arial" w:hAnsi="Arial"/>
                <w:sz w:val="18"/>
                <w:szCs w:val="18"/>
                <w:color w:val="auto"/>
              </w:rPr>
              <w:t>3.24</w:t>
            </w:r>
          </w:p>
        </w:tc>
        <w:tc>
          <w:tcPr>
            <w:tcW w:w="394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6660" w:type="dxa"/>
            <w:vAlign w:val="bottom"/>
            <w:gridSpan w:val="2"/>
          </w:tcPr>
          <w:p>
            <w:pPr>
              <w:jc w:val="center"/>
              <w:ind w:left="5430"/>
              <w:spacing w:after="0"/>
              <w:rPr>
                <w:sz w:val="20"/>
                <w:szCs w:val="20"/>
                <w:color w:val="auto"/>
              </w:rPr>
            </w:pPr>
            <w:r>
              <w:rPr>
                <w:rFonts w:ascii="Arial" w:cs="Arial" w:eastAsia="Arial" w:hAnsi="Arial"/>
                <w:sz w:val="18"/>
                <w:szCs w:val="18"/>
                <w:color w:val="auto"/>
                <w:w w:val="89"/>
              </w:rPr>
              <w:t>36</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3.25</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3.26</w:t>
            </w:r>
          </w:p>
        </w:tc>
        <w:tc>
          <w:tcPr>
            <w:tcW w:w="95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3.27</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oreign</w:t>
            </w:r>
            <w:r>
              <w:rPr>
                <w:rFonts w:ascii="Arial" w:cs="Arial" w:eastAsia="Arial" w:hAnsi="Arial"/>
                <w:sz w:val="18"/>
                <w:szCs w:val="18"/>
                <w:color w:val="auto"/>
              </w:rPr>
              <w:t xml:space="preserve"> A</w:t>
            </w:r>
            <w:r>
              <w:rPr>
                <w:rFonts w:ascii="Arial" w:cs="Arial" w:eastAsia="Arial" w:hAnsi="Arial"/>
                <w:sz w:val="12"/>
                <w:szCs w:val="12"/>
                <w:color w:val="auto"/>
              </w:rPr>
              <w:t>ssets</w:t>
            </w:r>
            <w:r>
              <w:rPr>
                <w:rFonts w:ascii="Arial" w:cs="Arial" w:eastAsia="Arial" w:hAnsi="Arial"/>
                <w:sz w:val="18"/>
                <w:szCs w:val="18"/>
                <w:color w:val="auto"/>
              </w:rPr>
              <w:t xml:space="preserve"> C</w:t>
            </w:r>
            <w:r>
              <w:rPr>
                <w:rFonts w:ascii="Arial" w:cs="Arial" w:eastAsia="Arial" w:hAnsi="Arial"/>
                <w:sz w:val="12"/>
                <w:szCs w:val="12"/>
                <w:color w:val="auto"/>
              </w:rPr>
              <w:t>ontrol</w:t>
            </w:r>
            <w:r>
              <w:rPr>
                <w:rFonts w:ascii="Arial" w:cs="Arial" w:eastAsia="Arial" w:hAnsi="Arial"/>
                <w:sz w:val="18"/>
                <w:szCs w:val="18"/>
                <w:color w:val="auto"/>
              </w:rPr>
              <w:t xml:space="preserve"> R</w:t>
            </w:r>
            <w:r>
              <w:rPr>
                <w:rFonts w:ascii="Arial" w:cs="Arial" w:eastAsia="Arial" w:hAnsi="Arial"/>
                <w:sz w:val="12"/>
                <w:szCs w:val="12"/>
                <w:color w:val="auto"/>
              </w:rPr>
              <w:t>egulations and</w:t>
            </w:r>
            <w:r>
              <w:rPr>
                <w:rFonts w:ascii="Arial" w:cs="Arial" w:eastAsia="Arial" w:hAnsi="Arial"/>
                <w:sz w:val="18"/>
                <w:szCs w:val="18"/>
                <w:color w:val="auto"/>
              </w:rPr>
              <w:t xml:space="preserve"> A</w:t>
            </w:r>
            <w:r>
              <w:rPr>
                <w:rFonts w:ascii="Arial" w:cs="Arial" w:eastAsia="Arial" w:hAnsi="Arial"/>
                <w:sz w:val="12"/>
                <w:szCs w:val="12"/>
                <w:color w:val="auto"/>
              </w:rPr>
              <w:t>nti</w:t>
            </w:r>
            <w:r>
              <w:rPr>
                <w:rFonts w:ascii="Arial" w:cs="Arial" w:eastAsia="Arial" w:hAnsi="Arial"/>
                <w:sz w:val="18"/>
                <w:szCs w:val="18"/>
                <w:color w:val="auto"/>
              </w:rPr>
              <w:t>-M</w:t>
            </w:r>
            <w:r>
              <w:rPr>
                <w:rFonts w:ascii="Arial" w:cs="Arial" w:eastAsia="Arial" w:hAnsi="Arial"/>
                <w:sz w:val="12"/>
                <w:szCs w:val="12"/>
                <w:color w:val="auto"/>
              </w:rPr>
              <w:t>oney</w:t>
            </w:r>
            <w:r>
              <w:rPr>
                <w:rFonts w:ascii="Arial" w:cs="Arial" w:eastAsia="Arial" w:hAnsi="Arial"/>
                <w:sz w:val="18"/>
                <w:szCs w:val="18"/>
                <w:color w:val="auto"/>
              </w:rPr>
              <w:t xml:space="preserve"> L</w:t>
            </w:r>
            <w:r>
              <w:rPr>
                <w:rFonts w:ascii="Arial" w:cs="Arial" w:eastAsia="Arial" w:hAnsi="Arial"/>
                <w:sz w:val="12"/>
                <w:szCs w:val="12"/>
                <w:color w:val="auto"/>
              </w:rPr>
              <w:t>aundering</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3.28</w:t>
            </w:r>
          </w:p>
        </w:tc>
        <w:tc>
          <w:tcPr>
            <w:tcW w:w="95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arent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3.29</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PPP L</w:t>
            </w:r>
            <w:r>
              <w:rPr>
                <w:rFonts w:ascii="Arial" w:cs="Arial" w:eastAsia="Arial" w:hAnsi="Arial"/>
                <w:sz w:val="12"/>
                <w:szCs w:val="12"/>
                <w:color w:val="auto"/>
              </w:rPr>
              <w:t>oans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3.30</w:t>
            </w:r>
          </w:p>
        </w:tc>
        <w:tc>
          <w:tcPr>
            <w:tcW w:w="9540" w:type="dxa"/>
            <w:vAlign w:val="bottom"/>
          </w:tcPr>
          <w:p>
            <w:pPr>
              <w:ind w:left="160"/>
              <w:spacing w:after="0"/>
              <w:rPr>
                <w:sz w:val="20"/>
                <w:szCs w:val="20"/>
                <w:color w:val="auto"/>
              </w:rPr>
            </w:pPr>
            <w:r>
              <w:rPr>
                <w:rFonts w:ascii="Arial" w:cs="Arial" w:eastAsia="Arial" w:hAnsi="Arial"/>
                <w:sz w:val="18"/>
                <w:szCs w:val="18"/>
                <w:color w:val="auto"/>
              </w:rPr>
              <w:t>SPAC T</w:t>
            </w:r>
            <w:r>
              <w:rPr>
                <w:rFonts w:ascii="Arial" w:cs="Arial" w:eastAsia="Arial" w:hAnsi="Arial"/>
                <w:sz w:val="12"/>
                <w:szCs w:val="12"/>
                <w:color w:val="auto"/>
              </w:rPr>
              <w:t>ransaction</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CONDITIONS PRECEDENT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4.1</w:t>
            </w:r>
          </w:p>
        </w:tc>
        <w:tc>
          <w:tcPr>
            <w:tcW w:w="954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37</w:t>
            </w: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AFFIRMATIVE COVENANTS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5.1</w:t>
            </w:r>
          </w:p>
        </w:tc>
        <w:tc>
          <w:tcPr>
            <w:tcW w:w="95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S</w:t>
            </w:r>
            <w:r>
              <w:rPr>
                <w:rFonts w:ascii="Arial" w:cs="Arial" w:eastAsia="Arial" w:hAnsi="Arial"/>
                <w:sz w:val="12"/>
                <w:szCs w:val="12"/>
                <w:color w:val="auto"/>
              </w:rPr>
              <w:t>tatements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40</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5.2</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ertificates</w:t>
            </w:r>
            <w:r>
              <w:rPr>
                <w:rFonts w:ascii="Arial" w:cs="Arial" w:eastAsia="Arial" w:hAnsi="Arial"/>
                <w:sz w:val="18"/>
                <w:szCs w:val="18"/>
                <w:color w:val="auto"/>
              </w:rPr>
              <w:t>; R</w:t>
            </w:r>
            <w:r>
              <w:rPr>
                <w:rFonts w:ascii="Arial" w:cs="Arial" w:eastAsia="Arial" w:hAnsi="Arial"/>
                <w:sz w:val="12"/>
                <w:szCs w:val="12"/>
                <w:color w:val="auto"/>
              </w:rPr>
              <w:t>eports</w:t>
            </w:r>
            <w:r>
              <w:rPr>
                <w:rFonts w:ascii="Arial" w:cs="Arial" w:eastAsia="Arial" w:hAnsi="Arial"/>
                <w:sz w:val="18"/>
                <w:szCs w:val="18"/>
                <w:color w:val="auto"/>
              </w:rPr>
              <w:t>; O</w:t>
            </w:r>
            <w:r>
              <w:rPr>
                <w:rFonts w:ascii="Arial" w:cs="Arial" w:eastAsia="Arial" w:hAnsi="Arial"/>
                <w:sz w:val="12"/>
                <w:szCs w:val="12"/>
                <w:color w:val="auto"/>
              </w:rPr>
              <w:t>ther</w:t>
            </w:r>
            <w:r>
              <w:rPr>
                <w:rFonts w:ascii="Arial" w:cs="Arial" w:eastAsia="Arial" w:hAnsi="Arial"/>
                <w:sz w:val="18"/>
                <w:szCs w:val="18"/>
                <w:color w:val="auto"/>
              </w:rPr>
              <w:t xml:space="preserve"> I</w:t>
            </w:r>
            <w:r>
              <w:rPr>
                <w:rFonts w:ascii="Arial" w:cs="Arial" w:eastAsia="Arial" w:hAnsi="Arial"/>
                <w:sz w:val="12"/>
                <w:szCs w:val="12"/>
                <w:color w:val="auto"/>
              </w:rPr>
              <w:t>nformation</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5.3</w:t>
            </w:r>
          </w:p>
        </w:tc>
        <w:tc>
          <w:tcPr>
            <w:tcW w:w="95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5.4</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E</w:t>
            </w:r>
            <w:r>
              <w:rPr>
                <w:rFonts w:ascii="Arial" w:cs="Arial" w:eastAsia="Arial" w:hAnsi="Arial"/>
                <w:sz w:val="12"/>
                <w:szCs w:val="12"/>
                <w:color w:val="auto"/>
              </w:rPr>
              <w:t>xistence</w:t>
            </w:r>
            <w:r>
              <w:rPr>
                <w:rFonts w:ascii="Arial" w:cs="Arial" w:eastAsia="Arial" w:hAnsi="Arial"/>
                <w:sz w:val="18"/>
                <w:szCs w:val="18"/>
                <w:color w:val="auto"/>
              </w:rPr>
              <w:t>; C</w:t>
            </w:r>
            <w:r>
              <w:rPr>
                <w:rFonts w:ascii="Arial" w:cs="Arial" w:eastAsia="Arial" w:hAnsi="Arial"/>
                <w:sz w:val="12"/>
                <w:szCs w:val="12"/>
                <w:color w:val="auto"/>
              </w:rPr>
              <w:t>ompliance with</w:t>
            </w:r>
            <w:r>
              <w:rPr>
                <w:rFonts w:ascii="Arial" w:cs="Arial" w:eastAsia="Arial" w:hAnsi="Arial"/>
                <w:sz w:val="18"/>
                <w:szCs w:val="18"/>
                <w:color w:val="auto"/>
              </w:rPr>
              <w:t xml:space="preserve"> R</w:t>
            </w:r>
            <w:r>
              <w:rPr>
                <w:rFonts w:ascii="Arial" w:cs="Arial" w:eastAsia="Arial" w:hAnsi="Arial"/>
                <w:sz w:val="12"/>
                <w:szCs w:val="12"/>
                <w:color w:val="auto"/>
              </w:rPr>
              <w:t>equirements of</w:t>
            </w:r>
            <w:r>
              <w:rPr>
                <w:rFonts w:ascii="Arial" w:cs="Arial" w:eastAsia="Arial" w:hAnsi="Arial"/>
                <w:sz w:val="18"/>
                <w:szCs w:val="18"/>
                <w:color w:val="auto"/>
              </w:rPr>
              <w:t xml:space="preserve"> L</w:t>
            </w:r>
            <w:r>
              <w:rPr>
                <w:rFonts w:ascii="Arial" w:cs="Arial" w:eastAsia="Arial" w:hAnsi="Arial"/>
                <w:sz w:val="12"/>
                <w:szCs w:val="12"/>
                <w:color w:val="auto"/>
              </w:rPr>
              <w:t>aw</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5.5</w:t>
            </w:r>
          </w:p>
        </w:tc>
        <w:tc>
          <w:tcPr>
            <w:tcW w:w="954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I</w:t>
            </w:r>
            <w:r>
              <w:rPr>
                <w:rFonts w:ascii="Arial" w:cs="Arial" w:eastAsia="Arial" w:hAnsi="Arial"/>
                <w:sz w:val="12"/>
                <w:szCs w:val="12"/>
                <w:color w:val="auto"/>
              </w:rPr>
              <w:t>nsurance</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5.6</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nspection of</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B</w:t>
            </w:r>
            <w:r>
              <w:rPr>
                <w:rFonts w:ascii="Arial" w:cs="Arial" w:eastAsia="Arial" w:hAnsi="Arial"/>
                <w:sz w:val="12"/>
                <w:szCs w:val="12"/>
                <w:color w:val="auto"/>
              </w:rPr>
              <w:t>ooks and</w:t>
            </w:r>
            <w:r>
              <w:rPr>
                <w:rFonts w:ascii="Arial" w:cs="Arial" w:eastAsia="Arial" w:hAnsi="Arial"/>
                <w:sz w:val="18"/>
                <w:szCs w:val="18"/>
                <w:color w:val="auto"/>
              </w:rPr>
              <w:t xml:space="preserve"> R</w:t>
            </w:r>
            <w:r>
              <w:rPr>
                <w:rFonts w:ascii="Arial" w:cs="Arial" w:eastAsia="Arial" w:hAnsi="Arial"/>
                <w:sz w:val="12"/>
                <w:szCs w:val="12"/>
                <w:color w:val="auto"/>
              </w:rPr>
              <w:t>ecords</w:t>
            </w:r>
            <w:r>
              <w:rPr>
                <w:rFonts w:ascii="Arial" w:cs="Arial" w:eastAsia="Arial" w:hAnsi="Arial"/>
                <w:sz w:val="18"/>
                <w:szCs w:val="18"/>
                <w:color w:val="auto"/>
              </w:rPr>
              <w:t>; D</w:t>
            </w:r>
            <w:r>
              <w:rPr>
                <w:rFonts w:ascii="Arial" w:cs="Arial" w:eastAsia="Arial" w:hAnsi="Arial"/>
                <w:sz w:val="12"/>
                <w:szCs w:val="12"/>
                <w:color w:val="auto"/>
              </w:rPr>
              <w:t>iscussions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5.7</w:t>
            </w:r>
          </w:p>
        </w:tc>
        <w:tc>
          <w:tcPr>
            <w:tcW w:w="954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ompliance with</w:t>
            </w:r>
            <w:r>
              <w:rPr>
                <w:rFonts w:ascii="Arial" w:cs="Arial" w:eastAsia="Arial" w:hAnsi="Arial"/>
                <w:sz w:val="18"/>
                <w:szCs w:val="18"/>
                <w:color w:val="auto"/>
              </w:rPr>
              <w:t xml:space="preserve"> L</w:t>
            </w:r>
            <w:r>
              <w:rPr>
                <w:rFonts w:ascii="Arial" w:cs="Arial" w:eastAsia="Arial" w:hAnsi="Arial"/>
                <w:sz w:val="12"/>
                <w:szCs w:val="12"/>
                <w:color w:val="auto"/>
              </w:rPr>
              <w:t>aws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5.9</w:t>
            </w:r>
          </w:p>
        </w:tc>
        <w:tc>
          <w:tcPr>
            <w:tcW w:w="954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udits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5.10</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urther</w:t>
            </w:r>
            <w:r>
              <w:rPr>
                <w:rFonts w:ascii="Arial" w:cs="Arial" w:eastAsia="Arial" w:hAnsi="Arial"/>
                <w:sz w:val="18"/>
                <w:szCs w:val="18"/>
                <w:color w:val="auto"/>
              </w:rPr>
              <w:t xml:space="preserve"> A</w:t>
            </w:r>
            <w:r>
              <w:rPr>
                <w:rFonts w:ascii="Arial" w:cs="Arial" w:eastAsia="Arial" w:hAnsi="Arial"/>
                <w:sz w:val="12"/>
                <w:szCs w:val="12"/>
                <w:color w:val="auto"/>
              </w:rPr>
              <w:t>ssurances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5.11</w:t>
            </w:r>
          </w:p>
        </w:tc>
        <w:tc>
          <w:tcPr>
            <w:tcW w:w="9540" w:type="dxa"/>
            <w:vAlign w:val="bottom"/>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5.12</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axes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5.13</w:t>
            </w:r>
          </w:p>
        </w:tc>
        <w:tc>
          <w:tcPr>
            <w:tcW w:w="9540" w:type="dxa"/>
            <w:vAlign w:val="bottom"/>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ost</w:t>
            </w:r>
            <w:r>
              <w:rPr>
                <w:rFonts w:ascii="Arial" w:cs="Arial" w:eastAsia="Arial" w:hAnsi="Arial"/>
                <w:sz w:val="18"/>
                <w:szCs w:val="18"/>
                <w:color w:val="auto"/>
              </w:rPr>
              <w:t>-C</w:t>
            </w:r>
            <w:r>
              <w:rPr>
                <w:rFonts w:ascii="Arial" w:cs="Arial" w:eastAsia="Arial" w:hAnsi="Arial"/>
                <w:sz w:val="12"/>
                <w:szCs w:val="12"/>
                <w:color w:val="auto"/>
              </w:rPr>
              <w:t>losing</w:t>
            </w:r>
            <w:r>
              <w:rPr>
                <w:rFonts w:ascii="Arial" w:cs="Arial" w:eastAsia="Arial" w:hAnsi="Arial"/>
                <w:sz w:val="18"/>
                <w:szCs w:val="18"/>
                <w:color w:val="auto"/>
              </w:rPr>
              <w:t xml:space="preserve"> O</w:t>
            </w:r>
            <w:r>
              <w:rPr>
                <w:rFonts w:ascii="Arial" w:cs="Arial" w:eastAsia="Arial" w:hAnsi="Arial"/>
                <w:sz w:val="12"/>
                <w:szCs w:val="12"/>
                <w:color w:val="auto"/>
              </w:rPr>
              <w:t>bligations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5.14</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ocation of</w:t>
            </w:r>
            <w:r>
              <w:rPr>
                <w:rFonts w:ascii="Arial" w:cs="Arial" w:eastAsia="Arial" w:hAnsi="Arial"/>
                <w:sz w:val="18"/>
                <w:szCs w:val="18"/>
                <w:color w:val="auto"/>
              </w:rPr>
              <w:t xml:space="preserve"> A</w:t>
            </w:r>
            <w:r>
              <w:rPr>
                <w:rFonts w:ascii="Arial" w:cs="Arial" w:eastAsia="Arial" w:hAnsi="Arial"/>
                <w:sz w:val="12"/>
                <w:szCs w:val="12"/>
                <w:color w:val="auto"/>
              </w:rPr>
              <w:t>ssets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5.15</w:t>
            </w:r>
          </w:p>
        </w:tc>
        <w:tc>
          <w:tcPr>
            <w:tcW w:w="954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dditional</w:t>
            </w:r>
            <w:r>
              <w:rPr>
                <w:rFonts w:ascii="Arial" w:cs="Arial" w:eastAsia="Arial" w:hAnsi="Arial"/>
                <w:sz w:val="18"/>
                <w:szCs w:val="18"/>
                <w:color w:val="auto"/>
              </w:rPr>
              <w:t xml:space="preserve"> S</w:t>
            </w:r>
            <w:r>
              <w:rPr>
                <w:rFonts w:ascii="Arial" w:cs="Arial" w:eastAsia="Arial" w:hAnsi="Arial"/>
                <w:sz w:val="12"/>
                <w:szCs w:val="12"/>
                <w:color w:val="auto"/>
              </w:rPr>
              <w:t>ubsidiaries</w:t>
            </w:r>
            <w:r>
              <w:rPr>
                <w:rFonts w:ascii="Arial" w:cs="Arial" w:eastAsia="Arial" w:hAnsi="Arial"/>
                <w:sz w:val="18"/>
                <w:szCs w:val="18"/>
                <w:color w:val="auto"/>
              </w:rPr>
              <w:t>.</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5.16</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oard</w:t>
            </w:r>
            <w:r>
              <w:rPr>
                <w:rFonts w:ascii="Arial" w:cs="Arial" w:eastAsia="Arial" w:hAnsi="Arial"/>
                <w:sz w:val="18"/>
                <w:szCs w:val="18"/>
                <w:color w:val="auto"/>
              </w:rPr>
              <w:t xml:space="preserve"> O</w:t>
            </w:r>
            <w:r>
              <w:rPr>
                <w:rFonts w:ascii="Arial" w:cs="Arial" w:eastAsia="Arial" w:hAnsi="Arial"/>
                <w:sz w:val="12"/>
                <w:szCs w:val="12"/>
                <w:color w:val="auto"/>
              </w:rPr>
              <w:t>bservation</w:t>
            </w:r>
            <w:r>
              <w:rPr>
                <w:rFonts w:ascii="Arial" w:cs="Arial" w:eastAsia="Arial" w:hAnsi="Arial"/>
                <w:sz w:val="18"/>
                <w:szCs w:val="18"/>
                <w:color w:val="auto"/>
              </w:rPr>
              <w:t xml:space="preserve"> R</w:t>
            </w:r>
            <w:r>
              <w:rPr>
                <w:rFonts w:ascii="Arial" w:cs="Arial" w:eastAsia="Arial" w:hAnsi="Arial"/>
                <w:sz w:val="12"/>
                <w:szCs w:val="12"/>
                <w:color w:val="auto"/>
              </w:rPr>
              <w:t>ights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5.17</w:t>
            </w:r>
          </w:p>
        </w:tc>
        <w:tc>
          <w:tcPr>
            <w:tcW w:w="9540" w:type="dxa"/>
            <w:vAlign w:val="bottom"/>
          </w:tcPr>
          <w:p>
            <w:pPr>
              <w:ind w:left="160"/>
              <w:spacing w:after="0"/>
              <w:rPr>
                <w:sz w:val="20"/>
                <w:szCs w:val="20"/>
                <w:color w:val="auto"/>
              </w:rPr>
            </w:pPr>
            <w:r>
              <w:rPr>
                <w:rFonts w:ascii="Arial" w:cs="Arial" w:eastAsia="Arial" w:hAnsi="Arial"/>
                <w:sz w:val="18"/>
                <w:szCs w:val="18"/>
                <w:color w:val="auto"/>
              </w:rPr>
              <w:t>MNPI</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46</w:t>
            </w: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 NEGATIVE COVENANTS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6.1</w:t>
            </w:r>
          </w:p>
        </w:tc>
        <w:tc>
          <w:tcPr>
            <w:tcW w:w="954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ndebtedness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6.2</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iens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6.3</w:t>
            </w:r>
          </w:p>
        </w:tc>
        <w:tc>
          <w:tcPr>
            <w:tcW w:w="954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undamental</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6.4</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isposition of</w:t>
            </w:r>
            <w:r>
              <w:rPr>
                <w:rFonts w:ascii="Arial" w:cs="Arial" w:eastAsia="Arial" w:hAnsi="Arial"/>
                <w:sz w:val="18"/>
                <w:szCs w:val="18"/>
                <w:color w:val="auto"/>
              </w:rPr>
              <w:t xml:space="preserve"> P</w:t>
            </w:r>
            <w:r>
              <w:rPr>
                <w:rFonts w:ascii="Arial" w:cs="Arial" w:eastAsia="Arial" w:hAnsi="Arial"/>
                <w:sz w:val="12"/>
                <w:szCs w:val="12"/>
                <w:color w:val="auto"/>
              </w:rPr>
              <w:t>roperty</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6.5</w:t>
            </w:r>
          </w:p>
        </w:tc>
        <w:tc>
          <w:tcPr>
            <w:tcW w:w="954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estricted</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nvestments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6.7</w:t>
            </w:r>
          </w:p>
        </w:tc>
        <w:tc>
          <w:tcPr>
            <w:tcW w:w="9540" w:type="dxa"/>
            <w:vAlign w:val="bottom"/>
          </w:tcPr>
          <w:p>
            <w:pPr>
              <w:ind w:left="160"/>
              <w:spacing w:after="0"/>
              <w:rPr>
                <w:sz w:val="20"/>
                <w:szCs w:val="20"/>
                <w:color w:val="auto"/>
              </w:rPr>
            </w:pPr>
            <w:r>
              <w:rPr>
                <w:rFonts w:ascii="Arial" w:cs="Arial" w:eastAsia="Arial" w:hAnsi="Arial"/>
                <w:sz w:val="18"/>
                <w:szCs w:val="18"/>
                <w:color w:val="auto"/>
              </w:rPr>
              <w:t>ERISA</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6.8</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ransactions with</w:t>
            </w:r>
            <w:r>
              <w:rPr>
                <w:rFonts w:ascii="Arial" w:cs="Arial" w:eastAsia="Arial" w:hAnsi="Arial"/>
                <w:sz w:val="18"/>
                <w:szCs w:val="18"/>
                <w:color w:val="auto"/>
              </w:rPr>
              <w:t xml:space="preserve"> A</w:t>
            </w:r>
            <w:r>
              <w:rPr>
                <w:rFonts w:ascii="Arial" w:cs="Arial" w:eastAsia="Arial" w:hAnsi="Arial"/>
                <w:sz w:val="12"/>
                <w:szCs w:val="12"/>
                <w:color w:val="auto"/>
              </w:rPr>
              <w:t>ffiliates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6.9</w:t>
            </w:r>
          </w:p>
        </w:tc>
        <w:tc>
          <w:tcPr>
            <w:tcW w:w="954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ccounting</w:t>
            </w:r>
            <w:r>
              <w:rPr>
                <w:rFonts w:ascii="Arial" w:cs="Arial" w:eastAsia="Arial" w:hAnsi="Arial"/>
                <w:sz w:val="18"/>
                <w:szCs w:val="18"/>
                <w:color w:val="auto"/>
              </w:rPr>
              <w:t xml:space="preserve"> C</w:t>
            </w:r>
            <w:r>
              <w:rPr>
                <w:rFonts w:ascii="Arial" w:cs="Arial" w:eastAsia="Arial" w:hAnsi="Arial"/>
                <w:sz w:val="12"/>
                <w:szCs w:val="12"/>
                <w:color w:val="auto"/>
              </w:rPr>
              <w:t>hanges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6.10</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egative</w:t>
            </w:r>
            <w:r>
              <w:rPr>
                <w:rFonts w:ascii="Arial" w:cs="Arial" w:eastAsia="Arial" w:hAnsi="Arial"/>
                <w:sz w:val="18"/>
                <w:szCs w:val="18"/>
                <w:color w:val="auto"/>
              </w:rPr>
              <w:t xml:space="preserve"> P</w:t>
            </w:r>
            <w:r>
              <w:rPr>
                <w:rFonts w:ascii="Arial" w:cs="Arial" w:eastAsia="Arial" w:hAnsi="Arial"/>
                <w:sz w:val="12"/>
                <w:szCs w:val="12"/>
                <w:color w:val="auto"/>
              </w:rPr>
              <w:t>ledge</w:t>
            </w:r>
            <w:r>
              <w:rPr>
                <w:rFonts w:ascii="Arial" w:cs="Arial" w:eastAsia="Arial" w:hAnsi="Arial"/>
                <w:sz w:val="18"/>
                <w:szCs w:val="18"/>
                <w:color w:val="auto"/>
              </w:rPr>
              <w:t xml:space="preserve"> C</w:t>
            </w:r>
            <w:r>
              <w:rPr>
                <w:rFonts w:ascii="Arial" w:cs="Arial" w:eastAsia="Arial" w:hAnsi="Arial"/>
                <w:sz w:val="12"/>
                <w:szCs w:val="12"/>
                <w:color w:val="auto"/>
              </w:rPr>
              <w:t>lauses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6.11</w:t>
            </w:r>
          </w:p>
        </w:tc>
        <w:tc>
          <w:tcPr>
            <w:tcW w:w="954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ines of</w:t>
            </w:r>
            <w:r>
              <w:rPr>
                <w:rFonts w:ascii="Arial" w:cs="Arial" w:eastAsia="Arial" w:hAnsi="Arial"/>
                <w:sz w:val="18"/>
                <w:szCs w:val="18"/>
                <w:color w:val="auto"/>
              </w:rPr>
              <w:t xml:space="preserve"> B</w:t>
            </w:r>
            <w:r>
              <w:rPr>
                <w:rFonts w:ascii="Arial" w:cs="Arial" w:eastAsia="Arial" w:hAnsi="Arial"/>
                <w:sz w:val="12"/>
                <w:szCs w:val="12"/>
                <w:color w:val="auto"/>
              </w:rPr>
              <w:t>usiness</w:t>
            </w:r>
            <w:r>
              <w:rPr>
                <w:rFonts w:ascii="Arial" w:cs="Arial" w:eastAsia="Arial" w:hAnsi="Arial"/>
                <w:sz w:val="18"/>
                <w:szCs w:val="18"/>
                <w:color w:val="auto"/>
              </w:rPr>
              <w:t>; S</w:t>
            </w:r>
            <w:r>
              <w:rPr>
                <w:rFonts w:ascii="Arial" w:cs="Arial" w:eastAsia="Arial" w:hAnsi="Arial"/>
                <w:sz w:val="12"/>
                <w:szCs w:val="12"/>
                <w:color w:val="auto"/>
              </w:rPr>
              <w:t>ubsidiaries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50</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6.12</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N</w:t>
            </w:r>
            <w:r>
              <w:rPr>
                <w:rFonts w:ascii="Arial" w:cs="Arial" w:eastAsia="Arial" w:hAnsi="Arial"/>
                <w:sz w:val="12"/>
                <w:szCs w:val="12"/>
                <w:color w:val="auto"/>
              </w:rPr>
              <w:t>irvana</w:t>
            </w:r>
            <w:r>
              <w:rPr>
                <w:rFonts w:ascii="Arial" w:cs="Arial" w:eastAsia="Arial" w:hAnsi="Arial"/>
                <w:sz w:val="18"/>
                <w:szCs w:val="18"/>
                <w:color w:val="auto"/>
              </w:rPr>
              <w:t xml:space="preserve"> D</w:t>
            </w:r>
            <w:r>
              <w:rPr>
                <w:rFonts w:ascii="Arial" w:cs="Arial" w:eastAsia="Arial" w:hAnsi="Arial"/>
                <w:sz w:val="12"/>
                <w:szCs w:val="12"/>
                <w:color w:val="auto"/>
              </w:rPr>
              <w:t>ebt and</w:t>
            </w:r>
            <w:r>
              <w:rPr>
                <w:rFonts w:ascii="Arial" w:cs="Arial" w:eastAsia="Arial" w:hAnsi="Arial"/>
                <w:sz w:val="18"/>
                <w:szCs w:val="18"/>
                <w:color w:val="auto"/>
              </w:rPr>
              <w:t xml:space="preserve"> S</w:t>
            </w:r>
            <w:r>
              <w:rPr>
                <w:rFonts w:ascii="Arial" w:cs="Arial" w:eastAsia="Arial" w:hAnsi="Arial"/>
                <w:sz w:val="12"/>
                <w:szCs w:val="12"/>
                <w:color w:val="auto"/>
              </w:rPr>
              <w:t>ubordinated</w:t>
            </w:r>
            <w:r>
              <w:rPr>
                <w:rFonts w:ascii="Arial" w:cs="Arial" w:eastAsia="Arial" w:hAnsi="Arial"/>
                <w:sz w:val="18"/>
                <w:szCs w:val="18"/>
                <w:color w:val="auto"/>
              </w:rPr>
              <w:t xml:space="preserve"> I</w:t>
            </w:r>
            <w:r>
              <w:rPr>
                <w:rFonts w:ascii="Arial" w:cs="Arial" w:eastAsia="Arial" w:hAnsi="Arial"/>
                <w:sz w:val="12"/>
                <w:szCs w:val="12"/>
                <w:color w:val="auto"/>
              </w:rPr>
              <w:t>ndebtedness</w:t>
            </w:r>
            <w:r>
              <w:rPr>
                <w:rFonts w:ascii="Arial" w:cs="Arial" w:eastAsia="Arial" w:hAnsi="Arial"/>
                <w:sz w:val="18"/>
                <w:szCs w:val="18"/>
                <w:color w:val="auto"/>
              </w:rPr>
              <w:t>; A</w:t>
            </w:r>
            <w:r>
              <w:rPr>
                <w:rFonts w:ascii="Arial" w:cs="Arial" w:eastAsia="Arial" w:hAnsi="Arial"/>
                <w:sz w:val="12"/>
                <w:szCs w:val="12"/>
                <w:color w:val="auto"/>
              </w:rPr>
              <w:t>mendments to</w:t>
            </w:r>
            <w:r>
              <w:rPr>
                <w:rFonts w:ascii="Arial" w:cs="Arial" w:eastAsia="Arial" w:hAnsi="Arial"/>
                <w:sz w:val="18"/>
                <w:szCs w:val="18"/>
                <w:color w:val="auto"/>
              </w:rPr>
              <w:t xml:space="preserve"> O</w:t>
            </w:r>
            <w:r>
              <w:rPr>
                <w:rFonts w:ascii="Arial" w:cs="Arial" w:eastAsia="Arial" w:hAnsi="Arial"/>
                <w:sz w:val="12"/>
                <w:szCs w:val="12"/>
                <w:color w:val="auto"/>
              </w:rPr>
              <w:t>rganizational</w:t>
            </w:r>
            <w:r>
              <w:rPr>
                <w:rFonts w:ascii="Arial" w:cs="Arial" w:eastAsia="Arial" w:hAnsi="Arial"/>
                <w:sz w:val="18"/>
                <w:szCs w:val="18"/>
                <w:color w:val="auto"/>
              </w:rPr>
              <w:t xml:space="preserve"> A</w:t>
            </w:r>
            <w:r>
              <w:rPr>
                <w:rFonts w:ascii="Arial" w:cs="Arial" w:eastAsia="Arial" w:hAnsi="Arial"/>
                <w:sz w:val="12"/>
                <w:szCs w:val="12"/>
                <w:color w:val="auto"/>
              </w:rPr>
              <w:t>greements</w:t>
            </w:r>
            <w:r>
              <w:rPr>
                <w:rFonts w:ascii="Arial" w:cs="Arial" w:eastAsia="Arial" w:hAnsi="Arial"/>
                <w:sz w:val="18"/>
                <w:szCs w:val="18"/>
                <w:color w:val="auto"/>
              </w:rPr>
              <w:t>; M</w:t>
            </w:r>
            <w:r>
              <w:rPr>
                <w:rFonts w:ascii="Arial" w:cs="Arial" w:eastAsia="Arial" w:hAnsi="Arial"/>
                <w:sz w:val="12"/>
                <w:szCs w:val="12"/>
                <w:color w:val="auto"/>
              </w:rPr>
              <w:t>aterial</w:t>
            </w:r>
            <w:r>
              <w:rPr>
                <w:rFonts w:ascii="Arial" w:cs="Arial" w:eastAsia="Arial" w:hAnsi="Arial"/>
                <w:sz w:val="18"/>
                <w:szCs w:val="18"/>
                <w:color w:val="auto"/>
              </w:rPr>
              <w:t xml:space="preserve"> C</w:t>
            </w:r>
            <w:r>
              <w:rPr>
                <w:rFonts w:ascii="Arial" w:cs="Arial" w:eastAsia="Arial" w:hAnsi="Arial"/>
                <w:sz w:val="12"/>
                <w:szCs w:val="12"/>
                <w:color w:val="auto"/>
              </w:rPr>
              <w:t>ontracts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6.13</w:t>
            </w:r>
          </w:p>
        </w:tc>
        <w:tc>
          <w:tcPr>
            <w:tcW w:w="9540" w:type="dxa"/>
            <w:vAlign w:val="bottom"/>
          </w:tcPr>
          <w:p>
            <w:pPr>
              <w:ind w:left="160"/>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51</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6.14</w:t>
            </w: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L</w:t>
            </w:r>
            <w:r>
              <w:rPr>
                <w:rFonts w:ascii="Arial" w:cs="Arial" w:eastAsia="Arial" w:hAnsi="Arial"/>
                <w:sz w:val="12"/>
                <w:szCs w:val="12"/>
                <w:color w:val="auto"/>
              </w:rPr>
              <w:t>easeback</w:t>
            </w:r>
            <w:r>
              <w:rPr>
                <w:rFonts w:ascii="Arial" w:cs="Arial" w:eastAsia="Arial" w:hAnsi="Arial"/>
                <w:sz w:val="18"/>
                <w:szCs w:val="18"/>
                <w:color w:val="auto"/>
              </w:rPr>
              <w:t xml:space="preserve"> T</w:t>
            </w:r>
            <w:r>
              <w:rPr>
                <w:rFonts w:ascii="Arial" w:cs="Arial" w:eastAsia="Arial" w:hAnsi="Arial"/>
                <w:sz w:val="12"/>
                <w:szCs w:val="12"/>
                <w:color w:val="auto"/>
              </w:rPr>
              <w:t>ransactions</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r>
      <w:tr>
        <w:trPr>
          <w:trHeight w:val="230"/>
        </w:trPr>
        <w:tc>
          <w:tcPr>
            <w:tcW w:w="640" w:type="dxa"/>
            <w:vAlign w:val="bottom"/>
          </w:tcPr>
          <w:p>
            <w:pPr>
              <w:ind w:left="160"/>
              <w:spacing w:after="0"/>
              <w:rPr>
                <w:sz w:val="20"/>
                <w:szCs w:val="20"/>
                <w:color w:val="auto"/>
              </w:rPr>
            </w:pPr>
            <w:r>
              <w:rPr>
                <w:rFonts w:ascii="Arial" w:cs="Arial" w:eastAsia="Arial" w:hAnsi="Arial"/>
                <w:sz w:val="18"/>
                <w:szCs w:val="18"/>
                <w:color w:val="auto"/>
              </w:rPr>
              <w:t>6.15</w:t>
            </w:r>
          </w:p>
        </w:tc>
        <w:tc>
          <w:tcPr>
            <w:tcW w:w="9540" w:type="dxa"/>
            <w:vAlign w:val="bottom"/>
          </w:tcPr>
          <w:p>
            <w:pPr>
              <w:ind w:left="160"/>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uaranty</w:t>
            </w: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6.16</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B</w:t>
            </w:r>
            <w:r>
              <w:rPr>
                <w:rFonts w:ascii="Arial" w:cs="Arial" w:eastAsia="Arial" w:hAnsi="Arial"/>
                <w:sz w:val="12"/>
                <w:szCs w:val="12"/>
                <w:color w:val="auto"/>
              </w:rPr>
              <w:t>urdensome</w:t>
            </w:r>
            <w:r>
              <w:rPr>
                <w:rFonts w:ascii="Arial" w:cs="Arial" w:eastAsia="Arial" w:hAnsi="Arial"/>
                <w:sz w:val="18"/>
                <w:szCs w:val="18"/>
                <w:color w:val="auto"/>
              </w:rPr>
              <w:t xml:space="preserve"> R</w:t>
            </w:r>
            <w:r>
              <w:rPr>
                <w:rFonts w:ascii="Arial" w:cs="Arial" w:eastAsia="Arial" w:hAnsi="Arial"/>
                <w:sz w:val="12"/>
                <w:szCs w:val="12"/>
                <w:color w:val="auto"/>
              </w:rPr>
              <w:t>estrictions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6.17</w:t>
            </w:r>
          </w:p>
        </w:tc>
        <w:tc>
          <w:tcPr>
            <w:tcW w:w="6900" w:type="dxa"/>
            <w:vAlign w:val="bottom"/>
          </w:tcPr>
          <w:p>
            <w:pPr>
              <w:ind w:left="1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6.18</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hange of</w:t>
            </w:r>
            <w:r>
              <w:rPr>
                <w:rFonts w:ascii="Arial" w:cs="Arial" w:eastAsia="Arial" w:hAnsi="Arial"/>
                <w:sz w:val="18"/>
                <w:szCs w:val="18"/>
                <w:color w:val="auto"/>
              </w:rPr>
              <w:t xml:space="preserve"> C</w:t>
            </w:r>
            <w:r>
              <w:rPr>
                <w:rFonts w:ascii="Arial" w:cs="Arial" w:eastAsia="Arial" w:hAnsi="Arial"/>
                <w:sz w:val="12"/>
                <w:szCs w:val="12"/>
                <w:color w:val="auto"/>
              </w:rPr>
              <w:t>ontrol</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SECTION 7 EVENTS OF DEFAULT</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7.1</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7.2</w:t>
            </w:r>
          </w:p>
        </w:tc>
        <w:tc>
          <w:tcPr>
            <w:tcW w:w="690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emedies</w:t>
            </w:r>
            <w:r>
              <w:rPr>
                <w:rFonts w:ascii="Arial" w:cs="Arial" w:eastAsia="Arial" w:hAnsi="Arial"/>
                <w:sz w:val="18"/>
                <w:szCs w:val="18"/>
                <w:color w:val="auto"/>
              </w:rPr>
              <w:t xml:space="preserve"> U</w:t>
            </w:r>
            <w:r>
              <w:rPr>
                <w:rFonts w:ascii="Arial" w:cs="Arial" w:eastAsia="Arial" w:hAnsi="Arial"/>
                <w:sz w:val="12"/>
                <w:szCs w:val="12"/>
                <w:color w:val="auto"/>
              </w:rPr>
              <w:t>pon</w:t>
            </w:r>
            <w:r>
              <w:rPr>
                <w:rFonts w:ascii="Arial" w:cs="Arial" w:eastAsia="Arial" w:hAnsi="Arial"/>
                <w:sz w:val="18"/>
                <w:szCs w:val="18"/>
                <w:color w:val="auto"/>
              </w:rPr>
              <w:t xml:space="preserve"> E</w:t>
            </w:r>
            <w:r>
              <w:rPr>
                <w:rFonts w:ascii="Arial" w:cs="Arial" w:eastAsia="Arial" w:hAnsi="Arial"/>
                <w:sz w:val="12"/>
                <w:szCs w:val="12"/>
                <w:color w:val="auto"/>
              </w:rPr>
              <w:t>vent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pplication of</w:t>
            </w:r>
            <w:r>
              <w:rPr>
                <w:rFonts w:ascii="Arial" w:cs="Arial" w:eastAsia="Arial" w:hAnsi="Arial"/>
                <w:sz w:val="18"/>
                <w:szCs w:val="18"/>
                <w:color w:val="auto"/>
              </w:rPr>
              <w:t xml:space="preserve"> F</w:t>
            </w:r>
            <w:r>
              <w:rPr>
                <w:rFonts w:ascii="Arial" w:cs="Arial" w:eastAsia="Arial" w:hAnsi="Arial"/>
                <w:sz w:val="12"/>
                <w:szCs w:val="12"/>
                <w:color w:val="auto"/>
              </w:rPr>
              <w:t>unds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SECTION 8 MISCELLANEOUS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 and</w:t>
            </w:r>
            <w:r>
              <w:rPr>
                <w:rFonts w:ascii="Arial" w:cs="Arial" w:eastAsia="Arial" w:hAnsi="Arial"/>
                <w:sz w:val="18"/>
                <w:szCs w:val="18"/>
                <w:color w:val="auto"/>
              </w:rPr>
              <w:t xml:space="preserve"> W</w:t>
            </w:r>
            <w:r>
              <w:rPr>
                <w:rFonts w:ascii="Arial" w:cs="Arial" w:eastAsia="Arial" w:hAnsi="Arial"/>
                <w:sz w:val="12"/>
                <w:szCs w:val="12"/>
                <w:color w:val="auto"/>
              </w:rPr>
              <w:t>aivers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8.2</w:t>
            </w:r>
          </w:p>
        </w:tc>
        <w:tc>
          <w:tcPr>
            <w:tcW w:w="690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58</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8.3</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 C</w:t>
            </w:r>
            <w:r>
              <w:rPr>
                <w:rFonts w:ascii="Arial" w:cs="Arial" w:eastAsia="Arial" w:hAnsi="Arial"/>
                <w:sz w:val="12"/>
                <w:szCs w:val="12"/>
                <w:color w:val="auto"/>
              </w:rPr>
              <w:t>umulative</w:t>
            </w:r>
            <w:r>
              <w:rPr>
                <w:rFonts w:ascii="Arial" w:cs="Arial" w:eastAsia="Arial" w:hAnsi="Arial"/>
                <w:sz w:val="18"/>
                <w:szCs w:val="18"/>
                <w:color w:val="auto"/>
              </w:rPr>
              <w:t xml:space="preserve"> R</w:t>
            </w:r>
            <w:r>
              <w:rPr>
                <w:rFonts w:ascii="Arial" w:cs="Arial" w:eastAsia="Arial" w:hAnsi="Arial"/>
                <w:sz w:val="12"/>
                <w:szCs w:val="12"/>
                <w:color w:val="auto"/>
              </w:rPr>
              <w:t>emedies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8.4</w:t>
            </w:r>
          </w:p>
        </w:tc>
        <w:tc>
          <w:tcPr>
            <w:tcW w:w="690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8.5</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xpenses</w:t>
            </w:r>
            <w:r>
              <w:rPr>
                <w:rFonts w:ascii="Arial" w:cs="Arial" w:eastAsia="Arial" w:hAnsi="Arial"/>
                <w:sz w:val="18"/>
                <w:szCs w:val="18"/>
                <w:color w:val="auto"/>
              </w:rPr>
              <w:t>; I</w:t>
            </w:r>
            <w:r>
              <w:rPr>
                <w:rFonts w:ascii="Arial" w:cs="Arial" w:eastAsia="Arial" w:hAnsi="Arial"/>
                <w:sz w:val="12"/>
                <w:szCs w:val="12"/>
                <w:color w:val="auto"/>
              </w:rPr>
              <w:t>ndemnity</w:t>
            </w:r>
            <w:r>
              <w:rPr>
                <w:rFonts w:ascii="Arial" w:cs="Arial" w:eastAsia="Arial" w:hAnsi="Arial"/>
                <w:sz w:val="18"/>
                <w:szCs w:val="18"/>
                <w:color w:val="auto"/>
              </w:rPr>
              <w:t>; D</w:t>
            </w:r>
            <w:r>
              <w:rPr>
                <w:rFonts w:ascii="Arial" w:cs="Arial" w:eastAsia="Arial" w:hAnsi="Arial"/>
                <w:sz w:val="12"/>
                <w:szCs w:val="12"/>
                <w:color w:val="auto"/>
              </w:rPr>
              <w:t>amage</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8.6</w:t>
            </w:r>
          </w:p>
        </w:tc>
        <w:tc>
          <w:tcPr>
            <w:tcW w:w="690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61</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8.7</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eserved</w:t>
            </w:r>
            <w:r>
              <w:rPr>
                <w:rFonts w:ascii="Arial" w:cs="Arial" w:eastAsia="Arial" w:hAnsi="Arial"/>
                <w:sz w:val="18"/>
                <w:szCs w:val="18"/>
                <w:color w:val="auto"/>
              </w:rPr>
              <w:t>]</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8.8</w:t>
            </w:r>
          </w:p>
        </w:tc>
        <w:tc>
          <w:tcPr>
            <w:tcW w:w="690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w:t>
            </w:r>
            <w:r>
              <w:rPr>
                <w:rFonts w:ascii="Arial" w:cs="Arial" w:eastAsia="Arial" w:hAnsi="Arial"/>
                <w:sz w:val="18"/>
                <w:szCs w:val="18"/>
                <w:color w:val="auto"/>
              </w:rPr>
              <w:t xml:space="preserve"> L</w:t>
            </w:r>
            <w:r>
              <w:rPr>
                <w:rFonts w:ascii="Arial" w:cs="Arial" w:eastAsia="Arial" w:hAnsi="Arial"/>
                <w:sz w:val="12"/>
                <w:szCs w:val="12"/>
                <w:color w:val="auto"/>
              </w:rPr>
              <w:t>imitation</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8.9</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ounterparts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8.10</w:t>
            </w:r>
          </w:p>
        </w:tc>
        <w:tc>
          <w:tcPr>
            <w:tcW w:w="6900" w:type="dxa"/>
            <w:vAlign w:val="bottom"/>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everability</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62</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8.11</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ntegration</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8.12</w:t>
            </w:r>
          </w:p>
        </w:tc>
        <w:tc>
          <w:tcPr>
            <w:tcW w:w="69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8.13</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ubmission to</w:t>
            </w:r>
            <w:r>
              <w:rPr>
                <w:rFonts w:ascii="Arial" w:cs="Arial" w:eastAsia="Arial" w:hAnsi="Arial"/>
                <w:sz w:val="18"/>
                <w:szCs w:val="18"/>
                <w:color w:val="auto"/>
              </w:rPr>
              <w:t xml:space="preserve"> J</w:t>
            </w:r>
            <w:r>
              <w:rPr>
                <w:rFonts w:ascii="Arial" w:cs="Arial" w:eastAsia="Arial" w:hAnsi="Arial"/>
                <w:sz w:val="12"/>
                <w:szCs w:val="12"/>
                <w:color w:val="auto"/>
              </w:rPr>
              <w:t>urisdiction</w:t>
            </w:r>
            <w:r>
              <w:rPr>
                <w:rFonts w:ascii="Arial" w:cs="Arial" w:eastAsia="Arial" w:hAnsi="Arial"/>
                <w:sz w:val="18"/>
                <w:szCs w:val="18"/>
                <w:color w:val="auto"/>
              </w:rPr>
              <w:t>; W</w:t>
            </w:r>
            <w:r>
              <w:rPr>
                <w:rFonts w:ascii="Arial" w:cs="Arial" w:eastAsia="Arial" w:hAnsi="Arial"/>
                <w:sz w:val="12"/>
                <w:szCs w:val="12"/>
                <w:color w:val="auto"/>
              </w:rPr>
              <w:t>aivers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8.14</w:t>
            </w:r>
          </w:p>
        </w:tc>
        <w:tc>
          <w:tcPr>
            <w:tcW w:w="690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cknowledgements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63</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8.15</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reatment of</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nformation</w:t>
            </w:r>
            <w:r>
              <w:rPr>
                <w:rFonts w:ascii="Arial" w:cs="Arial" w:eastAsia="Arial" w:hAnsi="Arial"/>
                <w:sz w:val="18"/>
                <w:szCs w:val="18"/>
                <w:color w:val="auto"/>
              </w:rPr>
              <w:t>; C</w:t>
            </w:r>
            <w:r>
              <w:rPr>
                <w:rFonts w:ascii="Arial" w:cs="Arial" w:eastAsia="Arial" w:hAnsi="Arial"/>
                <w:sz w:val="12"/>
                <w:szCs w:val="12"/>
                <w:color w:val="auto"/>
              </w:rPr>
              <w:t>onfidentiality</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8.16</w:t>
            </w:r>
          </w:p>
        </w:tc>
        <w:tc>
          <w:tcPr>
            <w:tcW w:w="6900" w:type="dxa"/>
            <w:vAlign w:val="bottom"/>
          </w:tcPr>
          <w:p>
            <w:pPr>
              <w:ind w:left="16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eneficial</w:t>
            </w:r>
            <w:r>
              <w:rPr>
                <w:rFonts w:ascii="Arial" w:cs="Arial" w:eastAsia="Arial" w:hAnsi="Arial"/>
                <w:sz w:val="18"/>
                <w:szCs w:val="18"/>
                <w:color w:val="auto"/>
              </w:rPr>
              <w:t xml:space="preserve"> O</w:t>
            </w:r>
            <w:r>
              <w:rPr>
                <w:rFonts w:ascii="Arial" w:cs="Arial" w:eastAsia="Arial" w:hAnsi="Arial"/>
                <w:sz w:val="12"/>
                <w:szCs w:val="12"/>
                <w:color w:val="auto"/>
              </w:rPr>
              <w:t>wnership</w:t>
            </w:r>
            <w:r>
              <w:rPr>
                <w:rFonts w:ascii="Arial" w:cs="Arial" w:eastAsia="Arial" w:hAnsi="Arial"/>
                <w:sz w:val="18"/>
                <w:szCs w:val="18"/>
                <w:color w:val="auto"/>
              </w:rPr>
              <w:t xml:space="preserve"> R</w:t>
            </w:r>
            <w:r>
              <w:rPr>
                <w:rFonts w:ascii="Arial" w:cs="Arial" w:eastAsia="Arial" w:hAnsi="Arial"/>
                <w:sz w:val="12"/>
                <w:szCs w:val="12"/>
                <w:color w:val="auto"/>
              </w:rPr>
              <w:t>egulation</w:t>
            </w:r>
            <w:r>
              <w:rPr>
                <w:rFonts w:ascii="Arial" w:cs="Arial" w:eastAsia="Arial" w:hAnsi="Arial"/>
                <w:sz w:val="18"/>
                <w:szCs w:val="18"/>
                <w:color w:val="auto"/>
              </w:rPr>
              <w:t>; P</w:t>
            </w:r>
            <w:r>
              <w:rPr>
                <w:rFonts w:ascii="Arial" w:cs="Arial" w:eastAsia="Arial" w:hAnsi="Arial"/>
                <w:sz w:val="12"/>
                <w:szCs w:val="12"/>
                <w:color w:val="auto"/>
              </w:rPr>
              <w:t>atriot</w:t>
            </w:r>
            <w:r>
              <w:rPr>
                <w:rFonts w:ascii="Arial" w:cs="Arial" w:eastAsia="Arial" w:hAnsi="Arial"/>
                <w:sz w:val="18"/>
                <w:szCs w:val="18"/>
                <w:color w:val="auto"/>
              </w:rPr>
              <w:t xml:space="preserve"> A</w:t>
            </w:r>
            <w:r>
              <w:rPr>
                <w:rFonts w:ascii="Arial" w:cs="Arial" w:eastAsia="Arial" w:hAnsi="Arial"/>
                <w:sz w:val="12"/>
                <w:szCs w:val="12"/>
                <w:color w:val="auto"/>
              </w:rPr>
              <w:t>ct</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8.17</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arshalling</w:t>
            </w:r>
            <w:r>
              <w:rPr>
                <w:rFonts w:ascii="Arial" w:cs="Arial" w:eastAsia="Arial" w:hAnsi="Arial"/>
                <w:sz w:val="18"/>
                <w:szCs w:val="18"/>
                <w:color w:val="auto"/>
              </w:rPr>
              <w:t>; S</w:t>
            </w:r>
            <w:r>
              <w:rPr>
                <w:rFonts w:ascii="Arial" w:cs="Arial" w:eastAsia="Arial" w:hAnsi="Arial"/>
                <w:sz w:val="12"/>
                <w:szCs w:val="12"/>
                <w:color w:val="auto"/>
              </w:rPr>
              <w:t>etoff</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SECTION 9 AGENCY PROVISIONS.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ppointment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9.2</w:t>
            </w:r>
          </w:p>
        </w:tc>
        <w:tc>
          <w:tcPr>
            <w:tcW w:w="690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uties as</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9.3</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9.4</w:t>
            </w:r>
          </w:p>
        </w:tc>
        <w:tc>
          <w:tcPr>
            <w:tcW w:w="6900" w:type="dxa"/>
            <w:vAlign w:val="bottom"/>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A</w:t>
            </w:r>
            <w:r>
              <w:rPr>
                <w:rFonts w:ascii="Arial" w:cs="Arial" w:eastAsia="Arial" w:hAnsi="Arial"/>
                <w:sz w:val="12"/>
                <w:szCs w:val="12"/>
                <w:color w:val="auto"/>
              </w:rPr>
              <w:t>ctions</w:t>
            </w:r>
            <w:r>
              <w:rPr>
                <w:rFonts w:ascii="Arial" w:cs="Arial" w:eastAsia="Arial" w:hAnsi="Arial"/>
                <w:sz w:val="18"/>
                <w:szCs w:val="18"/>
                <w:color w:val="auto"/>
              </w:rPr>
              <w:t xml:space="preserve"> W</w:t>
            </w:r>
            <w:r>
              <w:rPr>
                <w:rFonts w:ascii="Arial" w:cs="Arial" w:eastAsia="Arial" w:hAnsi="Arial"/>
                <w:sz w:val="12"/>
                <w:szCs w:val="12"/>
                <w:color w:val="auto"/>
              </w:rPr>
              <w:t>ithout</w:t>
            </w:r>
            <w:r>
              <w:rPr>
                <w:rFonts w:ascii="Arial" w:cs="Arial" w:eastAsia="Arial" w:hAnsi="Arial"/>
                <w:sz w:val="18"/>
                <w:szCs w:val="18"/>
                <w:color w:val="auto"/>
              </w:rPr>
              <w:t xml:space="preserve"> I</w:t>
            </w:r>
            <w:r>
              <w:rPr>
                <w:rFonts w:ascii="Arial" w:cs="Arial" w:eastAsia="Arial" w:hAnsi="Arial"/>
                <w:sz w:val="12"/>
                <w:szCs w:val="12"/>
                <w:color w:val="auto"/>
              </w:rPr>
              <w:t>nstructions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9.5</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elegation of</w:t>
            </w:r>
            <w:r>
              <w:rPr>
                <w:rFonts w:ascii="Arial" w:cs="Arial" w:eastAsia="Arial" w:hAnsi="Arial"/>
                <w:sz w:val="18"/>
                <w:szCs w:val="18"/>
                <w:color w:val="auto"/>
              </w:rPr>
              <w:t xml:space="preserve"> R</w:t>
            </w:r>
            <w:r>
              <w:rPr>
                <w:rFonts w:ascii="Arial" w:cs="Arial" w:eastAsia="Arial" w:hAnsi="Arial"/>
                <w:sz w:val="12"/>
                <w:szCs w:val="12"/>
                <w:color w:val="auto"/>
              </w:rPr>
              <w:t>ights and</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9.6</w:t>
            </w:r>
          </w:p>
        </w:tc>
        <w:tc>
          <w:tcPr>
            <w:tcW w:w="690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eliance and</w:t>
            </w:r>
            <w:r>
              <w:rPr>
                <w:rFonts w:ascii="Arial" w:cs="Arial" w:eastAsia="Arial" w:hAnsi="Arial"/>
                <w:sz w:val="18"/>
                <w:szCs w:val="18"/>
                <w:color w:val="auto"/>
              </w:rPr>
              <w:t xml:space="preserve"> L</w:t>
            </w:r>
            <w:r>
              <w:rPr>
                <w:rFonts w:ascii="Arial" w:cs="Arial" w:eastAsia="Arial" w:hAnsi="Arial"/>
                <w:sz w:val="12"/>
                <w:szCs w:val="12"/>
                <w:color w:val="auto"/>
              </w:rPr>
              <w:t>iability</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9.7</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I</w:t>
            </w:r>
            <w:r>
              <w:rPr>
                <w:rFonts w:ascii="Arial" w:cs="Arial" w:eastAsia="Arial" w:hAnsi="Arial"/>
                <w:sz w:val="12"/>
                <w:szCs w:val="12"/>
                <w:color w:val="auto"/>
              </w:rPr>
              <w:t>ndividually</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9.8</w:t>
            </w:r>
          </w:p>
        </w:tc>
        <w:tc>
          <w:tcPr>
            <w:tcW w:w="690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gent</w:t>
            </w:r>
            <w:r>
              <w:rPr>
                <w:rFonts w:ascii="Arial" w:cs="Arial" w:eastAsia="Arial" w:hAnsi="Arial"/>
                <w:sz w:val="18"/>
                <w:szCs w:val="18"/>
                <w:color w:val="auto"/>
              </w:rPr>
              <w:t xml:space="preserve"> C</w:t>
            </w:r>
            <w:r>
              <w:rPr>
                <w:rFonts w:ascii="Arial" w:cs="Arial" w:eastAsia="Arial" w:hAnsi="Arial"/>
                <w:sz w:val="12"/>
                <w:szCs w:val="12"/>
                <w:color w:val="auto"/>
              </w:rPr>
              <w:t>osts and</w:t>
            </w:r>
            <w:r>
              <w:rPr>
                <w:rFonts w:ascii="Arial" w:cs="Arial" w:eastAsia="Arial" w:hAnsi="Arial"/>
                <w:sz w:val="18"/>
                <w:szCs w:val="18"/>
                <w:color w:val="auto"/>
              </w:rPr>
              <w:t xml:space="preserve"> E</w:t>
            </w:r>
            <w:r>
              <w:rPr>
                <w:rFonts w:ascii="Arial" w:cs="Arial" w:eastAsia="Arial" w:hAnsi="Arial"/>
                <w:sz w:val="12"/>
                <w:szCs w:val="12"/>
                <w:color w:val="auto"/>
              </w:rPr>
              <w:t>xpenses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9.9</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tcPr>
          <w:p>
            <w:pPr>
              <w:ind w:left="160"/>
              <w:spacing w:after="0"/>
              <w:rPr>
                <w:sz w:val="20"/>
                <w:szCs w:val="20"/>
                <w:color w:val="auto"/>
              </w:rPr>
            </w:pPr>
            <w:r>
              <w:rPr>
                <w:rFonts w:ascii="Arial" w:cs="Arial" w:eastAsia="Arial" w:hAnsi="Arial"/>
                <w:sz w:val="18"/>
                <w:szCs w:val="18"/>
                <w:color w:val="auto"/>
              </w:rPr>
              <w:t>9.10</w:t>
            </w:r>
          </w:p>
        </w:tc>
        <w:tc>
          <w:tcPr>
            <w:tcW w:w="690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esignation of</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66</w:t>
            </w:r>
          </w:p>
        </w:tc>
      </w:tr>
      <w:tr>
        <w:trPr>
          <w:trHeight w:val="216"/>
        </w:trPr>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9.11</w:t>
            </w: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elease of</w:t>
            </w:r>
            <w:r>
              <w:rPr>
                <w:rFonts w:ascii="Arial" w:cs="Arial" w:eastAsia="Arial" w:hAnsi="Arial"/>
                <w:sz w:val="18"/>
                <w:szCs w:val="18"/>
                <w:color w:val="auto"/>
              </w:rPr>
              <w:t xml:space="preserve"> C</w:t>
            </w:r>
            <w:r>
              <w:rPr>
                <w:rFonts w:ascii="Arial" w:cs="Arial" w:eastAsia="Arial" w:hAnsi="Arial"/>
                <w:sz w:val="12"/>
                <w:szCs w:val="12"/>
                <w:color w:val="auto"/>
              </w:rPr>
              <w:t>ollateral</w:t>
            </w:r>
          </w:p>
        </w:tc>
        <w:tc>
          <w:tcPr>
            <w:tcW w:w="3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r>
      <w:tr>
        <w:trPr>
          <w:trHeight w:val="230"/>
        </w:trPr>
        <w:tc>
          <w:tcPr>
            <w:tcW w:w="640" w:type="dxa"/>
            <w:vAlign w:val="bottom"/>
          </w:tcPr>
          <w:p>
            <w:pPr>
              <w:ind w:left="160"/>
              <w:spacing w:after="0"/>
              <w:rPr>
                <w:sz w:val="20"/>
                <w:szCs w:val="20"/>
                <w:color w:val="auto"/>
              </w:rPr>
            </w:pPr>
            <w:r>
              <w:rPr>
                <w:rFonts w:ascii="Arial" w:cs="Arial" w:eastAsia="Arial" w:hAnsi="Arial"/>
                <w:sz w:val="18"/>
                <w:szCs w:val="18"/>
                <w:color w:val="auto"/>
              </w:rPr>
              <w:t>9.12</w:t>
            </w:r>
          </w:p>
        </w:tc>
        <w:tc>
          <w:tcPr>
            <w:tcW w:w="6900" w:type="dxa"/>
            <w:vAlign w:val="bottom"/>
          </w:tcPr>
          <w:p>
            <w:pPr>
              <w:ind w:left="16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rroneous</w:t>
            </w:r>
            <w:r>
              <w:rPr>
                <w:rFonts w:ascii="Arial" w:cs="Arial" w:eastAsia="Arial" w:hAnsi="Arial"/>
                <w:sz w:val="18"/>
                <w:szCs w:val="18"/>
                <w:color w:val="auto"/>
              </w:rPr>
              <w:t xml:space="preserve"> P</w:t>
            </w:r>
            <w:r>
              <w:rPr>
                <w:rFonts w:ascii="Arial" w:cs="Arial" w:eastAsia="Arial" w:hAnsi="Arial"/>
                <w:sz w:val="12"/>
                <w:szCs w:val="12"/>
                <w:color w:val="auto"/>
              </w:rPr>
              <w:t>ayments</w:t>
            </w:r>
          </w:p>
        </w:tc>
        <w:tc>
          <w:tcPr>
            <w:tcW w:w="3700" w:type="dxa"/>
            <w:vAlign w:val="bottom"/>
          </w:tcPr>
          <w:p>
            <w:pPr>
              <w:jc w:val="right"/>
              <w:ind w:right="390"/>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820" w:type="dxa"/>
            <w:vAlign w:val="bottom"/>
          </w:tcPr>
          <w:p>
            <w:pPr>
              <w:jc w:val="center"/>
              <w:ind w:right="1330"/>
              <w:spacing w:after="0"/>
              <w:rPr>
                <w:sz w:val="20"/>
                <w:szCs w:val="20"/>
                <w:color w:val="auto"/>
              </w:rPr>
            </w:pPr>
            <w:r>
              <w:rPr>
                <w:rFonts w:ascii="Arial" w:cs="Arial" w:eastAsia="Arial" w:hAnsi="Arial"/>
                <w:sz w:val="18"/>
                <w:szCs w:val="18"/>
                <w:b w:val="1"/>
                <w:bCs w:val="1"/>
                <w:color w:val="auto"/>
                <w:w w:val="97"/>
              </w:rPr>
              <w:t>SCHEDULES</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Schedule 1.1(a)</w:t>
            </w:r>
          </w:p>
        </w:tc>
        <w:tc>
          <w:tcPr>
            <w:tcW w:w="9820" w:type="dxa"/>
            <w:vAlign w:val="bottom"/>
          </w:tcPr>
          <w:p>
            <w:pPr>
              <w:ind w:left="280"/>
              <w:spacing w:after="0"/>
              <w:rPr>
                <w:sz w:val="20"/>
                <w:szCs w:val="20"/>
                <w:color w:val="auto"/>
              </w:rPr>
            </w:pPr>
            <w:r>
              <w:rPr>
                <w:rFonts w:ascii="Arial" w:cs="Arial" w:eastAsia="Arial" w:hAnsi="Arial"/>
                <w:sz w:val="18"/>
                <w:szCs w:val="18"/>
                <w:color w:val="auto"/>
              </w:rPr>
              <w:t>Term Loan Commitments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1.1(b)</w:t>
            </w:r>
          </w:p>
        </w:tc>
        <w:tc>
          <w:tcPr>
            <w:tcW w:w="9820" w:type="dxa"/>
            <w:vAlign w:val="bottom"/>
          </w:tcPr>
          <w:p>
            <w:pPr>
              <w:ind w:left="280"/>
              <w:spacing w:after="0"/>
              <w:rPr>
                <w:sz w:val="20"/>
                <w:szCs w:val="20"/>
                <w:color w:val="auto"/>
              </w:rPr>
            </w:pPr>
            <w:r>
              <w:rPr>
                <w:rFonts w:ascii="Arial" w:cs="Arial" w:eastAsia="Arial" w:hAnsi="Arial"/>
                <w:sz w:val="18"/>
                <w:szCs w:val="18"/>
                <w:color w:val="auto"/>
              </w:rPr>
              <w:t>Deposit Accounts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1.1(c)</w:t>
            </w:r>
          </w:p>
        </w:tc>
        <w:tc>
          <w:tcPr>
            <w:tcW w:w="9820" w:type="dxa"/>
            <w:vAlign w:val="bottom"/>
          </w:tcPr>
          <w:p>
            <w:pPr>
              <w:ind w:left="280"/>
              <w:spacing w:after="0"/>
              <w:rPr>
                <w:sz w:val="20"/>
                <w:szCs w:val="20"/>
                <w:color w:val="auto"/>
              </w:rPr>
            </w:pPr>
            <w:r>
              <w:rPr>
                <w:rFonts w:ascii="Arial" w:cs="Arial" w:eastAsia="Arial" w:hAnsi="Arial"/>
                <w:sz w:val="18"/>
                <w:szCs w:val="18"/>
                <w:color w:val="auto"/>
              </w:rPr>
              <w:t>Permitted Indebtedness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1.1(d)</w:t>
            </w:r>
          </w:p>
        </w:tc>
        <w:tc>
          <w:tcPr>
            <w:tcW w:w="9820" w:type="dxa"/>
            <w:vAlign w:val="bottom"/>
          </w:tcPr>
          <w:p>
            <w:pPr>
              <w:ind w:left="280"/>
              <w:spacing w:after="0"/>
              <w:rPr>
                <w:sz w:val="20"/>
                <w:szCs w:val="20"/>
                <w:color w:val="auto"/>
              </w:rPr>
            </w:pPr>
            <w:r>
              <w:rPr>
                <w:rFonts w:ascii="Arial" w:cs="Arial" w:eastAsia="Arial" w:hAnsi="Arial"/>
                <w:sz w:val="18"/>
                <w:szCs w:val="18"/>
                <w:color w:val="auto"/>
              </w:rPr>
              <w:t>SPAC Subscription Agreements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3.6</w:t>
            </w:r>
          </w:p>
        </w:tc>
        <w:tc>
          <w:tcPr>
            <w:tcW w:w="9820" w:type="dxa"/>
            <w:vAlign w:val="bottom"/>
          </w:tcPr>
          <w:p>
            <w:pPr>
              <w:ind w:left="280"/>
              <w:spacing w:after="0"/>
              <w:rPr>
                <w:sz w:val="20"/>
                <w:szCs w:val="20"/>
                <w:color w:val="auto"/>
              </w:rPr>
            </w:pPr>
            <w:r>
              <w:rPr>
                <w:rFonts w:ascii="Arial" w:cs="Arial" w:eastAsia="Arial" w:hAnsi="Arial"/>
                <w:sz w:val="18"/>
                <w:szCs w:val="18"/>
                <w:color w:val="auto"/>
              </w:rPr>
              <w:t>Current Litigation</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3.7</w:t>
            </w:r>
          </w:p>
        </w:tc>
        <w:tc>
          <w:tcPr>
            <w:tcW w:w="9820" w:type="dxa"/>
            <w:vAlign w:val="bottom"/>
          </w:tcPr>
          <w:p>
            <w:pPr>
              <w:ind w:left="280"/>
              <w:spacing w:after="0"/>
              <w:rPr>
                <w:sz w:val="20"/>
                <w:szCs w:val="20"/>
                <w:color w:val="auto"/>
              </w:rPr>
            </w:pPr>
            <w:r>
              <w:rPr>
                <w:rFonts w:ascii="Arial" w:cs="Arial" w:eastAsia="Arial" w:hAnsi="Arial"/>
                <w:sz w:val="18"/>
                <w:szCs w:val="18"/>
                <w:color w:val="auto"/>
              </w:rPr>
              <w:t>Material Contracts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3.19</w:t>
            </w:r>
          </w:p>
        </w:tc>
        <w:tc>
          <w:tcPr>
            <w:tcW w:w="9820" w:type="dxa"/>
            <w:vAlign w:val="bottom"/>
          </w:tcPr>
          <w:p>
            <w:pPr>
              <w:ind w:left="280"/>
              <w:spacing w:after="0"/>
              <w:rPr>
                <w:sz w:val="20"/>
                <w:szCs w:val="20"/>
                <w:color w:val="auto"/>
              </w:rPr>
            </w:pPr>
            <w:r>
              <w:rPr>
                <w:rFonts w:ascii="Arial" w:cs="Arial" w:eastAsia="Arial" w:hAnsi="Arial"/>
                <w:sz w:val="18"/>
                <w:szCs w:val="18"/>
                <w:color w:val="auto"/>
              </w:rPr>
              <w:t>Subsidiaries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3.23</w:t>
            </w:r>
          </w:p>
        </w:tc>
        <w:tc>
          <w:tcPr>
            <w:tcW w:w="9820" w:type="dxa"/>
            <w:vAlign w:val="bottom"/>
          </w:tcPr>
          <w:p>
            <w:pPr>
              <w:ind w:left="280"/>
              <w:spacing w:after="0"/>
              <w:rPr>
                <w:sz w:val="20"/>
                <w:szCs w:val="20"/>
                <w:color w:val="auto"/>
              </w:rPr>
            </w:pPr>
            <w:r>
              <w:rPr>
                <w:rFonts w:ascii="Arial" w:cs="Arial" w:eastAsia="Arial" w:hAnsi="Arial"/>
                <w:sz w:val="18"/>
                <w:szCs w:val="18"/>
                <w:color w:val="auto"/>
              </w:rPr>
              <w:t>Capitalization of Loan Parties; Subsidiaries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Schedule 3.24</w:t>
            </w:r>
          </w:p>
        </w:tc>
        <w:tc>
          <w:tcPr>
            <w:tcW w:w="9820" w:type="dxa"/>
            <w:vAlign w:val="bottom"/>
          </w:tcPr>
          <w:p>
            <w:pPr>
              <w:ind w:left="280"/>
              <w:spacing w:after="0"/>
              <w:rPr>
                <w:sz w:val="20"/>
                <w:szCs w:val="20"/>
                <w:color w:val="auto"/>
              </w:rPr>
            </w:pPr>
            <w:r>
              <w:rPr>
                <w:rFonts w:ascii="Arial" w:cs="Arial" w:eastAsia="Arial" w:hAnsi="Arial"/>
                <w:sz w:val="18"/>
                <w:szCs w:val="18"/>
                <w:color w:val="auto"/>
              </w:rPr>
              <w:t>Affiliate Transactions</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Schedule 6.6</w:t>
            </w:r>
          </w:p>
        </w:tc>
        <w:tc>
          <w:tcPr>
            <w:tcW w:w="9820" w:type="dxa"/>
            <w:vAlign w:val="bottom"/>
          </w:tcPr>
          <w:p>
            <w:pPr>
              <w:ind w:left="280"/>
              <w:spacing w:after="0"/>
              <w:rPr>
                <w:sz w:val="20"/>
                <w:szCs w:val="20"/>
                <w:color w:val="auto"/>
              </w:rPr>
            </w:pPr>
            <w:r>
              <w:rPr>
                <w:rFonts w:ascii="Arial" w:cs="Arial" w:eastAsia="Arial" w:hAnsi="Arial"/>
                <w:sz w:val="18"/>
                <w:szCs w:val="18"/>
                <w:color w:val="auto"/>
              </w:rPr>
              <w:t>Permitted Investments</w:t>
            </w:r>
          </w:p>
        </w:tc>
      </w:tr>
      <w:tr>
        <w:trPr>
          <w:trHeight w:val="432"/>
        </w:trPr>
        <w:tc>
          <w:tcPr>
            <w:tcW w:w="1420" w:type="dxa"/>
            <w:vAlign w:val="bottom"/>
          </w:tcPr>
          <w:p>
            <w:pPr>
              <w:spacing w:after="0"/>
              <w:rPr>
                <w:sz w:val="24"/>
                <w:szCs w:val="24"/>
                <w:color w:val="auto"/>
              </w:rPr>
            </w:pPr>
          </w:p>
        </w:tc>
        <w:tc>
          <w:tcPr>
            <w:tcW w:w="9820" w:type="dxa"/>
            <w:vAlign w:val="bottom"/>
          </w:tcPr>
          <w:p>
            <w:pPr>
              <w:jc w:val="center"/>
              <w:ind w:right="133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Exhibit A</w:t>
            </w:r>
          </w:p>
        </w:tc>
        <w:tc>
          <w:tcPr>
            <w:tcW w:w="9820" w:type="dxa"/>
            <w:vAlign w:val="bottom"/>
          </w:tcPr>
          <w:p>
            <w:pPr>
              <w:ind w:left="28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B</w:t>
            </w:r>
          </w:p>
        </w:tc>
        <w:tc>
          <w:tcPr>
            <w:tcW w:w="9820" w:type="dxa"/>
            <w:vAlign w:val="bottom"/>
          </w:tcPr>
          <w:p>
            <w:pPr>
              <w:ind w:left="28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C</w:t>
            </w:r>
          </w:p>
        </w:tc>
        <w:tc>
          <w:tcPr>
            <w:tcW w:w="9820" w:type="dxa"/>
            <w:vAlign w:val="bottom"/>
          </w:tcPr>
          <w:p>
            <w:pPr>
              <w:ind w:left="280"/>
              <w:spacing w:after="0"/>
              <w:rPr>
                <w:sz w:val="20"/>
                <w:szCs w:val="20"/>
                <w:color w:val="auto"/>
              </w:rPr>
            </w:pPr>
            <w:r>
              <w:rPr>
                <w:rFonts w:ascii="Arial" w:cs="Arial" w:eastAsia="Arial" w:hAnsi="Arial"/>
                <w:sz w:val="18"/>
                <w:szCs w:val="18"/>
                <w:color w:val="auto"/>
              </w:rPr>
              <w:t>Form of Payment Notice</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D</w:t>
            </w:r>
          </w:p>
        </w:tc>
        <w:tc>
          <w:tcPr>
            <w:tcW w:w="9820" w:type="dxa"/>
            <w:vAlign w:val="bottom"/>
          </w:tcPr>
          <w:p>
            <w:pPr>
              <w:ind w:left="280"/>
              <w:spacing w:after="0"/>
              <w:rPr>
                <w:sz w:val="20"/>
                <w:szCs w:val="20"/>
                <w:color w:val="auto"/>
              </w:rPr>
            </w:pPr>
            <w:r>
              <w:rPr>
                <w:rFonts w:ascii="Arial" w:cs="Arial" w:eastAsia="Arial" w:hAnsi="Arial"/>
                <w:sz w:val="18"/>
                <w:szCs w:val="18"/>
                <w:color w:val="auto"/>
              </w:rPr>
              <w:t>Form of Promissory Note</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Exhibit E</w:t>
            </w:r>
          </w:p>
        </w:tc>
        <w:tc>
          <w:tcPr>
            <w:tcW w:w="9820" w:type="dxa"/>
            <w:vAlign w:val="bottom"/>
          </w:tcPr>
          <w:p>
            <w:pPr>
              <w:ind w:left="280"/>
              <w:spacing w:after="0"/>
              <w:rPr>
                <w:sz w:val="20"/>
                <w:szCs w:val="20"/>
                <w:color w:val="auto"/>
              </w:rPr>
            </w:pPr>
            <w:r>
              <w:rPr>
                <w:rFonts w:ascii="Arial" w:cs="Arial" w:eastAsia="Arial" w:hAnsi="Arial"/>
                <w:sz w:val="18"/>
                <w:szCs w:val="18"/>
                <w:color w:val="auto"/>
              </w:rPr>
              <w:t>Form of Financial Covenant Calculations</w:t>
            </w:r>
          </w:p>
        </w:tc>
      </w:tr>
      <w:tr>
        <w:trPr>
          <w:trHeight w:val="655"/>
        </w:trPr>
        <w:tc>
          <w:tcPr>
            <w:tcW w:w="1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jc w:val="center"/>
              <w:ind w:right="131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THIS CREDIT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September 21, 2022, is entered into by and among</w:t>
      </w:r>
      <w:r>
        <w:rPr>
          <w:rFonts w:ascii="Arial" w:cs="Arial" w:eastAsia="Arial" w:hAnsi="Arial"/>
          <w:sz w:val="17"/>
          <w:szCs w:val="17"/>
          <w:b w:val="1"/>
          <w:bCs w:val="1"/>
          <w:color w:val="auto"/>
        </w:rPr>
        <w:t xml:space="preserve"> E LA CARTE, LLC </w:t>
      </w:r>
      <w:r>
        <w:rPr>
          <w:rFonts w:ascii="Arial" w:cs="Arial" w:eastAsia="Arial" w:hAnsi="Arial"/>
          <w:sz w:val="17"/>
          <w:szCs w:val="17"/>
          <w:color w:val="auto"/>
        </w:rPr>
        <w:t>(f/k/a</w:t>
      </w:r>
      <w:r>
        <w:rPr>
          <w:rFonts w:ascii="Arial" w:cs="Arial" w:eastAsia="Arial" w:hAnsi="Arial"/>
          <w:sz w:val="17"/>
          <w:szCs w:val="17"/>
          <w:b w:val="1"/>
          <w:bCs w:val="1"/>
          <w:color w:val="auto"/>
        </w:rPr>
        <w:t xml:space="preserve"> </w:t>
      </w:r>
      <w:r>
        <w:rPr>
          <w:rFonts w:ascii="Arial" w:cs="Arial" w:eastAsia="Arial" w:hAnsi="Arial"/>
          <w:sz w:val="17"/>
          <w:szCs w:val="17"/>
          <w:color w:val="auto"/>
        </w:rPr>
        <w:t>Ventoux Merger Sub II LLC) a Delaware limited liability company (“</w:t>
      </w:r>
      <w:r>
        <w:rPr>
          <w:rFonts w:ascii="Arial" w:cs="Arial" w:eastAsia="Arial" w:hAnsi="Arial"/>
          <w:sz w:val="17"/>
          <w:szCs w:val="17"/>
          <w:b w:val="1"/>
          <w:bCs w:val="1"/>
          <w:i w:val="1"/>
          <w:iCs w:val="1"/>
          <w:color w:val="auto"/>
        </w:rPr>
        <w:t>Presto</w:t>
      </w:r>
      <w:r>
        <w:rPr>
          <w:rFonts w:ascii="Arial" w:cs="Arial" w:eastAsia="Arial" w:hAnsi="Arial"/>
          <w:sz w:val="17"/>
          <w:szCs w:val="17"/>
          <w:color w:val="auto"/>
        </w:rPr>
        <w:t>”), each other Person party hereto as a “Borrower” from time to time (each such Person, together with Presto, individually and collectively,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xml:space="preserve">”), </w:t>
      </w:r>
      <w:r>
        <w:rPr>
          <w:rFonts w:ascii="Arial" w:cs="Arial" w:eastAsia="Arial" w:hAnsi="Arial"/>
          <w:sz w:val="17"/>
          <w:szCs w:val="17"/>
          <w:b w:val="1"/>
          <w:bCs w:val="1"/>
          <w:color w:val="auto"/>
        </w:rPr>
        <w:t>PRESTO AUTOMATION INC.</w:t>
      </w:r>
      <w:r>
        <w:rPr>
          <w:rFonts w:ascii="Arial" w:cs="Arial" w:eastAsia="Arial" w:hAnsi="Arial"/>
          <w:sz w:val="17"/>
          <w:szCs w:val="17"/>
          <w:color w:val="auto"/>
        </w:rPr>
        <w:t xml:space="preserve"> (f/k/a Ventoux CCM Acquisition Corp.), a Delaware corporation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each of the financial institutions from time to time party hereto (individually each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METROPOLITAN PARTNERS GROUP ADMINISTRATION, LLC</w:t>
      </w:r>
      <w:r>
        <w:rPr>
          <w:rFonts w:ascii="Arial" w:cs="Arial" w:eastAsia="Arial" w:hAnsi="Arial"/>
          <w:sz w:val="17"/>
          <w:szCs w:val="17"/>
          <w:color w:val="auto"/>
        </w:rPr>
        <w:t>, a Delaware limited liability company (“</w:t>
      </w:r>
      <w:r>
        <w:rPr>
          <w:rFonts w:ascii="Arial" w:cs="Arial" w:eastAsia="Arial" w:hAnsi="Arial"/>
          <w:sz w:val="17"/>
          <w:szCs w:val="17"/>
          <w:b w:val="1"/>
          <w:bCs w:val="1"/>
          <w:i w:val="1"/>
          <w:iCs w:val="1"/>
          <w:color w:val="auto"/>
        </w:rPr>
        <w:t>Metropolitan</w:t>
      </w:r>
      <w:r>
        <w:rPr>
          <w:rFonts w:ascii="Arial" w:cs="Arial" w:eastAsia="Arial" w:hAnsi="Arial"/>
          <w:sz w:val="17"/>
          <w:szCs w:val="17"/>
          <w:color w:val="auto"/>
        </w:rPr>
        <w:t>”), as administrative, payment and collateral agent for itself, as a Lender and for the other Lenders (in such capacities,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Borrower has requested that Lenders make available to Borrower a senior secured single draw term loan facility in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committed principal amount of Fifty Five Million and No/100 Dollars ($55,000,000.00), the proceeds of which shall be used by Borrower to (i) refinance the Prior Debt on the Closing Date, (ii) to pay fees, costs and expenses incurred by Agent, Lenders and the Loan Parties in connection with the transactions contemplated hereby or in connection herewith, and (iii) otherwise for working capital and general corporate purposes;</w:t>
      </w:r>
    </w:p>
    <w:p>
      <w:pPr>
        <w:spacing w:after="0" w:line="16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Parent is willing to guaranty the obligations of the Loan Parties and each Loan Party is willing to grant Agent,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itself and the Lenders, a lien on and security interest in all of its Collateral to secure the Term Loan and other Obligations under the Loan Documents;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Lenders are willing to make the Term Loan available to Borrower upon the terms and subject to the conditions set forth herein.</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receipt and adequacy of which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are acknowledged, Borrower, Parent, Agent and Lenders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Defined Terms</w:t>
      </w:r>
      <w:r>
        <w:rPr>
          <w:rFonts w:ascii="Arial" w:cs="Arial" w:eastAsia="Arial" w:hAnsi="Arial"/>
          <w:sz w:val="18"/>
          <w:szCs w:val="18"/>
          <w:color w:val="auto"/>
        </w:rPr>
        <w:t>. As used in this Agreement (including the recitals hereof), the terms listed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1.1 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1.1.</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2020 PPP Loan</w:t>
      </w:r>
      <w:r>
        <w:rPr>
          <w:rFonts w:ascii="Arial" w:cs="Arial" w:eastAsia="Arial" w:hAnsi="Arial"/>
          <w:sz w:val="18"/>
          <w:szCs w:val="18"/>
          <w:color w:val="auto"/>
        </w:rPr>
        <w:t>”: Indebtedness of the Borrower to First Home Bank, SBA Loan Number 3856317103 dated April 12, 2020, in the principal amount of $2,599,300.00 issued under the CARES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2021 PPP Loan</w:t>
      </w:r>
      <w:r>
        <w:rPr>
          <w:rFonts w:ascii="Arial" w:cs="Arial" w:eastAsia="Arial" w:hAnsi="Arial"/>
          <w:sz w:val="18"/>
          <w:szCs w:val="18"/>
          <w:color w:val="auto"/>
        </w:rPr>
        <w:t>”: Indebtedness of the Borrower to First Home Bank, SBA Loan Number 9408428406 dated March 4, 2021, in the principal amount of $2,000,000.00 issued under the CARES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any transaction or series of related transactions for the purpose of or resulting, directly or indirectly, in (a) the acquisition of all or a substantial portion of the assets of a Person, or of all or a substantial portion of any business or division of a Person, (b) the acquisition of in excess of fifty percent (50%) of the Equity Interests of any Person, or otherwise causing any Person to become a Subsidiary, or (c) a merger or consolidation or any other combination with another Person (other than a Person that is already a Subsidiary).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Advance</w:t>
      </w:r>
      <w:r>
        <w:rPr>
          <w:rFonts w:ascii="Arial" w:cs="Arial" w:eastAsia="Arial" w:hAnsi="Arial"/>
          <w:sz w:val="18"/>
          <w:szCs w:val="18"/>
          <w:color w:val="auto"/>
        </w:rPr>
        <w:t>”: any borrowing under and advance of the Term Loan and any Protective Advance. Any amounts paid by Agent on behalf of Borrower under any Loan Document shall be an Advance for purposes of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with respect to a specified Person, another Person that (i) directly, or indirectly through one or more intermediaries, Controls or is Controlled by or is under common Control with the Person specified, (ii) which beneficially owns or holds 10% or more of any class of the voting or other Equity Interests of such Person or (iii) 10% or more of any class of voting interests or other Equity Interests of which is beneficially owned or held, directly or indirectly, by such Person; provided that neither Agent nor any Lender nor any of their Affiliates or their Approved Funds shall be an Affiliate of any Loan Party for any purpose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as defined in the preamble hereto, as may be amended, restated, supplemented or otherwise modified from time to time.</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Annual Platform Revenue</w:t>
      </w:r>
      <w:r>
        <w:rPr>
          <w:rFonts w:ascii="Arial" w:cs="Arial" w:eastAsia="Arial" w:hAnsi="Arial"/>
          <w:sz w:val="17"/>
          <w:szCs w:val="17"/>
          <w:color w:val="auto"/>
        </w:rPr>
        <w:t>”: as of any determination, the sum of (i) Touch Annual Platform Revenue, plus (ii) Computer Vision Annual Platform Revenue, plus (iii) Voice Annual Platform Revenue, in each case determined based on the three-month period most recently ended.</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Percentage</w:t>
      </w:r>
      <w:r>
        <w:rPr>
          <w:rFonts w:ascii="Arial" w:cs="Arial" w:eastAsia="Arial" w:hAnsi="Arial"/>
          <w:sz w:val="18"/>
          <w:szCs w:val="18"/>
          <w:color w:val="auto"/>
        </w:rPr>
        <w:t xml:space="preserve">”: as to each Lender, the percentage of the aggregate amount of Term Loan Commitment held by such Lender at such time. The Applicable Percentage of each Lender as of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agreement pursuant to which such Lender becomes a party hereto, as applicable, in each case, subject to subsequent assignments and adjustments in accordance with the terms hereof.</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Approved Fund</w:t>
      </w:r>
      <w:r>
        <w:rPr>
          <w:rFonts w:ascii="Arial" w:cs="Arial" w:eastAsia="Arial" w:hAnsi="Arial"/>
          <w:sz w:val="16"/>
          <w:szCs w:val="16"/>
          <w:color w:val="auto"/>
        </w:rPr>
        <w:t>”: any Person (other than a natural Person) which (a)(i) is (or will be) engaged in making, purchasing, holding, or otherwise investing in commercial loans, mezzanine notes, and similar extensions of credit in its ordinary course of activities or (ii) temporarily warehouses loans for any Lender and (b) is administered, advised or managed by a Lender, an entity that administers, advises or manages a Lender, or an Affiliate of either.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Title 11 of the United States Code, 11 U.S.C. §§ 101 et. seq., as amended from time to time.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Certification</w:t>
      </w:r>
      <w:r>
        <w:rPr>
          <w:rFonts w:ascii="Arial" w:cs="Arial" w:eastAsia="Arial" w:hAnsi="Arial"/>
          <w:sz w:val="18"/>
          <w:szCs w:val="18"/>
          <w:color w:val="auto"/>
        </w:rPr>
        <w:t>”: a certification regarding beneficial ownership required by the Beneficial Ownership Regulation, which certification shall be in form and substance reasonably acceptable to Agent.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Blocked Person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as defined in the preamble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 Date</w:t>
      </w:r>
      <w:r>
        <w:rPr>
          <w:rFonts w:ascii="Arial" w:cs="Arial" w:eastAsia="Arial" w:hAnsi="Arial"/>
          <w:sz w:val="18"/>
          <w:szCs w:val="18"/>
          <w:color w:val="auto"/>
        </w:rPr>
        <w:t>”: any Business Day specified by Borrower in a Notice of Borrowing as the date on which the Borrower requests Lenders to make the Term Loan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a day other than a Saturday, Sunday or other day on which commercial banks in the State of New York are authorized or required by Law to close.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w:t>
      </w:r>
      <w:r>
        <w:rPr>
          <w:rFonts w:ascii="Arial" w:cs="Arial" w:eastAsia="Arial" w:hAnsi="Arial"/>
          <w:sz w:val="18"/>
          <w:szCs w:val="18"/>
          <w:color w:val="auto"/>
        </w:rPr>
        <w:t>”: at any time, a lease with respect to which the lessee is required to recognize the acquisition of an asset and the incurrence of a liability in accordance with GAAP.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the Corona Virus Response and Relief Supplement Appropriations Act and the rules and regulations promulgated in connection therewith (as amended from time to time).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Cash Equivalents</w:t>
      </w:r>
      <w:r>
        <w:rPr>
          <w:rFonts w:ascii="Arial" w:cs="Arial" w:eastAsia="Arial" w:hAnsi="Arial"/>
          <w:sz w:val="16"/>
          <w:szCs w:val="16"/>
          <w:color w:val="auto"/>
        </w:rPr>
        <w:t>”: (a) marketable obligations issued or unconditionally guaranteed by, and backed by the full faith and credit of, the United States government, maturing within 12 months of the date of acquisition; (b) certificates of deposit, time deposits, demand deposits, and bankers’ acceptances maturing within 12 months of the date of acquisition and overnight bank deposits, in each case which (i) are issued by a commercial bank organized under the Laws of the United States or any state or district thereof, rated A-1 (or better) by S&amp;P or P-1 (or better) by Moody’s at the time of acquisition and (ii) are not subject to offset rights; (c) repurchase obligations with a term of not more than 30 days for underlying investments of the types described in clauses (a) and (b) entered into with any bank meeting the qualifications specified in clause (b); (d) commercial paper rated A-1 (or better) by S&amp;P or P-1 (or better) by Moody’s and maturing within nine months of the date of acquisition; (e) shares of any money market fund which has substantially all of its assets invested continuously in the types of investments referred to above, has net assets of at least $500,000,000, and has the highest rating obtainable from either Moody’s or S&amp;P; and (f) such other investments permitted by the Borrower’s or Parent’s board approved investment policy, as in effect from time to time and as approved in writing by Agent (such approval not to be unreasonably withheld, conditioned or delayed).</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Law</w:t>
      </w:r>
      <w:r>
        <w:rPr>
          <w:rFonts w:ascii="Arial" w:cs="Arial" w:eastAsia="Arial" w:hAnsi="Arial"/>
          <w:sz w:val="16"/>
          <w:szCs w:val="16"/>
          <w:color w:val="auto"/>
        </w:rPr>
        <w:t>”: the occurrence, after the date of this Agreement, of any of the following: (i) the adoption or taking effect of any Requirement of Law, (ii) any change in any Requirement of Law or in the administration, interpretation, implementation or application thereof by any Official Body or</w:t>
      </w:r>
    </w:p>
    <w:p>
      <w:pPr>
        <w:jc w:val="both"/>
        <w:ind w:firstLine="8"/>
        <w:spacing w:after="0" w:line="252" w:lineRule="auto"/>
        <w:tabs>
          <w:tab w:leader="none" w:pos="3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making or issuance of any request, rule, guideline or directive (whether or not having the force of law) by any Official Body;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regulations, guidelines, interpretations or directives thereunder or issued in connection therewith (whether or not having the force of Requirement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Requirement of Law), in each case pursuant to Basel III, shall in each case be deemed to be a Change in Law regardless of the date enacted, adopted, issued, promulgated or implemented.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(a) at any time, any “person” or “group” (as such terms are used in Sections 13(d) and 14(d) of the Exchange Act) other than the Controlling Equity Holders shall (i) become, or obtain rights (whether by means or warrants, options or otherwise) to become, the “beneficial owner” (as defined in Rules 13(d)-3 and 13(d) 5 under the Exchange Act), directly or indirectly, of 35% or more of the ordinary voting power or economic interests of Parent (determined on a fully diluted basis) or (ii) have obtained the power (whether exercised or not) to elect a majority of the members of the board of directors (or any similar governing body) of Parent; (b) any of the following shall cease to remain on the board of directors (or any similar governing body) of Parent: (i) Rajat Suri; (ii) Krishna Gupta (or any other designee of the REMUS Stockholders), (iii) Gail Zauder (or any other designee of the REMUS Stockholders) or (iv) Keith Kravcik (or any other designee of Cleveland Avenue); (c) Parent shall cease to beneficially own and control, on a fully diluted basis, 100% of the Equity Interests (including all economic and voting interests associated therewith) of Borrower; or (d) Borrower shall cease to beneficially own and control, on a fully diluted basis, 100% of the Equity Interests (including all economic and voting interests associated therewith) of each of its Subsidiaries as of the Closing Date (if any) and the Collateral (except to the extent disposed of in accordance with the term of this Agreement and the other Loan Documents).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Cleveland Avenue</w:t>
      </w:r>
      <w:r>
        <w:rPr>
          <w:rFonts w:ascii="Arial" w:cs="Arial" w:eastAsia="Arial" w:hAnsi="Arial"/>
          <w:sz w:val="18"/>
          <w:szCs w:val="18"/>
          <w:color w:val="auto"/>
        </w:rPr>
        <w:t>”: Cleveland Avenue, LLC and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September 21, 2022.</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Internal Revenue Code of 1986, as amended or supplemented from time to time, and any successor statute of similar import, and the rules and regulations thereunder, as from time to time in effect.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all property of the Loan Parties, now owned or hereafter acquired or arising, upon which a Lien is purported to be created in favor of Agent, for the benefit of itself and the Lenders, under any Loan Document.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Access Agreement</w:t>
      </w:r>
      <w:r>
        <w:rPr>
          <w:rFonts w:ascii="Arial" w:cs="Arial" w:eastAsia="Arial" w:hAnsi="Arial"/>
          <w:sz w:val="18"/>
          <w:szCs w:val="18"/>
          <w:color w:val="auto"/>
        </w:rPr>
        <w:t>”: any landlord waiver or other agreement, in form and substance satisfactory to Agent, between Agent and any of the following: (i) any third party (including any bailee, consignee, customs broker, landlord, mortgagee, or other similar Person) in possession of any Collateral, (ii) any landlord of any Loan Party with respect to any real property where any Collateral is located, and (iii) any landlord where any books and records of any Loan Party are kept.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Collections</w:t>
      </w:r>
      <w:r>
        <w:rPr>
          <w:rFonts w:ascii="Arial" w:cs="Arial" w:eastAsia="Arial" w:hAnsi="Arial"/>
          <w:sz w:val="18"/>
          <w:szCs w:val="18"/>
          <w:color w:val="auto"/>
        </w:rPr>
        <w:t>”: (a) with respect to the Collateral, all payments (including any prepayments) of lease payments, principal, interest, fees or charges collected or otherwise received or paid, any proceeds from the sale or other disposition of such Collateral, including remittances, recoveries on defaulted assets, and settlements, whether effectuated by ACH withdrawal or otherwise, and (b) such other distributions, dividends and payments of every description received by any Loan Party from time to time, and all other proceeds of the Collateral.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Commodities Accounts</w:t>
      </w:r>
      <w:r>
        <w:rPr>
          <w:rFonts w:ascii="Arial" w:cs="Arial" w:eastAsia="Arial" w:hAnsi="Arial"/>
          <w:sz w:val="18"/>
          <w:szCs w:val="18"/>
          <w:color w:val="auto"/>
        </w:rPr>
        <w:t>”: all “commodity accounts” as defined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Compliance Certificate</w:t>
      </w:r>
      <w:r>
        <w:rPr>
          <w:rFonts w:ascii="Arial" w:cs="Arial" w:eastAsia="Arial" w:hAnsi="Arial"/>
          <w:sz w:val="17"/>
          <w:szCs w:val="17"/>
          <w:color w:val="auto"/>
        </w:rPr>
        <w:t xml:space="preserve">”: a certificate duly executed by a Responsible Officer of each Loan Party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Annual Platform Revenue</w:t>
      </w:r>
      <w:r>
        <w:rPr>
          <w:rFonts w:ascii="Arial" w:cs="Arial" w:eastAsia="Arial" w:hAnsi="Arial"/>
          <w:sz w:val="18"/>
          <w:szCs w:val="18"/>
          <w:color w:val="auto"/>
        </w:rPr>
        <w:t xml:space="preserve">”: for any date of determination, (a) Computer Vision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Computer Vision Platform Revenue</w:t>
      </w:r>
      <w:r>
        <w:rPr>
          <w:rFonts w:ascii="Arial" w:cs="Arial" w:eastAsia="Arial" w:hAnsi="Arial"/>
          <w:sz w:val="18"/>
          <w:szCs w:val="18"/>
          <w:color w:val="auto"/>
        </w:rPr>
        <w:t xml:space="preserve">”: platform revenue earned during any calendar month by the Borrower from Computer Vision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Computer Vision Products</w:t>
      </w:r>
      <w:r>
        <w:rPr>
          <w:rFonts w:ascii="Arial" w:cs="Arial" w:eastAsia="Arial" w:hAnsi="Arial"/>
          <w:sz w:val="17"/>
          <w:szCs w:val="17"/>
          <w:color w:val="auto"/>
        </w:rPr>
        <w:t>”: Borrower’s AI-powered computer vision software application providing error detection, visual order tracking capabilities and repeat guest identification and determined in a manner consistent with the calculation of Computer Vision Platform Revenue.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Connection Income Taxes</w:t>
      </w:r>
      <w:r>
        <w:rPr>
          <w:rFonts w:ascii="Arial" w:cs="Arial" w:eastAsia="Arial" w:hAnsi="Arial"/>
          <w:sz w:val="18"/>
          <w:szCs w:val="18"/>
          <w:color w:val="auto"/>
        </w:rPr>
        <w:t>”: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Contractual Obligation</w:t>
      </w:r>
      <w:r>
        <w:rPr>
          <w:rFonts w:ascii="Arial" w:cs="Arial" w:eastAsia="Arial" w:hAnsi="Arial"/>
          <w:sz w:val="18"/>
          <w:szCs w:val="18"/>
          <w:color w:val="auto"/>
        </w:rPr>
        <w:t>”: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have meanings correlative thereto.</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each deposit account control agreement, securities account control agreement or commodities account control agreement, as applicable, entered into by a Loan Party, Agent and any institution holding a Deposit Account (other than Excluded Deposit Accounts), Securities Account, or Commodities Account of such Loan Party in form and substance satisfactory to Agent in its sole discretion, as may be amended, restated, supplemented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Controlling Equity Holders</w:t>
      </w:r>
      <w:r>
        <w:rPr>
          <w:rFonts w:ascii="Arial" w:cs="Arial" w:eastAsia="Arial" w:hAnsi="Arial"/>
          <w:sz w:val="17"/>
          <w:szCs w:val="17"/>
          <w:color w:val="auto"/>
        </w:rPr>
        <w:t>”: collectively, Rajat Suri, the REMUS Stockholders, I2BF Global Investments Ltd. and Cleveland Avenue.</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Debtor Relief Laws</w:t>
      </w:r>
      <w:r>
        <w:rPr>
          <w:rFonts w:ascii="Arial" w:cs="Arial" w:eastAsia="Arial" w:hAnsi="Arial"/>
          <w:sz w:val="18"/>
          <w:szCs w:val="18"/>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xml:space="preserve">”: the occurrence of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7.1, whether or not any requirement for the giving of notice, the lapse of time, or both,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 Account</w:t>
      </w:r>
      <w:r>
        <w:rPr>
          <w:rFonts w:ascii="Arial" w:cs="Arial" w:eastAsia="Arial" w:hAnsi="Arial"/>
          <w:sz w:val="17"/>
          <w:szCs w:val="17"/>
          <w:color w:val="auto"/>
        </w:rPr>
        <w:t xml:space="preserve">”: shall mean, individually and collectively any bank or other depository accounts of a Loan Party (other than Excluded Deposit Accounts), as set forth in </w:t>
      </w:r>
      <w:r>
        <w:rPr>
          <w:rFonts w:ascii="Arial" w:cs="Arial" w:eastAsia="Arial" w:hAnsi="Arial"/>
          <w:sz w:val="17"/>
          <w:szCs w:val="17"/>
          <w:u w:val="single" w:color="auto"/>
          <w:color w:val="auto"/>
        </w:rPr>
        <w:t>Schedule 1.1(b)</w:t>
      </w:r>
      <w:r>
        <w:rPr>
          <w:rFonts w:ascii="Arial" w:cs="Arial" w:eastAsia="Arial" w:hAnsi="Arial"/>
          <w:sz w:val="17"/>
          <w:szCs w:val="17"/>
          <w:color w:val="auto"/>
        </w:rPr>
        <w:t xml:space="preserve"> hereto (as such schedule may be updated from time to time following the Closing Date).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Disposition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Dispose</w:t>
      </w:r>
      <w:r>
        <w:rPr>
          <w:rFonts w:ascii="Arial" w:cs="Arial" w:eastAsia="Arial" w:hAnsi="Arial"/>
          <w:sz w:val="18"/>
          <w:szCs w:val="18"/>
          <w:color w:val="auto"/>
        </w:rPr>
        <w:t>”: the sale, transfer, license, lease or other disposition outside of the ordinary course of business of any property by any Loan Party, including any sale, assignment, transfer or other disposal, with or without recourse, of any notes or accounts receivable or any rights and claims associated therewith.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Equity Interests</w:t>
      </w:r>
      <w:r>
        <w:rPr>
          <w:rFonts w:ascii="Arial" w:cs="Arial" w:eastAsia="Arial" w:hAnsi="Arial"/>
          <w:sz w:val="17"/>
          <w:szCs w:val="17"/>
          <w:color w:val="auto"/>
        </w:rPr>
        <w:t>”: any Equity Interest that, by its terms (or by the terms of any security into which it is convertible or for which it is exchangeable, either mandatorily or at the option of the holder thereof),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Term Loan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Division/Series Transaction</w:t>
      </w:r>
      <w:r>
        <w:rPr>
          <w:rFonts w:ascii="Arial" w:cs="Arial" w:eastAsia="Arial" w:hAnsi="Arial"/>
          <w:sz w:val="18"/>
          <w:szCs w:val="18"/>
          <w:color w:val="auto"/>
        </w:rPr>
        <w:t>”: with respect to the Loan Parties, that any such Person (i) divides into two or more Persons (whether or not the original Loan Party survives such division) or (ii) creates, or reorganizes into, one or more series, in each case as contemplated under the Laws of any jurisdiction.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dollars in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Domestic Subsidiary</w:t>
      </w:r>
      <w:r>
        <w:rPr>
          <w:rFonts w:ascii="Arial" w:cs="Arial" w:eastAsia="Arial" w:hAnsi="Arial"/>
          <w:sz w:val="17"/>
          <w:szCs w:val="17"/>
          <w:color w:val="auto"/>
        </w:rPr>
        <w:t>”: a Subsidiary organized, incorporated or otherwise formed under the Laws of the United States or any state thereof.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Market</w:t>
      </w:r>
      <w:r>
        <w:rPr>
          <w:rFonts w:ascii="Arial" w:cs="Arial" w:eastAsia="Arial" w:hAnsi="Arial"/>
          <w:sz w:val="18"/>
          <w:szCs w:val="18"/>
          <w:color w:val="auto"/>
        </w:rPr>
        <w:t>”: The Nasdaq Capital Market, the NYSE American, The Nasdaq Global Select Market, The Nasdaq Global Market or The New York Stock Exchange.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the Employee Retirement Income Security Act of 1974, including (unless the context otherwise requires) any rules or regulations promulgated thereunder, in each case, as amended from time to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with respect to any Person, any trade or business (whether or not incorporated) under common control with such Person within the meaning of Section 414(b) or (c) of the Code (and Sections 414(m) and (o) of the Code for purposes of provisions relating to Section 412 of the Code or Section 302 of ERISA).</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 Event</w:t>
      </w:r>
      <w:r>
        <w:rPr>
          <w:rFonts w:ascii="Arial" w:cs="Arial" w:eastAsia="Arial" w:hAnsi="Arial"/>
          <w:sz w:val="17"/>
          <w:szCs w:val="17"/>
          <w:color w:val="auto"/>
        </w:rPr>
        <w:t>”: (a) a Reportable Event with respect to a Pension Plan; (b) the failure by the Borrower or any ERISA Affiliate to meet all applicable requirements under the Pension Funding Rules or the filing of an application for the waiver of the minimum funding standards under the Pension Funding Rules; (c) the incurrence by the Borrower or any ERISA Affiliate of any liability pursuant to Section 4063 or 4064 of ERISA or a cessation of operations with respect to a Pension Plan within the meaning of Section 4062(e) of ERISA; (d) a complete or partial withdrawal by the Borrower or any ERISA Affiliate from a Multiemployer Plan or notification that a Multiemployer Plan is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the Borrower or any ERISA Affiliate; (j) the engagement by the Borrower or any ERISA Affiliate in a transaction that could be subject to Section 4069 or Section 4212(c) of ERISA; (k) the imposition of a lien upon the Borrower pursuant to Section 430(k) of the Code or Section 303(k) of ERISA; or (l) the making of an amendment to a Pension Plan that could result in the posting of bond or security under Section 436(f)(1) of the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Subrogation Rights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9.12(e)</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any of the events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7.1 for which the requirement for the giving of notice, the lapse of time, or both, if any, has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the Securities Exchange Act of 1934, as amended from time to time.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Deposit Accounts</w:t>
      </w:r>
      <w:r>
        <w:rPr>
          <w:rFonts w:ascii="Arial" w:cs="Arial" w:eastAsia="Arial" w:hAnsi="Arial"/>
          <w:sz w:val="16"/>
          <w:szCs w:val="16"/>
          <w:color w:val="auto"/>
        </w:rPr>
        <w:t>”: any (a) Deposit Account used solely and exclusively for payroll, payroll taxes, other employee wage and benefit payments to or for the benefit of any Loan Party, (b) zero balance accounts so long as the balance in such account is zero at the end of each Business Day,</w:t>
      </w:r>
    </w:p>
    <w:p>
      <w:pPr>
        <w:jc w:val="both"/>
        <w:ind w:firstLine="8"/>
        <w:spacing w:after="0" w:line="255" w:lineRule="auto"/>
        <w:tabs>
          <w:tab w:leader="none" w:pos="2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payment processing accounts, (d) any cash collateral accounts securing Liens permitted pursuant to clauses (l) under the definition of “Permitted Liens”, and (e) other Deposit Accounts or other accounts so long as the aggregate balance in all such accounts permitted pursuant to this clause (e) does not exceed $100,000.</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Taxes</w:t>
      </w:r>
      <w:r>
        <w:rPr>
          <w:rFonts w:ascii="Arial" w:cs="Arial" w:eastAsia="Arial" w:hAnsi="Arial"/>
          <w:sz w:val="16"/>
          <w:szCs w:val="16"/>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Term Loan or Term Loan Commitment pursuant to a Law in effect on the date on which (i) such Lender acquires such interest in the Term Loan or Term Loan Commitment (other than pursuant to an assignment requested by a Loan Party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and (d) any U.S. federal withholding Taxes imposed under FATCA.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Extraordinary Receipt</w:t>
      </w:r>
      <w:r>
        <w:rPr>
          <w:rFonts w:ascii="Arial" w:cs="Arial" w:eastAsia="Arial" w:hAnsi="Arial"/>
          <w:sz w:val="18"/>
          <w:szCs w:val="18"/>
          <w:color w:val="auto"/>
        </w:rPr>
        <w:t>”: any cash received by or paid to or for the account of any Loan Party or paid to or for the account of any equity holder of any Loan Party in connection with any tax refund or indemnification claim not in the ordinary course of business (and not consisting of (i) proceeds described in any clauses (a) through (f) of the definition of Prepayment Event, or (ii) indemnification payments to pay or reimburse cash losses, costs or expenses of a Loan Party, including working capital adjustments or indemnification payments owed to a third party), including, but not limited to, tax refund, purchase price and other monetary adjustments, and/or indemnification payments (not included in clause (ii) of the preceding parenthetical), in each case, made in connection with an Acquisition. Notwithstanding anything to the contrary, Extraordinary Receipts shall not include any cash received by or paid to or for the account of any Loan Party or paid to or for the account of any equity holder of any Loan Party in connection with any judgment relating to the XAC Litigation (or any appeal thereof).</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amended or successor version described above) and any intergovernmental agreement, treaty or convention among Governmental Authorities entered into in connection with the foregoing and any fiscal or regulatory legislation, or official administrative rules or practices adopted pursuant to, any such intergovernmental agreement, treaty or convention.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that certain Fee Letter, dated as of the date hereof, by and between the Borrower and the Agent, as may be amended, restated, supplemented or otherwise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Quarter</w:t>
      </w:r>
      <w:r>
        <w:rPr>
          <w:rFonts w:ascii="Arial" w:cs="Arial" w:eastAsia="Arial" w:hAnsi="Arial"/>
          <w:sz w:val="18"/>
          <w:szCs w:val="18"/>
          <w:color w:val="auto"/>
        </w:rPr>
        <w:t>”: a calendar quarter of a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each Loan Party, which period shall be the twelve (12) month period ending on June 30 of each year.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Foreign Recipient</w:t>
      </w:r>
      <w:r>
        <w:rPr>
          <w:rFonts w:ascii="Arial" w:cs="Arial" w:eastAsia="Arial" w:hAnsi="Arial"/>
          <w:sz w:val="17"/>
          <w:szCs w:val="17"/>
          <w:color w:val="auto"/>
        </w:rPr>
        <w:t>”: (a) if the Borrower is a U.S. Person, a Recipient that is not a U.S. Person, and (b) if the Borrower is not a U.S. Person, a Recipient that is resident or organized under the Laws of a jurisdiction other than that in which the Borrower is resident for tax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any Subsidiary other than a Domestic Subsidiary.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means shares of Parent Common Stock which were acquired by the Sponsors in a private placement concurrent with the Parent’s initial public offering.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Transfer Agreement</w:t>
      </w:r>
      <w:r>
        <w:rPr>
          <w:rFonts w:ascii="Arial" w:cs="Arial" w:eastAsia="Arial" w:hAnsi="Arial"/>
          <w:sz w:val="18"/>
          <w:szCs w:val="18"/>
          <w:color w:val="auto"/>
        </w:rPr>
        <w:t>”: that certain Share Purchase Agreement, dated as of the date hereof, by and among the Sponsors and the Lenders, as may be amended, restated, supplemented or otherwise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generally accepted accounting principles in the United States as in effect from time to time, subject to the provisions of </w:t>
      </w:r>
      <w:r>
        <w:rPr>
          <w:rFonts w:ascii="Arial" w:cs="Arial" w:eastAsia="Arial" w:hAnsi="Arial"/>
          <w:sz w:val="18"/>
          <w:szCs w:val="18"/>
          <w:u w:val="single" w:color="auto"/>
          <w:color w:val="auto"/>
        </w:rPr>
        <w:t>Section 1.2(e)</w:t>
      </w:r>
      <w:r>
        <w:rPr>
          <w:rFonts w:ascii="Arial" w:cs="Arial" w:eastAsia="Arial" w:hAnsi="Arial"/>
          <w:sz w:val="18"/>
          <w:szCs w:val="18"/>
          <w:color w:val="auto"/>
        </w:rPr>
        <w:t>, and applied on a consistent basis both as to classification of items and amounts.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w:t>
      </w:r>
      <w:r>
        <w:rPr>
          <w:rFonts w:ascii="Arial" w:cs="Arial" w:eastAsia="Arial" w:hAnsi="Arial"/>
          <w:sz w:val="18"/>
          <w:szCs w:val="18"/>
          <w:color w:val="auto"/>
        </w:rPr>
        <w:t>”: any consent, authorization, approval, order, license, franchise, permit, certificate, accreditation, registration, filing or notice, of, issued by, from or to, or other act by or in respect of, any Governmental Authority.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 Obligation</w:t>
      </w:r>
      <w:r>
        <w:rPr>
          <w:rFonts w:ascii="Arial" w:cs="Arial" w:eastAsia="Arial" w:hAnsi="Arial"/>
          <w:sz w:val="17"/>
          <w:szCs w:val="17"/>
          <w:color w:val="auto"/>
        </w:rPr>
        <w:t>”: as to any Person (the “</w:t>
      </w:r>
      <w:r>
        <w:rPr>
          <w:rFonts w:ascii="Arial" w:cs="Arial" w:eastAsia="Arial" w:hAnsi="Arial"/>
          <w:sz w:val="17"/>
          <w:szCs w:val="17"/>
          <w:b w:val="1"/>
          <w:bCs w:val="1"/>
          <w:i w:val="1"/>
          <w:iCs w:val="1"/>
          <w:color w:val="auto"/>
        </w:rPr>
        <w:t>guaranteeing person</w:t>
      </w:r>
      <w:r>
        <w:rPr>
          <w:rFonts w:ascii="Arial" w:cs="Arial" w:eastAsia="Arial" w:hAnsi="Arial"/>
          <w:sz w:val="17"/>
          <w:szCs w:val="17"/>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or a provider of a surety bond, performance bond or similar instrument) that guarantees or in effect guarantees, any Indebtedness, leases, dividends or other obligations (the “</w:t>
      </w:r>
      <w:r>
        <w:rPr>
          <w:rFonts w:ascii="Arial" w:cs="Arial" w:eastAsia="Arial" w:hAnsi="Arial"/>
          <w:sz w:val="17"/>
          <w:szCs w:val="17"/>
          <w:b w:val="1"/>
          <w:bCs w:val="1"/>
          <w:i w:val="1"/>
          <w:iCs w:val="1"/>
          <w:color w:val="auto"/>
        </w:rPr>
        <w:t>primary obligations</w:t>
      </w:r>
      <w:r>
        <w:rPr>
          <w:rFonts w:ascii="Arial" w:cs="Arial" w:eastAsia="Arial" w:hAnsi="Arial"/>
          <w:sz w:val="17"/>
          <w:szCs w:val="17"/>
          <w:color w:val="auto"/>
        </w:rPr>
        <w:t>”) of any other third Person (the “</w:t>
      </w:r>
      <w:r>
        <w:rPr>
          <w:rFonts w:ascii="Arial" w:cs="Arial" w:eastAsia="Arial" w:hAnsi="Arial"/>
          <w:sz w:val="17"/>
          <w:szCs w:val="17"/>
          <w:b w:val="1"/>
          <w:bCs w:val="1"/>
          <w:i w:val="1"/>
          <w:iCs w:val="1"/>
          <w:color w:val="auto"/>
        </w:rPr>
        <w:t>primary obligor</w:t>
      </w:r>
      <w:r>
        <w:rPr>
          <w:rFonts w:ascii="Arial" w:cs="Arial" w:eastAsia="Arial" w:hAnsi="Arial"/>
          <w:sz w:val="17"/>
          <w:szCs w:val="17"/>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Borrower in good faith.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(i) Parent and (ii) any Subsidiary of Parent that is not Borrower or an Immaterial Subsidiary.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Immaterial Subsidiary</w:t>
      </w:r>
      <w:r>
        <w:rPr>
          <w:rFonts w:ascii="Arial" w:cs="Arial" w:eastAsia="Arial" w:hAnsi="Arial"/>
          <w:sz w:val="17"/>
          <w:szCs w:val="17"/>
          <w:color w:val="auto"/>
        </w:rPr>
        <w:t xml:space="preserve">”: any Subsidiary of Borrower that (i) does not own assets that (x) have an aggregate book value in excess of five percent (5%) of the Parent’s and its Subsidiaries consolidated total assets, or (y) are material to the business of any Loan Party, and (ii) does not generate Touch Platform Revenue, Computer Vision Platform Revenue or Voice Platform Revenue in excess of five percent (5%) of all Touch Platform Revenue, Computer Vision Platform Revenue or Voice Platform Revenue, as applicable, of the Loan Parties in any monthly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such Subsidiary fails to satisfy any of the foregoing, such Subsidiary shall immediately cease to be an Immaterial Subsidiary.</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collectively, as to any Person at any time, any and all indebtedness, obligations or liabilities (whether matured or unmatured, liquidated or unliquidated, direct or indirect, absolute or contingent, or joint or several) of such Person for or in respect of: (a) all indebtedness for borrowed money, (b) all accounts due and payable and not yet paid ninety (90) days from the original due date, (c) all obligations for the deferred purchase price of property or services (other than current trade payables incurred in the ordinary course of business), (d) all obligations evidenced by notes, bonds, debentures or other similar instruments, (e) all indebtedness created or arising under any conditional sale or other title retention agreement with respect to property acquired (even though the rights and remedies of the seller or lender under such agreement in the event of default are limited to repossession or sale of such property), (f) all Capital Lease obligations and all synthetic lease obligations, (g) all obligations, contingent or otherwise, as an account party or applicant under or in respect of acceptances, letters of credit, surety bonds or similar arrangements, (h) all Guarantee Obligations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the property (including accounts and contract rights) owned by the applicable Person, whether or not such Person has assumed or become liable for the payment of such obligation, (j) the net obligations in respect of swap agreements, and (k) any Disqualified Equity Interests of such Person, and including, without limitation obligations described in the foregoing clauses (a) through (j) of any other entity to the extent the subject Person is liable therefor as a result of such Person’s ownership interest in or other relationship with such entity, except to the extent the terms of such obligations expressly provide that such Person is not liable therefor.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above,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as defined in the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the first day of each calendar month, commencing October 1, 2022, provided that if such day of any calendar month shall not be a Business Day, the Interest Payment Date with respect to any interest payable in cash shall be the next succeeding day thereafter that is a Business Day (it being understood that all payments of PIK Interest shall be deemed to have occurred on the first day of each calendar month, regardless of whether such date is a Business Day).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w:t>
      </w:r>
      <w:r>
        <w:rPr>
          <w:rFonts w:ascii="Arial" w:cs="Arial" w:eastAsia="Arial" w:hAnsi="Arial"/>
          <w:sz w:val="18"/>
          <w:szCs w:val="18"/>
          <w:color w:val="auto"/>
        </w:rPr>
        <w:t>”: fifteen percent (15%)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Knowledge</w:t>
      </w:r>
      <w:r>
        <w:rPr>
          <w:rFonts w:ascii="Arial" w:cs="Arial" w:eastAsia="Arial" w:hAnsi="Arial"/>
          <w:sz w:val="17"/>
          <w:szCs w:val="17"/>
          <w:color w:val="auto"/>
        </w:rPr>
        <w:t>”: the knowledge of any Responsible Officer, member of the Board, or any other senior executive, after reasonable inquiry.</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Laws</w:t>
      </w:r>
      <w:r>
        <w:rPr>
          <w:rFonts w:ascii="Arial" w:cs="Arial" w:eastAsia="Arial" w:hAnsi="Arial"/>
          <w:sz w:val="17"/>
          <w:szCs w:val="17"/>
          <w:color w:val="auto"/>
        </w:rPr>
        <w:t>”: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 as defined in the preamble hereto, and any other Person that shall have become party hereto pursuant to an assignment and assumption permitted hereby, other than any such Person that ceases to be a party hereto pursuant to an assignment and assumption permitted hereby.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this Agreement, the Security Documents, the Notes, the Warrant Subscription Agreement, the Warrants, the Founder Shares Transfer Agreement, the Registration Rights Agreement,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Loan Party</w:t>
      </w:r>
      <w:r>
        <w:rPr>
          <w:rFonts w:ascii="Arial" w:cs="Arial" w:eastAsia="Arial" w:hAnsi="Arial"/>
          <w:sz w:val="16"/>
          <w:szCs w:val="16"/>
          <w:color w:val="auto"/>
        </w:rPr>
        <w:t>”: Borrower, each Guarantor and any other Person that becomes obligated pursuant to a Loan Document, other than as a Lender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Make Whole Premium</w:t>
      </w:r>
      <w:r>
        <w:rPr>
          <w:rFonts w:ascii="Arial" w:cs="Arial" w:eastAsia="Arial" w:hAnsi="Arial"/>
          <w:sz w:val="17"/>
          <w:szCs w:val="17"/>
          <w:color w:val="auto"/>
        </w:rPr>
        <w:t>”: in connection with the applicable payment, prepayment or repayment of the principal amount of the Term Loan or any distribution on account thereof (whether prior to or after acceleration and from any Person, including in connection with any insolvency proceeding), an amount equal to the interest and fees that would have accrued on the aggregate principal amount of the Term Loan (including any interest that could have been capitalized as PIK Interest during such period) from the date of payment through March 21, 2024.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Margin Stock</w:t>
      </w:r>
      <w:r>
        <w:rPr>
          <w:rFonts w:ascii="Arial" w:cs="Arial" w:eastAsia="Arial" w:hAnsi="Arial"/>
          <w:sz w:val="18"/>
          <w:szCs w:val="18"/>
          <w:color w:val="auto"/>
        </w:rPr>
        <w:t>”: margin stock within the meaning of Regulations T, U and 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(a) a material adverse change in, or a material adverse effect on (i) the operations, business, Collateral, liabilities (actual or contingent) or condition of the Loan Parties (financial or otherwise), taken as a whole, (ii) the perfection or priority of any Lien granted to Agent under any of the Loan Documents or (iii) the value, validity, enforceability or collectability of any Collateral; (b) a material impairment of the rights and remedies of Agent or any Lender under any Loan Document, or of the ability of Borrower or any other Loan Party to perform its respective Obligations under any Loan Document to which it is a party; or (c) a material adverse effect upon the legality, validity, binding effect or enforceability against any Loan Party of any Loan Document to which it is a party.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 xml:space="preserve">”: each Contractual Obligation of any Loan Party that is (i) listed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(including any renewals or replacements thereof) or (ii) is otherwise material to the continued operation of the business of such Loan Party and for which either (a) amounts received or paid thereunder is equal to or exceeds $2,500,000 in any Fiscal Year with respect to any Material Contract or (b) a breach or default could reasonably be expected to result in a Material Adverse Effect.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Maturity Date</w:t>
      </w:r>
      <w:r>
        <w:rPr>
          <w:rFonts w:ascii="Arial" w:cs="Arial" w:eastAsia="Arial" w:hAnsi="Arial"/>
          <w:sz w:val="17"/>
          <w:szCs w:val="17"/>
          <w:color w:val="auto"/>
        </w:rPr>
        <w:t>”: the earlier of (a) March 21, 2025, and (b) the date upon which the Obligations are accelerated in accordance with the terms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Metropolitan</w:t>
      </w:r>
      <w:r>
        <w:rPr>
          <w:rFonts w:ascii="Arial" w:cs="Arial" w:eastAsia="Arial" w:hAnsi="Arial"/>
          <w:sz w:val="18"/>
          <w:szCs w:val="18"/>
          <w:color w:val="auto"/>
        </w:rPr>
        <w:t>”: Agent, Lenders, and each of their Affiliates and Approved Funds.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Unrestricted Cash Amount</w:t>
      </w:r>
      <w:r>
        <w:rPr>
          <w:rFonts w:ascii="Arial" w:cs="Arial" w:eastAsia="Arial" w:hAnsi="Arial"/>
          <w:sz w:val="18"/>
          <w:szCs w:val="18"/>
          <w:color w:val="auto"/>
        </w:rPr>
        <w:t xml:space="preserve">”: as of any date of determination, an amount equal to: (a) the operating expenses of the Loan Parties and their Subsidiaries determined on a consolidated basis for the six (6) consecutive month period ending on such date of determination, as set forth in the financial statements most recently delivered pursuant to </w:t>
      </w:r>
      <w:r>
        <w:rPr>
          <w:rFonts w:ascii="Arial" w:cs="Arial" w:eastAsia="Arial" w:hAnsi="Arial"/>
          <w:sz w:val="18"/>
          <w:szCs w:val="18"/>
          <w:u w:val="single" w:color="auto"/>
          <w:color w:val="auto"/>
        </w:rPr>
        <w:t>Sections 5.1(c)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$1,100,000.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any employee benefit plan of the type described in Section 4001(a)(3) of ERISA, to which a Loan Party or any ERISA Affiliate makes or is obligated to make contributions, during the preceding five plan years has made or been obligated to make contributions, or has any liability.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 Proceeds</w:t>
      </w:r>
      <w:r>
        <w:rPr>
          <w:rFonts w:ascii="Arial" w:cs="Arial" w:eastAsia="Arial" w:hAnsi="Arial"/>
          <w:sz w:val="16"/>
          <w:szCs w:val="16"/>
          <w:color w:val="auto"/>
        </w:rPr>
        <w:t>”: with respect to any transaction or event, an amount equal to the cash proceeds received by any Loan Party from or in respect of such transaction or event (including cash proceeds resulting from any non-cash proceeds received in connection with such transaction or a related transaction), less: (i) any direct costs (including any reasonable and documented legal, accounting or other advisor fees or expenses), commissions and out-of-pocket expenses paid to any Person that is not an Affiliate that are reasonably and actually incurred by such Loan Party solely in connection therewith;</w:t>
      </w:r>
    </w:p>
    <w:p>
      <w:pPr>
        <w:spacing w:after="0" w:line="1" w:lineRule="exact"/>
        <w:rPr>
          <w:sz w:val="20"/>
          <w:szCs w:val="20"/>
          <w:color w:val="auto"/>
        </w:rPr>
      </w:pPr>
    </w:p>
    <w:p>
      <w:pPr>
        <w:jc w:val="both"/>
        <w:ind w:firstLine="8"/>
        <w:spacing w:after="0" w:line="268" w:lineRule="auto"/>
        <w:tabs>
          <w:tab w:leader="none" w:pos="2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 the case of an asset disposition, casualty or other insured damage, the amount of any Indebtedness secured by a Lien on the related asset and discharged from the proceeds of such asset disposition, casualty or other insured damage; (iii) any Taxes or Tax Distributions to the extent permitted hereunder paid or reasonably estimated by Loan Party to be payable by such Person or such Loan Party in respect of such asset disposition, casualty or other insured damage;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actual amount of Taxes paid or taken into account in computing a Tax Distribution is less than the estimated amount, the difference shall constitute Net Cash Proceeds; and (iv) with respect to any issuance or sale of Permitted Cure Securities in connection with an equity cure made pursuant to </w:t>
      </w:r>
      <w:r>
        <w:rPr>
          <w:rFonts w:ascii="Arial" w:cs="Arial" w:eastAsia="Arial" w:hAnsi="Arial"/>
          <w:sz w:val="17"/>
          <w:szCs w:val="17"/>
          <w:u w:val="single" w:color="auto"/>
          <w:color w:val="auto"/>
        </w:rPr>
        <w:t>Section 6.17(c)</w:t>
      </w:r>
      <w:r>
        <w:rPr>
          <w:rFonts w:ascii="Arial" w:cs="Arial" w:eastAsia="Arial" w:hAnsi="Arial"/>
          <w:sz w:val="17"/>
          <w:szCs w:val="17"/>
          <w:color w:val="auto"/>
        </w:rPr>
        <w:t xml:space="preserve"> in respect of a failure to satisfy the financial covenant in </w:t>
      </w:r>
      <w:r>
        <w:rPr>
          <w:rFonts w:ascii="Arial" w:cs="Arial" w:eastAsia="Arial" w:hAnsi="Arial"/>
          <w:sz w:val="17"/>
          <w:szCs w:val="17"/>
          <w:u w:val="single" w:color="auto"/>
          <w:color w:val="auto"/>
        </w:rPr>
        <w:t>Section 6.17(b)</w:t>
      </w:r>
      <w:r>
        <w:rPr>
          <w:rFonts w:ascii="Arial" w:cs="Arial" w:eastAsia="Arial" w:hAnsi="Arial"/>
          <w:sz w:val="17"/>
          <w:szCs w:val="17"/>
          <w:color w:val="auto"/>
        </w:rPr>
        <w:t>, the aggregate cash proceeds received by Parent or its Affiliate pursuant to such issuance or sale, net of the direct costs relating to such issuance or sale (including sales and underwriters’ commissions and any reasonable and documented legal, accounting or other advisor fees or expenses) and Taxes paid or reasonably estimated in good faith by Parent or such Affiliate to be actually payable as a result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Leverage Ratio</w:t>
      </w:r>
      <w:r>
        <w:rPr>
          <w:rFonts w:ascii="Arial" w:cs="Arial" w:eastAsia="Arial" w:hAnsi="Arial"/>
          <w:sz w:val="18"/>
          <w:szCs w:val="18"/>
          <w:color w:val="auto"/>
        </w:rPr>
        <w:t xml:space="preserve">”: the ratio, as of any date of determination, of (a) (i) the outstanding principal amount of the Term Loan (including any capitalized and accrued PIK Interest)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Unrestricted Cash, to (b) Annual Platform Revenue of the Loan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Borrowing</w:t>
      </w:r>
      <w:r>
        <w:rPr>
          <w:rFonts w:ascii="Arial" w:cs="Arial" w:eastAsia="Arial" w:hAnsi="Arial"/>
          <w:sz w:val="18"/>
          <w:szCs w:val="18"/>
          <w:color w:val="auto"/>
        </w:rPr>
        <w:t xml:space="preserve">”: a notice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 the unpaid principal of and interest on (including interest accruing after the maturity of the Term Loan and interest accruing after the filing of any petition in bankruptcy, or the commencement of any insolvency, reorganization or like proceeding, relating to any Loan Party, whether or not a claim for post-filing or post-petition interest is allowed in such proceeding) the Term Loan, and (b) all other obligations and liabilities of any Loan Party to Agent or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reasonable and documented fees, charges and disbursements of counsel to Agent and the Lenders that are required to be paid by any Loan Party pursuant to any Loan Document) or otherwise, including, without limitation, the Loan Parties’ obligations to pay, discharge and satisfy the Erroneous Payment Subrogation Rights.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Official Body</w:t>
      </w:r>
      <w:r>
        <w:rPr>
          <w:rFonts w:ascii="Arial" w:cs="Arial" w:eastAsia="Arial" w:hAnsi="Arial"/>
          <w:sz w:val="18"/>
          <w:szCs w:val="18"/>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Documents</w:t>
      </w:r>
      <w:r>
        <w:rPr>
          <w:rFonts w:ascii="Arial" w:cs="Arial" w:eastAsia="Arial" w:hAnsi="Arial"/>
          <w:sz w:val="18"/>
          <w:szCs w:val="18"/>
          <w:color w:val="auto"/>
        </w:rPr>
        <w:t>”: for any Person as of any date, such Person’s constitutional documents, formation documents and/or certificate of incorporation (or equivalent thereof), as certified (if applicable) by such Person’s jurisdiction of incorporation or formation as of a recent date, and any stockholders agreements or other applicable documents relating to such Person’s formation, organization or operation,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the Term Loan or Loan Document).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as defined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Parent’s common stock, par value $0.0001 per share, which are currently trading on the Nasdaq Stock Market under the ticker symbol “PRST” (and formerly trading on the Nasdaq Stock Market under the ticker symbol “VTAQ”).</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Subordinated Indebtedness</w:t>
      </w:r>
      <w:r>
        <w:rPr>
          <w:rFonts w:ascii="Arial" w:cs="Arial" w:eastAsia="Arial" w:hAnsi="Arial"/>
          <w:sz w:val="18"/>
          <w:szCs w:val="18"/>
          <w:color w:val="auto"/>
        </w:rPr>
        <w:t>”: any Subordinated Indebtedness issued by Parent and not guaranteed by any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8.6(c)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the Uniting and Strengthening America by Providing Appropriate Tools Required to Intercept and Obstruct Terrorism (USA PATRIOT ACT) Act of 2001, Title III of Pub. L. 107-56, signed into law October 26,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Notice</w:t>
      </w:r>
      <w:r>
        <w:rPr>
          <w:rFonts w:ascii="Arial" w:cs="Arial" w:eastAsia="Arial" w:hAnsi="Arial"/>
          <w:sz w:val="18"/>
          <w:szCs w:val="18"/>
          <w:color w:val="auto"/>
        </w:rPr>
        <w:t xml:space="preserve">”: means a notice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Recipient</w:t>
      </w:r>
      <w:r>
        <w:rPr>
          <w:rFonts w:ascii="Arial" w:cs="Arial" w:eastAsia="Arial" w:hAnsi="Arial"/>
          <w:sz w:val="18"/>
          <w:szCs w:val="18"/>
          <w:color w:val="auto"/>
        </w:rPr>
        <w:t>”: as defined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the Pension Benefit Guaranty Corporation.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Funding Rules</w:t>
      </w:r>
      <w:r>
        <w:rPr>
          <w:rFonts w:ascii="Arial" w:cs="Arial" w:eastAsia="Arial" w:hAnsi="Arial"/>
          <w:sz w:val="18"/>
          <w:szCs w:val="18"/>
          <w:color w:val="auto"/>
        </w:rPr>
        <w:t>”: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Pension Plan</w:t>
      </w:r>
      <w:r>
        <w:rPr>
          <w:rFonts w:ascii="Arial" w:cs="Arial" w:eastAsia="Arial" w:hAnsi="Arial"/>
          <w:sz w:val="18"/>
          <w:szCs w:val="18"/>
          <w:color w:val="auto"/>
        </w:rPr>
        <w:t>”: any employee pension benefit plan as defined in Section 3(2) of ERISA, other than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Acquisition</w:t>
      </w:r>
      <w:r>
        <w:rPr>
          <w:rFonts w:ascii="Arial" w:cs="Arial" w:eastAsia="Arial" w:hAnsi="Arial"/>
          <w:sz w:val="18"/>
          <w:szCs w:val="18"/>
          <w:color w:val="auto"/>
        </w:rPr>
        <w:t>”: (i) in the case of any Acquisition where the aggregate cash consideration does not exceed $1,000,000, such Acquisition is approved in writing by Agent (such approval not to be unreasonably withheld, conditioned or delayed) or (ii) in the case of any other Acquisition, such Acquisition is approved in writing by Agent in its sole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Cure Securities</w:t>
      </w:r>
      <w:r>
        <w:rPr>
          <w:rFonts w:ascii="Arial" w:cs="Arial" w:eastAsia="Arial" w:hAnsi="Arial"/>
          <w:sz w:val="16"/>
          <w:szCs w:val="16"/>
          <w:color w:val="auto"/>
        </w:rPr>
        <w:t>”: any (i) Parent Subordinated Indebtedness or (ii) equity security of Parent (other than Disqualified Equity Interests).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Discretion</w:t>
      </w:r>
      <w:r>
        <w:rPr>
          <w:rFonts w:ascii="Arial" w:cs="Arial" w:eastAsia="Arial" w:hAnsi="Arial"/>
          <w:sz w:val="18"/>
          <w:szCs w:val="18"/>
          <w:color w:val="auto"/>
        </w:rPr>
        <w:t>”: a determination or judgment made in good faith in the exercise of commercially reasonable (from the perspective of a secured lender) credit or business judgment.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jc w:val="both"/>
        <w:ind w:left="644" w:hanging="644"/>
        <w:spacing w:after="0" w:line="301" w:lineRule="auto"/>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Indebtedness as described in attached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and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57" w:lineRule="exact"/>
        <w:rPr>
          <w:rFonts w:ascii="Arial" w:cs="Arial" w:eastAsia="Arial" w:hAnsi="Arial"/>
          <w:sz w:val="16"/>
          <w:szCs w:val="16"/>
          <w:color w:val="auto"/>
        </w:rPr>
      </w:pPr>
    </w:p>
    <w:p>
      <w:pPr>
        <w:jc w:val="both"/>
        <w:ind w:left="644" w:hanging="644"/>
        <w:spacing w:after="0" w:line="293" w:lineRule="auto"/>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Indebtedness incurred in connection with (i) existing Capital Leases as of the Closing Date, or (ii) the granting of any Purchase Money Security Interest or Capital Leases (other than existing Capital Leases as of the Closing Date) in an aggregate amount not exceeding $1,000,000 at any time outstanding, and in the case of clause (i), any renewals or refinancing of such Indebtedness in amounts not exceeding the scheduled amounts (less any required amortization according to the terms thereof or other payments made reducing the principal amount of such Indebtedness) on substantially the same or better terms for Borrower as in effect on the Closing Date, with a maturity date not less than the maturity date of the debt being renewed or refinanced and otherwise in compliance with this Agreement;</w:t>
      </w:r>
    </w:p>
    <w:p>
      <w:pPr>
        <w:spacing w:after="0" w:line="164"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Guarantee Obligations on (i) Indebtedness under the Loan Documents, (ii) of any refinancing of such Indebtedness, (iii) on Indebtedness of a Loan Party otherwise permitted pursuant to this definition of Permitted Indebtedness or (iv) real property leases of any Loan Party or its Subsidiaries;</w:t>
      </w:r>
    </w:p>
    <w:p>
      <w:pPr>
        <w:spacing w:after="0" w:line="183" w:lineRule="exact"/>
        <w:rPr>
          <w:rFonts w:ascii="Arial" w:cs="Arial" w:eastAsia="Arial" w:hAnsi="Arial"/>
          <w:sz w:val="18"/>
          <w:szCs w:val="18"/>
          <w:color w:val="auto"/>
        </w:rPr>
      </w:pPr>
    </w:p>
    <w:p>
      <w:pPr>
        <w:jc w:val="both"/>
        <w:ind w:left="644" w:right="20" w:hanging="644"/>
        <w:spacing w:after="0" w:line="263"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unsecured Indebtedness of any Loan Party (other than Parent) owed to Borrower or any other Guarantor, so long as such Indebtedness is subject to a master intercompany note in form and substance satisfactory to the Agent in its Permitted Discretion and pledged to the Agent as Collateral;</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incurred in connection with the endorsement of instruments for deposit in the ordinary course of business and Indebtedness in respect of bank overdrafts or returned items, netting services, automatic clearinghouse arrangements and other cash management and similar arrangements incurred in the ordinary course of business;</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Indebtedness not otherwise permitted hereunder in an aggregate principal amount not to exceed $500,000 at any time outstanding;</w:t>
      </w:r>
    </w:p>
    <w:p>
      <w:pPr>
        <w:spacing w:after="0" w:line="248"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trade indebtedness incurred on usual and customary terms in the ordinary course of business and consistent with past practice (including, without limitation, incurred and paid through third-party credit card service providers);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consisting of reasonable deferred compensation payable to current or former employees incurred in the ordinary course of business;</w:t>
      </w:r>
    </w:p>
    <w:p>
      <w:pPr>
        <w:spacing w:after="0" w:line="38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9" w:name="page80"/>
    <w:bookmarkEnd w:id="79"/>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with respect to workers compensation and health, disability and other employee benefits;</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unsecured Indebtedness under that certain Customer Performance Agreement, originally dated April 27, 2021, between the Borrower and Nirvana Funding II, LLC, as in effect on the date hereof (the “</w:t>
      </w:r>
      <w:r>
        <w:rPr>
          <w:rFonts w:ascii="Arial" w:cs="Arial" w:eastAsia="Arial" w:hAnsi="Arial"/>
          <w:sz w:val="16"/>
          <w:szCs w:val="16"/>
          <w:b w:val="1"/>
          <w:bCs w:val="1"/>
          <w:i w:val="1"/>
          <w:iCs w:val="1"/>
          <w:color w:val="auto"/>
        </w:rPr>
        <w:t>Nirvana Debt</w:t>
      </w:r>
      <w:r>
        <w:rPr>
          <w:rFonts w:ascii="Arial" w:cs="Arial" w:eastAsia="Arial" w:hAnsi="Arial"/>
          <w:sz w:val="16"/>
          <w:szCs w:val="16"/>
          <w:color w:val="auto"/>
        </w:rPr>
        <w:t xml:space="preserve">”) in an outstanding principal investment amount not to exceed (i) $6,000,000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aggregate amount all principal investment repayments made thereon from and after the Closing Date;</w:t>
      </w:r>
    </w:p>
    <w:p>
      <w:pPr>
        <w:spacing w:after="0" w:line="1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incurred pursuant to hedging agreements entered into in the ordinary course of business to manage interest rates or currency risk;</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 and in an aggregate amount not to exceed $500,000 at any time outstanding;</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Indebtedness arising from corporate credit cards and merchant services arrangements in the ordinary course of business in an aggregate amount not to exceed $500,000 at any time outstanding;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Subordinated Indebtedness;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indebtedness incurred by a Loan Party that has been approved in writing by the Agent, in its sole discretion.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9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statutory Liens for Taxes not yet due or Liens for Taxes that are being contested in good faith by appropriate proceedings which stay the enforcement of any Lien resulting from the non-payment of such Taxes; provided, that adequate reserves have been set aside for the payment thereof by the Loan Parties in conformity with GAAP;</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created pursuant to the Security Documents or any other Loan Document;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judgment Liens that do not constitute an Event of Default under Section 7.1(f) of this Agreement;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the Loan Parties,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56"/>
        <w:spacing w:after="0" w:line="259" w:lineRule="auto"/>
        <w:tabs>
          <w:tab w:leader="none" w:pos="9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Liens securing Permitted Indebtedness described in item (b) of the definition thereof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hereto to the extent existing on the Closing Date; provided, that with respect to any refinancing thereof, such continuations or renewals do not extend to any additional property or assets of any Loan Party or secure any additional obligations, other than as set forth in item (b) of the definition of Permitted Indebtedness or as set forth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Liens or other like Liens arising in the ordinary course of business which secure obligations that are not overdue for a period of more than thirty (30) days or are being contested in good faith by appropriate proceedings, provided, that (i) in the case of any such contest, enforcement of such Liens has been suspended and (ii) appropriate reserves have been made on the books of such Person as may be required by GAAP, consistently applied, therefor;</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arising in connection with worker’s compensation, unemployment insurance, old age pensions and social security benefits and similar statutory obligations which are not overdue for a period of more than thirty (30) days or are being contested in good faith by appropriate proceedings diligently pursued; provided, that in the case of any such contest (i) any proceedings commenced for the enforcement of such Liens shall have been duly suspended and (ii) such provision for the payment of such Liens has been made on the books of such Person as may be required by GAAP, consistently applied;</w:t>
      </w:r>
    </w:p>
    <w:p>
      <w:pPr>
        <w:spacing w:after="0" w:line="187"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entered into by any Loan Party in the ordinary course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non-exclusive licenses of Intellectual Property entered into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8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securing Indebtedness permitted pursuant to clause (b) of the definition of “Permitted Indebtedness” so long as such Liens attach only to the assets purchased with the proceeds of such Indebtedness and not any other assets or property of any Loan Party;</w:t>
      </w:r>
    </w:p>
    <w:p>
      <w:pPr>
        <w:spacing w:after="0" w:line="170" w:lineRule="exact"/>
        <w:rPr>
          <w:rFonts w:ascii="Arial" w:cs="Arial" w:eastAsia="Arial" w:hAnsi="Arial"/>
          <w:sz w:val="18"/>
          <w:szCs w:val="18"/>
          <w:color w:val="auto"/>
        </w:rPr>
      </w:pPr>
    </w:p>
    <w:p>
      <w:pPr>
        <w:ind w:right="20" w:firstLine="656"/>
        <w:spacing w:after="0" w:line="277" w:lineRule="auto"/>
        <w:tabs>
          <w:tab w:leader="none" w:pos="9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pledges and deposits in an aggregate amount not to exceed $500,000 securing obligations permitted under clause (n) of the definition of “Permitted Indebtedness”;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cash deposits held by a third-party landlord and Liens on such cash deposits to secure lease obligations in the ordinary course of business; and</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Liens which have been approved in writing by the Agent, in its sole discretion.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any natural person, corporation, limited liability company, trust, joint venture, association, company, partnership, Governmental Authority or other entity.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PIK Interest</w:t>
      </w:r>
      <w:r>
        <w:rPr>
          <w:rFonts w:ascii="Arial" w:cs="Arial" w:eastAsia="Arial" w:hAnsi="Arial"/>
          <w:sz w:val="18"/>
          <w:szCs w:val="18"/>
          <w:color w:val="auto"/>
        </w:rPr>
        <w:t>”: shall mean interest accrued with respect to the Term Loan that is paid in kind, and not in cash, by capitalizing such interest as principal of the outstanding Term Loan as provided herein.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PIK Limit</w:t>
      </w:r>
      <w:r>
        <w:rPr>
          <w:rFonts w:ascii="Arial" w:cs="Arial" w:eastAsia="Arial" w:hAnsi="Arial"/>
          <w:sz w:val="18"/>
          <w:szCs w:val="18"/>
          <w:color w:val="auto"/>
        </w:rPr>
        <w:t>”: with request to any payment of interest due on any Interest Payment Date, an amount equal to (a) with respect to any Interest Payment Date occurring on or before the date that is six (6) months after the Closing Date, one hundred percent (100%) of such payment of interest (exclusive of the portion of such interest attributable to the implementation of the Default Rate or Protective Advance Rate, if any), (b) with respect to any Interest Payment Date occurring after the date that is six (6) months after the Closing Date, but on or before the date that is eighteen (18) months after the Closing Date, fifty percent (50%) of such payment of interest (exclusive of the portion of such interest attributable to the implementation of the Default Rate or Protective Advance Rate, if any), and (c) with respect to any Interest Payment Date occurring after the date that is eighteen (18) months after the Closing Date, zero percent of such payment of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PIPE Transactions</w:t>
      </w:r>
      <w:r>
        <w:rPr>
          <w:rFonts w:ascii="Arial" w:cs="Arial" w:eastAsia="Arial" w:hAnsi="Arial"/>
          <w:sz w:val="16"/>
          <w:szCs w:val="16"/>
          <w:color w:val="auto"/>
        </w:rPr>
        <w:t>”: the closing of “PIPE” equity investments of $55,000,000 in Parent contemplated by the SPAC Subscription Agreements.</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any employee benefit plan within the meaning of Section 3(3) of ERISA, maintained for employees of a Loan Party or any Subsidiary, or any such plan to which a Loan Party or any Subsidiary is required to contribute on behalf of any of its employees or with respect to which such Loan Party has any liability.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 Loans</w:t>
      </w:r>
      <w:r>
        <w:rPr>
          <w:rFonts w:ascii="Arial" w:cs="Arial" w:eastAsia="Arial" w:hAnsi="Arial"/>
          <w:sz w:val="18"/>
          <w:szCs w:val="18"/>
          <w:color w:val="auto"/>
        </w:rPr>
        <w:t>”: (i) the 2020 PPP Loan , and (ii) the 2021 PPP Loan.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Prepayment Event</w:t>
      </w:r>
      <w:r>
        <w:rPr>
          <w:rFonts w:ascii="Arial" w:cs="Arial" w:eastAsia="Arial" w:hAnsi="Arial"/>
          <w:sz w:val="17"/>
          <w:szCs w:val="17"/>
          <w:color w:val="auto"/>
        </w:rPr>
        <w:t xml:space="preserve">”: any (a) any sale, transfer or other disposition (including pursuant to a sale and leaseback transaction) of any property or asset of any Loan Party outside of the ordinary course of business in excess of $500,000 in the aggregate during any Fiscal Year, (b) casualty or other insured damage to, or any taking under power of eminent domain or by condemnation or similar proceeding of, any property or asset of any Loan Party in excess of $500,000 in the aggregate during any Fiscal Year, (c) the incurrence by any Loan Party of any Indebtedness other than Indebtedness permitted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(d) the occurrence of a Change of Control, (e) any equity cure made pursuant to </w:t>
      </w:r>
      <w:r>
        <w:rPr>
          <w:rFonts w:ascii="Arial" w:cs="Arial" w:eastAsia="Arial" w:hAnsi="Arial"/>
          <w:sz w:val="17"/>
          <w:szCs w:val="17"/>
          <w:u w:val="single" w:color="auto"/>
          <w:color w:val="auto"/>
        </w:rPr>
        <w:t>Section 6.17(c)</w:t>
      </w:r>
      <w:r>
        <w:rPr>
          <w:rFonts w:ascii="Arial" w:cs="Arial" w:eastAsia="Arial" w:hAnsi="Arial"/>
          <w:sz w:val="17"/>
          <w:szCs w:val="17"/>
          <w:color w:val="auto"/>
        </w:rPr>
        <w:t xml:space="preserve"> in respect of a failure to satisfy the financial covenants in </w:t>
      </w:r>
      <w:r>
        <w:rPr>
          <w:rFonts w:ascii="Arial" w:cs="Arial" w:eastAsia="Arial" w:hAnsi="Arial"/>
          <w:sz w:val="17"/>
          <w:szCs w:val="17"/>
          <w:u w:val="single" w:color="auto"/>
          <w:color w:val="auto"/>
        </w:rPr>
        <w:t>Section 6.17(b)</w:t>
      </w:r>
      <w:r>
        <w:rPr>
          <w:rFonts w:ascii="Arial" w:cs="Arial" w:eastAsia="Arial" w:hAnsi="Arial"/>
          <w:sz w:val="17"/>
          <w:szCs w:val="17"/>
          <w:color w:val="auto"/>
        </w:rPr>
        <w:t>, (f) borrower’s receipt of the proceeds of any business interruption insurance, and (g) any receipt by a Loan Party of any Extraordinary Receipt in excess of $500,000 in the aggregate during any Fiscal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Presto</w:t>
      </w:r>
      <w:r>
        <w:rPr>
          <w:rFonts w:ascii="Arial" w:cs="Arial" w:eastAsia="Arial" w:hAnsi="Arial"/>
          <w:sz w:val="18"/>
          <w:szCs w:val="18"/>
          <w:color w:val="auto"/>
        </w:rPr>
        <w:t>”: as defined in the preamble hereto, and shall include its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Market</w:t>
      </w:r>
      <w:r>
        <w:rPr>
          <w:rFonts w:ascii="Arial" w:cs="Arial" w:eastAsia="Arial" w:hAnsi="Arial"/>
          <w:sz w:val="18"/>
          <w:szCs w:val="18"/>
          <w:color w:val="auto"/>
        </w:rPr>
        <w:t>”: any Eligible Market, or any national securities exchange, market or trading or quotation facility on which the common stock of the Parent is then listed or quoted.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Debt</w:t>
      </w:r>
      <w:r>
        <w:rPr>
          <w:rFonts w:ascii="Arial" w:cs="Arial" w:eastAsia="Arial" w:hAnsi="Arial"/>
          <w:sz w:val="16"/>
          <w:szCs w:val="16"/>
          <w:color w:val="auto"/>
        </w:rPr>
        <w:t>”: all Indebtedness and other obligations of Borrower (or any of them) owing to (i) Horizon Technology Finance Corporation under that certain Venture Loan and Security Agreement, originally dated as of March 5, 2021, and (ii) to Lago Innovation Fund, LLC and Lago Innovation Fund II, LLC under that certain Venture Loan and Security Agreement, dated as of March 11, 2022, in each case as it may have been amended from time to time.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Protective Advance</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2.6(f)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Money Security Interest</w:t>
      </w:r>
      <w:r>
        <w:rPr>
          <w:rFonts w:ascii="Arial" w:cs="Arial" w:eastAsia="Arial" w:hAnsi="Arial"/>
          <w:sz w:val="17"/>
          <w:szCs w:val="17"/>
          <w:color w:val="auto"/>
        </w:rPr>
        <w:t xml:space="preserve">”: Liens upon tangible personal property (including the proceeds thereof) securing loans to the Loan Parties or deferred payments (including, without limitation, capitalized lease obligations under GAAP) by the Loan Parties for the purchase or capital lease of such tangible personal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security interest does not encumber any asset except the assets purchased (and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security interest does not secure obligations in excess of such purchase price or deferred payments; provided that notwithstanding anything to the contrary, “Purchase Money Security Interest” does not include Capital Leases.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w:t>
      </w:r>
      <w:r>
        <w:rPr>
          <w:rFonts w:ascii="Arial" w:cs="Arial" w:eastAsia="Arial" w:hAnsi="Arial"/>
          <w:sz w:val="18"/>
          <w:szCs w:val="18"/>
          <w:color w:val="auto"/>
        </w:rPr>
        <w:t>”: any Equity Interest issued by any Loan Party that is not a Disqualified Equity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the Agent, any Lender or any other financial institution party hereto, or to an arrangement contemplated hereby, that is the recipient of any payment to be made by or on account of any Obligations of any Loan Party 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that certain Amended and Restated Registration Rights Agreement, dated as of the date hereof, by and among Parent, the Sponsors, Lenders and certain other Parent stockholders party thereto, as may be amended, restated, supplemented or otherwise modified from time to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T</w:t>
      </w:r>
      <w:r>
        <w:rPr>
          <w:rFonts w:ascii="Arial" w:cs="Arial" w:eastAsia="Arial" w:hAnsi="Arial"/>
          <w:sz w:val="18"/>
          <w:szCs w:val="18"/>
          <w:color w:val="auto"/>
        </w:rPr>
        <w:t>”: Regulation T of the Board, as in effect from time to time and all official rulings and interpretations thereunder or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U</w:t>
      </w:r>
      <w:r>
        <w:rPr>
          <w:rFonts w:ascii="Arial" w:cs="Arial" w:eastAsia="Arial" w:hAnsi="Arial"/>
          <w:sz w:val="18"/>
          <w:szCs w:val="18"/>
          <w:color w:val="auto"/>
        </w:rPr>
        <w:t>”: Regulation U of the Board as in effect from time to time and all official rulings and interpretations thereunder or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X</w:t>
      </w:r>
      <w:r>
        <w:rPr>
          <w:rFonts w:ascii="Arial" w:cs="Arial" w:eastAsia="Arial" w:hAnsi="Arial"/>
          <w:sz w:val="17"/>
          <w:szCs w:val="17"/>
          <w:color w:val="auto"/>
        </w:rPr>
        <w:t>”: Regulation X of the Board, as in effect from time to time and all official rulings and interpretations thereunder or thereof.</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with respect to any Person, such Person’s Affiliates and the members, partners, directors, officers, trustees, managers, representatives, attorneys, equity owners, professional consultants, portfolio management services, employees, agents and advisors of such Person and of such Person’s Affiliates.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Reportable Event</w:t>
      </w:r>
      <w:r>
        <w:rPr>
          <w:rFonts w:ascii="Arial" w:cs="Arial" w:eastAsia="Arial" w:hAnsi="Arial"/>
          <w:sz w:val="16"/>
          <w:szCs w:val="16"/>
          <w:color w:val="auto"/>
        </w:rPr>
        <w:t>”: any of the events set forth in Section 4043(c) of ERISA, other than events for which the thirty-day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Lenders</w:t>
      </w:r>
      <w:r>
        <w:rPr>
          <w:rFonts w:ascii="Arial" w:cs="Arial" w:eastAsia="Arial" w:hAnsi="Arial"/>
          <w:sz w:val="18"/>
          <w:szCs w:val="18"/>
          <w:color w:val="auto"/>
        </w:rPr>
        <w:t xml:space="preserve">”: Lenders having more than 50% of the aggregate outstanding amount of the Term Loan on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so long as Metropolitan holds any Term Loan, Required Lenders shall include Metropolitan.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Requirement of Law</w:t>
      </w:r>
      <w:r>
        <w:rPr>
          <w:rFonts w:ascii="Arial" w:cs="Arial" w:eastAsia="Arial" w:hAnsi="Arial"/>
          <w:sz w:val="18"/>
          <w:szCs w:val="18"/>
          <w:color w:val="auto"/>
        </w:rPr>
        <w:t>”: as to any Person, the Operating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the chief executive officer or the chief financial officer of the applicable Loan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the United States Securities and Exchange Commission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the Securities Act of 1933, as amended, or any similar federal statute, and the rules and regulations thereunder as the same shall be in effect at the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Accounts</w:t>
      </w:r>
      <w:r>
        <w:rPr>
          <w:rFonts w:ascii="Arial" w:cs="Arial" w:eastAsia="Arial" w:hAnsi="Arial"/>
          <w:sz w:val="18"/>
          <w:szCs w:val="18"/>
          <w:color w:val="auto"/>
        </w:rPr>
        <w:t>”: all “securities accounts” as defined in Article 8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Agreement</w:t>
      </w:r>
      <w:r>
        <w:rPr>
          <w:rFonts w:ascii="Arial" w:cs="Arial" w:eastAsia="Arial" w:hAnsi="Arial"/>
          <w:sz w:val="18"/>
          <w:szCs w:val="18"/>
          <w:color w:val="auto"/>
        </w:rPr>
        <w:t>”: that certain Guarantee and Collateral Agreement, dated as of the date hereof, by and among the Borrower, the other Loan Parties, and Agent, as may be amended, restated, supplemented or otherwise modified from time to time.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Documents</w:t>
      </w:r>
      <w:r>
        <w:rPr>
          <w:rFonts w:ascii="Arial" w:cs="Arial" w:eastAsia="Arial" w:hAnsi="Arial"/>
          <w:sz w:val="17"/>
          <w:szCs w:val="17"/>
          <w:color w:val="auto"/>
        </w:rPr>
        <w:t>”: the collective reference to the Security Agreement, any Control Agreement, any Collateral Access Agreement and all other security documents hereafter delivered to Agent granting a Lien on any property of any Person to secure the Obligations of any Loan Party arising under any Loan Document, and all financing statements, fixtures filings, patent, trademark and copyright filings, assignments, acknowledgments and other filings, documents and agreements made or delivered pursuant to any of the foregoing.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Solvent</w:t>
      </w:r>
      <w:r>
        <w:rPr>
          <w:rFonts w:ascii="Arial" w:cs="Arial" w:eastAsia="Arial" w:hAnsi="Arial"/>
          <w:sz w:val="17"/>
          <w:szCs w:val="17"/>
          <w:color w:val="auto"/>
        </w:rPr>
        <w:t>”: when used with respect to any Person, means that,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SPAC Business Combination</w:t>
      </w:r>
      <w:r>
        <w:rPr>
          <w:rFonts w:ascii="Arial" w:cs="Arial" w:eastAsia="Arial" w:hAnsi="Arial"/>
          <w:sz w:val="17"/>
          <w:szCs w:val="17"/>
          <w:color w:val="auto"/>
        </w:rPr>
        <w:t>”: the business combination transaction contemplated by the SPAC Merger Agreement, pursuant to which (a) Ventoux Merger Sub I Inc. will merge with and into E La Carte, Inc.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with E La Carte, Inc. being the surviving entity in the First Merger and continuing (immediately following the First Merger) as a wholly-owned subsidiary of Parent (the “</w:t>
      </w:r>
      <w:r>
        <w:rPr>
          <w:rFonts w:ascii="Arial" w:cs="Arial" w:eastAsia="Arial" w:hAnsi="Arial"/>
          <w:sz w:val="17"/>
          <w:szCs w:val="17"/>
          <w:b w:val="1"/>
          <w:bCs w:val="1"/>
          <w:i w:val="1"/>
          <w:iCs w:val="1"/>
          <w:color w:val="auto"/>
        </w:rPr>
        <w:t>Surviving Corporation</w:t>
      </w:r>
      <w:r>
        <w:rPr>
          <w:rFonts w:ascii="Arial" w:cs="Arial" w:eastAsia="Arial" w:hAnsi="Arial"/>
          <w:sz w:val="17"/>
          <w:szCs w:val="17"/>
          <w:color w:val="auto"/>
        </w:rPr>
        <w:t>”) and (b) immediately following the First Merger and as part of the same overall transaction as the First Merger, the Surviving Corporation will merge with and into Presto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with Presto being the surviving entity in the Second Merger and continuing (immediately following the Second Merger) as a wholly-owned subsidiary of Parent, at which time Parent shall be renamed “Presto Automation Inc.”.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Merger Agreement</w:t>
      </w:r>
      <w:r>
        <w:rPr>
          <w:rFonts w:ascii="Arial" w:cs="Arial" w:eastAsia="Arial" w:hAnsi="Arial"/>
          <w:sz w:val="18"/>
          <w:szCs w:val="18"/>
          <w:color w:val="auto"/>
        </w:rPr>
        <w:t>”: that certain Agreement and Plan of Merger, dated as of November 10, 2021, among E La Carte, Inc., the Parent, Ventoux Merger Sub I Inc. and Ventoux Merger Sub II LLC, as amended on April 1, 2022 and July 25, 2022, as in effect on the date hereof or as later amended, restated, supplemented or otherwise modified with the consent of the Agent, in its Permitted Discretion.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Subscription Agreement(s)</w:t>
      </w:r>
      <w:r>
        <w:rPr>
          <w:rFonts w:ascii="Arial" w:cs="Arial" w:eastAsia="Arial" w:hAnsi="Arial"/>
          <w:sz w:val="18"/>
          <w:szCs w:val="18"/>
          <w:color w:val="auto"/>
        </w:rPr>
        <w:t xml:space="preserve">”: each subscription agreement executed in connection with the SPAC Transaction for Parent Common Stock, including, without limitation, those identified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Transaction</w:t>
      </w:r>
      <w:r>
        <w:rPr>
          <w:rFonts w:ascii="Arial" w:cs="Arial" w:eastAsia="Arial" w:hAnsi="Arial"/>
          <w:sz w:val="18"/>
          <w:szCs w:val="18"/>
          <w:color w:val="auto"/>
        </w:rPr>
        <w:t>”: the consummation of the SPAC Business Combination, including the closing of the PIPE Transactions and all other transactions contemplated by the SPAC Merger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Locations</w:t>
      </w:r>
      <w:r>
        <w:rPr>
          <w:rFonts w:ascii="Arial" w:cs="Arial" w:eastAsia="Arial" w:hAnsi="Arial"/>
          <w:sz w:val="18"/>
          <w:szCs w:val="18"/>
          <w:color w:val="auto"/>
        </w:rPr>
        <w:t>”: means (a) 816 Hamilton St., Redwood City, CA 94063 and (b) each other location identified by Borrower to Agent from time to time hereafter and approved by Agent in its Permitted Discretion.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Sponsor Support Agreement</w:t>
      </w:r>
      <w:r>
        <w:rPr>
          <w:rFonts w:ascii="Arial" w:cs="Arial" w:eastAsia="Arial" w:hAnsi="Arial"/>
          <w:sz w:val="16"/>
          <w:szCs w:val="16"/>
          <w:color w:val="auto"/>
        </w:rPr>
        <w:t>”: that certain Amended and Restated Sponsor Support Agreement dated as of July 25, 2022 by and among, Parent, the Sponsors, E La Carte, Inc. and the other parties thereto, as may be amended, restated, supplemented or otherwise modified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Sponsors</w:t>
      </w:r>
      <w:r>
        <w:rPr>
          <w:rFonts w:ascii="Arial" w:cs="Arial" w:eastAsia="Arial" w:hAnsi="Arial"/>
          <w:sz w:val="18"/>
          <w:szCs w:val="18"/>
          <w:color w:val="auto"/>
        </w:rPr>
        <w:t>”: Ventoux Acquisition Holdings LLC and Chardan International Investments,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Support Agreement</w:t>
      </w:r>
      <w:r>
        <w:rPr>
          <w:rFonts w:ascii="Arial" w:cs="Arial" w:eastAsia="Arial" w:hAnsi="Arial"/>
          <w:sz w:val="18"/>
          <w:szCs w:val="18"/>
          <w:color w:val="auto"/>
        </w:rPr>
        <w:t>”: that certain Amended and Restated Support Agreement dated as of July 25, 2022 by and among, Parent, E La Carte, Inc., and certain stockholders of E La Carte, Inc. party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 unsecured Indebtedness incurred with the prior written consent of the Agent in its sole discretion, the payment of which is subordinated as to right and time of payment and as to other rights and remedies thereunder and having such subordination and other terms as are, in each case, satisfactory to Agent in its sole discretion.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with respect to any taxable period for which Borrower is a member of a consolidated, combined, affiliated, unitary or similar income tax group for U.S. federal and/or applicable state or local income tax purposes of which another Person is the common parent, cash distributions by Borrower in an amount not to exceed the amount of any U.S. federal, state and/or local income taxes that Borrower would have paid for such taxable period had Borrower been a stand-alone corporate taxpayer or the common parent of a consolidated, combined, affiliated, unitary or similar income tax group including its Subsidiaries.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Loan Commitment</w:t>
      </w:r>
      <w:r>
        <w:rPr>
          <w:rFonts w:ascii="Arial" w:cs="Arial" w:eastAsia="Arial" w:hAnsi="Arial"/>
          <w:sz w:val="18"/>
          <w:szCs w:val="18"/>
          <w:color w:val="auto"/>
        </w:rPr>
        <w:t>”: the commitment of a Lender to make or otherwise fund Term Loan and “</w:t>
      </w:r>
      <w:r>
        <w:rPr>
          <w:rFonts w:ascii="Arial" w:cs="Arial" w:eastAsia="Arial" w:hAnsi="Arial"/>
          <w:sz w:val="18"/>
          <w:szCs w:val="18"/>
          <w:b w:val="1"/>
          <w:bCs w:val="1"/>
          <w:i w:val="1"/>
          <w:iCs w:val="1"/>
          <w:color w:val="auto"/>
        </w:rPr>
        <w:t>Term Loan Commitments</w:t>
      </w:r>
      <w:r>
        <w:rPr>
          <w:rFonts w:ascii="Arial" w:cs="Arial" w:eastAsia="Arial" w:hAnsi="Arial"/>
          <w:sz w:val="18"/>
          <w:szCs w:val="18"/>
          <w:color w:val="auto"/>
        </w:rPr>
        <w:t xml:space="preserve">” means such commitments of all Lenders to fund the Term Loan in the aggregate. The amount of each Lender’s Term Loan Commitment, if any, is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attached hereto, subject to any adjustment or reduction pursuant to the terms and conditions hereof. The aggregate amount of the Term Loan Commitments as of the Closing Date, prior to the funding of the Term Loan, is $55,000,000.</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Annual Platform Revenue</w:t>
      </w:r>
      <w:r>
        <w:rPr>
          <w:rFonts w:ascii="Arial" w:cs="Arial" w:eastAsia="Arial" w:hAnsi="Arial"/>
          <w:sz w:val="18"/>
          <w:szCs w:val="18"/>
          <w:color w:val="auto"/>
        </w:rPr>
        <w:t xml:space="preserve">”: for any date of determination, (a) Touch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Touch Platform Revenue</w:t>
      </w:r>
      <w:r>
        <w:rPr>
          <w:rFonts w:ascii="Arial" w:cs="Arial" w:eastAsia="Arial" w:hAnsi="Arial"/>
          <w:sz w:val="18"/>
          <w:szCs w:val="18"/>
          <w:color w:val="auto"/>
        </w:rPr>
        <w:t xml:space="preserve">”: platform revenue earned during any calendar month by Borrower from (a) Borrower’s sale of hardware to restaurants and (b) subscriptions for Borrower’s software products entered into by restaurants,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the Uniform Commercial Code (or any similar or equivalent legislation) as in effect from time to time in the State of New York, or as the context may require, any other applicable jurisdiction.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Cash</w:t>
      </w:r>
      <w:r>
        <w:rPr>
          <w:rFonts w:ascii="Arial" w:cs="Arial" w:eastAsia="Arial" w:hAnsi="Arial"/>
          <w:sz w:val="17"/>
          <w:szCs w:val="17"/>
          <w:color w:val="auto"/>
        </w:rPr>
        <w:t xml:space="preserve">”: as of any date of determination, the sum of (i) all unrestricted balance sheet cash of the Borrower that is on deposit in any Deposit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subject to a Control Agreement in favor of the Agent, and (ii) all unrestricted Cash Equivalents of the Borrower held in a Securities Account that is,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subject to a Control Agreement in favor of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any Person that is a “United States Person” as defined in Section 7701(a)(30)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Annual Platform Revenue</w:t>
      </w:r>
      <w:r>
        <w:rPr>
          <w:rFonts w:ascii="Arial" w:cs="Arial" w:eastAsia="Arial" w:hAnsi="Arial"/>
          <w:sz w:val="18"/>
          <w:szCs w:val="18"/>
          <w:color w:val="auto"/>
        </w:rPr>
        <w:t xml:space="preserve">”: for any date of determination, (a) Voice Platform Revenue for the three (3) consecutive month period ending as of such date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four (4).</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Platform Revenue</w:t>
      </w:r>
      <w:r>
        <w:rPr>
          <w:rFonts w:ascii="Arial" w:cs="Arial" w:eastAsia="Arial" w:hAnsi="Arial"/>
          <w:sz w:val="18"/>
          <w:szCs w:val="18"/>
          <w:color w:val="auto"/>
        </w:rPr>
        <w:t xml:space="preserve">”: platform revenue earned during any calendar month by the Borrower from Voice Products, and calculated in a manner consistent with the calculation of same on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Voice Products</w:t>
      </w:r>
      <w:r>
        <w:rPr>
          <w:rFonts w:ascii="Arial" w:cs="Arial" w:eastAsia="Arial" w:hAnsi="Arial"/>
          <w:sz w:val="18"/>
          <w:szCs w:val="18"/>
          <w:color w:val="auto"/>
        </w:rPr>
        <w:t>”: Borrower’s speech recognition technology for use in the customer order process and otherwise determined in a manner consistent with the calculation of Voice Platform Revenue.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that certain Amended and Restated Warrant Agreement, dated as of the date hereof, by and between Parent and Continental Stock Transfer &amp; Trust Company, as Warrant Agent in substantially the form attached as Exhibit A to the Warrant Subscription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Subscription Agreement</w:t>
      </w:r>
      <w:r>
        <w:rPr>
          <w:rFonts w:ascii="Arial" w:cs="Arial" w:eastAsia="Arial" w:hAnsi="Arial"/>
          <w:sz w:val="18"/>
          <w:szCs w:val="18"/>
          <w:color w:val="auto"/>
        </w:rPr>
        <w:t>”: that certain Subscription Agreement, dated as of the date hereof, by and between Parent and the Lenders, as may be amended, restated, supplemented or otherwise modified from time to time.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those certain warrants to purchase 1,500,000 shares of Parent Common Stock at a purchase price of $11.50 per share issued by Parent pursuant to the Warrant Subscription Agreement to the Lenders on the Closing Date, as may be amended, restated, supplemented or otherwise modified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any Loan Party and Agent.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XAC Litigation</w:t>
      </w:r>
      <w:r>
        <w:rPr>
          <w:rFonts w:ascii="Arial" w:cs="Arial" w:eastAsia="Arial" w:hAnsi="Arial"/>
          <w:sz w:val="18"/>
          <w:szCs w:val="18"/>
          <w:color w:val="auto"/>
        </w:rPr>
        <w:t>”: means any litigation relating to that certain Final Award, dated June 28, 2022 in respect of SIAC Arbitration No. 099 of 2021 between E La Carte, Inc., as claimant, and XAC Taiwan, as respondent.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Other Definitional Provisions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77" w:lineRule="auto"/>
        <w:tabs>
          <w:tab w:leader="none" w:pos="1063"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70" w:lineRule="exact"/>
        <w:rPr>
          <w:rFonts w:ascii="Arial" w:cs="Arial" w:eastAsia="Arial" w:hAnsi="Arial"/>
          <w:sz w:val="18"/>
          <w:szCs w:val="18"/>
          <w:color w:val="auto"/>
        </w:rPr>
      </w:pPr>
    </w:p>
    <w:p>
      <w:pPr>
        <w:jc w:val="both"/>
        <w:ind w:firstLine="656"/>
        <w:spacing w:after="0" w:line="287" w:lineRule="auto"/>
        <w:tabs>
          <w:tab w:leader="none" w:pos="1006"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As used herein and in the other Loan Documents, and in any certificate or other document made or delivered pursuant hereto or thereto, (i) accounting terms relating to the Loan Parties not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1.1 and accounting terms partly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Equity Interests, securities, revenues, accounts, leasehold interests and contract rights, (v) any Default or Event of Default is deemed continuing until waived in writing by Agent or the Required Lenders, (vi) references to agreements (including this Agreement) or other Contractual Obligations, or any Law or regulation, shall, unless otherwise specified, be deemed to refer to such agreements or Contractual Obligations, or Law or regulation, as applicable, as amended, supplemented, restated, amended and restated or otherwise modified from time to time and (vii) all capitalized terms used which are not specifically defined shall have the meanings provided in Article 9 of the UCC in effect on the date hereof to the extent the same are used or defined therein. All references to the principal amount of the Term Loan shall include accrued and capitalized PIK Interest, unless expressly stated otherwise.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56"/>
        <w:spacing w:after="0" w:line="253" w:lineRule="auto"/>
        <w:tabs>
          <w:tab w:leader="none" w:pos="9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all references herein to Sections, Exhibits and Schedules shall be construed to refer to this Agreement unless otherwise specified. The word “will” shall be construed to have the same meaning and effect as the word “shall”. Unless the context requires otherwise, (i) any reference herein to any Person shall be construed to include such Person’s successors and assigns, (ii) any reference to any Law or regulation herein shall, unless otherwise specified, refer to such Law or regulation as amended, modified or supplemented from time to time, (iii) relative to the determination of any period of time, “from” means “from and including”, “to” means “to and including”, and “through” means “through and including”, (iv) section headings herein and in each other Loan Document are included for convenience and shall not affect the interpretation of this Agreement or such Loan Document and (v) unless otherwise specified, all references herein to times of day shall constitute references to New York City time.</w:t>
      </w:r>
    </w:p>
    <w:p>
      <w:pPr>
        <w:spacing w:after="0" w:line="196" w:lineRule="exact"/>
        <w:rPr>
          <w:rFonts w:ascii="Arial" w:cs="Arial" w:eastAsia="Arial" w:hAnsi="Arial"/>
          <w:sz w:val="18"/>
          <w:szCs w:val="18"/>
          <w:color w:val="auto"/>
        </w:rPr>
      </w:pPr>
    </w:p>
    <w:p>
      <w:pPr>
        <w:ind w:firstLine="656"/>
        <w:spacing w:after="0" w:line="277" w:lineRule="auto"/>
        <w:tabs>
          <w:tab w:leader="none" w:pos="10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Notwithstanding the foregoing, if the Borrower notifies Agent in writing that the Loan Parties wish wishes to amend any financial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of this Agreement and/or any related definition to eliminate the effect of any change in GAAP occurring after the Closing Date on the operation of such covenants (or if Agent notifies the Borrower in writing that the Required Lenders wish to amend any covenant in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and/or any related definition to eliminate the effect of any such change in GAAP), then Agent, the Lenders and the Borrower shall negotiate in good faith to amend such ratios or requirements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the Loan Parties’ compliance with such covenants and/or the definitions shall be determined on the basis of GAAP in effect immediately before the relevant change in GAAP became effective, until either such notice is withdrawn or such covenants or definitions are amended in a manner satisfactory to the Borrower, Agent and the Required Lenders, and the Loan Parties shall provide to Agent, when they deliver their financial statements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of this Agreement, such reconciliation statements as shall be reasonably requested by Agent.</w:t>
      </w:r>
    </w:p>
    <w:p>
      <w:pPr>
        <w:spacing w:after="0" w:line="178" w:lineRule="exact"/>
        <w:rPr>
          <w:rFonts w:ascii="Arial" w:cs="Arial" w:eastAsia="Arial" w:hAnsi="Arial"/>
          <w:sz w:val="17"/>
          <w:szCs w:val="17"/>
          <w:color w:val="auto"/>
        </w:rPr>
      </w:pPr>
    </w:p>
    <w:p>
      <w:pPr>
        <w:jc w:val="both"/>
        <w:ind w:firstLine="656"/>
        <w:spacing w:after="0" w:line="259" w:lineRule="auto"/>
        <w:tabs>
          <w:tab w:leader="none" w:pos="8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all purposes under the Loan Documents, in connection with any Division/Series Transaction: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0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in the definition of “Capital Lease,” any provision related to the accounting for leases pursuant to GAAP reflecting the adoption of Financial Accounting Standards Board Accounting Standards Update No. 2016-02, Leases (Topic 842) (“FAS 842”), to the extent such provisions require or would require treating any lease (or similar arrangement conveying the right to use) as a capital lease where such lease (or similar arrangement) would not have been required to be so treated under GAAP prior to the adoption thereof, such lease shall not be considered a capital lease, and all calculations and deliverables under this Agreement or any other Loan Document shall be made or delivered, as applicable, in accordance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56"/>
        <w:spacing w:after="0" w:line="291" w:lineRule="auto"/>
        <w:tabs>
          <w:tab w:leader="none" w:pos="10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10 25 (or any other Accounting Standards Codification or Financial Accounting Standard having a similar result or effect) to value any Indebtedness or other liabilities of any Loan Party or any Subsidiary at “fair value”, as defined therein and (ii) without giving effect to any treatment of Indebtedness under Financial Accounting Standards Board Accounting Standards Codification 470 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AND TERMS OF COMMITMENTS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 Commitments; Repayment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105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the terms and conditions hereof, Lenders agree to make a term loan on the Closing Date in the aggregate initial principal amount of $55,000,000 (the “</w:t>
      </w:r>
      <w:r>
        <w:rPr>
          <w:rFonts w:ascii="Arial" w:cs="Arial" w:eastAsia="Arial" w:hAnsi="Arial"/>
          <w:sz w:val="18"/>
          <w:szCs w:val="18"/>
          <w:b w:val="1"/>
          <w:bCs w:val="1"/>
          <w:i w:val="1"/>
          <w:iCs w:val="1"/>
          <w:color w:val="auto"/>
        </w:rPr>
        <w:t>Term Loan</w:t>
      </w:r>
      <w:r>
        <w:rPr>
          <w:rFonts w:ascii="Arial" w:cs="Arial" w:eastAsia="Arial" w:hAnsi="Arial"/>
          <w:sz w:val="18"/>
          <w:szCs w:val="18"/>
          <w:color w:val="auto"/>
        </w:rPr>
        <w:t>”). Once repaid, no portion of the Term Loan may be re-borrowed. Upon the funding on the Closing Date, the Term Loan Commitment shall be immediately terminated and reduced to $0.</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01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The Advances made by each Lender may, upon request by each Lender, be evidenced by a promissory note payable to the order of Agent, for the benefit of such Lender,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(as amended, restated, amended and restated, supplemented or otherwise modified from time to time, a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executed by Borrower and delivered to such Lender. Each Note shall be in a stated maximum principal amount equal to such Lender’s Term Loan Commitment, as applicable.</w:t>
      </w:r>
    </w:p>
    <w:p>
      <w:pPr>
        <w:spacing w:after="0" w:line="186" w:lineRule="exact"/>
        <w:rPr>
          <w:rFonts w:ascii="Arial" w:cs="Arial" w:eastAsia="Arial" w:hAnsi="Arial"/>
          <w:sz w:val="18"/>
          <w:szCs w:val="18"/>
          <w:color w:val="auto"/>
        </w:rPr>
      </w:pPr>
    </w:p>
    <w:p>
      <w:pPr>
        <w:ind w:left="1000" w:hanging="344"/>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Mandatory 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6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the extent not previously paid, the then outstanding Term Loan and all other Obligations shall be due and payable on the Maturity Date, together with all accrued and unpaid interest on such Obligations to be paid to and including the date of payment and any Make Whole Premium and other Obligations.</w:t>
      </w:r>
    </w:p>
    <w:p>
      <w:pPr>
        <w:spacing w:after="0" w:line="183" w:lineRule="exact"/>
        <w:rPr>
          <w:rFonts w:ascii="Arial" w:cs="Arial" w:eastAsia="Arial" w:hAnsi="Arial"/>
          <w:sz w:val="18"/>
          <w:szCs w:val="18"/>
          <w:color w:val="auto"/>
        </w:rPr>
      </w:pPr>
    </w:p>
    <w:p>
      <w:pPr>
        <w:jc w:val="both"/>
        <w:ind w:left="660" w:firstLine="644"/>
        <w:spacing w:after="0" w:line="270" w:lineRule="auto"/>
        <w:tabs>
          <w:tab w:leader="none" w:pos="1586" w:val="left"/>
        </w:tabs>
        <w:numPr>
          <w:ilvl w:val="1"/>
          <w:numId w:val="55"/>
        </w:numPr>
        <w:rPr>
          <w:rFonts w:ascii="Arial" w:cs="Arial" w:eastAsia="Arial" w:hAnsi="Arial"/>
          <w:sz w:val="17"/>
          <w:szCs w:val="17"/>
          <w:color w:val="auto"/>
        </w:rPr>
      </w:pPr>
      <w:r>
        <w:rPr>
          <w:rFonts w:ascii="Arial" w:cs="Arial" w:eastAsia="Arial" w:hAnsi="Arial"/>
          <w:sz w:val="17"/>
          <w:szCs w:val="17"/>
          <w:color w:val="auto"/>
        </w:rPr>
        <w:t>Upon receipt by Borrower of the proceeds of any Prepayment Event, Borrower shall make a prepayment of principal of the Term Loan in an amount equal to 100% of the Net Cash Proceeds of such Prepayment Event, together with any accrued interest on such amount and any Make Whole Premium payable pursuant to Section 2.1(e) in connection therewith. Notwithstanding the foregoing and provided no Event of Default has occurred and is continuing, in the case of any event of the type described in either clause (a) or (b) of the definition of the term “Prepayment Event”, such prepayment shall not be required to the extent Borrower reinvests the Net Cash Proceeds of such Prepayment Event, in assets of a kind then used or usable in the business of Borrower and in which Agent has a first-priority perfected Lien within ninety (90) days (with respect to clause (a)) and one hundred eighty (180) days (with respect to clause (b)) after the date of such Disposition or enters into a binding commitment thereof within such period and subsequently makes such reinvestment, provided until such date of reinvestment such Net Cash Proceeds are deposited into a Controlled Account over which Agent has a first-priority perfected Lien.</w:t>
      </w:r>
    </w:p>
    <w:p>
      <w:pPr>
        <w:spacing w:after="0" w:line="180" w:lineRule="exact"/>
        <w:rPr>
          <w:rFonts w:ascii="Arial" w:cs="Arial" w:eastAsia="Arial" w:hAnsi="Arial"/>
          <w:sz w:val="17"/>
          <w:szCs w:val="17"/>
          <w:color w:val="auto"/>
        </w:rPr>
      </w:pPr>
    </w:p>
    <w:p>
      <w:pPr>
        <w:jc w:val="both"/>
        <w:ind w:firstLine="656"/>
        <w:spacing w:after="0" w:line="257" w:lineRule="auto"/>
        <w:tabs>
          <w:tab w:leader="none" w:pos="104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Voluntary Prepayment</w:t>
      </w:r>
      <w:r>
        <w:rPr>
          <w:rFonts w:ascii="Arial" w:cs="Arial" w:eastAsia="Arial" w:hAnsi="Arial"/>
          <w:sz w:val="18"/>
          <w:szCs w:val="18"/>
          <w:color w:val="auto"/>
        </w:rPr>
        <w:t xml:space="preserve">. With thirty (30) days’ prior written notice, Borrower may at any time voluntarily prepay, in whole or in part, the principal amount of the outstanding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accrued and unpaid interest and fees with respect to the outstanding Obligations are paid simultaneously with such voluntary principal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such voluntary principal payment occurs on or before the date that is eighteen (18) months following the Closing Date, such payment shall be accompanied by payment in full in cash of the Make Whole Premium on the amount of the Term Loan repaid and all other earned and unpaid fees.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56"/>
        <w:spacing w:after="0" w:line="293" w:lineRule="auto"/>
        <w:tabs>
          <w:tab w:leader="none" w:pos="906"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Make Whole Premium</w:t>
      </w:r>
      <w:r>
        <w:rPr>
          <w:rFonts w:ascii="Arial" w:cs="Arial" w:eastAsia="Arial" w:hAnsi="Arial"/>
          <w:sz w:val="16"/>
          <w:szCs w:val="16"/>
          <w:color w:val="auto"/>
        </w:rPr>
        <w:t>. To the extent any payment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2.1(c)</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2.1(d)</w:t>
      </w:r>
      <w:r>
        <w:rPr>
          <w:rFonts w:ascii="Arial" w:cs="Arial" w:eastAsia="Arial" w:hAnsi="Arial"/>
          <w:sz w:val="16"/>
          <w:szCs w:val="16"/>
          <w:b w:val="1"/>
          <w:bCs w:val="1"/>
          <w:color w:val="auto"/>
        </w:rPr>
        <w:t xml:space="preserve"> </w:t>
      </w:r>
      <w:r>
        <w:rPr>
          <w:rFonts w:ascii="Arial" w:cs="Arial" w:eastAsia="Arial" w:hAnsi="Arial"/>
          <w:sz w:val="16"/>
          <w:szCs w:val="16"/>
          <w:color w:val="auto"/>
        </w:rPr>
        <w:t>occurs on or before the date that is eighteen (18)</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months following the Closing Date, any prepayment made (i) pursuant to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as a result of a Prepayment Event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firstLine="8"/>
        <w:spacing w:after="0" w:line="266" w:lineRule="auto"/>
        <w:tabs>
          <w:tab w:leader="none" w:pos="255" w:val="left"/>
        </w:tabs>
        <w:numPr>
          <w:ilvl w:val="0"/>
          <w:numId w:val="57"/>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thereof, or </w:t>
      </w:r>
      <w:r>
        <w:rPr>
          <w:rFonts w:ascii="Arial" w:cs="Arial" w:eastAsia="Arial" w:hAnsi="Arial"/>
          <w:sz w:val="17"/>
          <w:szCs w:val="17"/>
          <w:u w:val="single" w:color="auto"/>
          <w:color w:val="auto"/>
        </w:rPr>
        <w:t>Section 2.1(d)</w:t>
      </w:r>
      <w:r>
        <w:rPr>
          <w:rFonts w:ascii="Arial" w:cs="Arial" w:eastAsia="Arial" w:hAnsi="Arial"/>
          <w:sz w:val="17"/>
          <w:szCs w:val="17"/>
          <w:color w:val="auto"/>
        </w:rPr>
        <w:t>, shall be accompanied by payment in full in cash of the Make Whole Premium. Any Make Whole Premium payable in accordance with this Agreement shall be presumed to be equal to the liquidated damages sustained by the Lenders as the result of the occurrence of any event triggering the prepayment of such Make Whole Premium and Borrower agrees that it is reasonable under the circumstances currently existing. The parties hereto acknowledge that the Make Whole Premium shall survive acceleration of the Obligations and/or the occurrence of any insolvency proceeding, and shall automatically accrue to the principal amount of the Term Loan pro rata and shall constitute part of the Obligations for all purposes herein. If the Term Loan is accelerated for any reason pursuant to the terms herein, the Make Whole Premium shall be calculated as if the date of acceleration of the Term Loan was the date of prepayment of the Term Loan. THE BORROWER EXPRESSLY WAIVES THE PROVISIONS OF ANY PRESENT OR FUTURE STATUTE OR LAW THAT PROHIBITS OR MAY PROHIBIT THE COLLECTION OF THE FOREGOING MAKE WHOLE PREMIUM IN CONNECTION WITH ANY ACCELERATION. The Borrower expressly agrees that: (A) the Make Whole Premium is reasonable and is the product of an arm’s length transaction between sophisticated business people, ably represented by counsel; (B) the Make Whole Premium shall be payable notwithstanding the then prevailing market rates at the time payment is made; (C) there has been a course of conduct between Lenders and Borrower giving specific consideration in this transaction for such agreement to pay the Make Whole Premium; (D) Borrower shall be estopped hereafter from claiming differently than as agreed to in this paragraph; (E) Borrower’s agreement to pay the Make Whole Premium is a material inducement to Lenders to extend the Term Loan; and (F) the Make Whole Premium represents a good faith, reasonable estimate and calculation of the lost profits or damages of Lenders and that it would be impractical and extremely difficult to ascertain the actual amount of damages to Lenders or profits lost by Lenders as a result of such event triggering payment of the Make Whole Premium.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2.2 Advances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5" w:lineRule="auto"/>
        <w:tabs>
          <w:tab w:leader="none" w:pos="99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Procedure for Borrowing</w:t>
      </w:r>
      <w:r>
        <w:rPr>
          <w:rFonts w:ascii="Arial" w:cs="Arial" w:eastAsia="Arial" w:hAnsi="Arial"/>
          <w:sz w:val="18"/>
          <w:szCs w:val="18"/>
          <w:color w:val="auto"/>
        </w:rPr>
        <w:t xml:space="preserve">. Subject to the terms and conditions of this Agreement, Borrower may borrow the Term Loan on the Closing Date; provided, that Borrower shall give Agent a Notice of Borrowing specifying the principal amount of the requested Term Loan to be made, the requested Borrowing Date, and instructions for remittance of the proceeds of the requested Term Loan (which notice must be received by Agent prior to 11:00 am (New York City time) on the Closing Date). The Term Loan shall be in an initial principal amount equal to $55,000,000 on the Closing Date. Subject to the satisfaction or waiver of the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Lenders will fund the principal amount of the requested Advance pursuant to the wiring instructions provided in the Notice of Borrowing on the requested Borrowing Date.</w:t>
      </w:r>
    </w:p>
    <w:p>
      <w:pPr>
        <w:spacing w:after="0" w:line="192" w:lineRule="exact"/>
        <w:rPr>
          <w:rFonts w:ascii="Arial" w:cs="Arial" w:eastAsia="Arial" w:hAnsi="Arial"/>
          <w:sz w:val="18"/>
          <w:szCs w:val="18"/>
          <w:color w:val="auto"/>
        </w:rPr>
      </w:pPr>
    </w:p>
    <w:p>
      <w:pPr>
        <w:ind w:left="1000" w:hanging="344"/>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Making of the Term Loan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7" w:lineRule="auto"/>
        <w:tabs>
          <w:tab w:leader="none" w:pos="22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Following receipt of a Notice of Borrowing in accordance with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Agent shall promptly notify each applicable Lender of the amount of its Applicable Percentage of the requested Advance. Each Lender shall make the amount of its applicable portion of the Term Loan available to Agent in immediately available funds at Agent’s office not later than 1:00 p.m. on the related Borrowing Date. Upon satisfaction of the applicable conditions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Agent shall remit, or cause to be remitted, all funds so received as directed by the Borrower in the Notice of Borrowing.</w:t>
      </w:r>
    </w:p>
    <w:p>
      <w:pPr>
        <w:spacing w:after="0" w:line="187" w:lineRule="exact"/>
        <w:rPr>
          <w:rFonts w:ascii="Arial" w:cs="Arial" w:eastAsia="Arial" w:hAnsi="Arial"/>
          <w:sz w:val="18"/>
          <w:szCs w:val="18"/>
          <w:color w:val="auto"/>
        </w:rPr>
      </w:pPr>
    </w:p>
    <w:p>
      <w:pPr>
        <w:jc w:val="both"/>
        <w:ind w:left="660" w:firstLine="1292"/>
        <w:spacing w:after="0" w:line="285" w:lineRule="auto"/>
        <w:tabs>
          <w:tab w:leader="none" w:pos="2238"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Unless Agent receives notice from a Lender prior to 9:30 a.m. on the Business Day that is the requested Borrowing Date relative to a requested Advance as to which Agent has notified the Lenders of a requested Advance that such Lender will not make available as and when required hereunder to Agent for the account of Borrower the amount of that Lender’s Applicable Percentage of the Advance, Agent may assume that each Lender has made or will make such amount available to Agent in immediately available funds on the Borrowing Date and Agent may (but shall not be so required), in reliance upon such assumption, make available to Borrower a corresponding amount. If, on the requested Borrowing Date, any Lender shall not have remitted the full amount that it is required to make available to Agent in immediately available funds and if Agent has made available to Borrower such amount on the requested Borrowing Date, then such Lender shall make the amount of such Lender’s Pro Rata Share of the requested Advance available to Agent in immediately available funds, to Agent’s designated account, no later than 10:00 a.m. on the Business Day that is the first Business Day after the requested Borrowing Date (in which case, the interest accrued on such Lender’s portion of such Advance for the Borrowing Date shall be for Agent’s separate account). If any Lender shall not remit the full amount that it is required to make available to Agent in immediately available funds as and when required hereby and if Agent has made available to Borrower such amount, then that Lender shall be obligated to immediately remit such amount to Agent, together with interest at the Interest Rate for each day until the date on which such amount is so remitted. A notice submitted by Agent to any Lender with respect to amounts owing under this </w:t>
      </w:r>
      <w:r>
        <w:rPr>
          <w:rFonts w:ascii="Arial" w:cs="Arial" w:eastAsia="Arial" w:hAnsi="Arial"/>
          <w:sz w:val="16"/>
          <w:szCs w:val="16"/>
          <w:u w:val="single" w:color="auto"/>
          <w:color w:val="auto"/>
        </w:rPr>
        <w:t>Section 2.3(b)(ii)</w:t>
      </w:r>
      <w:r>
        <w:rPr>
          <w:rFonts w:ascii="Arial" w:cs="Arial" w:eastAsia="Arial" w:hAnsi="Arial"/>
          <w:sz w:val="16"/>
          <w:szCs w:val="16"/>
          <w:color w:val="auto"/>
        </w:rPr>
        <w:t xml:space="preserve"> shall be conclusive, absent manifest error. If the amount that a Lender is required to remit is made available to Agent, then such payment to Agent shall constitute such Lender’s Advance for all purposes of this Agreement. If such amount is not made available to Agent on the Business Day following the Borrowing Date, Agent will notify Borrower of such failure to fund and, upon demand by Agent, Borrower shall pay such amount to Agent for Agent’s account, together with interest thereon for each day elapsed since the date of such Borrowing, at a rate per annum equal to the interest rate applicable at the time to the Advances composing such Advance.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6"/>
        <w:spacing w:after="0" w:line="257" w:lineRule="auto"/>
        <w:tabs>
          <w:tab w:leader="none" w:pos="111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Independent Obligations</w:t>
      </w:r>
      <w:r>
        <w:rPr>
          <w:rFonts w:ascii="Arial" w:cs="Arial" w:eastAsia="Arial" w:hAnsi="Arial"/>
          <w:sz w:val="18"/>
          <w:szCs w:val="18"/>
          <w:color w:val="auto"/>
        </w:rPr>
        <w:t>. All Advances shall be made by the Lenders contemporaneously and in accordance with their Applicable Percentages. It is understood that (i) no Lender shall be responsible for any failure by any other Lender to perform its obligation to make any Advance (or other extension of credit) hereunder, nor shall any Term Loan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2.3 Fees</w:t>
      </w:r>
      <w:r>
        <w:rPr>
          <w:rFonts w:ascii="Arial" w:cs="Arial" w:eastAsia="Arial" w:hAnsi="Arial"/>
          <w:sz w:val="18"/>
          <w:szCs w:val="18"/>
          <w:color w:val="auto"/>
        </w:rPr>
        <w:t>. As compensation for the Term Loan Commitment and Agent’s commitment to perform its obligations hereunder, Borrower shall pay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fees set forth in the Fee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2.4 Interest Rates and Payment Dates</w:t>
      </w:r>
      <w:r>
        <w:rPr>
          <w:rFonts w:ascii="Arial" w:cs="Arial" w:eastAsia="Arial" w:hAnsi="Arial"/>
          <w:sz w:val="18"/>
          <w:szCs w:val="18"/>
          <w:color w:val="auto"/>
        </w:rPr>
        <w:t>.</w:t>
      </w:r>
    </w:p>
    <w:p>
      <w:pPr>
        <w:spacing w:after="0" w:line="229"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Each Term Loan shall bear interest at a rate per annum equal to the Interest Rate, subject to adjustment as set forth in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656"/>
        <w:spacing w:after="0" w:line="296" w:lineRule="auto"/>
        <w:tabs>
          <w:tab w:leader="none" w:pos="9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During the continuance of an Event of Default, the outstanding Obligations shall, at the election of the Agent (or automatically upon an Event of Default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bear interest at a rate per annum equal to the lesser of (i) the rate that would otherwise be applicable thereto pursuant to the foregoing provisions of this Section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five percent (5%) and (ii) the maximum rate allowed by applicable Law (the “</w:t>
      </w:r>
      <w:r>
        <w:rPr>
          <w:rFonts w:ascii="Arial" w:cs="Arial" w:eastAsia="Arial" w:hAnsi="Arial"/>
          <w:sz w:val="16"/>
          <w:szCs w:val="16"/>
          <w:b w:val="1"/>
          <w:bCs w:val="1"/>
          <w:i w:val="1"/>
          <w:iCs w:val="1"/>
          <w:color w:val="auto"/>
        </w:rPr>
        <w:t>Default Rate</w:t>
      </w:r>
      <w:r>
        <w:rPr>
          <w:rFonts w:ascii="Arial" w:cs="Arial" w:eastAsia="Arial" w:hAnsi="Arial"/>
          <w:sz w:val="16"/>
          <w:szCs w:val="16"/>
          <w:color w:val="auto"/>
        </w:rPr>
        <w:t>”). The terms of this paragraph shall not be construed as Agent’s consent to Borrower’s failure to pay any amounts in strict accordance with this Agreement, and Agent’s charging any such fees and/or acceptance of any such payments shall not restrict Agent’s exercise of any remedies arising out of any such failure.</w:t>
      </w:r>
    </w:p>
    <w:p>
      <w:pPr>
        <w:spacing w:after="0" w:line="161" w:lineRule="exact"/>
        <w:rPr>
          <w:rFonts w:ascii="Arial" w:cs="Arial" w:eastAsia="Arial" w:hAnsi="Arial"/>
          <w:sz w:val="16"/>
          <w:szCs w:val="16"/>
          <w:color w:val="auto"/>
        </w:rPr>
      </w:pPr>
    </w:p>
    <w:p>
      <w:pPr>
        <w:jc w:val="both"/>
        <w:ind w:firstLine="656"/>
        <w:spacing w:after="0" w:line="253" w:lineRule="auto"/>
        <w:tabs>
          <w:tab w:leader="none" w:pos="9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Accrued 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date that is eighteen (18) months following the Closing Date, a portion of the interest payable on each Interest Payment Date equal to the applicable PIK Limit may be paid on such Interest Payment Date as PIK Interest if not less than five (5) Business Days prior to such Interest Payment Date, Borrower notifies Agent in writing of its intention to pay a portion of such interest in kind on such Interest Payment Date. All PIK Interest shall be compounded on the applicable Interest Payment Date by capitalizing the amount of such PIK Interest and adding the same to the principal balance of the Term Loan, after which such PIK Interest shall accrue interest at the Interest Rate and otherwise constitute principal under the Term Loan for all purposes (including, without limitation, for purposes of calculating interest on the principal amount thereof). For the avoidance of doubt, all accrued and unpaid PIK Interest, together with all other Obligations hereunder, shall be payable by Borrower on the Maturity Date. All interest payable in cash shall be payable on each Interest Payment Date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2.5 Computation of Interest and Fees</w:t>
      </w:r>
      <w:r>
        <w:rPr>
          <w:rFonts w:ascii="Arial" w:cs="Arial" w:eastAsia="Arial" w:hAnsi="Arial"/>
          <w:sz w:val="16"/>
          <w:szCs w:val="16"/>
          <w:color w:val="auto"/>
        </w:rPr>
        <w:t>. Interest and fees payable pursuant hereto shall be calculated on the basis of a 360-day year for the actual</w:t>
      </w:r>
      <w:r>
        <w:rPr>
          <w:rFonts w:ascii="Arial" w:cs="Arial" w:eastAsia="Arial" w:hAnsi="Arial"/>
          <w:sz w:val="16"/>
          <w:szCs w:val="16"/>
          <w:b w:val="1"/>
          <w:bCs w:val="1"/>
          <w:color w:val="auto"/>
        </w:rPr>
        <w:t xml:space="preserve"> </w:t>
      </w:r>
      <w:r>
        <w:rPr>
          <w:rFonts w:ascii="Arial" w:cs="Arial" w:eastAsia="Arial" w:hAnsi="Arial"/>
          <w:sz w:val="16"/>
          <w:szCs w:val="16"/>
          <w:color w:val="auto"/>
        </w:rPr>
        <w:t>days elapsed and shall be calculated on the beginning of day principal balance of the Term Loan outstanding for each day of the relevant calendar month. Each determination of an interest rate by Agent pursuant to any provision of this Agreement shall be conclusive and binding on Borrower in the absence of manifest error. For the avoidance of doubt, Advances shall be included in the daily principal balance on the date they occur.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2.6 Payments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3" w:lineRule="auto"/>
        <w:tabs>
          <w:tab w:leader="none" w:pos="10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specified herein or in any other Loan Document, prior to (or simultaneously with) making any principal payment on the Term Loan, Borrower shall deliver to Agent a Payment Notice (which such Payment Notice shall be irrevocable and binding unless Borrower otherwise notifies Agent in writing) with respect thereto.</w:t>
      </w:r>
    </w:p>
    <w:p>
      <w:pPr>
        <w:spacing w:after="0" w:line="183" w:lineRule="exact"/>
        <w:rPr>
          <w:rFonts w:ascii="Arial" w:cs="Arial" w:eastAsia="Arial" w:hAnsi="Arial"/>
          <w:sz w:val="18"/>
          <w:szCs w:val="18"/>
          <w:color w:val="auto"/>
        </w:rPr>
      </w:pPr>
    </w:p>
    <w:p>
      <w:pPr>
        <w:jc w:val="both"/>
        <w:ind w:firstLine="656"/>
        <w:spacing w:after="0" w:line="271" w:lineRule="auto"/>
        <w:tabs>
          <w:tab w:leader="none" w:pos="1006"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hereunder, whether on account of principal, interest, fees or otherwise, shall be made without condition or deduction for any counterclaim, defense, recoupment or setoff and shall be made prior to 2:00 P.M. (New York City time), on the due date thereof to Agent in Dollars in immediately available funds. Any payment received by Agent after 2:00 P.M. (New York City time), shall be deemed received on the next succeeding Business Day and any applicable interest or fee shall continue to accrue. If any payment hereunder (other than the capitalization of accrued PIK Interest) becomes due and payable on a day other than a Business Day, such payment due date shall be extended to the next succeeding Business Day, other than with respect to the payment to be made on the Maturity Date, which, if not a Business Day, shall be made on the immediately preceding Business Day. In the case of any extension of any payment of principal pursuant to the preceding sentence, interest thereon shall be payable at the then applicable rate during such extension.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firstLine="656"/>
        <w:spacing w:after="0" w:line="342" w:lineRule="auto"/>
        <w:tabs>
          <w:tab w:leader="none" w:pos="9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Nothing herein shall be deemed to obligate Agent or any Lender to obtain the funds for the Term Loan in any particular place or manner or to constitute a representation by Agent or any Lender that it has obtained or will obtain the funds for the Term Loan in any particular place or manner.</w:t>
      </w:r>
    </w:p>
    <w:p>
      <w:pPr>
        <w:spacing w:after="0" w:line="123" w:lineRule="exact"/>
        <w:rPr>
          <w:rFonts w:ascii="Arial" w:cs="Arial" w:eastAsia="Arial" w:hAnsi="Arial"/>
          <w:sz w:val="16"/>
          <w:szCs w:val="16"/>
          <w:color w:val="auto"/>
        </w:rPr>
      </w:pPr>
    </w:p>
    <w:p>
      <w:pPr>
        <w:jc w:val="both"/>
        <w:ind w:firstLine="656"/>
        <w:spacing w:after="0" w:line="259" w:lineRule="auto"/>
        <w:tabs>
          <w:tab w:leader="none" w:pos="9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payments, prepayments or repayments of the Term Loan shall be accompanied by payment in full of all accrued and unpaid interest on the portion of such Term Loan being paid, prepaid or repaid to the date of payment, prepayment, or repayment, including the Make Whole Premium as applicable, all other earned and unpaid fees, and all other amounts due and owing hereunder, including without limitation all costs associated with such payment, prepayment, or repayment.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as specifically set forth elsewhere in this Agreement and subject to </w:t>
      </w:r>
      <w:r>
        <w:rPr>
          <w:rFonts w:ascii="Arial" w:cs="Arial" w:eastAsia="Arial" w:hAnsi="Arial"/>
          <w:sz w:val="18"/>
          <w:szCs w:val="18"/>
          <w:u w:val="single" w:color="auto"/>
          <w:color w:val="auto"/>
        </w:rPr>
        <w:t>Section 7.3</w:t>
      </w:r>
      <w:r>
        <w:rPr>
          <w:rFonts w:ascii="Arial" w:cs="Arial" w:eastAsia="Arial" w:hAnsi="Arial"/>
          <w:sz w:val="18"/>
          <w:szCs w:val="18"/>
          <w:color w:val="auto"/>
        </w:rPr>
        <w:t>, any payment, prepayment or repayment of the Term Loan shall be made by the Loan Parties to Agent, for the benefit of the Lenders, on a pro rata basis based upon each Lender’s Applicable Percentage of the amount of such payment, prepayment or repayment. If at any time insufficient funds are received by and available to Agent or any Lender to pay fully all amounts of principal, interest and fees then due hereunder, such funds shall be applied in accordance with the Lenders’ Applicable Percentage or as otherwise determined by Agent in its sole discretion.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8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Agent or any Lender may, in its discretion at any time or from time to time, without Borrower’s request and even if the conditions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4.1 would not be satisfied, make a Term Loan in an amount equal to the portion of the Obligations constituting overdue interest, fees, indemnification payments or any other Obligations from time to time due and payable to itself and apply the proceeds of any such Term Loan to those Obligations.</w:t>
      </w:r>
    </w:p>
    <w:p>
      <w:pPr>
        <w:spacing w:after="0" w:line="186" w:lineRule="exact"/>
        <w:rPr>
          <w:rFonts w:ascii="Arial" w:cs="Arial" w:eastAsia="Arial" w:hAnsi="Arial"/>
          <w:sz w:val="18"/>
          <w:szCs w:val="18"/>
          <w:color w:val="auto"/>
        </w:rPr>
      </w:pPr>
    </w:p>
    <w:p>
      <w:pPr>
        <w:jc w:val="both"/>
        <w:ind w:firstLine="656"/>
        <w:spacing w:after="0" w:line="267" w:lineRule="auto"/>
        <w:tabs>
          <w:tab w:leader="none" w:pos="1006"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Notwithstanding any provision of any Loan Document, Agent, in its sole discretion shall have the right, but not any obligation, at any time that Borrower fails to do so, and from time to time, without prior notice, to: (i) discharge (at Borrower’s expense) taxes or Liens affecting any of the Collateral that have not been paid in violation of any Loan Document or that jeopardize the Agent’s Lien priority in the Collateral; or (ii) make any other payment (at Borrower’s expense) reasonably necessary for the administration, servicing, maintenance, preservation or protection of the Collateral (each such advance or payment set forth in clauses (i) and (ii), a “</w:t>
      </w:r>
      <w:r>
        <w:rPr>
          <w:rFonts w:ascii="Arial" w:cs="Arial" w:eastAsia="Arial" w:hAnsi="Arial"/>
          <w:sz w:val="17"/>
          <w:szCs w:val="17"/>
          <w:b w:val="1"/>
          <w:bCs w:val="1"/>
          <w:u w:val="single" w:color="auto"/>
          <w:color w:val="auto"/>
        </w:rPr>
        <w:t>Protective Advance</w:t>
      </w:r>
      <w:r>
        <w:rPr>
          <w:rFonts w:ascii="Arial" w:cs="Arial" w:eastAsia="Arial" w:hAnsi="Arial"/>
          <w:sz w:val="17"/>
          <w:szCs w:val="17"/>
          <w:color w:val="auto"/>
        </w:rPr>
        <w:t xml:space="preserve">”). The Agent shall be reimbursed for all Protective Advances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any Protective Advances shall bear interest at the lesser of (i) the Interest Rate plus ten percent (10%) per annum, and (ii) the maximum rate permitted by Law (the “</w:t>
      </w:r>
      <w:r>
        <w:rPr>
          <w:rFonts w:ascii="Arial" w:cs="Arial" w:eastAsia="Arial" w:hAnsi="Arial"/>
          <w:sz w:val="17"/>
          <w:szCs w:val="17"/>
          <w:b w:val="1"/>
          <w:bCs w:val="1"/>
          <w:u w:val="single" w:color="auto"/>
          <w:color w:val="auto"/>
        </w:rPr>
        <w:t>Protective Advance Rate</w:t>
      </w:r>
      <w:r>
        <w:rPr>
          <w:rFonts w:ascii="Arial" w:cs="Arial" w:eastAsia="Arial" w:hAnsi="Arial"/>
          <w:sz w:val="17"/>
          <w:szCs w:val="17"/>
          <w:color w:val="auto"/>
        </w:rPr>
        <w:t>”), payable in cash, from the date the Protective Advance is paid by Agent until it is repaid. No Protective Advance by Agent shall be construed as a waiver by Agent, or any Lender of any Default, Event of Default or any of the rights or remedies of Agent or any Lender. Upon the making of a Protective Advance by the Agent, without any further action on the part of the Agent or any Lender, the Agent will be deemed to have granted to each Lender, and each Lender will be deemed to have acquired from the Agent, without recourse or warranty, a participation in such Protective Advance equal to such Lender’s Applicable Percentage of the amount of such Protective Advance. Each Lender shall transfer (each such transfer,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the amount of such Lender’s Applicable Percentage of the outstanding principal amount of the applicable Protective Advance with respect to such acquired interest and participation promptly when requested to the Agent, to such account of the Agent as the Agent may designate, but in any case not later than 2:00 P.M. (New York City time), on the Business Day requested (if notice is provided by the Agent prior to noon (New York City time) on such Business Day) or otherwise on the immediately following Business Day (each such transfer date, as to the applicable Transfer, a “</w:t>
      </w:r>
      <w:r>
        <w:rPr>
          <w:rFonts w:ascii="Arial" w:cs="Arial" w:eastAsia="Arial" w:hAnsi="Arial"/>
          <w:sz w:val="17"/>
          <w:szCs w:val="17"/>
          <w:b w:val="1"/>
          <w:bCs w:val="1"/>
          <w:i w:val="1"/>
          <w:iCs w:val="1"/>
          <w:color w:val="auto"/>
        </w:rPr>
        <w:t>Transfer Date</w:t>
      </w:r>
      <w:r>
        <w:rPr>
          <w:rFonts w:ascii="Arial" w:cs="Arial" w:eastAsia="Arial" w:hAnsi="Arial"/>
          <w:sz w:val="17"/>
          <w:szCs w:val="17"/>
          <w:color w:val="auto"/>
        </w:rPr>
        <w:t xml:space="preserve">”). Transfers may occur during the existence of a Default or Event of Default and regardless of whether the applicable conditions precedent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have then been satisfied. Such amounts transferred to the Agent will be applied against the amount of the Protective Advance and, together with each Lender’s Applicable Percentage of such Protective Advance, will constitute Advances of such Lenders, respectively. If any such amount is not transferred to the Agent by any Lender on the applicable Transfer Date, then the Agent may recover such amount on demand from such Lender together with interest thereon. From and after the date, if any, on which any Lender is required to fund, and funds, its participation in any Protective Advance purchased hereunder, the Agent shall promptly distribute to such Lender such Lender’s Applicable Percentage of all payments of principal and interest and all proceeds of Collateral received by the Agent in respect of such Protective Advance in accordance with this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b w:val="1"/>
          <w:bCs w:val="1"/>
          <w:color w:val="auto"/>
        </w:rPr>
        <w:t>2.7 [Reserved]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2.8 Taxes</w:t>
      </w:r>
      <w:r>
        <w:rPr>
          <w:rFonts w:ascii="Arial" w:cs="Arial" w:eastAsia="Arial" w:hAnsi="Arial"/>
          <w:sz w:val="18"/>
          <w:szCs w:val="18"/>
          <w:color w:val="auto"/>
        </w:rPr>
        <w:t>(a).</w:t>
      </w:r>
    </w:p>
    <w:p>
      <w:pPr>
        <w:spacing w:after="0" w:line="229" w:lineRule="exact"/>
        <w:rPr>
          <w:sz w:val="20"/>
          <w:szCs w:val="20"/>
          <w:color w:val="auto"/>
        </w:rPr>
      </w:pPr>
    </w:p>
    <w:p>
      <w:pPr>
        <w:ind w:left="1000" w:hanging="344"/>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“Requirement of Law” includes FATCA.</w:t>
      </w:r>
    </w:p>
    <w:p>
      <w:pPr>
        <w:spacing w:after="0" w:line="225" w:lineRule="exact"/>
        <w:rPr>
          <w:rFonts w:ascii="Arial" w:cs="Arial" w:eastAsia="Arial" w:hAnsi="Arial"/>
          <w:sz w:val="18"/>
          <w:szCs w:val="18"/>
          <w:color w:val="auto"/>
        </w:rPr>
      </w:pPr>
    </w:p>
    <w:p>
      <w:pPr>
        <w:jc w:val="both"/>
        <w:ind w:firstLine="656"/>
        <w:spacing w:after="0" w:line="269"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to a Recipient shall be made without deduction or withholding for any Taxes, except as required by any Requirement of Law. If any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any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The applicable Recipient and each relevant Loan Party shall cooperate in completing any procedural formalities necessary for the relevant Loan Party to obtain authorization to make payments without any deduction or withholding on account of tax.</w:t>
      </w:r>
    </w:p>
    <w:p>
      <w:pPr>
        <w:spacing w:after="0" w:line="185" w:lineRule="exact"/>
        <w:rPr>
          <w:rFonts w:ascii="Arial" w:cs="Arial" w:eastAsia="Arial" w:hAnsi="Arial"/>
          <w:sz w:val="17"/>
          <w:szCs w:val="17"/>
          <w:color w:val="auto"/>
        </w:rPr>
      </w:pPr>
    </w:p>
    <w:p>
      <w:pPr>
        <w:ind w:firstLine="656"/>
        <w:spacing w:after="0" w:line="277" w:lineRule="auto"/>
        <w:tabs>
          <w:tab w:leader="none" w:pos="100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Loan Parties</w:t>
      </w:r>
      <w:r>
        <w:rPr>
          <w:rFonts w:ascii="Arial" w:cs="Arial" w:eastAsia="Arial" w:hAnsi="Arial"/>
          <w:sz w:val="18"/>
          <w:szCs w:val="18"/>
          <w:color w:val="auto"/>
        </w:rPr>
        <w:t>. The Loan Parties shall timely pay to the relevant Governmental Authority in accordance with any Requirement of Law, or at the option of Agent timely reimburse it for the payment of, any Other Taxes.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3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Indemnification of Agent and Lenders</w:t>
      </w:r>
      <w:r>
        <w:rPr>
          <w:rFonts w:ascii="Arial" w:cs="Arial" w:eastAsia="Arial" w:hAnsi="Arial"/>
          <w:sz w:val="18"/>
          <w:szCs w:val="18"/>
          <w:color w:val="auto"/>
        </w:rPr>
        <w:t xml:space="preserve">. Loan Parties shall indemnify any Recipient, within ten (10) days after demand thereof,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2.8) payable or paid by such Recipient or required to be withheld or deducted from a payment to the Recipient and any reasonable expenses arising therefrom or with respect thereto, whether or not such Indemnified Taxes were correctly or legally imposed or asserted by the relevant Governmental Authority. A certificate setting forth the amount of such payment or liability delivered to Borrower by a Recipient (with a copy to Agent, as applicable), or by Agent on its own behalf or on behalf of a Recipient, shall be conclusive absent manifest error.</w:t>
      </w:r>
    </w:p>
    <w:p>
      <w:pPr>
        <w:spacing w:after="0" w:line="192" w:lineRule="exact"/>
        <w:rPr>
          <w:rFonts w:ascii="Arial" w:cs="Arial" w:eastAsia="Arial" w:hAnsi="Arial"/>
          <w:sz w:val="18"/>
          <w:szCs w:val="18"/>
          <w:color w:val="auto"/>
        </w:rPr>
      </w:pPr>
    </w:p>
    <w:p>
      <w:pPr>
        <w:jc w:val="both"/>
        <w:ind w:firstLine="656"/>
        <w:spacing w:after="0" w:line="253" w:lineRule="auto"/>
        <w:tabs>
          <w:tab w:leader="none" w:pos="99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Indemnification of Agent</w:t>
      </w:r>
      <w:r>
        <w:rPr>
          <w:rFonts w:ascii="Arial" w:cs="Arial" w:eastAsia="Arial" w:hAnsi="Arial"/>
          <w:sz w:val="18"/>
          <w:szCs w:val="18"/>
          <w:color w:val="auto"/>
        </w:rPr>
        <w:t xml:space="preserve">. Each Lender shall severally indemnify Agent, within ten (10) days after demand therefor, for (i) any Indemnified Taxes attributable to such Lender (but only to the extent that the Loan Parties have not already indemnified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Loan Document or otherwise payable by Agent to Lenders from any other source against any amount due to Agent under this Section 2.8(e).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56"/>
        <w:spacing w:after="0" w:line="263"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xml:space="preserve">. As soon as practicable after any payment of Taxes by any Loan Party to a Governmental Authority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the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Status of Recipients;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9" w:lineRule="auto"/>
        <w:tabs>
          <w:tab w:leader="none" w:pos="1613"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Any Recipient that is entitled to an exemption from or reduction of withholding Tax with respect to payments made under any Loan Document shall deliver to the applicable Withholding Agent, at the time or times reasonably requested by such Withholding Agent, such properly completed and executed documentation reasonably requested by the Withholding Agent as will permit such payments to be made without withholding or at a reduced rate of withholding. In addition, any Recipient, if reasonably requested by the applicable Withholding Agent, shall deliver such other documentation prescribed by any Requirement of Law or reasonably requested by the applicable Withholding Agent as will enable Borrower or Agent to determine whether or not such Recipient is subject to backup withholding or information reporting requirements. Notwithstanding anything to the contrary in the preceding two sentences, the completion, execution and submission of such documentation (other than the documentation in </w:t>
      </w:r>
      <w:r>
        <w:rPr>
          <w:rFonts w:ascii="Arial" w:cs="Arial" w:eastAsia="Arial" w:hAnsi="Arial"/>
          <w:sz w:val="17"/>
          <w:szCs w:val="17"/>
          <w:u w:val="single" w:color="auto"/>
          <w:color w:val="auto"/>
        </w:rPr>
        <w:t>Section 2.8(a)(ii)(A)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shall not be required if in Recipient’s reasonable judgment such completion, execution or submission would subject such Recipient to any material unreimbursed cost or expense or would materially prejudice the legal or commercial position of such Recipient.</w:t>
      </w:r>
    </w:p>
    <w:p>
      <w:pPr>
        <w:spacing w:after="0" w:line="185" w:lineRule="exact"/>
        <w:rPr>
          <w:rFonts w:ascii="Arial" w:cs="Arial" w:eastAsia="Arial" w:hAnsi="Arial"/>
          <w:sz w:val="17"/>
          <w:szCs w:val="17"/>
          <w:color w:val="auto"/>
        </w:rPr>
      </w:pPr>
    </w:p>
    <w:p>
      <w:pPr>
        <w:ind w:left="1560" w:hanging="256"/>
        <w:spacing w:after="0"/>
        <w:tabs>
          <w:tab w:leader="none" w:pos="15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Borrower is a U.S. Person,</w:t>
      </w:r>
    </w:p>
    <w:p>
      <w:pPr>
        <w:spacing w:after="0" w:line="225" w:lineRule="exact"/>
        <w:rPr>
          <w:sz w:val="20"/>
          <w:szCs w:val="20"/>
          <w:color w:val="auto"/>
        </w:rPr>
      </w:pPr>
    </w:p>
    <w:p>
      <w:pPr>
        <w:jc w:val="both"/>
        <w:ind w:left="1300" w:firstLine="4"/>
        <w:spacing w:after="0" w:line="259" w:lineRule="auto"/>
        <w:tabs>
          <w:tab w:leader="none" w:pos="16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Recipient that is a U.S. Person shall deliver to Borrower and Agent on or prior to the date on which such Recipient becomes a Recipient under this Agreement (and from time to time thereafter upon the reasonable request of the applicable Withholding Agent) properly completed and duly executed copies of IRS Form W-9 (or any successor or other applicable form) certifying that such Recipient is exempt from U.S. federal backup withholding tax.</w:t>
      </w:r>
    </w:p>
    <w:p>
      <w:pPr>
        <w:spacing w:after="0" w:line="186" w:lineRule="exact"/>
        <w:rPr>
          <w:rFonts w:ascii="Arial" w:cs="Arial" w:eastAsia="Arial" w:hAnsi="Arial"/>
          <w:sz w:val="18"/>
          <w:szCs w:val="18"/>
          <w:color w:val="auto"/>
        </w:rPr>
      </w:pPr>
    </w:p>
    <w:p>
      <w:pPr>
        <w:jc w:val="both"/>
        <w:ind w:left="1300" w:firstLine="4"/>
        <w:spacing w:after="0" w:line="259" w:lineRule="auto"/>
        <w:tabs>
          <w:tab w:leader="none" w:pos="15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prior to the date on which such Foreign Recipient becomes a Recipient under this Agreement (and from time to time thereafter upon the reasonable request of the applicable Withholding Agent), whichever of the following is applicable:</w:t>
      </w:r>
    </w:p>
    <w:p>
      <w:pPr>
        <w:spacing w:after="0" w:line="186" w:lineRule="exact"/>
        <w:rPr>
          <w:rFonts w:ascii="Arial" w:cs="Arial" w:eastAsia="Arial" w:hAnsi="Arial"/>
          <w:sz w:val="18"/>
          <w:szCs w:val="18"/>
          <w:color w:val="auto"/>
        </w:rPr>
      </w:pPr>
    </w:p>
    <w:p>
      <w:pPr>
        <w:jc w:val="both"/>
        <w:ind w:left="1960" w:firstLine="640"/>
        <w:spacing w:after="0" w:line="311" w:lineRule="auto"/>
        <w:tabs>
          <w:tab w:leader="none" w:pos="2864"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a Foreign Recipient claiming the benefits of an income tax treaty to which the United States is a party, properly completed and executed copies of IRS Form W-8BEN or W-8BEN-E (or successor forms), as applicable, establishing an exemption from, or reduction of, U.S. federal withholding Tax pursuant to the applicable provisions of the income tax treaty;</w:t>
      </w:r>
    </w:p>
    <w:p>
      <w:pPr>
        <w:spacing w:after="0" w:line="148" w:lineRule="exact"/>
        <w:rPr>
          <w:rFonts w:ascii="Arial" w:cs="Arial" w:eastAsia="Arial" w:hAnsi="Arial"/>
          <w:sz w:val="16"/>
          <w:szCs w:val="16"/>
          <w:color w:val="auto"/>
        </w:rPr>
      </w:pPr>
    </w:p>
    <w:p>
      <w:pPr>
        <w:ind w:left="2860" w:hanging="260"/>
        <w:spacing w:after="0"/>
        <w:tabs>
          <w:tab w:leader="none" w:pos="2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properly completed and executed copies of IRS Form W-8ECI (or successor form);</w:t>
      </w:r>
    </w:p>
    <w:p>
      <w:pPr>
        <w:spacing w:after="0" w:line="225" w:lineRule="exact"/>
        <w:rPr>
          <w:rFonts w:ascii="Arial" w:cs="Arial" w:eastAsia="Arial" w:hAnsi="Arial"/>
          <w:sz w:val="18"/>
          <w:szCs w:val="18"/>
          <w:color w:val="auto"/>
        </w:rPr>
      </w:pPr>
    </w:p>
    <w:p>
      <w:pPr>
        <w:jc w:val="both"/>
        <w:ind w:left="1960" w:firstLine="640"/>
        <w:spacing w:after="0" w:line="255" w:lineRule="auto"/>
        <w:tabs>
          <w:tab w:leader="none" w:pos="286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case of a Foreign Recipient claiming the benefits of the exemption for portfolio interest under Section 871(h) or Section 881(c) of the Code, (x) a certificate to the effect that such Foreign Recipient is not a “bank” within the meaning of Section 881(c)(3)(A) of the Code, a “10 percent shareholder” of any Loan Party within the meaning of Section 881(c)(3)(B) of the Code, or a “controlled foreign corporation” described in Section 881(c)(3)(C) of the Code (a “</w:t>
      </w:r>
      <w:r>
        <w:rPr>
          <w:rFonts w:ascii="Arial" w:cs="Arial" w:eastAsia="Arial" w:hAnsi="Arial"/>
          <w:sz w:val="18"/>
          <w:szCs w:val="18"/>
          <w:b w:val="1"/>
          <w:bCs w:val="1"/>
          <w:i w:val="1"/>
          <w:iCs w:val="1"/>
          <w:color w:val="auto"/>
        </w:rPr>
        <w:t>U.S. Tax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(y) properly completed and executed copies of IRS Form W-8BEN or W-8BEN-E (or successor forms),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or</w:t>
      </w:r>
    </w:p>
    <w:p>
      <w:pPr>
        <w:spacing w:after="0" w:line="192" w:lineRule="exact"/>
        <w:rPr>
          <w:rFonts w:ascii="Arial" w:cs="Arial" w:eastAsia="Arial" w:hAnsi="Arial"/>
          <w:sz w:val="18"/>
          <w:szCs w:val="18"/>
          <w:color w:val="auto"/>
        </w:rPr>
      </w:pPr>
    </w:p>
    <w:p>
      <w:pPr>
        <w:jc w:val="both"/>
        <w:ind w:left="1960" w:firstLine="640"/>
        <w:spacing w:after="0" w:line="273" w:lineRule="auto"/>
        <w:tabs>
          <w:tab w:leader="none" w:pos="287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the extent a Foreign Recipient is not the beneficial owner, properly completed and executed copies of IRS Form W-8IMY, accompanied by IRS Form W-8ECI, W-8BEN, W-8BEN-E, a U.S. Tax Compliance Certificate, IRS Form W-9, and/or other certification documents from each beneficial owner, as applicable, in a form reasonably acceptable to Borrower; provided that if the Foreign Recipient is a partnership and one or more direct or indirect partners of such Foreign Recipient are claiming the portfolio interest exemption, such Foreign Recipient may provide in a form reasonable acceptable to Borrower a U.S. Tax Compliance Certificate on behalf of each such direct and indirect partner(s).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left="1300" w:firstLine="4"/>
        <w:spacing w:after="0" w:line="255" w:lineRule="auto"/>
        <w:tabs>
          <w:tab w:leader="none" w:pos="15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Foreign Recipient shall, to the extent it is legally entitled to do so, deliver to Borrower and Agent (in such number of copies as shall be requested by the recipient) on or about the date on which such Foreign Recipient becomes a Recipient under this Agreement (and from time to time thereafter upon the reasonable request of Borrower or Agent), executed copies of any other form prescribed by a Requirement of Law as a basis for claiming exemption from or a reduction in U.S. federal withholding Tax, duly completed, together with such supplementary documentation as may be prescribed by Requirement of Law to permit Borrower or Agent to determine the withholding or deduction required to be made.</w:t>
      </w:r>
    </w:p>
    <w:p>
      <w:pPr>
        <w:spacing w:after="0" w:line="192" w:lineRule="exact"/>
        <w:rPr>
          <w:rFonts w:ascii="Arial" w:cs="Arial" w:eastAsia="Arial" w:hAnsi="Arial"/>
          <w:sz w:val="18"/>
          <w:szCs w:val="18"/>
          <w:color w:val="auto"/>
        </w:rPr>
      </w:pPr>
    </w:p>
    <w:p>
      <w:pPr>
        <w:jc w:val="both"/>
        <w:ind w:left="1300" w:firstLine="4"/>
        <w:spacing w:after="0" w:line="270" w:lineRule="auto"/>
        <w:tabs>
          <w:tab w:leader="none" w:pos="15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applicable Withholding Agent at the time or times prescribed by Requirement of Law and at such time or times reasonably requested by such Withholding Agent such documentation prescribed by any Requirement of Law (including as prescribed by Section 1471(b)(3)(C)(i) of the Code) and such additional documentation reasonably requested by the Withholding Agent as may be necessary for the Withholding Agent to comply with their obligations under FATCA and to determine that such Recipient has complied with such Recipient’s obligations under FATCA or to determine the amount, if any, to deduct and withhold from such payment. Solely for purposes of this </w:t>
      </w:r>
      <w:r>
        <w:rPr>
          <w:rFonts w:ascii="Arial" w:cs="Arial" w:eastAsia="Arial" w:hAnsi="Arial"/>
          <w:sz w:val="17"/>
          <w:szCs w:val="17"/>
          <w:u w:val="single" w:color="auto"/>
          <w:color w:val="auto"/>
        </w:rPr>
        <w:t>Section 2.8(g)(ii)(D</w:t>
      </w:r>
      <w:r>
        <w:rPr>
          <w:rFonts w:ascii="Arial" w:cs="Arial" w:eastAsia="Arial" w:hAnsi="Arial"/>
          <w:sz w:val="17"/>
          <w:szCs w:val="17"/>
          <w:color w:val="auto"/>
        </w:rPr>
        <w:t>), “FATCA” shall include any amendments made to FATCA after the date of this Agreement.</w:t>
      </w:r>
    </w:p>
    <w:p>
      <w:pPr>
        <w:spacing w:after="0" w:line="181" w:lineRule="exact"/>
        <w:rPr>
          <w:sz w:val="20"/>
          <w:szCs w:val="20"/>
          <w:color w:val="auto"/>
        </w:rPr>
      </w:pPr>
    </w:p>
    <w:p>
      <w:pPr>
        <w:jc w:val="both"/>
        <w:ind w:left="660" w:firstLine="644"/>
        <w:spacing w:after="0" w:line="263" w:lineRule="auto"/>
        <w:tabs>
          <w:tab w:leader="none" w:pos="16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Each Recipient agrees that if any form or certification it previously delivered under this </w:t>
      </w:r>
      <w:r>
        <w:rPr>
          <w:rFonts w:ascii="Arial" w:cs="Arial" w:eastAsia="Arial" w:hAnsi="Arial"/>
          <w:sz w:val="18"/>
          <w:szCs w:val="18"/>
          <w:u w:val="single" w:color="auto"/>
          <w:color w:val="auto"/>
        </w:rPr>
        <w:t>Section 2.8(g)</w:t>
      </w:r>
      <w:r>
        <w:rPr>
          <w:rFonts w:ascii="Arial" w:cs="Arial" w:eastAsia="Arial" w:hAnsi="Arial"/>
          <w:sz w:val="18"/>
          <w:szCs w:val="18"/>
          <w:color w:val="auto"/>
        </w:rPr>
        <w:t xml:space="preserve"> expires or becomes obsolete or inaccurate in any respect, it shall update such form or certification or promptly notify the applicable Withholding Agent in writing of its legal inability to do so.</w:t>
      </w:r>
    </w:p>
    <w:p>
      <w:pPr>
        <w:spacing w:after="0" w:line="183" w:lineRule="exact"/>
        <w:rPr>
          <w:rFonts w:ascii="Arial" w:cs="Arial" w:eastAsia="Arial" w:hAnsi="Arial"/>
          <w:sz w:val="18"/>
          <w:szCs w:val="18"/>
          <w:color w:val="auto"/>
        </w:rPr>
      </w:pPr>
    </w:p>
    <w:p>
      <w:pPr>
        <w:jc w:val="both"/>
        <w:ind w:firstLine="656"/>
        <w:spacing w:after="0" w:line="287" w:lineRule="auto"/>
        <w:tabs>
          <w:tab w:leader="none" w:pos="100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Recipient determines, in its sole discretion exercised in good faith, that it has received a refund of any Taxes as to which it has been indemnified by any Loan Party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it shall pay to such Loan Party an amount equal to such refund (but only to the extent of indemnity payments made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shall repay to the Recipient the amount paid over to such Loan Party by such Recipient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in the event that the Recipient is required to repay such refund to such Governmental Authority. Notwithstanding anything to the contrary in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in no event will any Recipient be required to pay any amount to any Loan Party pursuant to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shall not be construed to require any Recipient to make available its Tax returns (or any other information relating to its Taxes that it deems confidential) to a Loan Party or any other Person.</w:t>
      </w:r>
    </w:p>
    <w:p>
      <w:pPr>
        <w:spacing w:after="0" w:line="167" w:lineRule="exact"/>
        <w:rPr>
          <w:rFonts w:ascii="Arial" w:cs="Arial" w:eastAsia="Arial" w:hAnsi="Arial"/>
          <w:sz w:val="16"/>
          <w:szCs w:val="16"/>
          <w:color w:val="auto"/>
        </w:rPr>
      </w:pPr>
    </w:p>
    <w:p>
      <w:pPr>
        <w:ind w:firstLine="656"/>
        <w:spacing w:after="0" w:line="342" w:lineRule="auto"/>
        <w:tabs>
          <w:tab w:leader="none" w:pos="95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Each party’s obligations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survive the resignation or replacement of Agent or any assignment of rights by, or the replacement of, a Lender, the termination of the Term Loan Commitments and the repayment, satisfaction or discharge of all other Obligations.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2.9 Collections</w:t>
      </w:r>
      <w:r>
        <w:rPr>
          <w:rFonts w:ascii="Arial" w:cs="Arial" w:eastAsia="Arial" w:hAnsi="Arial"/>
          <w:sz w:val="18"/>
          <w:szCs w:val="18"/>
          <w:color w:val="auto"/>
        </w:rPr>
        <w:t>. Each Loan Party shall and shall cause each of its Subsidiaries (other than its Immaterial Subsidiaries) to:</w:t>
      </w:r>
    </w:p>
    <w:p>
      <w:pPr>
        <w:spacing w:after="0" w:line="229" w:lineRule="exact"/>
        <w:rPr>
          <w:sz w:val="20"/>
          <w:szCs w:val="20"/>
          <w:color w:val="auto"/>
        </w:rPr>
      </w:pPr>
    </w:p>
    <w:p>
      <w:pPr>
        <w:ind w:firstLine="656"/>
        <w:spacing w:after="0" w:line="277" w:lineRule="auto"/>
        <w:tabs>
          <w:tab w:leader="none" w:pos="10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Make (or direct any payor to make) all Collections to a Deposit Account which is, subject to </w:t>
      </w:r>
      <w:r>
        <w:rPr>
          <w:rFonts w:ascii="Arial" w:cs="Arial" w:eastAsia="Arial" w:hAnsi="Arial"/>
          <w:sz w:val="18"/>
          <w:szCs w:val="18"/>
          <w:u w:val="single" w:color="auto"/>
          <w:color w:val="auto"/>
        </w:rPr>
        <w:t>Section 5.13(b)</w:t>
      </w:r>
      <w:r>
        <w:rPr>
          <w:rFonts w:ascii="Arial" w:cs="Arial" w:eastAsia="Arial" w:hAnsi="Arial"/>
          <w:sz w:val="18"/>
          <w:szCs w:val="18"/>
          <w:color w:val="auto"/>
        </w:rPr>
        <w:t>, the subject to a Control Agreement (a “</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0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Loan Party shall receive any Collections in any manner other than by deposit into the Controlled Account, such Loan Party shall hold such Collections in trust for the benefit of Agent and deposit such Collections into the Controlled Account within three (3) Business Days following such Loan Party’s receipt thereof; and</w:t>
      </w:r>
    </w:p>
    <w:p>
      <w:pPr>
        <w:spacing w:after="0" w:line="183" w:lineRule="exact"/>
        <w:rPr>
          <w:rFonts w:ascii="Arial" w:cs="Arial" w:eastAsia="Arial" w:hAnsi="Arial"/>
          <w:sz w:val="18"/>
          <w:szCs w:val="18"/>
          <w:color w:val="auto"/>
        </w:rPr>
      </w:pPr>
    </w:p>
    <w:p>
      <w:pPr>
        <w:jc w:val="both"/>
        <w:ind w:firstLine="656"/>
        <w:spacing w:after="0" w:line="311" w:lineRule="auto"/>
        <w:tabs>
          <w:tab w:leader="none" w:pos="9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Prevent the deposit into any Deposit Account (other than Excluded Deposit Accounts) of any funds other than the funds to be deposited into such Deposit Accounts under this Agreement or the other Loan Documents (provided that, this covenant shall not be breached to the extent that funds are inadvertently deposited into any of such Deposit Accounts and are promptly segregated and removed such Deposit Account to the Controlled Account).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b w:val="1"/>
          <w:bCs w:val="1"/>
          <w:color w:val="auto"/>
        </w:rPr>
        <w:t>2.10 Increased Costs</w:t>
      </w:r>
    </w:p>
    <w:p>
      <w:pPr>
        <w:spacing w:after="0" w:line="229" w:lineRule="exact"/>
        <w:rPr>
          <w:sz w:val="20"/>
          <w:szCs w:val="20"/>
          <w:color w:val="auto"/>
        </w:rPr>
      </w:pPr>
    </w:p>
    <w:p>
      <w:pPr>
        <w:ind w:left="1000" w:hanging="344"/>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660" w:firstLine="644"/>
        <w:spacing w:after="0" w:line="277" w:lineRule="auto"/>
        <w:tabs>
          <w:tab w:leader="none" w:pos="1653" w:val="left"/>
        </w:tabs>
        <w:numPr>
          <w:ilvl w:val="1"/>
          <w:numId w:val="7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or</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8"/>
          <w:szCs w:val="18"/>
          <w:color w:val="auto"/>
        </w:rPr>
      </w:pPr>
    </w:p>
    <w:p>
      <w:pPr>
        <w:ind w:left="660" w:firstLine="644"/>
        <w:spacing w:after="0" w:line="277" w:lineRule="auto"/>
        <w:tabs>
          <w:tab w:leader="none" w:pos="16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the portion of the Term Loan made by such Lender or participation therein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the Term Loan or of maintaining its obligation to make any such Term Loan, or to increase the cost to such Lender or such other Person of participating in, or to reduce the amount of any sum received or receivable by such Lender or other Person hereunder (whether of principal, interest or any other amount) then, upon request of such Lender or other Person, Borrower will pay to such Lender or other Person, as the case may be, such additional amount or amounts as will compensate such Lender or other Person, as the case may be, for such additional costs incurred or reduction suffered.</w:t>
      </w:r>
    </w:p>
    <w:p>
      <w:pPr>
        <w:spacing w:after="0" w:line="176" w:lineRule="exact"/>
        <w:rPr>
          <w:sz w:val="20"/>
          <w:szCs w:val="20"/>
          <w:color w:val="auto"/>
        </w:rPr>
      </w:pPr>
    </w:p>
    <w:p>
      <w:pPr>
        <w:jc w:val="both"/>
        <w:ind w:firstLine="656"/>
        <w:spacing w:after="0" w:line="254" w:lineRule="auto"/>
        <w:tabs>
          <w:tab w:leader="none" w:pos="100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Term Loan Commitments of such Lender or the Term Loan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Borrower will pay to such Lender or holding company such additional amount or amounts as will compensate such Lender or such Lender’s holding company for any such reduction suffered.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00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setting forth in reasonable detail the amount or amounts necessary to compensate such Lender or its holding company, as the case may be, as specified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delivered to the Borrower shall be conclusive absent manifest error. Borrower shall pay such Lender or its holding company,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033"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Delays in Request</w:t>
      </w:r>
      <w:r>
        <w:rPr>
          <w:rFonts w:ascii="Arial" w:cs="Arial" w:eastAsia="Arial" w:hAnsi="Arial"/>
          <w:sz w:val="17"/>
          <w:szCs w:val="17"/>
          <w:color w:val="auto"/>
        </w:rPr>
        <w:t xml:space="preserve">. Failure or delay on the part of any Lender to demand compensation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not constitute a waiver of such Lender’s right to demand such compensation, provided that Borrower shall not be required to compensate a Lender or other Person pursuant to this section for any increased costs incurred or reductions suffered more than nine (9) months prior to the date that such Lender or other Person, as the case may be, notifies Borrower of the Change in Law giving rise to such increased costs or reductions and of such Lender’s or Person’s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2.11 Mitigation Obligations.</w:t>
      </w:r>
    </w:p>
    <w:p>
      <w:pPr>
        <w:spacing w:after="0" w:line="22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If any Lender requires the Borrower to pay any Indemnified Taxes or additional amounts to any Lender or any Governmental Authority for the account of any Lender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such Lender shall (at the request of the Borrower) use reasonable efforts to designate a different lending office for funding or booking its Term Loan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Borrower hereby agree to pay all reasonable costs and expenses incurred by any Lender in connection with any such designation or assignment.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SECTION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induce Agent and Lenders to enter into this Agreement and to make the Term Loan, the Loan Parties hereby represent and warrant to Agent and Lenders on the Closing Date that:</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 Financial Condition</w:t>
      </w:r>
      <w:r>
        <w:rPr>
          <w:rFonts w:ascii="Arial" w:cs="Arial" w:eastAsia="Arial" w:hAnsi="Arial"/>
          <w:sz w:val="18"/>
          <w:szCs w:val="18"/>
          <w:color w:val="auto"/>
        </w:rPr>
        <w:t>. None of the Loan Parties have any material Guarantee Obligations (other than pursuant to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liabilities and liabilities for Taxes, or any long term leases or unusual forward or long term commitments, including any interest rate or foreign currency swap or exchange transaction or other obligation in respect of derivatives, required to be set forth on financial statements prepared in accordance with GAAP that are not reflected in the most recent financial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3.2 No Change</w:t>
      </w:r>
      <w:r>
        <w:rPr>
          <w:rFonts w:ascii="Arial" w:cs="Arial" w:eastAsia="Arial" w:hAnsi="Arial"/>
          <w:sz w:val="18"/>
          <w:szCs w:val="18"/>
          <w:color w:val="auto"/>
        </w:rPr>
        <w:t>. Since June 30, 2022, there has been no change in the financial condition, operations, assets, business or properties of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could reasonably be expected to result in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3.3 Existence; Compliance with Law</w:t>
      </w:r>
      <w:r>
        <w:rPr>
          <w:rFonts w:ascii="Arial" w:cs="Arial" w:eastAsia="Arial" w:hAnsi="Arial"/>
          <w:sz w:val="18"/>
          <w:szCs w:val="18"/>
          <w:color w:val="auto"/>
        </w:rPr>
        <w:t>. Each Loan Party (i) is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its organization, (ii) has the power and authority, and the legal right, to own and operate its property, to lease the property it operates as lessee and to conduct the business in which it is currently engaged, (iii) is duly qualified as a foreign corporation or other organization, as applicable, and in good standing under the Laws of each jurisdiction where the failure to be so qualified could reasonably be expected to have a Material Adverse Effect and (iv) is in material compliance with all Requirements of Law.</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3.4 Power, Authorization; Enforceable Obligations</w:t>
      </w:r>
      <w:r>
        <w:rPr>
          <w:rFonts w:ascii="Arial" w:cs="Arial" w:eastAsia="Arial" w:hAnsi="Arial"/>
          <w:sz w:val="17"/>
          <w:szCs w:val="17"/>
          <w:color w:val="auto"/>
        </w:rPr>
        <w:t>. Each Loan Party has the power and authority, and the legal right, to make, deliver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Loan Documents to which it is a party and, in the case of Borrower, to obtain extensions of credit hereunder. Each Loan Party has taken all necessary organizational action to authorize the execution, delivery and performance of the Loan Documents to which it is a party and, in the case of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other Loan Documents, except (i) Governmental Approvals, consents, authorizations, filings and notices that have previously been obtained or made and are in full force and effect and (ii) the filings of UCC financing statements in accordance with the Security Agreement. Each Loan Document has been duly executed and delivered on behalf of each Loan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94" w:lineRule="auto"/>
        <w:rPr>
          <w:sz w:val="20"/>
          <w:szCs w:val="20"/>
          <w:color w:val="auto"/>
        </w:rPr>
      </w:pPr>
      <w:r>
        <w:rPr>
          <w:rFonts w:ascii="Arial" w:cs="Arial" w:eastAsia="Arial" w:hAnsi="Arial"/>
          <w:sz w:val="16"/>
          <w:szCs w:val="16"/>
          <w:b w:val="1"/>
          <w:bCs w:val="1"/>
          <w:color w:val="auto"/>
        </w:rPr>
        <w:t>3.5 No Legal Bar</w:t>
      </w:r>
      <w:r>
        <w:rPr>
          <w:rFonts w:ascii="Arial" w:cs="Arial" w:eastAsia="Arial" w:hAnsi="Arial"/>
          <w:sz w:val="16"/>
          <w:szCs w:val="16"/>
          <w:color w:val="auto"/>
        </w:rPr>
        <w:t>. The execution, delivery and performance of this Agreement and the other Loan Documents, the borrowings hereunder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use of the proceeds thereof will not violate any Requirement of Law or any Contractual Obligation of such Loan Party and will not result in, or require, the creation or imposition of any Lien on any of their respective properties or revenues pursuant to any Requirement of Law or any Contractual Obligation (other than the Liens created by the Security Documents). No Requirement of Law or Contractual Obligation applicable to a Loan Party could reasonably be expected to have a Material Adverse Effect. No Loan Party is subject to regulation under any Requirement of Law (other than Regulation X) that limits its ability to incur Indebtedness or which may otherwise render all or any portion of the Obligations unenforceable.</w:t>
      </w:r>
    </w:p>
    <w:p>
      <w:pPr>
        <w:spacing w:after="0" w:line="16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3.6 Litigation</w:t>
      </w:r>
      <w:r>
        <w:rPr>
          <w:rFonts w:ascii="Arial" w:cs="Arial" w:eastAsia="Arial" w:hAnsi="Arial"/>
          <w:sz w:val="16"/>
          <w:szCs w:val="16"/>
          <w:color w:val="auto"/>
        </w:rPr>
        <w:t>. No litigation, investigation or proceeding of or before any arbitrator or Governmental Authority is pending or, to the knowledge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Loan Party after reasonable inquiry, threatened by or against any Loan Party or against any of its properties or revenues (a) with respect to any of the Loan Documents, the Collateral or any of the transactions contemplated hereby or thereby, or (b) that could reasonably be expected to have a Material Adverse Effect. As of the Closing Date and each other Borrowing Date, all litigation to which any Loan Party is a party is set forth in </w:t>
      </w:r>
      <w:r>
        <w:rPr>
          <w:rFonts w:ascii="Arial" w:cs="Arial" w:eastAsia="Arial" w:hAnsi="Arial"/>
          <w:sz w:val="16"/>
          <w:szCs w:val="16"/>
          <w:u w:val="single" w:color="auto"/>
          <w:color w:val="auto"/>
        </w:rPr>
        <w:t>Schedule 3.6</w:t>
      </w:r>
      <w:r>
        <w:rPr>
          <w:rFonts w:ascii="Arial" w:cs="Arial" w:eastAsia="Arial" w:hAnsi="Arial"/>
          <w:sz w:val="16"/>
          <w:szCs w:val="16"/>
          <w:color w:val="auto"/>
        </w:rPr>
        <w:t>.</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3.7 No Default</w:t>
      </w:r>
      <w:r>
        <w:rPr>
          <w:rFonts w:ascii="Arial" w:cs="Arial" w:eastAsia="Arial" w:hAnsi="Arial"/>
          <w:sz w:val="18"/>
          <w:szCs w:val="18"/>
          <w:color w:val="auto"/>
        </w:rPr>
        <w:t>. No Loan Party is, or will be upon consummation of the transactions contemplated herein, in default under or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its Contractual Obligations in any respect, including, without limitation, under any Material Contract. No Default or Event of Default has occurred and is continuing, nor shall either result from the making of a requested Term Loan. As of the Closing Date and as of each other Borrowing Date, each of the Material Contracts of the Loan Parties are set forth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attached hereto.</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3.8 Taxes</w:t>
      </w:r>
      <w:r>
        <w:rPr>
          <w:rFonts w:ascii="Arial" w:cs="Arial" w:eastAsia="Arial" w:hAnsi="Arial"/>
          <w:sz w:val="17"/>
          <w:szCs w:val="17"/>
          <w:color w:val="auto"/>
        </w:rPr>
        <w:t>. Each Loan Party and each of its Subsidiaries has filed or caused to be filed all federal, state and other material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that are required to be filed by it and has paid all federal, state and other material Taxes shown to be due and payable (other than Taxes that are currently being contested in good faith by appropriate proceedings which stay the enforcement of any Lien resulting from the non-payment thereof and with respect to which adequate reserves have been set aside for the payment thereof in conformity with GAAP). No Tax Lien has been filed (other than Permitted Liens) in respect of any Loan Party or any of their Subsidiaries. To the knowledge of each Loan Party after reasonable inquiry, no claim is currently being asserted against it or any of its Subsidiaries with respect to any Tax.</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3.9 Margin Stock</w:t>
      </w:r>
      <w:r>
        <w:rPr>
          <w:rFonts w:ascii="Arial" w:cs="Arial" w:eastAsia="Arial" w:hAnsi="Arial"/>
          <w:sz w:val="18"/>
          <w:szCs w:val="18"/>
          <w:color w:val="auto"/>
        </w:rPr>
        <w:t>. No Loan Party is engaged and will not engage, principally or as one of its important activities, in the business of purchasing or</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Margin Stock, or extending credit for the purpose of purchasing or carrying Margin Stock, and no part of the proceeds of any Term Loan, and no other extensions of credit hereunder, will be used for “buying” or “carrying” any Margin Stock for any purpose that violates the provisions of the Regulations T, U, X or any other regulations of the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70" w:lineRule="auto"/>
        <w:rPr>
          <w:sz w:val="20"/>
          <w:szCs w:val="20"/>
          <w:color w:val="auto"/>
        </w:rPr>
      </w:pPr>
      <w:r>
        <w:rPr>
          <w:rFonts w:ascii="Arial" w:cs="Arial" w:eastAsia="Arial" w:hAnsi="Arial"/>
          <w:sz w:val="17"/>
          <w:szCs w:val="17"/>
          <w:b w:val="1"/>
          <w:bCs w:val="1"/>
          <w:color w:val="auto"/>
        </w:rPr>
        <w:t>3.10 ERISA</w:t>
      </w:r>
      <w:r>
        <w:rPr>
          <w:rFonts w:ascii="Arial" w:cs="Arial" w:eastAsia="Arial" w:hAnsi="Arial"/>
          <w:sz w:val="17"/>
          <w:szCs w:val="17"/>
          <w:color w:val="auto"/>
        </w:rPr>
        <w:t>. None of Borrower, nor any other Loan Party, nor any of their respective ERISA Affiliates has established or maintains or contributes</w:t>
      </w:r>
      <w:r>
        <w:rPr>
          <w:rFonts w:ascii="Arial" w:cs="Arial" w:eastAsia="Arial" w:hAnsi="Arial"/>
          <w:sz w:val="17"/>
          <w:szCs w:val="17"/>
          <w:b w:val="1"/>
          <w:bCs w:val="1"/>
          <w:color w:val="auto"/>
        </w:rPr>
        <w:t xml:space="preserve"> </w:t>
      </w:r>
      <w:r>
        <w:rPr>
          <w:rFonts w:ascii="Arial" w:cs="Arial" w:eastAsia="Arial" w:hAnsi="Arial"/>
          <w:sz w:val="17"/>
          <w:szCs w:val="17"/>
          <w:color w:val="auto"/>
        </w:rPr>
        <w:t>(or has an obligation to contribute) to, or otherwise has any liability, contingent or otherwise with respect to (a) any “employee benefit plan” (within the meaning of Section 3(3) of ERISA, whether or not subject to ERISA) that is covered by Title IV of ERISA or Section 412 of the Code or (b) any “employee benefit plan” providing for post-employment medical or other welfare benefits, except as required by applicable Requirements of Law and at the sole expense of the plan participants. Each “employee benefit plan” that is or has been sponsored, contributed to or required to be contributed to by the Borrower, Parent or their respective ERISA Affiliates has been maintained in compliance with its terms, ERISA, the Code and all other applicable Requirements of Law in all material respects. None of the Loan Parties nor any of their Affiliates is a Plan and none of the assets of the Loan Parties not any of their Affiliates constitutes “plan assets” (within the meaning of 29 CFR § 2510.3-101, as modified by Section 3(42) of ERISA). The entering into this Agreement, the transactions contemplated hereby, the performance by the Loan Parties of its obligations hereunder or under any other Loan Document, do not and will not violate any provisions of ERISA.</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3.11 Investment Company Act</w:t>
      </w:r>
      <w:r>
        <w:rPr>
          <w:rFonts w:ascii="Arial" w:cs="Arial" w:eastAsia="Arial" w:hAnsi="Arial"/>
          <w:sz w:val="18"/>
          <w:szCs w:val="18"/>
          <w:color w:val="auto"/>
        </w:rPr>
        <w:t>. No Loan Party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within the meaning of the Investment Company Act of 1940, as amended. No Loan Party is subject to regulation under the Federal Power Act or under any other federal or state statute or regulation which may limit its ability to incur Indebtedness or which may otherwise render all or any portion of the Obligations unenforceable.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3.12 Use of Proceeds</w:t>
      </w:r>
      <w:r>
        <w:rPr>
          <w:rFonts w:ascii="Arial" w:cs="Arial" w:eastAsia="Arial" w:hAnsi="Arial"/>
          <w:sz w:val="18"/>
          <w:szCs w:val="18"/>
          <w:color w:val="auto"/>
        </w:rPr>
        <w:t>. The proceeds of each Term Loan shall be used by Borrower solely (i) refinance the Prior Debt, (ii) to pay fees,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Agent, Lenders and the Loan Parties in connection with the transactions contemplated hereby or in connection herewith, and (iii) otherwise for working capital and general corporate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3.13 Environmental Matters</w:t>
      </w:r>
      <w:r>
        <w:rPr>
          <w:rFonts w:ascii="Arial" w:cs="Arial" w:eastAsia="Arial" w:hAnsi="Arial"/>
          <w:sz w:val="18"/>
          <w:szCs w:val="18"/>
          <w:color w:val="auto"/>
        </w:rPr>
        <w:t>. None of the Loan Parties’ properties or assets has been used by a Loan Party or, to the best of such Loan Party’s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after reasonable inquiry, by previous Persons, in disposing, producing, storing, treating, or transporting any hazardous substance other than in compliance with any applicable Environmental Law.</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3.14 Accuracy of Information, etc. </w:t>
      </w:r>
      <w:r>
        <w:rPr>
          <w:rFonts w:ascii="Arial" w:cs="Arial" w:eastAsia="Arial" w:hAnsi="Arial"/>
          <w:sz w:val="16"/>
          <w:szCs w:val="16"/>
          <w:color w:val="auto"/>
        </w:rPr>
        <w:t>No statement or information contained in this Agreement, any other Loan Document or any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or statement furnished by or on behalf of any Loan Party to Agent or any Lender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it being understood that any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provided is based upon good faith estimates and assumptions believed by management of the Loan Parties to be reasonable at the time made, it being recognized by the Agent and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Agent and Lenders for use in connection with the transactions contemplated hereby and by the other Loan Documents.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312" w:lineRule="auto"/>
        <w:rPr>
          <w:sz w:val="20"/>
          <w:szCs w:val="20"/>
          <w:color w:val="auto"/>
        </w:rPr>
      </w:pPr>
      <w:r>
        <w:rPr>
          <w:rFonts w:ascii="Arial" w:cs="Arial" w:eastAsia="Arial" w:hAnsi="Arial"/>
          <w:sz w:val="17"/>
          <w:szCs w:val="17"/>
          <w:b w:val="1"/>
          <w:bCs w:val="1"/>
          <w:color w:val="auto"/>
        </w:rPr>
        <w:t>3.15 Security Documents</w:t>
      </w:r>
      <w:r>
        <w:rPr>
          <w:rFonts w:ascii="Arial" w:cs="Arial" w:eastAsia="Arial" w:hAnsi="Arial"/>
          <w:sz w:val="17"/>
          <w:szCs w:val="17"/>
          <w:color w:val="auto"/>
        </w:rPr>
        <w:t>. The Security Documents are effective to create in favor of the Agent, for the benefit of itself and the Lenders, a legal,</w:t>
      </w:r>
      <w:r>
        <w:rPr>
          <w:rFonts w:ascii="Arial" w:cs="Arial" w:eastAsia="Arial" w:hAnsi="Arial"/>
          <w:sz w:val="17"/>
          <w:szCs w:val="17"/>
          <w:b w:val="1"/>
          <w:bCs w:val="1"/>
          <w:color w:val="auto"/>
        </w:rPr>
        <w:t xml:space="preserve"> </w:t>
      </w:r>
      <w:r>
        <w:rPr>
          <w:rFonts w:ascii="Arial" w:cs="Arial" w:eastAsia="Arial" w:hAnsi="Arial"/>
          <w:sz w:val="17"/>
          <w:szCs w:val="17"/>
          <w:color w:val="auto"/>
        </w:rPr>
        <w:t>valid and enforceable first-priority security interest (subject to Permitted Liens) in the Collateral described therein and proceeds thereof.</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3.16 Solvency</w:t>
      </w:r>
      <w:r>
        <w:rPr>
          <w:rFonts w:ascii="Arial" w:cs="Arial" w:eastAsia="Arial" w:hAnsi="Arial"/>
          <w:sz w:val="18"/>
          <w:szCs w:val="18"/>
          <w:color w:val="auto"/>
        </w:rPr>
        <w:t>. The Loan Parties taken as a whole are, and after giving effect to the incurrence of all Indebtedness and obligations being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herewith, will be, Solvent.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3.17 Insurance</w:t>
      </w:r>
      <w:r>
        <w:rPr>
          <w:rFonts w:ascii="Arial" w:cs="Arial" w:eastAsia="Arial" w:hAnsi="Arial"/>
          <w:sz w:val="18"/>
          <w:szCs w:val="18"/>
          <w:color w:val="auto"/>
        </w:rPr>
        <w:t>. All insurance maintained by the Loan Parties is in full force and effect, all premiums have been duly paid, no Loan Party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received notice of violation or cancellation thereof, and there exists no default under any requirement of such insurance. Each Loan Party maintains insurance with financially sound and reputable insurance companies, on all its property and against at least such risks and, in any case, in at least such amounts as reasonably required by the Agent and as otherwise may be required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3.18 Title</w:t>
      </w:r>
      <w:r>
        <w:rPr>
          <w:rFonts w:ascii="Arial" w:cs="Arial" w:eastAsia="Arial" w:hAnsi="Arial"/>
          <w:sz w:val="18"/>
          <w:szCs w:val="18"/>
          <w:color w:val="auto"/>
        </w:rPr>
        <w:t>. Each Loan Party is the lawful owner of, and has good title to, all of the Collateral pledged hereunder or any other Loan Document,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free and clear of any Liens (other than the Lien of the Agent and any Permitted Liens). The Collateral represents all assets that are necessary for the conduct of Loan Parties’ business as currently conducted.</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3.19 Subsidiaries</w:t>
      </w:r>
      <w:r>
        <w:rPr>
          <w:rFonts w:ascii="Arial" w:cs="Arial" w:eastAsia="Arial" w:hAnsi="Arial"/>
          <w:sz w:val="16"/>
          <w:szCs w:val="16"/>
          <w:color w:val="auto"/>
        </w:rPr>
        <w:t>. As of the Closing Date, each Subsidiary of a Loan Party is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3.19</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As of any date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Closing Date, the Loan Parties have no Subsidiaries other than those set forth on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hereof and those permitted pursuant to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hereof.</w:t>
      </w:r>
    </w:p>
    <w:p>
      <w:pPr>
        <w:spacing w:after="0" w:line="1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3.20 Employees</w:t>
      </w:r>
      <w:r>
        <w:rPr>
          <w:rFonts w:ascii="Arial" w:cs="Arial" w:eastAsia="Arial" w:hAnsi="Arial"/>
          <w:sz w:val="16"/>
          <w:szCs w:val="16"/>
          <w:color w:val="auto"/>
        </w:rPr>
        <w:t>. No Loan Party is party to or bound by any collective bargaining agreement or similar labor agreement and there is,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five (5) year period immediately preceding the Closing Date, has been, no labor organizing activity involving employees of any Loan Party. There are no strikes, lockouts, work stoppages, slowdowns or other labor disputes against any Loan Party pending or, to the Knowledge of any Loan Party, threatened and the Loan Parties have complied in all material respects with the Fair Labor Standards Act of 1938, as amended, and all other applicable federal, state, local or foreign labor and employment Laws. None of the Loan Parties has incurred any material liability or obligation under the Worker Adjustment and Retraining Notification Act or similar state law that remains unpaid or unsatisfied. All material payments due from any of the Loan Parties on account of wages and employee health and welfare insurance and other benefits have been paid or accrued as a liability on the books of the Loan Parties.</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3.21 Collateral</w:t>
      </w:r>
      <w:r>
        <w:rPr>
          <w:rFonts w:ascii="Arial" w:cs="Arial" w:eastAsia="Arial" w:hAnsi="Arial"/>
          <w:sz w:val="17"/>
          <w:szCs w:val="17"/>
          <w:color w:val="auto"/>
        </w:rPr>
        <w:t>. All statements made and all information appearing in all invoices, instruments and other documents evidencing the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of any Loan Party, and the operations of such Loan Party with respect to such account receivables are and shall be true and correct in all material respects and all such invoices, instruments and other documents, and all of such Loan Party’s books and records are genuine and in all respects what they purport to be. All account receivables of the Loan Parties and all operations of the Loan Parties with respect to such account receivables comply in all material respects with all applicable Requirements of Law. To such Loan Party’s knowledge after reasonable inquiry, all signatures and endorsements on all documents, instruments, and agreements relating to the account receivables of such Loan Party are genuine, and all such documents, instruments and agreements are legally enforceable in accordance with their terms. Each account receivables of a Loan Party is, and will remain at all times, free and clear of Liens other than the Lien of Agent and Permitted Liens. The Loan Parties have not, and will not, transfer or assign any partial interest in any account receivables other than in the ordinary course of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61" w:lineRule="auto"/>
        <w:rPr>
          <w:sz w:val="20"/>
          <w:szCs w:val="20"/>
          <w:color w:val="auto"/>
        </w:rPr>
      </w:pPr>
      <w:r>
        <w:rPr>
          <w:rFonts w:ascii="Arial" w:cs="Arial" w:eastAsia="Arial" w:hAnsi="Arial"/>
          <w:sz w:val="18"/>
          <w:szCs w:val="18"/>
          <w:b w:val="1"/>
          <w:bCs w:val="1"/>
          <w:color w:val="auto"/>
        </w:rPr>
        <w:t>3.22 Intellectual Property</w:t>
      </w:r>
      <w:r>
        <w:rPr>
          <w:rFonts w:ascii="Arial" w:cs="Arial" w:eastAsia="Arial" w:hAnsi="Arial"/>
          <w:sz w:val="18"/>
          <w:szCs w:val="18"/>
          <w:color w:val="auto"/>
        </w:rPr>
        <w:t>. The Borrower owns, or is licensed to use, all Intellectual Property necessary for the conduct of its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conducted. No claim has been asserted and is pending by any Person challenging or questioning the use of any Intellectual Property or the validity or effectiveness of any Intellectual Property, in each case so as to result in a Material Adverse Effect. The use of Intellectual Property by each Loan Party does not infringe on the rights of any Person in any material respect.</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3.23 Capitalization</w:t>
      </w:r>
      <w:r>
        <w:rPr>
          <w:rFonts w:ascii="Arial" w:cs="Arial" w:eastAsia="Arial" w:hAnsi="Arial"/>
          <w:sz w:val="18"/>
          <w:szCs w:val="18"/>
          <w:color w:val="auto"/>
        </w:rPr>
        <w:t>. The Equity Interests of each Loan Party has been duly authorized and validly issued and are fully paid and non-assessable.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as of the date hereof, there is no existing option, warrant, call, right, commitment or other agreement to which a Loan Party is a party requiring, and there is no membership interest or other Equity Interest of a Loan Party outstanding which upon conversion or exchange would require, the issuance by such Loan Party of any additional membership interests or other Equity Interests or other securities convertible into, exchangeable for or evidencing the right to subscribe for or purchase, a membership interest or other Equity Interests of such Loan Party.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correctly sets forth the ownership interest of each Loan Party in its respective Subsidiaries as of the Closing Date both before and after giving effect to the transactions contemplated hereby.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3.24 Transactions with Affiliates</w:t>
      </w:r>
      <w:r>
        <w:rPr>
          <w:rFonts w:ascii="Arial" w:cs="Arial" w:eastAsia="Arial" w:hAnsi="Arial"/>
          <w:sz w:val="17"/>
          <w:szCs w:val="17"/>
          <w:color w:val="auto"/>
        </w:rPr>
        <w:t>. Except as set forth on</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Schedule 3.24</w:t>
      </w:r>
      <w:r>
        <w:rPr>
          <w:rFonts w:ascii="Arial" w:cs="Arial" w:eastAsia="Arial" w:hAnsi="Arial"/>
          <w:sz w:val="17"/>
          <w:szCs w:val="17"/>
          <w:color w:val="auto"/>
        </w:rPr>
        <w:t>, no Loan Party is party to any transaction, including any purchase,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or exchange of property, the rendering of any service or the payment of any management, advisory or similar fees, with any Affiliate unless such transaction is (a) otherwise permitted under this Agreement, (b) in the ordinary course of business of such Loan Party and is upon fair and reasonable terms no less favorable to such Loan Party, as determined by Agent in Agent’s Permitted Discretion, than it would obtain in a comparable arm’s length transaction with a Person that is not an Affiliate, (c) employment arrangements and employee benefit plans entered into in the ordinary course of business or (d) transactions solely among the Loan Parties, not involving other Affiliates.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3.25 No Burdensome Restrictions</w:t>
      </w:r>
      <w:r>
        <w:rPr>
          <w:rFonts w:ascii="Arial" w:cs="Arial" w:eastAsia="Arial" w:hAnsi="Arial"/>
          <w:sz w:val="16"/>
          <w:szCs w:val="16"/>
          <w:color w:val="auto"/>
        </w:rPr>
        <w:t>. No encumbrance or restriction of any kind exists which materially and adversely affects the ability of (a)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 (b) any Loan Party to grant Liens on the Collateral to Agent, in each case except for restrictions and conditions imposed by applicable law.</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3.26 Patriot Act</w:t>
      </w:r>
      <w:r>
        <w:rPr>
          <w:rFonts w:ascii="Arial" w:cs="Arial" w:eastAsia="Arial" w:hAnsi="Arial"/>
          <w:sz w:val="18"/>
          <w:szCs w:val="18"/>
          <w:color w:val="auto"/>
        </w:rPr>
        <w:t>. To the extent applicable, each Loan Party is in compliance, in all material respects, with the (a) Trading with the Enemy Act,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each of the foreign assets control regulations of the United States Treasury Department (31 C.F.R., Subtitle B, Chapter V, as amended) and any other enabling legislation or executive order relating thereto and (b) Patriot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3.27 Foreign Assets Control Regulations and Anti-Money Laundering</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2" w:lineRule="auto"/>
        <w:tabs>
          <w:tab w:leader="none" w:pos="906"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Loan Party, and no director, officer, employee, agent or Affiliate of any Loan Party is a Person that is, or is owned or controlled by (including by virtue of such Person being a director or owning voting shares or interests), or acts, directly or indirectly, for or on behalf of, any Person that is (i) designated by the U.S. government on the list of the Specially Designated Nationals or Blocked Persons or with which a U.S. Person cannot deal with or otherwise engage in business transactions, (ii) the subject and/or target of any sanctions administered or enforced by the U.S. Department of the Treasury’s Office of Foreign Assets Control, the U.S. Department of State, the United Nations Security Council, the European Union, Her Majesty’s Treasury,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xml:space="preserve">”) or (iii) located, organized or resident in a country or territory that is, or whose government is, the subject of Sanctions (any Person described in clauses (i), (ii) or (iii), each a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Blocked Person</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Loan Parties, their Subsidiaries and their respective directors, officers, and employees, and to the knowledge of the Loan Parties after reasonable inquiry, their agents or any other person acting on behalf of any Loan Party or any of their Subsidiaries, are and will remain in compliance with all applicable Sanctions, the Foreign Corrupt Practices Act of 1977, as amended, and the rules and regulations thereunder (collectively, the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all applicable anti-money laundering and counter-terrorism financing provisions of the Bank Secrecy Act (31 U.S.C. Sections 5301 et seq.) and all regulations issued pursuant to it, or any other applicable anti-corruption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firstLine="656"/>
        <w:spacing w:after="0" w:line="277" w:lineRule="auto"/>
        <w:tabs>
          <w:tab w:leader="none" w:pos="90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Loan Parties and their Subsidiaries have instituted and maintain policies and procedures designed to ensure continued compliance with applicable Sanctions, the FCPA and any other applicable anti-corruption Laws.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3.28 Parent</w:t>
      </w:r>
      <w:r>
        <w:rPr>
          <w:rFonts w:ascii="Arial" w:cs="Arial" w:eastAsia="Arial" w:hAnsi="Arial"/>
          <w:sz w:val="18"/>
          <w:szCs w:val="18"/>
          <w:color w:val="auto"/>
        </w:rPr>
        <w:t>. Parent does not engage in any material business activity other than the activities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3.29 PPP Loans</w:t>
      </w:r>
      <w:r>
        <w:rPr>
          <w:rFonts w:ascii="Arial" w:cs="Arial" w:eastAsia="Arial" w:hAnsi="Arial"/>
          <w:sz w:val="18"/>
          <w:szCs w:val="18"/>
          <w:color w:val="auto"/>
        </w:rPr>
        <w:t>. Each of the PPP Loans has been forgiven in its entirety, and neither Borrower nor any other Loan Party has any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pending or threatened investigation by the applicable lender under any PPP Loan, the U.S. Small Business Administration or any other Official Body into the incurrence, use or forgiveness of any PPP Loan or any other matter relating thereto.</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3.30 SPAC Transaction</w:t>
      </w:r>
      <w:r>
        <w:rPr>
          <w:rFonts w:ascii="Arial" w:cs="Arial" w:eastAsia="Arial" w:hAnsi="Arial"/>
          <w:sz w:val="16"/>
          <w:szCs w:val="16"/>
          <w:color w:val="auto"/>
        </w:rPr>
        <w:t>. With respect to the SPAC Merger Agreement, each SPAC Subscription Agreement, the Sponsor Support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 Support Agreement: (a) such agreement is in full force and effect, (b) no breach or default exists or has been asserted thereunder, and Borrower is not aware of any fact or circumstance that would give rise to any breach or default thereunder, (c) no party has terminated or threatened to terminate the SPAC Merger Agreement, any SPAC Subscription Agreement, the Sponsor Support Agreement or the Stockholder Support Agreement, (d) there have been no amendments, restatements, supplements or other modifications thereto that have not been disclosed to the Agent and (e) such agreements constitute the entire agreement and understanding among the Borrower, the Parent, each counterparty thereto and their respective Affiliates concerning the SPAC Transaction. The Borrower has not received, and to the Borrower’s knowledge, the Parent has not received any notice of an adverse determination by the SEC or any other Official Body regarding the SPAC Transaction.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4.1 Conditions to Closing</w:t>
      </w:r>
      <w:r>
        <w:rPr>
          <w:rFonts w:ascii="Arial" w:cs="Arial" w:eastAsia="Arial" w:hAnsi="Arial"/>
          <w:sz w:val="18"/>
          <w:szCs w:val="18"/>
          <w:color w:val="auto"/>
        </w:rPr>
        <w:t>. The effectiveness of this Agreement shall be subject to the satisfaction (or waiver, in the sole discretion of the Agent),</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or on the Closing Date, of the following conditions precedent:</w:t>
      </w:r>
    </w:p>
    <w:p>
      <w:pPr>
        <w:spacing w:after="0" w:line="162" w:lineRule="exact"/>
        <w:rPr>
          <w:sz w:val="20"/>
          <w:szCs w:val="20"/>
          <w:color w:val="auto"/>
        </w:rPr>
      </w:pPr>
    </w:p>
    <w:p>
      <w:pPr>
        <w:ind w:left="900" w:hanging="244"/>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Loan Documents</w:t>
      </w:r>
      <w:r>
        <w:rPr>
          <w:rFonts w:ascii="Arial" w:cs="Arial" w:eastAsia="Arial" w:hAnsi="Arial"/>
          <w:sz w:val="17"/>
          <w:szCs w:val="17"/>
          <w:color w:val="auto"/>
        </w:rPr>
        <w:t>. Agent shall have received each of the following, each of which shall be in form and substance satisfactory to Agent:</w:t>
      </w:r>
    </w:p>
    <w:p>
      <w:pPr>
        <w:spacing w:after="0" w:line="240" w:lineRule="exact"/>
        <w:rPr>
          <w:rFonts w:ascii="Arial" w:cs="Arial" w:eastAsia="Arial" w:hAnsi="Arial"/>
          <w:sz w:val="17"/>
          <w:szCs w:val="17"/>
          <w:color w:val="auto"/>
        </w:rPr>
      </w:pPr>
    </w:p>
    <w:p>
      <w:pPr>
        <w:ind w:left="1520" w:hanging="216"/>
        <w:spacing w:after="0"/>
        <w:tabs>
          <w:tab w:leader="none" w:pos="15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this Agreement, executed and delivered by Agent, each Lender and Borrower;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requested by any Lender, the applicable Note for such Lender, executed and delivered by Borrower;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Security Agreement, executed and delivered by the Loan Parties;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Warrant Subscription Agreement, executed and delivered by Borrower;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Founder Shares Transfer Agreement, executed and delivered by the Sponsor;</w:t>
      </w:r>
    </w:p>
    <w:p>
      <w:pPr>
        <w:spacing w:after="0" w:line="225" w:lineRule="exact"/>
        <w:rPr>
          <w:rFonts w:ascii="Arial" w:cs="Arial" w:eastAsia="Arial" w:hAnsi="Arial"/>
          <w:sz w:val="18"/>
          <w:szCs w:val="18"/>
          <w:color w:val="auto"/>
        </w:rPr>
      </w:pPr>
    </w:p>
    <w:p>
      <w:pPr>
        <w:ind w:left="660" w:firstLine="644"/>
        <w:spacing w:after="0" w:line="277" w:lineRule="auto"/>
        <w:tabs>
          <w:tab w:leader="none" w:pos="16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Registration Rights Agreement, executed and delivered by Parent, the Sponsors and the other Parent stockholders party thereto (other than Lenders);</w:t>
      </w:r>
    </w:p>
    <w:p>
      <w:pPr>
        <w:spacing w:after="0" w:line="170" w:lineRule="exact"/>
        <w:rPr>
          <w:rFonts w:ascii="Arial" w:cs="Arial" w:eastAsia="Arial" w:hAnsi="Arial"/>
          <w:sz w:val="18"/>
          <w:szCs w:val="18"/>
          <w:color w:val="auto"/>
        </w:rPr>
      </w:pPr>
    </w:p>
    <w:p>
      <w:pPr>
        <w:ind w:left="1660" w:hanging="356"/>
        <w:spacing w:after="0"/>
        <w:tabs>
          <w:tab w:leader="none" w:pos="1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Fee Letter, executed and delivered by Borrower;</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Perfection Certificate, executed and delivered by the Loan Parties; and</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other Loan Document, executed and delivered by the applicable Loan Party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56"/>
        <w:spacing w:after="0" w:line="266" w:lineRule="auto"/>
        <w:tabs>
          <w:tab w:leader="none" w:pos="903"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Approvals</w:t>
      </w:r>
      <w:r>
        <w:rPr>
          <w:rFonts w:ascii="Arial" w:cs="Arial" w:eastAsia="Arial" w:hAnsi="Arial"/>
          <w:sz w:val="18"/>
          <w:szCs w:val="18"/>
          <w:color w:val="auto"/>
        </w:rPr>
        <w:t>. All Governmental Approvals and consents and approvals of, or notices to, any other Person (including the holders of any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issued by any Loan Party) required in connection with the execution and performance of the Loan Documents and the consummation of the transactions contemplated hereby and thereby, shall have been obtained and be in full force and effect.</w:t>
      </w:r>
    </w:p>
    <w:p>
      <w:pPr>
        <w:spacing w:after="0" w:line="175" w:lineRule="exact"/>
        <w:rPr>
          <w:rFonts w:ascii="Arial" w:cs="Arial" w:eastAsia="Arial" w:hAnsi="Arial"/>
          <w:sz w:val="18"/>
          <w:szCs w:val="18"/>
          <w:color w:val="auto"/>
        </w:rPr>
      </w:pPr>
    </w:p>
    <w:p>
      <w:pPr>
        <w:jc w:val="both"/>
        <w:ind w:firstLine="656"/>
        <w:spacing w:after="0" w:line="292" w:lineRule="auto"/>
        <w:tabs>
          <w:tab w:leader="none" w:pos="919"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Organizational Documents</w:t>
      </w:r>
      <w:r>
        <w:rPr>
          <w:rFonts w:ascii="Arial" w:cs="Arial" w:eastAsia="Arial" w:hAnsi="Arial"/>
          <w:sz w:val="16"/>
          <w:szCs w:val="16"/>
          <w:color w:val="auto"/>
        </w:rPr>
        <w:t>. Agent shall have received (i) a certificate of each Loan Party, dated the Closing Date and executed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Officer of such Loan Party, certifying as to and including (A) the Operating Documents of such Loan Party, (B) the relevant board or other applicable resolutions or written consents of such Loan Party adopted by such Loan Party for the purposes of authorizing such Loan Party to enter into and perform the Loan Documents to which such Loan Party is party and (C) the names, titles, and signature specimens of those representatives of such Loan Party who have been authorized by such resolutions and/or written consents to execute Loan Documents on behalf of such Loan Party, and (ii) good standing certificates for each Loan Party from its respective jurisdiction of organization and any other jurisdictions where such Loan Party is qualified to do business where the failure to be so qualified would reasonably be expected to result in a Material Adverse Effect.</w:t>
      </w:r>
    </w:p>
    <w:p>
      <w:pPr>
        <w:spacing w:after="0" w:line="161" w:lineRule="exact"/>
        <w:rPr>
          <w:rFonts w:ascii="Arial" w:cs="Arial" w:eastAsia="Arial" w:hAnsi="Arial"/>
          <w:sz w:val="16"/>
          <w:szCs w:val="16"/>
          <w:color w:val="auto"/>
        </w:rPr>
      </w:pPr>
    </w:p>
    <w:p>
      <w:pPr>
        <w:jc w:val="both"/>
        <w:ind w:right="20" w:firstLine="656"/>
        <w:spacing w:after="0" w:line="293" w:lineRule="auto"/>
        <w:tabs>
          <w:tab w:leader="none" w:pos="903"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Responsible Officer’s Certificates. </w:t>
      </w:r>
      <w:r>
        <w:rPr>
          <w:rFonts w:ascii="Arial" w:cs="Arial" w:eastAsia="Arial" w:hAnsi="Arial"/>
          <w:sz w:val="16"/>
          <w:szCs w:val="16"/>
          <w:color w:val="auto"/>
        </w:rPr>
        <w:t>Agent shall have received a certificate signed by a Responsible Officer of Borrower, dated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and in form and substance reasonably satisfactory to it, certifying that the conditions specified in clauses (g), (h), (i), (j), (k), (o), (p), (q), (s), (t)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206" w:lineRule="exact"/>
        <w:rPr>
          <w:rFonts w:ascii="Arial" w:cs="Arial" w:eastAsia="Arial" w:hAnsi="Arial"/>
          <w:sz w:val="18"/>
          <w:szCs w:val="18"/>
          <w:color w:val="auto"/>
        </w:rPr>
      </w:pPr>
    </w:p>
    <w:p>
      <w:pPr>
        <w:jc w:val="both"/>
        <w:ind w:firstLine="656"/>
        <w:spacing w:after="0" w:line="261" w:lineRule="auto"/>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Agent shall have received all documentation and other information required by Governmental Authorities under applicable “know</w:t>
      </w:r>
      <w:r>
        <w:rPr>
          <w:rFonts w:ascii="Arial" w:cs="Arial" w:eastAsia="Arial" w:hAnsi="Arial"/>
          <w:sz w:val="18"/>
          <w:szCs w:val="18"/>
          <w:b w:val="1"/>
          <w:bCs w:val="1"/>
          <w:color w:val="auto"/>
        </w:rPr>
        <w:t xml:space="preserve"> </w:t>
      </w:r>
      <w:r>
        <w:rPr>
          <w:rFonts w:ascii="Arial" w:cs="Arial" w:eastAsia="Arial" w:hAnsi="Arial"/>
          <w:sz w:val="18"/>
          <w:szCs w:val="18"/>
          <w:color w:val="auto"/>
        </w:rPr>
        <w:t>your customer” and anti-money- laundering rules and regulations, including the Patriot Act, and if any Borrower qualifies as a “legal entity customer” under the Beneficial Ownership Regulation, a Beneficial Ownership Certification, in each case to the extent reasonably requested in writing at least ten (10) Business Days prior to the Closing Date by Agent.</w:t>
      </w:r>
    </w:p>
    <w:p>
      <w:pPr>
        <w:spacing w:after="0" w:line="179" w:lineRule="exact"/>
        <w:rPr>
          <w:rFonts w:ascii="Arial" w:cs="Arial" w:eastAsia="Arial" w:hAnsi="Arial"/>
          <w:sz w:val="18"/>
          <w:szCs w:val="18"/>
          <w:color w:val="auto"/>
        </w:rPr>
      </w:pPr>
    </w:p>
    <w:p>
      <w:pPr>
        <w:ind w:firstLine="656"/>
        <w:spacing w:after="0" w:line="282" w:lineRule="auto"/>
        <w:tabs>
          <w:tab w:leader="none" w:pos="873"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Financial Statements and Budget</w:t>
      </w:r>
      <w:r>
        <w:rPr>
          <w:rFonts w:ascii="Arial" w:cs="Arial" w:eastAsia="Arial" w:hAnsi="Arial"/>
          <w:sz w:val="18"/>
          <w:szCs w:val="18"/>
          <w:color w:val="auto"/>
        </w:rPr>
        <w:t>. Agent shall have received a proposed annual budget for the Closing Date through the end of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2023, which shall be in form and substance satisfactory to Agent.</w:t>
      </w:r>
    </w:p>
    <w:p>
      <w:pPr>
        <w:spacing w:after="0" w:line="161" w:lineRule="exact"/>
        <w:rPr>
          <w:rFonts w:ascii="Arial" w:cs="Arial" w:eastAsia="Arial" w:hAnsi="Arial"/>
          <w:sz w:val="18"/>
          <w:szCs w:val="18"/>
          <w:color w:val="auto"/>
        </w:rPr>
      </w:pPr>
    </w:p>
    <w:p>
      <w:pPr>
        <w:ind w:left="920" w:hanging="264"/>
        <w:spacing w:after="0"/>
        <w:tabs>
          <w:tab w:leader="none" w:pos="92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SPAC Related Documentation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4"/>
        <w:spacing w:after="0" w:line="263" w:lineRule="auto"/>
        <w:tabs>
          <w:tab w:leader="none" w:pos="1523" w:val="left"/>
        </w:tabs>
        <w:numPr>
          <w:ilvl w:val="2"/>
          <w:numId w:val="76"/>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the SPAC Merger Agreement, the SPAC Subscription Agreements, the Sponsor Support Agreement, the Stockholder Support Agreements and any other documents executed in connection with, and all other agreements with any party concerning the SPAC Transaction.</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605" w:val="left"/>
        </w:tabs>
        <w:numPr>
          <w:ilvl w:val="2"/>
          <w:numId w:val="76"/>
        </w:numPr>
        <w:rPr>
          <w:rFonts w:ascii="Arial" w:cs="Arial" w:eastAsia="Arial" w:hAnsi="Arial"/>
          <w:sz w:val="18"/>
          <w:szCs w:val="18"/>
          <w:color w:val="auto"/>
        </w:rPr>
      </w:pPr>
      <w:r>
        <w:rPr>
          <w:rFonts w:ascii="Arial" w:cs="Arial" w:eastAsia="Arial" w:hAnsi="Arial"/>
          <w:sz w:val="18"/>
          <w:szCs w:val="18"/>
          <w:color w:val="auto"/>
        </w:rPr>
        <w:t>Agent shall have received a true, correct and complete copy of the Warrant Agreement, executed and delivered by Parent and Continental Stock Transfer &amp; Trust Company, as Warrant Agent;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5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Agent shall have received true, correct and complete copies of any amendments to (or amended forms of) the SPAC Merger Agreement, the SPAC Subscription Agreements, the Warrant Agreement, the Registration Rights Agreement, and any other documents that have been or are to be executed in connection with the SPAC Transaction prior to the Closing Date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615" w:val="left"/>
        </w:tabs>
        <w:numPr>
          <w:ilvl w:val="2"/>
          <w:numId w:val="76"/>
        </w:numPr>
        <w:rPr>
          <w:rFonts w:ascii="Arial" w:cs="Arial" w:eastAsia="Arial" w:hAnsi="Arial"/>
          <w:sz w:val="18"/>
          <w:szCs w:val="18"/>
          <w:color w:val="auto"/>
        </w:rPr>
      </w:pPr>
      <w:r>
        <w:rPr>
          <w:rFonts w:ascii="Arial" w:cs="Arial" w:eastAsia="Arial" w:hAnsi="Arial"/>
          <w:sz w:val="18"/>
          <w:szCs w:val="18"/>
          <w:color w:val="auto"/>
        </w:rPr>
        <w:t>Agent shall have received any required consents of Parent any other party to any SPAC Subscription Agreement or the SPAC Merger Agreement, and any other participant in the SPAC Transaction, in each case evidencing and consenting to the consummation of the transactions contemplated in this Agreement and the other Loan Documents and which shall each be in form and substance acceptable to Agent in its sole discretion.</w:t>
      </w:r>
    </w:p>
    <w:p>
      <w:pPr>
        <w:spacing w:after="0" w:line="186" w:lineRule="exact"/>
        <w:rPr>
          <w:rFonts w:ascii="Arial" w:cs="Arial" w:eastAsia="Arial" w:hAnsi="Arial"/>
          <w:sz w:val="18"/>
          <w:szCs w:val="18"/>
          <w:color w:val="auto"/>
        </w:rPr>
      </w:pPr>
    </w:p>
    <w:p>
      <w:pPr>
        <w:ind w:left="660" w:firstLine="644"/>
        <w:spacing w:after="0" w:line="342" w:lineRule="auto"/>
        <w:tabs>
          <w:tab w:leader="none" w:pos="1576" w:val="left"/>
        </w:tabs>
        <w:numPr>
          <w:ilvl w:val="2"/>
          <w:numId w:val="76"/>
        </w:numPr>
        <w:rPr>
          <w:rFonts w:ascii="Arial" w:cs="Arial" w:eastAsia="Arial" w:hAnsi="Arial"/>
          <w:sz w:val="16"/>
          <w:szCs w:val="16"/>
          <w:color w:val="auto"/>
        </w:rPr>
      </w:pPr>
      <w:r>
        <w:rPr>
          <w:rFonts w:ascii="Arial" w:cs="Arial" w:eastAsia="Arial" w:hAnsi="Arial"/>
          <w:sz w:val="16"/>
          <w:szCs w:val="16"/>
          <w:color w:val="auto"/>
        </w:rPr>
        <w:t>Each of the SPAC Merger Agreement, the SPAC Subscription Agreements, the Sponsor Support Agreement and the Stockholder Support Agreement shall be in full force and effect, and there shall not be any default or breach by any party thereto then existing.</w:t>
      </w:r>
    </w:p>
    <w:p>
      <w:pPr>
        <w:spacing w:after="0" w:line="119" w:lineRule="exact"/>
        <w:rPr>
          <w:rFonts w:ascii="Arial" w:cs="Arial" w:eastAsia="Arial" w:hAnsi="Arial"/>
          <w:sz w:val="16"/>
          <w:szCs w:val="16"/>
          <w:color w:val="auto"/>
        </w:rPr>
      </w:pPr>
    </w:p>
    <w:p>
      <w:pPr>
        <w:jc w:val="both"/>
        <w:ind w:right="20" w:firstLine="656"/>
        <w:spacing w:after="0" w:line="303" w:lineRule="auto"/>
        <w:tabs>
          <w:tab w:leader="none" w:pos="903" w:val="left"/>
        </w:tabs>
        <w:numPr>
          <w:ilvl w:val="1"/>
          <w:numId w:val="76"/>
        </w:numPr>
        <w:rPr>
          <w:rFonts w:ascii="Arial" w:cs="Arial" w:eastAsia="Arial" w:hAnsi="Arial"/>
          <w:sz w:val="16"/>
          <w:szCs w:val="16"/>
          <w:color w:val="auto"/>
        </w:rPr>
      </w:pPr>
      <w:r>
        <w:rPr>
          <w:rFonts w:ascii="Arial" w:cs="Arial" w:eastAsia="Arial" w:hAnsi="Arial"/>
          <w:sz w:val="16"/>
          <w:szCs w:val="16"/>
          <w:b w:val="1"/>
          <w:bCs w:val="1"/>
          <w:color w:val="auto"/>
        </w:rPr>
        <w:t>SPAC Transaction Closing</w:t>
      </w:r>
      <w:r>
        <w:rPr>
          <w:rFonts w:ascii="Arial" w:cs="Arial" w:eastAsia="Arial" w:hAnsi="Arial"/>
          <w:sz w:val="16"/>
          <w:szCs w:val="16"/>
          <w:color w:val="auto"/>
        </w:rPr>
        <w:t>. The SPAC Transaction set forth in the SPAC Merger Agreement and all conditions precedent to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PIPE Transactions set forth in the SPAC Subscription Agreements have been satisfied (without any waiver by any party), and the closing of the Term Loan, the transfer of the Founder Shares pursuant to the Founder Shares Transfer Agreement and issuance of the Warrants pursuant to the Warrant Subscription Agreement shall occur concurrently with or immediately following the closing of the SPAC Transaction and the PIPE Transactions.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656"/>
        <w:spacing w:after="0" w:line="282" w:lineRule="auto"/>
        <w:tabs>
          <w:tab w:leader="none" w:pos="86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PIPE Investment</w:t>
      </w:r>
      <w:r>
        <w:rPr>
          <w:rFonts w:ascii="Arial" w:cs="Arial" w:eastAsia="Arial" w:hAnsi="Arial"/>
          <w:sz w:val="18"/>
          <w:szCs w:val="18"/>
          <w:color w:val="auto"/>
        </w:rPr>
        <w:t>. The closing of a PIPE Transaction by an Affiliate of Cleveland Avenue, LLC in an amount equal to at least $50,000,000, on</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satisfactory to Agent in its sole discretion.</w:t>
      </w:r>
    </w:p>
    <w:p>
      <w:pPr>
        <w:spacing w:after="0" w:line="161" w:lineRule="exact"/>
        <w:rPr>
          <w:rFonts w:ascii="Arial" w:cs="Arial" w:eastAsia="Arial" w:hAnsi="Arial"/>
          <w:sz w:val="18"/>
          <w:szCs w:val="18"/>
          <w:color w:val="auto"/>
        </w:rPr>
      </w:pPr>
    </w:p>
    <w:p>
      <w:pPr>
        <w:ind w:firstLine="656"/>
        <w:spacing w:after="0" w:line="282" w:lineRule="auto"/>
        <w:tabs>
          <w:tab w:leader="none" w:pos="89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Minimum Liquidity</w:t>
      </w:r>
      <w:r>
        <w:rPr>
          <w:rFonts w:ascii="Arial" w:cs="Arial" w:eastAsia="Arial" w:hAnsi="Arial"/>
          <w:sz w:val="18"/>
          <w:szCs w:val="18"/>
          <w:color w:val="auto"/>
        </w:rPr>
        <w:t>. Parent and Borrower shall have at least $50,000,000 of Unrestricted Cash after giving effect to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1" w:lineRule="exact"/>
        <w:rPr>
          <w:rFonts w:ascii="Arial" w:cs="Arial" w:eastAsia="Arial" w:hAnsi="Arial"/>
          <w:sz w:val="18"/>
          <w:szCs w:val="18"/>
          <w:color w:val="auto"/>
        </w:rPr>
      </w:pPr>
    </w:p>
    <w:p>
      <w:pPr>
        <w:jc w:val="both"/>
        <w:ind w:firstLine="656"/>
        <w:spacing w:after="0" w:line="261"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Termination of Silver Rock Subscription Agreement</w:t>
      </w:r>
      <w:r>
        <w:rPr>
          <w:rFonts w:ascii="Arial" w:cs="Arial" w:eastAsia="Arial" w:hAnsi="Arial"/>
          <w:sz w:val="18"/>
          <w:szCs w:val="18"/>
          <w:color w:val="auto"/>
        </w:rPr>
        <w:t>. The Agent shall have received written evidence, in form and substance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that all obligations of Parent to both Lake Vineyard Fund LP and Silver Rock Empire Fund LP – Series 2022 under that certain Amended and Restated Subscription Agreement, dated as of July 25, 2022 (as amended, restated, supplemented or modified) by and among Holdings, Lake Vineyard Fund LP, Silver Rock Empire Fund LP – Series 2022, and Borrower, have been terminated.</w:t>
      </w:r>
    </w:p>
    <w:p>
      <w:pPr>
        <w:spacing w:after="0" w:line="179"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Collateral Matters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4"/>
        <w:spacing w:after="0" w:line="342" w:lineRule="auto"/>
        <w:tabs>
          <w:tab w:leader="none" w:pos="1523"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Agent shall have received the results of recent lien searches in each of the jurisdictions where any of the Loan Parties is formed or organized or resides, and such searches shall reveal no Liens on any of the assets of the Loan Parties other than Permitted Liens.</w:t>
      </w:r>
    </w:p>
    <w:p>
      <w:pPr>
        <w:spacing w:after="0" w:line="123" w:lineRule="exact"/>
        <w:rPr>
          <w:rFonts w:ascii="Arial" w:cs="Arial" w:eastAsia="Arial" w:hAnsi="Arial"/>
          <w:sz w:val="16"/>
          <w:szCs w:val="16"/>
          <w:color w:val="auto"/>
        </w:rPr>
      </w:pPr>
    </w:p>
    <w:p>
      <w:pPr>
        <w:jc w:val="both"/>
        <w:ind w:left="660" w:firstLine="644"/>
        <w:spacing w:after="0" w:line="279" w:lineRule="auto"/>
        <w:tabs>
          <w:tab w:leader="none" w:pos="1573"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Filings, Registrations, Recordings, Agreements, Etc</w:t>
      </w:r>
      <w:r>
        <w:rPr>
          <w:rFonts w:ascii="Arial" w:cs="Arial" w:eastAsia="Arial" w:hAnsi="Arial"/>
          <w:sz w:val="17"/>
          <w:szCs w:val="17"/>
          <w:color w:val="auto"/>
        </w:rPr>
        <w:t>. Each document required by the Security Documents or under Law or reasonably requested by Agent to be filed, registered or recorded to create in favor of Agent, a perfected first-priority Lien on the Collateral described therein, prior and superior in right and priority to any Lien in the Collateral held by any other Person (other than with respect to Permitted Liens), shall have been executed and delivered to Agent or, as applicable, be in proper form for filing, registration or recordation.</w:t>
      </w:r>
    </w:p>
    <w:p>
      <w:pPr>
        <w:spacing w:after="0" w:line="167" w:lineRule="exact"/>
        <w:rPr>
          <w:rFonts w:ascii="Arial" w:cs="Arial" w:eastAsia="Arial" w:hAnsi="Arial"/>
          <w:sz w:val="17"/>
          <w:szCs w:val="17"/>
          <w:color w:val="auto"/>
        </w:rPr>
      </w:pPr>
    </w:p>
    <w:p>
      <w:pPr>
        <w:ind w:firstLine="656"/>
        <w:spacing w:after="0" w:line="312" w:lineRule="auto"/>
        <w:tabs>
          <w:tab w:leader="none" w:pos="966"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Fees</w:t>
      </w:r>
      <w:r>
        <w:rPr>
          <w:rFonts w:ascii="Arial" w:cs="Arial" w:eastAsia="Arial" w:hAnsi="Arial"/>
          <w:sz w:val="17"/>
          <w:szCs w:val="17"/>
          <w:color w:val="auto"/>
        </w:rPr>
        <w:t>. Agent, on behalf of itself and the Lenders, shall have received all fees required to be paid on or prior to the Closing Date,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and documented diligence fees and expenses for which invoices have been presented for payment on or before the Closing Date.</w:t>
      </w:r>
    </w:p>
    <w:p>
      <w:pPr>
        <w:spacing w:after="0" w:line="139" w:lineRule="exact"/>
        <w:rPr>
          <w:rFonts w:ascii="Arial" w:cs="Arial" w:eastAsia="Arial" w:hAnsi="Arial"/>
          <w:sz w:val="17"/>
          <w:szCs w:val="17"/>
          <w:color w:val="auto"/>
        </w:rPr>
      </w:pPr>
    </w:p>
    <w:p>
      <w:pPr>
        <w:ind w:firstLine="656"/>
        <w:spacing w:after="0" w:line="282" w:lineRule="auto"/>
        <w:tabs>
          <w:tab w:leader="none" w:pos="91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Legal Opinions</w:t>
      </w:r>
      <w:r>
        <w:rPr>
          <w:rFonts w:ascii="Arial" w:cs="Arial" w:eastAsia="Arial" w:hAnsi="Arial"/>
          <w:sz w:val="18"/>
          <w:szCs w:val="18"/>
          <w:color w:val="auto"/>
        </w:rPr>
        <w:t>. Agent shall have received the executed legal opinion of Fenwick &amp; West LLP, counsel to the Loan Parties,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satisfactory to Agent.</w:t>
      </w:r>
    </w:p>
    <w:p>
      <w:pPr>
        <w:spacing w:after="0" w:line="161" w:lineRule="exact"/>
        <w:rPr>
          <w:rFonts w:ascii="Arial" w:cs="Arial" w:eastAsia="Arial" w:hAnsi="Arial"/>
          <w:sz w:val="18"/>
          <w:szCs w:val="18"/>
          <w:color w:val="auto"/>
        </w:rPr>
      </w:pPr>
    </w:p>
    <w:p>
      <w:pPr>
        <w:ind w:right="20" w:firstLine="656"/>
        <w:spacing w:after="0" w:line="282"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There shall not have occurred since June 30, 2022 any event or circumstance that has had or could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have, individually or in the aggregate, a Material Adverse Effect.</w:t>
      </w:r>
    </w:p>
    <w:p>
      <w:pPr>
        <w:spacing w:after="0" w:line="161" w:lineRule="exact"/>
        <w:rPr>
          <w:rFonts w:ascii="Arial" w:cs="Arial" w:eastAsia="Arial" w:hAnsi="Arial"/>
          <w:sz w:val="18"/>
          <w:szCs w:val="18"/>
          <w:color w:val="auto"/>
        </w:rPr>
      </w:pPr>
    </w:p>
    <w:p>
      <w:pPr>
        <w:ind w:firstLine="656"/>
        <w:spacing w:after="0" w:line="312" w:lineRule="auto"/>
        <w:tabs>
          <w:tab w:leader="none" w:pos="916"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No Default</w:t>
      </w:r>
      <w:r>
        <w:rPr>
          <w:rFonts w:ascii="Arial" w:cs="Arial" w:eastAsia="Arial" w:hAnsi="Arial"/>
          <w:sz w:val="17"/>
          <w:szCs w:val="17"/>
          <w:color w:val="auto"/>
        </w:rPr>
        <w:t>. No Default or Event of Default shall have occurred and is continuing or would occur both before and after giving effect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delivery and performance of the Loan Documents, including without limitation the borrowing of the Term Loan on the Closing Date.</w:t>
      </w:r>
    </w:p>
    <w:p>
      <w:pPr>
        <w:spacing w:after="0" w:line="139" w:lineRule="exact"/>
        <w:rPr>
          <w:rFonts w:ascii="Arial" w:cs="Arial" w:eastAsia="Arial" w:hAnsi="Arial"/>
          <w:sz w:val="17"/>
          <w:szCs w:val="17"/>
          <w:color w:val="auto"/>
        </w:rPr>
      </w:pPr>
    </w:p>
    <w:p>
      <w:pPr>
        <w:jc w:val="both"/>
        <w:ind w:firstLine="656"/>
        <w:spacing w:after="0" w:line="266"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After giving effect to the execution, delivery and performance of the Loan Documents,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borrowing of the Term Loan, each of the representations and warranties made by each Loan Party in or pursuant to any Loan Document shall be true and correct in all respects.</w:t>
      </w:r>
    </w:p>
    <w:p>
      <w:pPr>
        <w:spacing w:after="0" w:line="175" w:lineRule="exact"/>
        <w:rPr>
          <w:rFonts w:ascii="Arial" w:cs="Arial" w:eastAsia="Arial" w:hAnsi="Arial"/>
          <w:sz w:val="18"/>
          <w:szCs w:val="18"/>
          <w:color w:val="auto"/>
        </w:rPr>
      </w:pPr>
    </w:p>
    <w:p>
      <w:pPr>
        <w:jc w:val="both"/>
        <w:ind w:firstLine="656"/>
        <w:spacing w:after="0" w:line="266" w:lineRule="auto"/>
        <w:tabs>
          <w:tab w:leader="none" w:pos="87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After giving effect to the execution, delivery and performance of the Loan Documents, including without limitation the borrowing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Loan on the Closing Date, the Borrower, individually, and the Loan Parties, taken as a whole, shall be Solvent and Agent shall have received a certificate evidencing the same in form and substance acceptable to Agent in its sole discretion.</w:t>
      </w:r>
    </w:p>
    <w:p>
      <w:pPr>
        <w:spacing w:after="0" w:line="175" w:lineRule="exact"/>
        <w:rPr>
          <w:rFonts w:ascii="Arial" w:cs="Arial" w:eastAsia="Arial" w:hAnsi="Arial"/>
          <w:sz w:val="18"/>
          <w:szCs w:val="18"/>
          <w:color w:val="auto"/>
        </w:rPr>
      </w:pPr>
    </w:p>
    <w:p>
      <w:pPr>
        <w:jc w:val="both"/>
        <w:ind w:firstLine="656"/>
        <w:spacing w:after="0" w:line="266" w:lineRule="auto"/>
        <w:tabs>
          <w:tab w:leader="none" w:pos="89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Material Contracts and Consents</w:t>
      </w:r>
      <w:r>
        <w:rPr>
          <w:rFonts w:ascii="Arial" w:cs="Arial" w:eastAsia="Arial" w:hAnsi="Arial"/>
          <w:sz w:val="18"/>
          <w:szCs w:val="18"/>
          <w:color w:val="auto"/>
        </w:rPr>
        <w:t>. Agent shall have received (i) true, correct and complete copies of each Material Contract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Agent, and any amendments or other modifications thereto, and (ii) all consents required by the Agent to be obtained, or notices required to be delivered, under each Material Contract shall have been delivered or obtained, as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56"/>
        <w:spacing w:after="0" w:line="298" w:lineRule="auto"/>
        <w:tabs>
          <w:tab w:leader="none" w:pos="863"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No Litigation</w:t>
      </w:r>
      <w:r>
        <w:rPr>
          <w:rFonts w:ascii="Arial" w:cs="Arial" w:eastAsia="Arial" w:hAnsi="Arial"/>
          <w:sz w:val="16"/>
          <w:szCs w:val="16"/>
          <w:color w:val="auto"/>
        </w:rPr>
        <w:t>. No action, suit or proceeding before any Official Body shall have been commenced or threatened in writing, no investigation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any Official Body (including, without limitation, the SEC) shall have been commenced and no action, suit or proceeding by any Official Body shall have been threatened in writing against (i) any Loan Party, the Agent or any Lender seeking to restrain, prevent or change the transactions contemplated hereby or questioning the validity or legality of such transactions or (ii) any Loan Party, Parent or their respective affiliates seeking to restrain, prevent or change the SPAC Transaction (including the SPAC Business Combination or any PIPE Transaction) or questioning the validity or legality of such transaction.</w:t>
      </w:r>
    </w:p>
    <w:p>
      <w:pPr>
        <w:spacing w:after="0" w:line="153" w:lineRule="exact"/>
        <w:rPr>
          <w:rFonts w:ascii="Arial" w:cs="Arial" w:eastAsia="Arial" w:hAnsi="Arial"/>
          <w:sz w:val="16"/>
          <w:szCs w:val="16"/>
          <w:color w:val="auto"/>
        </w:rPr>
      </w:pPr>
    </w:p>
    <w:p>
      <w:pPr>
        <w:ind w:firstLine="656"/>
        <w:spacing w:after="0" w:line="282" w:lineRule="auto"/>
        <w:tabs>
          <w:tab w:leader="none" w:pos="91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Prior Debt</w:t>
      </w:r>
      <w:r>
        <w:rPr>
          <w:rFonts w:ascii="Arial" w:cs="Arial" w:eastAsia="Arial" w:hAnsi="Arial"/>
          <w:sz w:val="18"/>
          <w:szCs w:val="18"/>
          <w:color w:val="auto"/>
        </w:rPr>
        <w:t>. Agent shall have received payoff letters, financing statement terminations and other applicable lien release documentation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Prior Debt of the Loan Parties,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Capitalization</w:t>
      </w:r>
      <w:r>
        <w:rPr>
          <w:rFonts w:ascii="Arial" w:cs="Arial" w:eastAsia="Arial" w:hAnsi="Arial"/>
          <w:sz w:val="18"/>
          <w:szCs w:val="18"/>
          <w:color w:val="auto"/>
        </w:rPr>
        <w:t>. The ownership, capital, corporate, tax, organizational and legal structure and ownership of the Loan Parties upon closing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satisfactory to Agent.</w:t>
      </w:r>
    </w:p>
    <w:p>
      <w:pPr>
        <w:spacing w:after="0" w:line="161" w:lineRule="exact"/>
        <w:rPr>
          <w:rFonts w:ascii="Arial" w:cs="Arial" w:eastAsia="Arial" w:hAnsi="Arial"/>
          <w:sz w:val="18"/>
          <w:szCs w:val="18"/>
          <w:color w:val="auto"/>
        </w:rPr>
      </w:pPr>
    </w:p>
    <w:p>
      <w:pPr>
        <w:ind w:left="960" w:hanging="304"/>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Agent shall have received a Notice of Borrowing which complies with the requirements of this Agreement.</w:t>
      </w:r>
    </w:p>
    <w:p>
      <w:pPr>
        <w:spacing w:after="0" w:line="225" w:lineRule="exact"/>
        <w:rPr>
          <w:rFonts w:ascii="Arial" w:cs="Arial" w:eastAsia="Arial" w:hAnsi="Arial"/>
          <w:sz w:val="18"/>
          <w:szCs w:val="18"/>
          <w:color w:val="auto"/>
        </w:rPr>
      </w:pPr>
    </w:p>
    <w:p>
      <w:pPr>
        <w:ind w:firstLine="656"/>
        <w:spacing w:after="0" w:line="282" w:lineRule="auto"/>
        <w:tabs>
          <w:tab w:leader="none" w:pos="91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Founder Shares</w:t>
      </w:r>
      <w:r>
        <w:rPr>
          <w:rFonts w:ascii="Arial" w:cs="Arial" w:eastAsia="Arial" w:hAnsi="Arial"/>
          <w:sz w:val="18"/>
          <w:szCs w:val="18"/>
          <w:color w:val="auto"/>
        </w:rPr>
        <w:t>. The Lenders shall have received 600,000 Founder Shares in accordance with the terms of the Founder Shares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evidence of transfer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Warrants</w:t>
      </w:r>
      <w:r>
        <w:rPr>
          <w:rFonts w:ascii="Arial" w:cs="Arial" w:eastAsia="Arial" w:hAnsi="Arial"/>
          <w:sz w:val="18"/>
          <w:szCs w:val="18"/>
          <w:color w:val="auto"/>
        </w:rPr>
        <w:t>. The Lenders shall have received the 1,500,000 Warrants in accordance with the terms of the Warrant Subscription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issuance in form and substance acceptable to Agent.</w:t>
      </w:r>
    </w:p>
    <w:p>
      <w:pPr>
        <w:spacing w:after="0" w:line="161" w:lineRule="exact"/>
        <w:rPr>
          <w:rFonts w:ascii="Arial" w:cs="Arial" w:eastAsia="Arial" w:hAnsi="Arial"/>
          <w:sz w:val="18"/>
          <w:szCs w:val="18"/>
          <w:color w:val="auto"/>
        </w:rPr>
      </w:pPr>
    </w:p>
    <w:p>
      <w:pPr>
        <w:ind w:firstLine="656"/>
        <w:spacing w:after="0" w:line="282" w:lineRule="auto"/>
        <w:tabs>
          <w:tab w:leader="none" w:pos="906"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Conversion of Convertible Notes</w:t>
      </w:r>
      <w:r>
        <w:rPr>
          <w:rFonts w:ascii="Arial" w:cs="Arial" w:eastAsia="Arial" w:hAnsi="Arial"/>
          <w:sz w:val="18"/>
          <w:szCs w:val="18"/>
          <w:color w:val="auto"/>
        </w:rPr>
        <w:t>. Agent shall have received evidence that all previously outstanding convertible note Indebtedness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has been converted to Equity Interests.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(aa) </w:t>
      </w:r>
      <w:r>
        <w:rPr>
          <w:rFonts w:ascii="Arial" w:cs="Arial" w:eastAsia="Arial" w:hAnsi="Arial"/>
          <w:sz w:val="16"/>
          <w:szCs w:val="16"/>
          <w:b w:val="1"/>
          <w:bCs w:val="1"/>
          <w:color w:val="auto"/>
        </w:rPr>
        <w:t>Additional Documents</w:t>
      </w:r>
      <w:r>
        <w:rPr>
          <w:rFonts w:ascii="Arial" w:cs="Arial" w:eastAsia="Arial" w:hAnsi="Arial"/>
          <w:sz w:val="16"/>
          <w:szCs w:val="16"/>
          <w:color w:val="auto"/>
        </w:rPr>
        <w:t>. Agent shall have received such other documents, instruments and agreements as Agent deems reasonably necessary.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borrowing by the Borrower of the Term Loan on the Closing Date shall constitute a representation and warranty by the Borrower as of the Closing Date, that the conditions contained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have been satisfied.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in cash (other than inchoate indemnification obligations for which no claim has been asserted) and unless otherwise specified: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5.1 Financial Statements </w:t>
      </w:r>
      <w:r>
        <w:rPr>
          <w:rFonts w:ascii="Arial" w:cs="Arial" w:eastAsia="Arial" w:hAnsi="Arial"/>
          <w:sz w:val="18"/>
          <w:szCs w:val="18"/>
          <w:color w:val="auto"/>
        </w:rPr>
        <w:t>. The Borrower shall:</w:t>
      </w:r>
    </w:p>
    <w:p>
      <w:pPr>
        <w:spacing w:after="0" w:line="229" w:lineRule="exact"/>
        <w:rPr>
          <w:sz w:val="20"/>
          <w:szCs w:val="20"/>
          <w:color w:val="auto"/>
        </w:rPr>
      </w:pPr>
    </w:p>
    <w:p>
      <w:pPr>
        <w:jc w:val="both"/>
        <w:ind w:firstLine="656"/>
        <w:spacing w:after="0" w:line="269" w:lineRule="auto"/>
        <w:tabs>
          <w:tab w:leader="none" w:pos="932"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within ninety (90) days after the end of each Fiscal Year of the Loan Parties, beginning with the Fiscal Year ending June 30, 2023, a copy of the audited consolidated and consolidating balance sheet of the Loan Parties as at the end of such Fiscal Year and the related audited consolidated and consolidating statements of income and of cash flows for such Fiscal Year, setting forth in each case in comparative form the figures for the previous year, reported on without a qualification arising out of the scope of the audit, and which shall state that such financial statements fairly present the financial condition of the Loan Parties as of the dates indicated and the results of their operations and cash flow for the periods indicated in conformity with GAAP, by Moss Adams or such other independent certified public accountants of nationally recognized standing approved by the Agent in its Permitted Discretion;</w:t>
      </w:r>
    </w:p>
    <w:p>
      <w:pPr>
        <w:spacing w:after="0" w:line="185" w:lineRule="exact"/>
        <w:rPr>
          <w:rFonts w:ascii="Arial" w:cs="Arial" w:eastAsia="Arial" w:hAnsi="Arial"/>
          <w:sz w:val="17"/>
          <w:szCs w:val="17"/>
          <w:color w:val="auto"/>
        </w:rPr>
      </w:pPr>
    </w:p>
    <w:p>
      <w:pPr>
        <w:jc w:val="both"/>
        <w:ind w:firstLine="656"/>
        <w:spacing w:after="0" w:line="255" w:lineRule="auto"/>
        <w:tabs>
          <w:tab w:leader="none" w:pos="9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deliver to Agent (solely to the extent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as soon as available, but in any event not later than seventy-five (75) days after the start of each Fiscal Year, forecasts and a pro forma budget on a quarterly basis for such Fiscal Year, containing an income statement, balance sheet, statement of cash flow, and detail (satisfactory to Agent) of the assumptions driving the budget, in each case in form satisfactory to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56"/>
        <w:spacing w:after="0" w:line="259" w:lineRule="auto"/>
        <w:tabs>
          <w:tab w:leader="none" w:pos="9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deliver to Agent and to each Lender (solely to the extent such Lender has delivered written notice to Borrower that such Lender elects to receive material non-public information, which notice has not been rescinded by such Lender in writing), as soon as available, but in any event not later than thirty (30) days after the end of each calendar month, beginning with the calendar month ending September 30, 2022, the general ledger for the Borrower’s balance sheet, income statement and cash flow statement;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914"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deliver to Agent and the Lenders, at any time that any Loan Party shall be required to file reports with the SEC pursuant to Section 13(a) or 15(d) of the Exchange Act, promptly upon its becoming available, one copy of each financial statement, report, notice or proxy statement sent by any such Person to stockholders generally, and, a copy of each annual, periodic or current report filed by any such Person with the SEC pursuant to such Sections, and any registration statement, or prospectus in respect thereof, filed by any such Person with any securities exchange or with federal or state securities and exchange commissions or any successor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nothing in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shall require the Borrower or any of its Subsidiaries to make any filing under the Securities Act or the Exchange Act which the Borrower or its Subsidiaries are not otherwise obligated to make; provided further that any financial statements required to be delivered pursuant to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or (to the extent any such documents are included in materials otherwise filed with the SEC) may be delivered electronically and if so delivered, shall be deemed to have been delivered on the date (x) on which the Borrower posts such documents, or provides a link thereto on the Borrower’s website; or (y) on which such documents are posted on the Borrower’s behalf on an Internet or intranet website, if any, to which each Lender has access (whether a commercial, third-party website or whether sponsored by the Agent); and (e) deliver to Agent and to each Lender (solely to the extent such Lender has delivered written notice to Borrower that such Lender elects to receive material non-public information, which notice has not been rescinded by such Lender in writing), promptly, such additional information concerning Borrower, its business or its operations as Agent may from time to time reasonably request.</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All financial statements delivered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Certificates; Reports; Other Information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8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Borrower shall deliver to Agent and to each Lender (solely to the extent such Lender has delivered written notice to Borrower that such Lender elects to receive material non-public information, which notice has not been rescinded by such Lender in writing), concurrently with the delivery of any financial statements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5.1, a Compliance Certificate executed by a Responsible Officer of each Loan Party for the period ending as of the last day of the calendar month or Fiscal Year of the Loan Parties, as the case may be;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Agent shall be provided, so long as the Agent has delivered written notice to Borrower that it elects to receive material non-public information, and such notice has not been rescinded by Agent by written notice to the Borrower, access and monitoring rights with respect to each Deposit Account (including, without limitation, for the avoidance of doubt, each Excluded Deposit Account) of a Loan Party;</w:t>
      </w:r>
    </w:p>
    <w:p>
      <w:pPr>
        <w:spacing w:after="0" w:line="183" w:lineRule="exact"/>
        <w:rPr>
          <w:rFonts w:ascii="Arial" w:cs="Arial" w:eastAsia="Arial" w:hAnsi="Arial"/>
          <w:sz w:val="18"/>
          <w:szCs w:val="18"/>
          <w:color w:val="auto"/>
        </w:rPr>
      </w:pPr>
    </w:p>
    <w:p>
      <w:pPr>
        <w:jc w:val="both"/>
        <w:ind w:firstLine="656"/>
        <w:spacing w:after="0" w:line="275" w:lineRule="auto"/>
        <w:tabs>
          <w:tab w:leader="none" w:pos="89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Loan Parties shall promptly (and in any event within three (3) Business Days following receipt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all notices and other material communications from or with the SEC or any other Official Body with respect to the SPAC Transaction;</w:t>
      </w:r>
    </w:p>
    <w:p>
      <w:pPr>
        <w:spacing w:after="0" w:line="176" w:lineRule="exact"/>
        <w:rPr>
          <w:rFonts w:ascii="Arial" w:cs="Arial" w:eastAsia="Arial" w:hAnsi="Arial"/>
          <w:sz w:val="17"/>
          <w:szCs w:val="17"/>
          <w:color w:val="auto"/>
        </w:rPr>
      </w:pPr>
    </w:p>
    <w:p>
      <w:pPr>
        <w:jc w:val="both"/>
        <w:ind w:firstLine="656"/>
        <w:spacing w:after="0" w:line="254" w:lineRule="auto"/>
        <w:tabs>
          <w:tab w:leader="none" w:pos="93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Loan Parties shall promptly upon receipt or delivery thereof deliver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copies of any correspondence with the lender of any PPP Loan, the U.S. Small Business Administration or any other applicable Official Body with respect to such PPP Loan (including any notices of defaults thereunder, any requirement of Loan Party or any affiliate or any shareholder, member or partner of any of the foregoing to make any payment on such PPP Loan and the forgiveness of all or any portion of such PPP Loan, any notice of investigation, request for information or similar communication regarding such PPP Loan, including the incurrence, use, forgiveness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56"/>
        <w:spacing w:after="0" w:line="296" w:lineRule="auto"/>
        <w:tabs>
          <w:tab w:leader="none" w:pos="906" w:val="left"/>
        </w:tabs>
        <w:numPr>
          <w:ilvl w:val="0"/>
          <w:numId w:val="82"/>
        </w:numPr>
        <w:rPr>
          <w:rFonts w:ascii="Arial" w:cs="Arial" w:eastAsia="Arial" w:hAnsi="Arial"/>
          <w:sz w:val="16"/>
          <w:szCs w:val="16"/>
          <w:color w:val="auto"/>
        </w:rPr>
      </w:pPr>
      <w:r>
        <w:rPr>
          <w:rFonts w:ascii="Arial" w:cs="Arial" w:eastAsia="Arial" w:hAnsi="Arial"/>
          <w:sz w:val="16"/>
          <w:szCs w:val="16"/>
          <w:color w:val="auto"/>
        </w:rPr>
        <w:t>Borrower shall deliver on a monthly basis, as soon as available, but in any event not later than forty-five (45) days after the end of each calendar month, beginning with the calendar month ending September 30, 2022, to Agent (so long as the Agent has delivered written notice to Borrower that it elects to receive material non-public information, and such notice has not been rescinded by Agent by written notice to the Borrower) and to each Lender (solely to the extent such Lender has delivered written notice to Borrower that such Lender elects to receive material non-public information, which notice has not been rescinded by such Lender in writing), key performance indicators, including details on paid pilots and the status of conversions;</w:t>
      </w:r>
    </w:p>
    <w:p>
      <w:pPr>
        <w:spacing w:after="0" w:line="161" w:lineRule="exact"/>
        <w:rPr>
          <w:rFonts w:ascii="Arial" w:cs="Arial" w:eastAsia="Arial" w:hAnsi="Arial"/>
          <w:sz w:val="16"/>
          <w:szCs w:val="16"/>
          <w:color w:val="auto"/>
        </w:rPr>
      </w:pPr>
    </w:p>
    <w:p>
      <w:pPr>
        <w:ind w:right="20" w:firstLine="656"/>
        <w:spacing w:after="0" w:line="277" w:lineRule="auto"/>
        <w:tabs>
          <w:tab w:leader="none" w:pos="886"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shall make key members of management available to Agent upon Agent’s reasonable written request (which, for the avoidance of doubt, may be by electronic mail) to discuss the financial status and performance of Borrower’s business;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Loan Parties shall promptly deliver to Agent and to each Lender (solely to the extent such Lender has delivered written notice to Borrower that such Lender elects to receive material non-public information, which notice has not been rescinded by such Lender in writing), such additional information concerning any Loan Party, its business or its operations as Agent may from time to time reasonably request.</w:t>
      </w:r>
    </w:p>
    <w:p>
      <w:pPr>
        <w:spacing w:after="0" w:line="16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5.3 Payment of Obligations</w:t>
      </w:r>
      <w:r>
        <w:rPr>
          <w:rFonts w:ascii="Arial" w:cs="Arial" w:eastAsia="Arial" w:hAnsi="Arial"/>
          <w:sz w:val="16"/>
          <w:szCs w:val="16"/>
          <w:color w:val="auto"/>
        </w:rPr>
        <w:t>. Each Loan Party shall pay, discharge or otherwise satisfy at or before maturity or before they become delinquent,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may be, all its material obligations of whatever nature, except where the amount or validity thereof is currently being contested in good faith by appropriate proceedings and reserves in conformity with GAAP with respect thereto have been provided on the books of Borrower.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5.4 Maintenance of Existence; Compliance with Requirements of Law</w:t>
      </w:r>
      <w:r>
        <w:rPr>
          <w:rFonts w:ascii="Arial" w:cs="Arial" w:eastAsia="Arial" w:hAnsi="Arial"/>
          <w:sz w:val="18"/>
          <w:szCs w:val="18"/>
          <w:color w:val="auto"/>
        </w:rPr>
        <w:t>. Each Loan Party shall:</w:t>
      </w:r>
    </w:p>
    <w:p>
      <w:pPr>
        <w:spacing w:after="0" w:line="229" w:lineRule="exact"/>
        <w:rPr>
          <w:sz w:val="20"/>
          <w:szCs w:val="20"/>
          <w:color w:val="auto"/>
        </w:rPr>
      </w:pPr>
    </w:p>
    <w:p>
      <w:pPr>
        <w:jc w:val="both"/>
        <w:ind w:firstLine="656"/>
        <w:spacing w:after="0" w:line="263" w:lineRule="auto"/>
        <w:tabs>
          <w:tab w:leader="none" w:pos="9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Preserve, renew and keep in full force and effect its organizational existence and (ii) take all reasonable action to maintain or obtain all Governmental Approvals and all other rights, privileges and franchises necessary or desirable in the normal conduct of its business, except, in the case of clause (ii) above, to the extent that failure to do so could not reasonably be expected to have a Material Adverse Effect.</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Comply with all Requirements of Law in all material respects and all Contractual Obligations except as would not be expected to result in a Material Adverse Effect.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 all amounts necessary to fund all present pension, profit sharing and deferred compensation plans in accordance with their terms and maintain each “employee benefit plan” (within the meaning of Section 3(3) of ERISA, whether or not subject to ERISA) that is sponsored, contributed to or required to be contributed to by the Borrower, Parent or their respective ERISA Affiliates in compliance in all material respects with the applicable provisions of ERISA, the Code or other Federal or state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5.5 Maintenance of Property; Insurance</w:t>
      </w:r>
      <w:r>
        <w:rPr>
          <w:rFonts w:ascii="Arial" w:cs="Arial" w:eastAsia="Arial" w:hAnsi="Arial"/>
          <w:sz w:val="18"/>
          <w:szCs w:val="18"/>
          <w:color w:val="auto"/>
        </w:rPr>
        <w:t>.</w:t>
      </w:r>
    </w:p>
    <w:p>
      <w:pPr>
        <w:spacing w:after="0" w:line="229" w:lineRule="exact"/>
        <w:rPr>
          <w:sz w:val="20"/>
          <w:szCs w:val="20"/>
          <w:color w:val="auto"/>
        </w:rPr>
      </w:pPr>
    </w:p>
    <w:p>
      <w:pPr>
        <w:ind w:left="920" w:hanging="264"/>
        <w:spacing w:after="0"/>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Loan Party shall keep all property useful and necessary in its business in good working order and condition, ordinary wear and tear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excepted,</w:t>
      </w:r>
    </w:p>
    <w:p>
      <w:pPr>
        <w:spacing w:after="0" w:line="210" w:lineRule="exact"/>
        <w:rPr>
          <w:rFonts w:ascii="Arial" w:cs="Arial" w:eastAsia="Arial" w:hAnsi="Arial"/>
          <w:sz w:val="17"/>
          <w:szCs w:val="17"/>
          <w:color w:val="auto"/>
        </w:rPr>
      </w:pPr>
    </w:p>
    <w:p>
      <w:pPr>
        <w:jc w:val="both"/>
        <w:ind w:firstLine="656"/>
        <w:spacing w:after="0" w:line="286" w:lineRule="auto"/>
        <w:tabs>
          <w:tab w:leader="none" w:pos="90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Each Loan Party shall (i) maintain with financially sound and reputable insurance companies insurance on all its property and against at least such risks and, in any case, in at least such amounts as are usually insured against by companies engaged in the same or a similar business as determined by Agent from time to time in its Permitted Discretion, and (ii) subject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cause each issuer of any insurance policy to list each Loan Party and its Subsidiaries as primary insured and provide Agent with an endorsement (x) showing Agent as “lender loss payee” or “Lender loss payable” with respect to each policy of property or casualty insurance and naming Agent as “additional insured” with respect to each policy of liability insurance, as applicable, as its interests may appear, and (y) containing (A) a clause requiring the insurer to give not less than ten (10) days’ prior written notice to Agent, as applicable, in the event of cancellation of the policy for nonpayment of premium and not less than thirty (30) days’ prior written notice to Agent in the event of cancellation of the policy for any other reason whatsoever and (B) a clause specifying that the interest of Agent, as applicable, shall not be impaired or invalidated by any act or neglect of any Loan Party, any of their Subsidiaries or the owner of any property or by the occupation of the premises for purposes more hazardous than are permitted by such policy and (z) reasonably acceptable in all other respects to Agent. All proceeds of business interruption insurance (if any) of the Loan Parties shall be remitted to Agent for application to the outstanding balance of the Term Loan, subject to </w:t>
      </w:r>
      <w:r>
        <w:rPr>
          <w:rFonts w:ascii="Arial" w:cs="Arial" w:eastAsia="Arial" w:hAnsi="Arial"/>
          <w:sz w:val="16"/>
          <w:szCs w:val="16"/>
          <w:u w:val="single" w:color="auto"/>
          <w:color w:val="auto"/>
        </w:rPr>
        <w:t>Section 2.1(c)</w:t>
      </w:r>
      <w:r>
        <w:rPr>
          <w:rFonts w:ascii="Arial" w:cs="Arial" w:eastAsia="Arial" w:hAnsi="Arial"/>
          <w:sz w:val="16"/>
          <w:szCs w:val="16"/>
          <w:color w:val="auto"/>
        </w:rPr>
        <w:t>. If any improvements located upon any property are located in an area identified by the Federal Emergency Management Agency as an area having special flood hazards and in which flood insurance has been made available under the National Flood Insurance Act of 1968 (or any amendment or successor act thereto), then the applicable Loan Party shall maintain, or cause to be maintained, with a financially sound and reputable insurer, flood insurance in an amount sufficient to comply with all applicable rules and regulations promulgated pursuant to such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firstLine="656"/>
        <w:spacing w:after="0" w:line="277" w:lineRule="auto"/>
        <w:tabs>
          <w:tab w:leader="none" w:pos="8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In addition to the foregoing clause (b), Borrower shall satisfy any other insurance requirements as Agent may reasonably require pursuant to any insurance diligence report delivered pursuant to </w:t>
      </w:r>
      <w:r>
        <w:rPr>
          <w:rFonts w:ascii="Arial" w:cs="Arial" w:eastAsia="Arial" w:hAnsi="Arial"/>
          <w:sz w:val="18"/>
          <w:szCs w:val="18"/>
          <w:u w:val="single" w:color="auto"/>
          <w:color w:val="auto"/>
        </w:rPr>
        <w:t>Section 5.5(d)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reasonable times and upon reasonable notice (provided that no notice is required if an Event of Default has occurred and is continuing), Agent or its agents, shall have the right to conduct a review of the Borrowers’ insurance coverage at the Loan Parties’ expense; provided that, so long as an Event of Default has not occurred and is continuing, in any Fiscal Year, the Loan Parties only shall be responsible for the costs and expenses of one (1) review.</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1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if at any time Agent is not in receipt of written evidence that all policies of insurance required under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are in full force and effect, Agent shall have the right, without written notice to Borrower, to take such action as Agent deems necessary to protect its interest in the Collateral, including the obtaining of such insurance coverage as Agent in its reasonable discretion deems appropriate; all premiums incurred by Agent in connection with such action or in obtaining such insurance and keeping it in effect shall be paid by Borrower to Agent upon demand and, until paid, shall constitute “Obligations” hereunder, shall be secured by the Security Documents and shall bear interest at the Interest Rate plus the Default Rate.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5.6 Inspection of Property; Books and Records; Discussions</w:t>
      </w:r>
      <w:r>
        <w:rPr>
          <w:rFonts w:ascii="Arial" w:cs="Arial" w:eastAsia="Arial" w:hAnsi="Arial"/>
          <w:sz w:val="17"/>
          <w:szCs w:val="17"/>
          <w:color w:val="auto"/>
        </w:rPr>
        <w:t>. Each Loan Party shall (a) keep proper books of records and account in which full,</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correct entries in conformity with GAAP and all Requirements of Law shall be made of all dealings and transactions in relation to its business and activities and (b) permit representatives and independent contractors of Agent and any Lender to visit, inspect and audit any of its properties and examine and make abstracts from any of its books and records at any reasonable time and as often as may reasonably be desired and to discuss the business, operations, properties and financial and other condition of the Loan Parties with officers, directors and employees of Loan Parties and with its independent certified public accountants; provided, so long as an Event of Default has not occurred and is continuing, the Loan Parties shall not be responsible for the costs and expenses of more than two (2) inspections or audits in any Fiscal Year.</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5.7 Notices</w:t>
      </w:r>
      <w:r>
        <w:rPr>
          <w:rFonts w:ascii="Arial" w:cs="Arial" w:eastAsia="Arial" w:hAnsi="Arial"/>
          <w:sz w:val="18"/>
          <w:szCs w:val="18"/>
          <w:color w:val="auto"/>
        </w:rPr>
        <w:t>. Each Loan Party shall give prompt written notice (and in no event later than five (5) Business Days (or with respect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5.7(a)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below, two (2) Business Days) after such Loan Party knows or should have known of such events) to Agent and to each Lender (solely to the extent such Lender has delivered written notice to Borrower that such Lender elects to receive material non-public information, which notice has not been rescinded by such Lender in writing) of:</w:t>
      </w:r>
    </w:p>
    <w:p>
      <w:pPr>
        <w:spacing w:after="0" w:line="184" w:lineRule="exact"/>
        <w:rPr>
          <w:sz w:val="20"/>
          <w:szCs w:val="20"/>
          <w:color w:val="auto"/>
        </w:rPr>
      </w:pPr>
    </w:p>
    <w:p>
      <w:pPr>
        <w:ind w:right="20" w:firstLine="656"/>
        <w:spacing w:after="0" w:line="277" w:lineRule="auto"/>
        <w:tabs>
          <w:tab w:leader="none" w:pos="89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occurrence of any Default or Event of Default together with a written statement of a Responsible Officer of such Loan Party setting forth the details of such event and the action the Loan Parties propose to take with respect thereto;</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 default or event of default under any Material Contract, the Nirvana Debt, or any Subordinated Indebtedness, (ii) any notice of non-renewal under any Material Contract, (iii) any material change to the terms of any Material Contract that are reasonably expected to result in a decrease of ten percent (10%) or more in revenue to the Loan Parties from such Material Contract;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 pending or threatened legal action, litigation, suit, investigation, arbitration, dispute resolution proceeding, or administrative or regulatory proceeding that may exist at any time between any Loan Party and any Governmental Authority, or (ii) litigation or proceeding affecting any Loan Party (including any such litigation in which a Loan Party is the plaintiff) in which the amount involved is $1,000,000 or more or which relates to any Loan Document;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 material change in accounting policies or financial reporting practices by any Loan Party (other than as permitted by </w:t>
      </w:r>
      <w:r>
        <w:rPr>
          <w:rFonts w:ascii="Arial" w:cs="Arial" w:eastAsia="Arial" w:hAnsi="Arial"/>
          <w:sz w:val="17"/>
          <w:szCs w:val="17"/>
          <w:u w:val="single" w:color="auto"/>
          <w:color w:val="auto"/>
        </w:rPr>
        <w:t>Section 1.2(e)</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656"/>
        <w:spacing w:after="0" w:line="277" w:lineRule="auto"/>
        <w:tabs>
          <w:tab w:leader="none" w:pos="9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occurrence of any ERISA Event that, alone or together with any other ERISA Events that have occurred, could reasonably be expected to result in liability of the Loan Parties in an aggregate amount in excess of $500,000;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right="20" w:firstLine="656"/>
        <w:spacing w:after="0" w:line="277" w:lineRule="auto"/>
        <w:tabs>
          <w:tab w:leader="none" w:pos="8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amendment to the organizational documents of any Loan Party, provided that Loan Parties shall provide at least twenty (20) day’s prior written notice of any change to its name, identity, structure, or state of formation, incorporation or organization;</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that any Loan Party or their accountants conclude or advise that any previously issued financial statement, audit report or interim review should no longer be relied upon in any material respect or that disclosure should be made or action should be taken to prevent future reliance thereon;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 amendment or proposed amendment to, (ii) any breach or default under, (iii) any termination or threatened termination of or (iv) any litigation or proceeding commenced or threated by any Person, in each case, with respect to the SPAC Merger Agreement, any SPAC Subscription Agreement or any other instrument, document or agreement executed in connection with the SPAC Transaction; and</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5.7 shall be accompanied by a statement of a Responsible Officer setting forth details of the occurrence referred to therein and stating what action such Loan Party proposes to take with respect thereto.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5.8 Compliance with Laws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277" w:lineRule="auto"/>
        <w:tabs>
          <w:tab w:leader="none" w:pos="91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Loan Party shall comply in all material respects with the Requirements of Law applicable to it and all orders, writs, injunctions and decrees applicable to it or to its business or property.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Each Loan Party shall:</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536"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86"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and</w:t>
      </w:r>
    </w:p>
    <w:p>
      <w:pPr>
        <w:spacing w:after="0" w:line="183" w:lineRule="exact"/>
        <w:rPr>
          <w:rFonts w:ascii="Arial" w:cs="Arial" w:eastAsia="Arial" w:hAnsi="Arial"/>
          <w:sz w:val="18"/>
          <w:szCs w:val="18"/>
          <w:color w:val="auto"/>
        </w:rPr>
      </w:pPr>
    </w:p>
    <w:p>
      <w:pPr>
        <w:ind w:left="1620" w:hanging="316"/>
        <w:spacing w:after="0"/>
        <w:tabs>
          <w:tab w:leader="none" w:pos="1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Remediate any notices of non-compliance from any Governmental Authority with respect to any Environmental Law.</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5.9 Audits</w:t>
      </w:r>
      <w:r>
        <w:rPr>
          <w:rFonts w:ascii="Arial" w:cs="Arial" w:eastAsia="Arial" w:hAnsi="Arial"/>
          <w:sz w:val="16"/>
          <w:szCs w:val="16"/>
          <w:color w:val="auto"/>
        </w:rPr>
        <w:t>. At reasonable times and upon reasonable notice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no notice is required if an Event of Default has occurred and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continuing), Lender or its agents, shall have the right, during normal business hours, to inspect the Collateral and the right to audit and copy (subject to applicable data security and privacy Laws)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w:t>
      </w:r>
      <w:r>
        <w:rPr>
          <w:rFonts w:ascii="Arial" w:cs="Arial" w:eastAsia="Arial" w:hAnsi="Arial"/>
          <w:sz w:val="16"/>
          <w:szCs w:val="16"/>
          <w:u w:val="single" w:color="auto"/>
          <w:color w:val="auto"/>
        </w:rPr>
        <w:t>provided</w:t>
      </w:r>
      <w:r>
        <w:rPr>
          <w:rFonts w:ascii="Arial" w:cs="Arial" w:eastAsia="Arial" w:hAnsi="Arial"/>
          <w:sz w:val="16"/>
          <w:szCs w:val="16"/>
          <w:color w:val="auto"/>
        </w:rPr>
        <w:t>, so long as an Event of Default has not occurred and is continuing, the Loan Parties shall not be responsible for the costs and expenses of more than two (2) inspections or audits in any Fiscal Year.</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5.10 Further Assurances</w:t>
      </w:r>
      <w:r>
        <w:rPr>
          <w:rFonts w:ascii="Arial" w:cs="Arial" w:eastAsia="Arial" w:hAnsi="Arial"/>
          <w:sz w:val="17"/>
          <w:szCs w:val="17"/>
          <w:color w:val="auto"/>
        </w:rPr>
        <w:t>. Each Loan Party shall execute and deliver to Agent and Lenders such amendments to the Loan Documents,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or such other documents as Agent deems necessary and take all actions necessary or advisable in the opinion of Agent (in its Permitted Discretion) to effectuate the terms of the Loan Documents and protect Agent’s and Lenders’ interests in the Collateral, and shall do such other acts and things as Agent in its Permitted Discretion may deem necessary or advisable from time to time in order to preserve, perfect and protect the Liens granted under the Loan Documents and to exercise and enforce its rights and remedies thereunder with respect to the Collateral.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b w:val="1"/>
          <w:bCs w:val="1"/>
          <w:color w:val="auto"/>
        </w:rPr>
        <w:t>5.11 Use of Proceeds</w:t>
      </w:r>
      <w:r>
        <w:rPr>
          <w:rFonts w:ascii="Arial" w:cs="Arial" w:eastAsia="Arial" w:hAnsi="Arial"/>
          <w:sz w:val="18"/>
          <w:szCs w:val="18"/>
          <w:color w:val="auto"/>
        </w:rPr>
        <w:t>. Borrower shall use the proceeds of each Term Loan only for the purposes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5.12 Taxes</w:t>
      </w:r>
      <w:r>
        <w:rPr>
          <w:rFonts w:ascii="Arial" w:cs="Arial" w:eastAsia="Arial" w:hAnsi="Arial"/>
          <w:sz w:val="18"/>
          <w:szCs w:val="18"/>
          <w:color w:val="auto"/>
        </w:rPr>
        <w:t>. Each Loan Party shall file or cause to be filed (and shall cause its Subsidiaries to file or cause to be filed) all federal, state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Tax returns and reports that are required to be filed by such Loan Party or any of its Subsidiaries and pay all federal, state and other material Taxes due and payable by it (whether or not shown to be due and payable on any Tax returns and reports) or on any assessments made against such Loan Party or any of its Subsidiaries or any of their assets (other than Taxes that are currently being contested in good faith by appropriate proceedings which stay the enforcement of any Lien resulting from the non-payment thereof and with respect to which adequate reserves have been set aside by the Loan Parties for the payment thereof in conformity with GAAP).</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5.13 Post-Closing Obligations</w:t>
      </w:r>
      <w:r>
        <w:rPr>
          <w:rFonts w:ascii="Arial" w:cs="Arial" w:eastAsia="Arial" w:hAnsi="Arial"/>
          <w:sz w:val="18"/>
          <w:szCs w:val="18"/>
          <w:color w:val="auto"/>
        </w:rPr>
        <w:t>. On or before the date set forth below for each covenant (or such longer period as approved by Agent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Borrower shall cause the following to occur:</w:t>
      </w:r>
    </w:p>
    <w:p>
      <w:pPr>
        <w:spacing w:after="0" w:line="166" w:lineRule="exact"/>
        <w:rPr>
          <w:sz w:val="20"/>
          <w:szCs w:val="20"/>
          <w:color w:val="auto"/>
        </w:rPr>
      </w:pPr>
    </w:p>
    <w:p>
      <w:pPr>
        <w:jc w:val="both"/>
        <w:ind w:firstLine="656"/>
        <w:spacing w:after="0" w:line="263" w:lineRule="auto"/>
        <w:tabs>
          <w:tab w:leader="none" w:pos="8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Within forty-five (45) days after the Closing Date, the Loan Parties shall have delivered insurance endorsements to Agent with respect to each general liability insurance policy and each property insurance policy, including, in each case, sub-policies thereunder, of each Loan Party, endorsing Agent, as additional insured and lender loss payee, respectively, under such policies as its interests appear;</w:t>
      </w:r>
    </w:p>
    <w:p>
      <w:pPr>
        <w:spacing w:after="0" w:line="183"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Within forty-five (45) days of the Closing Date, deliver Control Agreements, executed and delivered by the applicable Loan Party, Lender and the applicable depository institution with respect to each Deposit Account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Within thirty (30) days of the Closing Date, Agent shall receive all certificates evidencing the outstanding Equity Interests and other Collateral evidenced by certificates owned by Borrower, together with duly executed stock powers or other transfer powers in form and substance reasonably satisfactory to Agent;</w:t>
      </w:r>
    </w:p>
    <w:p>
      <w:pPr>
        <w:spacing w:after="0" w:line="183" w:lineRule="exact"/>
        <w:rPr>
          <w:rFonts w:ascii="Arial" w:cs="Arial" w:eastAsia="Arial" w:hAnsi="Arial"/>
          <w:sz w:val="18"/>
          <w:szCs w:val="18"/>
          <w:color w:val="auto"/>
        </w:rPr>
      </w:pPr>
    </w:p>
    <w:p>
      <w:pPr>
        <w:ind w:right="20" w:firstLine="656"/>
        <w:spacing w:after="0" w:line="277"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UCC-3 termination statements to be authorized and filed in respect of each of the following existing UCC filings within sixty (60) days of the Closing Date:</w:t>
      </w:r>
    </w:p>
    <w:p>
      <w:pPr>
        <w:spacing w:after="0" w:line="170" w:lineRule="exact"/>
        <w:rPr>
          <w:rFonts w:ascii="Arial" w:cs="Arial" w:eastAsia="Arial" w:hAnsi="Arial"/>
          <w:sz w:val="18"/>
          <w:szCs w:val="18"/>
          <w:color w:val="auto"/>
        </w:rPr>
      </w:pPr>
    </w:p>
    <w:p>
      <w:pPr>
        <w:ind w:left="660" w:firstLine="2108"/>
        <w:spacing w:after="0" w:line="277" w:lineRule="auto"/>
        <w:tabs>
          <w:tab w:leader="none" w:pos="3011"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that certain UCC Financing Statement # 20170704249 filed with the Delaware Secretary of State on or about October 25, 2017 by Innovative Energy Solutions;</w:t>
      </w:r>
    </w:p>
    <w:p>
      <w:pPr>
        <w:spacing w:after="0" w:line="170" w:lineRule="exact"/>
        <w:rPr>
          <w:rFonts w:ascii="Arial" w:cs="Arial" w:eastAsia="Arial" w:hAnsi="Arial"/>
          <w:sz w:val="18"/>
          <w:szCs w:val="18"/>
          <w:color w:val="auto"/>
        </w:rPr>
      </w:pPr>
    </w:p>
    <w:p>
      <w:pPr>
        <w:ind w:left="660" w:right="20" w:firstLine="2108"/>
        <w:spacing w:after="0" w:line="308" w:lineRule="auto"/>
        <w:tabs>
          <w:tab w:leader="none" w:pos="3058"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that certain UCC Financing Statement # 20185345810 filed with the Delaware Secretary of State on or about August 3, 2018 by Corporation Service Company, as Representative and identified as relating to Secured Party CIT Bank N.A.;</w:t>
      </w:r>
    </w:p>
    <w:p>
      <w:pPr>
        <w:spacing w:after="0" w:line="146" w:lineRule="exact"/>
        <w:rPr>
          <w:rFonts w:ascii="Arial" w:cs="Arial" w:eastAsia="Arial" w:hAnsi="Arial"/>
          <w:sz w:val="17"/>
          <w:szCs w:val="17"/>
          <w:color w:val="auto"/>
        </w:rPr>
      </w:pPr>
    </w:p>
    <w:p>
      <w:pPr>
        <w:ind w:left="660" w:firstLine="2108"/>
        <w:spacing w:after="0" w:line="277" w:lineRule="auto"/>
        <w:tabs>
          <w:tab w:leader="none" w:pos="30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that certain county tax lien # 2021-157199 filed on or about 11/10/2021 in the Records of the San Mateo County Assessor, Clerk, Recorder by the Yolo County Department of Financial Services in the amount of $146.48; and</w:t>
      </w:r>
    </w:p>
    <w:p>
      <w:pPr>
        <w:spacing w:after="0" w:line="170" w:lineRule="exact"/>
        <w:rPr>
          <w:rFonts w:ascii="Arial" w:cs="Arial" w:eastAsia="Arial" w:hAnsi="Arial"/>
          <w:sz w:val="18"/>
          <w:szCs w:val="18"/>
          <w:color w:val="auto"/>
        </w:rPr>
      </w:pPr>
    </w:p>
    <w:p>
      <w:pPr>
        <w:ind w:left="660" w:firstLine="2108"/>
        <w:spacing w:after="0" w:line="277" w:lineRule="auto"/>
        <w:tabs>
          <w:tab w:leader="none" w:pos="30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that certain judgment lien # 2021-173224 filed on or about December 17, 2021 in the Records of the San Mateo County Assessor, Clerk, Recorder by Banc of America Leasing &amp; Capital, LLC in the amount of $321,509.09.</w:t>
      </w:r>
    </w:p>
    <w:p>
      <w:pPr>
        <w:spacing w:after="0" w:line="170"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shall use commercially reasonable efforts to cause each landlord that is party to a lease with Borrower to execute and deliver a landlord consent, in form and substance reasonably satisfactory to Agent, within thirty (30) days of the Closing Date; and</w:t>
      </w:r>
    </w:p>
    <w:p>
      <w:pPr>
        <w:spacing w:after="0" w:line="170" w:lineRule="exact"/>
        <w:rPr>
          <w:rFonts w:ascii="Arial" w:cs="Arial" w:eastAsia="Arial" w:hAnsi="Arial"/>
          <w:sz w:val="18"/>
          <w:szCs w:val="18"/>
          <w:color w:val="auto"/>
        </w:rPr>
      </w:pPr>
    </w:p>
    <w:p>
      <w:pPr>
        <w:ind w:firstLine="656"/>
        <w:spacing w:after="0" w:line="277" w:lineRule="auto"/>
        <w:tabs>
          <w:tab w:leader="none" w:pos="8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Parent shall cause the Founder Shares to be registered on the same registration statement as the PIPE Transactions pursuant to the terms of the Registration Rights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5.14 Location of Assets</w:t>
      </w:r>
      <w:r>
        <w:rPr>
          <w:rFonts w:ascii="Arial" w:cs="Arial" w:eastAsia="Arial" w:hAnsi="Arial"/>
          <w:sz w:val="18"/>
          <w:szCs w:val="18"/>
          <w:color w:val="auto"/>
        </w:rPr>
        <w:t>. The Loan Parties shall maintain all Collateral at the Specified Locations.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5.15 Additional Subsidiaries. </w:t>
      </w:r>
      <w:r>
        <w:rPr>
          <w:rFonts w:ascii="Arial" w:cs="Arial" w:eastAsia="Arial" w:hAnsi="Arial"/>
          <w:sz w:val="16"/>
          <w:szCs w:val="16"/>
          <w:color w:val="auto"/>
        </w:rPr>
        <w:t>In the event that any Person becomes a Domestic Subsidiary of a Loan Party, such Loan Party shall concurrently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such Person becoming a Domestic Subsidiary, cause such Person to (i) become a Guarantor and a grantor under the Security Agreement by executing and delivering to Agent a joinder in form and substance acceptable to Agent, (ii) take all such other action as shall be necessary or reasonably appropriate to establish, create, preserve, protect and perfect a first priority Lien (subject only to Permitted Liens) in favor of Agent for the benefit of the Lenders on substantially all assets, both real and personal, in which such Domestic Subsidiary has or may thereafter acquire any interest, to the extent required by this Agreement, the Security Agreement, or any other Loan Document, including the execution and delivery of all such documents, instruments, agreements, and certificates as are similar to those delivered by the other Loan Parties as described in </w:t>
      </w:r>
      <w:r>
        <w:rPr>
          <w:rFonts w:ascii="Arial" w:cs="Arial" w:eastAsia="Arial" w:hAnsi="Arial"/>
          <w:sz w:val="16"/>
          <w:szCs w:val="16"/>
          <w:u w:val="single" w:color="auto"/>
          <w:color w:val="auto"/>
        </w:rPr>
        <w:t>Section 4.1</w:t>
      </w:r>
      <w:r>
        <w:rPr>
          <w:rFonts w:ascii="Arial" w:cs="Arial" w:eastAsia="Arial" w:hAnsi="Arial"/>
          <w:sz w:val="16"/>
          <w:szCs w:val="16"/>
          <w:color w:val="auto"/>
        </w:rPr>
        <w:t>, and (iii) promptly send to Agent written notice setting forth with respect to such Domestic Subsidiary, the date on which such Person became a Domestic Subsidiary of a Loan Party, updated Schedules to this Agreement and each other applicable Loan Document, and a Perfection Certificate, in each case with respect to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83" w:lineRule="auto"/>
        <w:rPr>
          <w:sz w:val="20"/>
          <w:szCs w:val="20"/>
          <w:color w:val="auto"/>
        </w:rPr>
      </w:pPr>
      <w:r>
        <w:rPr>
          <w:rFonts w:ascii="Arial" w:cs="Arial" w:eastAsia="Arial" w:hAnsi="Arial"/>
          <w:sz w:val="16"/>
          <w:szCs w:val="16"/>
          <w:b w:val="1"/>
          <w:bCs w:val="1"/>
          <w:color w:val="auto"/>
        </w:rPr>
        <w:t>5.16 Board Observation Rights</w:t>
      </w:r>
      <w:r>
        <w:rPr>
          <w:rFonts w:ascii="Arial" w:cs="Arial" w:eastAsia="Arial" w:hAnsi="Arial"/>
          <w:sz w:val="16"/>
          <w:szCs w:val="16"/>
          <w:color w:val="auto"/>
        </w:rPr>
        <w:t>. For so long as the Obligations remain outstanding Agent shall have the right to designate one (1) representative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which Representative shall either be (i) a person employed by Agent or one of its Affiliates or (ii) any other person designated by the Agent and reasonably acceptable to the Borrower, who shall: (a) solely to the extent the Agent has delivered written notice to Borrower that it elects to receive material non-public information, and such notice has not been rescinded by Agent by written notice to the Borrower, receive prior notice of all meetings (both regular and special) of the board of directors or similar governing body (the “</w:t>
      </w:r>
      <w:r>
        <w:rPr>
          <w:rFonts w:ascii="Arial" w:cs="Arial" w:eastAsia="Arial" w:hAnsi="Arial"/>
          <w:sz w:val="16"/>
          <w:szCs w:val="16"/>
          <w:b w:val="1"/>
          <w:bCs w:val="1"/>
          <w:i w:val="1"/>
          <w:iCs w:val="1"/>
          <w:color w:val="auto"/>
        </w:rPr>
        <w:t>Governing Body</w:t>
      </w:r>
      <w:r>
        <w:rPr>
          <w:rFonts w:ascii="Arial" w:cs="Arial" w:eastAsia="Arial" w:hAnsi="Arial"/>
          <w:sz w:val="16"/>
          <w:szCs w:val="16"/>
          <w:color w:val="auto"/>
        </w:rPr>
        <w:t xml:space="preserve">”) and/or the holders of the Equity Interests of and of each committee of any such Governing Body of (i) each Loan Party, (ii) each of any Loan Party’s Subsidiaries, and (iii) each direct or indirect parent of any Loan Party; (b) solely to the extent the Agent has delivered written notice to Borrower that it elects to receive material non-public information, and such notice has not been rescinded by Agent by written notice to the Borrower, be entitled to attend (or, at the option of such Representative, monitor by telephone) all such meetings; (c) solely to the extent the Agent has delivered written notice to Borrower that it elects to receive material non-public information, and such notice has not been rescinded by Agent by written notice to the Borrower, receive all notices, information, reports and minutes of meetings, which are furnished (or made available) to the members of any such Governing Body and/or committee and/or holders of Equity Interests at or around the same time and in the same (in all material respects) manner as the same is furnished (or made available) to such members; and (d) solely to the extent the Agent has delivered written notice to Borrower that it elects to receive material non-public information, and such notice has not been rescinded by Agent by written notice to the Borrower, be entitled to participate in all discussions conducted at such meetings. Solely to the extent the Agent has delivered written notice to Borrower that it elects to receive material non-public information, and such notice has not been rescinded by Agent by written notice to the Borrower, if any action is proposed to be taken by any such Governing Body and/or committee by written consent in lieu of a meeting, the Loan Parties shall give, or shall cause to be given, written notice thereof to each Representative, which notice shall describe in reasonable detail the nature and substance of such proposed action before any such action is taken and in any event not materially later than the date upon which any member of any such board of directors (or similar governing body) and/or committee receives the same. Solely to the extent the Agent has delivered written notice to Borrower that it elects to receive material non-public information, and such notice has not been rescinded by Agent by written notice to the Borrower, the Loan Parties shall furnish, or shall cause to be furnished, to each Representative with a copy of each such written consent at or around the same time, and in the same (in all material respects) manner as the same is furnished (or made available) to such members. The Loan Parties shall be required to reimburse Agent for its reasonable and documented out-of-pocket costs and expenses under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with respect to attending such board or committee meetings, which costs and expenses shall be reimbursed promptly upon submission of customary expense reports and documentation. For the avoidance of doubt, each Representative (x) shall not constitute a director and/or member of a board committee; (y) shall not be entitled to vote or consent on any matters presented by meetings of the Governing Body and/or committee or actions taken in lieu of a meeting; and (z) shall not be entitled to any rights other than those provided by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The parties hereto agree that the Representative does not have a fiduciary duty or any other duties or responsibilities to the Loan Parties or any of their respective Affiliates. Subject to the first sentence of this </w:t>
      </w:r>
      <w:r>
        <w:rPr>
          <w:rFonts w:ascii="Arial" w:cs="Arial" w:eastAsia="Arial" w:hAnsi="Arial"/>
          <w:sz w:val="16"/>
          <w:szCs w:val="16"/>
          <w:u w:val="single" w:color="auto"/>
          <w:color w:val="auto"/>
        </w:rPr>
        <w:t>Section 5.16</w:t>
      </w:r>
      <w:r>
        <w:rPr>
          <w:rFonts w:ascii="Arial" w:cs="Arial" w:eastAsia="Arial" w:hAnsi="Arial"/>
          <w:sz w:val="16"/>
          <w:szCs w:val="16"/>
          <w:color w:val="auto"/>
        </w:rPr>
        <w:t>, Agent may designate a new individual to serve as the Representative at any time and at its sole discretion. Notwithstanding the foregoing, the Representative shall not be entitled to receive materials relating to, or be in attendance for any discussions relating to, topics which, based upon the advice of counsel (i) the Representative’s access to such information or attendance for such discussion would reasonably be expected to terminate the attorney client privilege between any Loan Party or its Subsidiaries and its counsel, or (ii) concern the Loan Parties’ strategy or negotiations with respect to the Loan Documents or otherwise would present a conflict of interest for such Representative or the Agent or the Lenders.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5.17 MNPI</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90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Loan Parties shall not, and each Loan Party shall cause each of its Subsidiaries and each of its and their respective officers, directors, employees and agents not to, provide the Agent or any Lender with any material, non-public information regarding the Loan Parties or any of their Subsidiaries from and after the date hereof unless the Agent or such Lender, as applicable has delivered written notice to the Borrower that it elects to receive material non-public information regarding the Loan Parties (which election may be made in each of the Agent’s or such Lender’s, as applicable, sole discretion) and in such case shall only deliver such material, non-public information to the Agent or such Lender, as applicable, that has made such election and only so long as the Agent or such Lender, as applicable has not rescinded such election by written notice to the Borrower (collectively, “</w:t>
      </w:r>
      <w:r>
        <w:rPr>
          <w:rFonts w:ascii="Arial" w:cs="Arial" w:eastAsia="Arial" w:hAnsi="Arial"/>
          <w:sz w:val="17"/>
          <w:szCs w:val="17"/>
          <w:b w:val="1"/>
          <w:bCs w:val="1"/>
          <w:i w:val="1"/>
          <w:iCs w:val="1"/>
          <w:color w:val="auto"/>
        </w:rPr>
        <w:t>Requested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restrict the Loan Parties from providing the information to the Agent as required pursuant to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(together with the Requested Information, the “</w:t>
      </w:r>
      <w:r>
        <w:rPr>
          <w:rFonts w:ascii="Arial" w:cs="Arial" w:eastAsia="Arial" w:hAnsi="Arial"/>
          <w:sz w:val="17"/>
          <w:szCs w:val="17"/>
          <w:b w:val="1"/>
          <w:bCs w:val="1"/>
          <w:i w:val="1"/>
          <w:iCs w:val="1"/>
          <w:color w:val="auto"/>
        </w:rPr>
        <w:t>Permitted Information</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56"/>
        <w:spacing w:after="0" w:line="263" w:lineRule="auto"/>
        <w:tabs>
          <w:tab w:leader="none" w:pos="91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Agent and each Lender acknowledges that Permitted Information may include material, non-public information concerning the Loan Parties and their Affiliates or their respective securities, and confirms that it will handle such material, non-public information in accordance with applicable law, including Federal and state securities laws.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Borrower delivers material, non-public information (as determined by Agent or the applicable Lender, acting reasonably, in consultation with the Borrower) regarding any of the Loan Parties or any of their Subsidiaries to the Agent or the Lender, in each case, other than any Permitted Information, then promptly (but in any event within three Business Days) following written request from the Agent or the applicable Lender, the Parent shall make a public disclosure with respect to such material, non-public information.</w:t>
      </w:r>
    </w:p>
    <w:p>
      <w:pPr>
        <w:spacing w:after="0" w:line="186" w:lineRule="exact"/>
        <w:rPr>
          <w:rFonts w:ascii="Arial" w:cs="Arial" w:eastAsia="Arial" w:hAnsi="Arial"/>
          <w:sz w:val="18"/>
          <w:szCs w:val="18"/>
          <w:color w:val="auto"/>
        </w:rPr>
      </w:pPr>
    </w:p>
    <w:p>
      <w:pPr>
        <w:jc w:val="both"/>
        <w:ind w:firstLine="656"/>
        <w:spacing w:after="0" w:line="272" w:lineRule="auto"/>
        <w:tabs>
          <w:tab w:leader="none" w:pos="908"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In the event of a breach of any of </w:t>
      </w:r>
      <w:r>
        <w:rPr>
          <w:rFonts w:ascii="Arial" w:cs="Arial" w:eastAsia="Arial" w:hAnsi="Arial"/>
          <w:sz w:val="17"/>
          <w:szCs w:val="17"/>
          <w:u w:val="single" w:color="auto"/>
          <w:color w:val="auto"/>
        </w:rPr>
        <w:t>Section 5.17(c)</w:t>
      </w:r>
      <w:r>
        <w:rPr>
          <w:rFonts w:ascii="Arial" w:cs="Arial" w:eastAsia="Arial" w:hAnsi="Arial"/>
          <w:sz w:val="17"/>
          <w:szCs w:val="17"/>
          <w:color w:val="auto"/>
        </w:rPr>
        <w:t>, in addition to any other remedy provided herein or in the Loan Documents, the Agent shall have the right to make a public disclosure, in the form of a press release or otherwise, of such material, non-public information (other than any Permitted Information), as applicable, without the prior approval by the Loan Party, any of its Subsidiaries, or any of its or their respective officers, directors, employees or agents. The Agent shall not have any liability to the Loan Parties, any of their Subsidiaries, or any of its or their respective officers, directors, employees, affiliates, stockholders or agents, for any such disclosure. To the extent that any Loan Party delivers any material, non-public information to the Agent or a Lender (other than Permitted Information), each Loan Party hereby covenants and agrees that the Agent or such Lender, as applicable, shall not have any duty of confidentiality with respect to, or such material, non-public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Loan Party, on its own behalf and on behalf of its Subsidiaries, hereby agrees that, until the Term Loan Commitment has been terminated and the Obligations have been paid in full (other than inchoate indemnification obligations):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6.1 Indebtedness</w:t>
      </w:r>
      <w:r>
        <w:rPr>
          <w:rFonts w:ascii="Arial" w:cs="Arial" w:eastAsia="Arial" w:hAnsi="Arial"/>
          <w:sz w:val="18"/>
          <w:szCs w:val="18"/>
          <w:color w:val="auto"/>
        </w:rPr>
        <w:t>. No Loan Party shall, and shall not permit any Subsidiary to, create, issue, incur, assume, become liable in respect of or suffer to</w:t>
      </w:r>
      <w:r>
        <w:rPr>
          <w:rFonts w:ascii="Arial" w:cs="Arial" w:eastAsia="Arial" w:hAnsi="Arial"/>
          <w:sz w:val="18"/>
          <w:szCs w:val="18"/>
          <w:b w:val="1"/>
          <w:bCs w:val="1"/>
          <w:color w:val="auto"/>
        </w:rPr>
        <w:t xml:space="preserve"> </w:t>
      </w:r>
      <w:r>
        <w:rPr>
          <w:rFonts w:ascii="Arial" w:cs="Arial" w:eastAsia="Arial" w:hAnsi="Arial"/>
          <w:sz w:val="18"/>
          <w:szCs w:val="18"/>
          <w:color w:val="auto"/>
        </w:rPr>
        <w:t>exist any Indebtedness, except Indebtedness pursuant to the Loan Documents and Permitted Indebtedness.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6.2 Liens</w:t>
      </w:r>
      <w:r>
        <w:rPr>
          <w:rFonts w:ascii="Arial" w:cs="Arial" w:eastAsia="Arial" w:hAnsi="Arial"/>
          <w:sz w:val="18"/>
          <w:szCs w:val="18"/>
          <w:color w:val="auto"/>
        </w:rPr>
        <w:t>. No Loan Party shall, and shall not permit any Subsidiary to, create, incur, assume or suffer to exist any Lien upon any of its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now owned or hereafter acquired, except Permitted Liens.</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6.3 Fundamental Changes</w:t>
      </w:r>
      <w:r>
        <w:rPr>
          <w:rFonts w:ascii="Arial" w:cs="Arial" w:eastAsia="Arial" w:hAnsi="Arial"/>
          <w:sz w:val="17"/>
          <w:szCs w:val="17"/>
          <w:color w:val="auto"/>
        </w:rPr>
        <w:t>. No Loan Party shall, and shall not permit any Subsidiary to, enter into any merger, consolidation or amalgamation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SPAC Transaction on the Closing Date or any Permitted Acquisition), or sale of substantially all of its assets, or liquidate, wind up or dissolve itself (or suffer any liquidation or dissolution) or permit any Division/Series Transaction; provided, that: (a) any Subsidiary of a Loan Party may merge, consolidate or otherwise combine with any Loan Party other than Parent; provided, that (i) such Loan Party is the surviving entity, and (ii) no Domestic Subsidiary may merge, consolidate or combine with or into a Foreign Subsidiary unless a Domestic Subsidiary is the surviving entity; and (b) any Subsidiary of a Loan Party that is not a Loan Party may merge, consolidate or otherwise combine with and into any other Subsidiary of a Loan Party that is not a Loan Party, in each case, so long as, (A) no Default or Event of Default exists or would be caused thereby, (B) Borrower provides Agent with at least ten (10) Business Days’ prior written notice thereof, and (C) the Loan Parties deliver all documents necessary or reasonably requested to preserve, protect and perfect Agent’s Lien on all Collateral that is the subject thereof.</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6.4 Disposition of Property</w:t>
      </w:r>
      <w:r>
        <w:rPr>
          <w:rFonts w:ascii="Arial" w:cs="Arial" w:eastAsia="Arial" w:hAnsi="Arial"/>
          <w:sz w:val="18"/>
          <w:szCs w:val="18"/>
          <w:color w:val="auto"/>
        </w:rPr>
        <w:t>. No Loan Party shall, and shall not permit any Subsidiary to, Dispose, assign or otherwise transfer any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 in and to any of the Collateral other than:</w:t>
      </w:r>
    </w:p>
    <w:p>
      <w:pPr>
        <w:spacing w:after="0" w:line="166" w:lineRule="exact"/>
        <w:rPr>
          <w:sz w:val="20"/>
          <w:szCs w:val="20"/>
          <w:color w:val="auto"/>
        </w:rPr>
      </w:pPr>
    </w:p>
    <w:p>
      <w:pPr>
        <w:ind w:left="900" w:hanging="244"/>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Dispositions of cash and inventory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9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Dispositions of obsolete, damaged or worn out property or property no longer useful or useable in the conduct of any Loan Party’s business made in the ordinary course of business;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right="20" w:firstLine="656"/>
        <w:spacing w:after="0" w:line="277" w:lineRule="auto"/>
        <w:tabs>
          <w:tab w:leader="none" w:pos="913"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 long as no Default exists, Dispositions of other property for its reasonable fair market value to non-Affiliates not to exceed Five Hundred Thousand Dollars ($500,000) in any calendar year;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subleases and assignments of real property lease interests not otherwise prohibited under this Agreement;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Dispositions permitted under the definition of Permitted Liens with respect to Collateral;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Dispositions approved in writing by Agent in its sole discretion.</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6.5 Restricted Payments</w:t>
      </w:r>
      <w:r>
        <w:rPr>
          <w:rFonts w:ascii="Arial" w:cs="Arial" w:eastAsia="Arial" w:hAnsi="Arial"/>
          <w:sz w:val="16"/>
          <w:szCs w:val="16"/>
          <w:color w:val="auto"/>
        </w:rPr>
        <w:t>. No Loan Party shall, and shall not permit any Subsidiary to, (a) declare or pay any dividend (other than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solely in common stock of the Person making such dividend) on, or make any payment on account of, or set apart assets for a sinking or other analogous fund for, the purchase, redemption, defeasance, retirement, cancellation, termination or other acquisition of, any Equity Interests (including, without limitation, any Disqualified Equity Interests) of any Loan Party, whether now or hereafter outstanding, or (b) make any other distribution (or payment of Indebtedness owed to an Affiliate) in respect thereof, either directly or indirectly, whether in cash or property or in obligations of Loan Party,</w:t>
      </w:r>
    </w:p>
    <w:p>
      <w:pPr>
        <w:spacing w:after="0" w:line="2" w:lineRule="exact"/>
        <w:rPr>
          <w:sz w:val="20"/>
          <w:szCs w:val="20"/>
          <w:color w:val="auto"/>
        </w:rPr>
      </w:pPr>
    </w:p>
    <w:p>
      <w:pPr>
        <w:ind w:firstLine="8"/>
        <w:spacing w:after="0" w:line="260"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any distribution to Parent for the purposes of making such dividend or payment, or (d) any payment, loan contribution or other transfer of funds of other property to any holder of Equity Interests of such Loan Party (collectively,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 other than:</w:t>
      </w:r>
    </w:p>
    <w:p>
      <w:pPr>
        <w:spacing w:after="0" w:line="185" w:lineRule="exact"/>
        <w:rPr>
          <w:rFonts w:ascii="Arial" w:cs="Arial" w:eastAsia="Arial" w:hAnsi="Arial"/>
          <w:sz w:val="18"/>
          <w:szCs w:val="18"/>
          <w:color w:val="auto"/>
        </w:rPr>
      </w:pPr>
    </w:p>
    <w:p>
      <w:pPr>
        <w:jc w:val="both"/>
        <w:ind w:firstLine="656"/>
        <w:spacing w:after="0" w:line="291" w:lineRule="auto"/>
        <w:tabs>
          <w:tab w:leader="none" w:pos="92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Loan Parties and their Subsidiaries shall be permitted to repurchase Equity Interests (i) from former employees, officers, directors, consultants or other persons who performed services for the Loan Parties or any of their Subsidiaries in connection with the cessation of such employment or service, (ii) pursuant to the terms of employee stock plans, employee restricted stock agreements or similar arrangements by the cancellation of Indebtedness, (iii) upon the exercise of stock options or warrants if such transaction is non-cash and such repurchased Equity Interests represent a portion of the exercise price of such options or warrants, and (iv) upon withholding of a portion of the Equity Interests granted or awarded to a current or former director, officer, employee or consultant to pay for the taxes payable by such Person upon such grant or award (or upon vesting thereof); provided that all repurchases pursuant to the foregoing clauses (i) or (ii) do not exceed an aggregate of $1,000,000 per Fiscal Year for all such payments; and</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so long as no Default or Event of Default has occurred and is continuing or would result therefrom, Borrower may make Tax Distributions.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6.6 Investments</w:t>
      </w:r>
      <w:r>
        <w:rPr>
          <w:rFonts w:ascii="Arial" w:cs="Arial" w:eastAsia="Arial" w:hAnsi="Arial"/>
          <w:sz w:val="18"/>
          <w:szCs w:val="18"/>
          <w:color w:val="auto"/>
        </w:rPr>
        <w:t>. No Loan Party shall, and shall not permit any Subsidiary to, make any advance, loan, extension of credit (by way of guarantee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capital contribution to, or purchase any Equity Interests, bonds, notes, debentures or other debt securities of, or any assets constituting all or substantially all of the assets of any Person, or a business unit of any Person, or make any other investment in, any Person (all of the foregoing, “</w:t>
      </w: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except:</w:t>
      </w:r>
    </w:p>
    <w:p>
      <w:pPr>
        <w:spacing w:after="0" w:line="184" w:lineRule="exact"/>
        <w:rPr>
          <w:sz w:val="20"/>
          <w:szCs w:val="20"/>
          <w:color w:val="auto"/>
        </w:rPr>
      </w:pPr>
    </w:p>
    <w:p>
      <w:pPr>
        <w:ind w:left="900" w:hanging="244"/>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Investments by one Loan Party in any other Loan Party (other than Parent);</w:t>
      </w:r>
    </w:p>
    <w:p>
      <w:pPr>
        <w:spacing w:after="0" w:line="225" w:lineRule="exact"/>
        <w:rPr>
          <w:rFonts w:ascii="Arial" w:cs="Arial" w:eastAsia="Arial" w:hAnsi="Arial"/>
          <w:sz w:val="18"/>
          <w:szCs w:val="18"/>
          <w:color w:val="auto"/>
        </w:rPr>
      </w:pPr>
    </w:p>
    <w:p>
      <w:pPr>
        <w:ind w:firstLine="656"/>
        <w:spacing w:after="0" w:line="308" w:lineRule="auto"/>
        <w:tabs>
          <w:tab w:leader="none" w:pos="906"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Investments by any Loan Party in any Subsidiary provided that the aggregate amount of such Investments do not exceed $250,000 in the aggregate in any fiscal year; and Investments by any Subsidiary that is not a Loan Party in any other Subsidiary or Loan Party;</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 deposit;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656"/>
        <w:spacing w:after="0" w:line="263" w:lineRule="auto"/>
        <w:tabs>
          <w:tab w:leader="none" w:pos="90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Investments received in settlement of amounts due to Borrower effected in the ordinary course of business or owing to any Loan Party as a result of insolvency proceedings or upon the foreclosure or enforcement of any Lien in favor of a Loan Party or otherwise in settlement of delinquent obligations of, and other disputes with, customers or suppliers arising in the ordinary course of Borrower’s business;</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Investments set forth on </w:t>
      </w:r>
      <w:r>
        <w:rPr>
          <w:rFonts w:ascii="Arial" w:cs="Arial" w:eastAsia="Arial" w:hAnsi="Arial"/>
          <w:sz w:val="18"/>
          <w:szCs w:val="18"/>
          <w:u w:val="single" w:color="auto"/>
          <w:color w:val="auto"/>
        </w:rPr>
        <w:t>Schedule 6.6</w:t>
      </w:r>
      <w:r>
        <w:rPr>
          <w:rFonts w:ascii="Arial" w:cs="Arial" w:eastAsia="Arial" w:hAnsi="Arial"/>
          <w:sz w:val="18"/>
          <w:szCs w:val="18"/>
          <w:color w:val="auto"/>
        </w:rPr>
        <w:t xml:space="preserve"> existing as of the Closing Date;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advances (including to trade creditors) made in connection with the purchases of goods or services in the ordinary course of business;</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extensions of trade credit in the ordinary course of business;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guarantees permitted under the definition of Permitted Indebtedness;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Investments accepted in connection with any transaction permitted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308" w:lineRule="auto"/>
        <w:tabs>
          <w:tab w:leader="none" w:pos="916"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Investments in the form of non-cash loans and advances to employees, officers, and directors of Borrower or any of its Subsidiaries for the purpose of purchasing stock in Borrower so long as the proceeds of such loans are used in their entirety to purchase such stock in Borrower;</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loans and advances to employees, directors and officers of Borrower or any of its Subsidiaries in the ordinary course of business (including for travel, entertainment and relocation expenses) in an aggregate amount for Borrower and its Subsidiaries on a consolidated basis not to exceed $500,000 at any time outstanding;</w:t>
      </w:r>
    </w:p>
    <w:p>
      <w:pPr>
        <w:spacing w:after="0" w:line="183" w:lineRule="exact"/>
        <w:rPr>
          <w:rFonts w:ascii="Arial" w:cs="Arial" w:eastAsia="Arial" w:hAnsi="Arial"/>
          <w:sz w:val="18"/>
          <w:szCs w:val="18"/>
          <w:color w:val="auto"/>
        </w:rPr>
      </w:pPr>
    </w:p>
    <w:p>
      <w:pPr>
        <w:ind w:firstLine="656"/>
        <w:spacing w:after="0" w:line="308"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subparagraph (n) shall not apply to Investments of Borrower in any Subsidiary;</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Investments aggregating not in excess of $250,000 at any time;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Permitted Acquisitions;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18"/>
          <w:szCs w:val="18"/>
          <w:color w:val="auto"/>
        </w:rPr>
        <w:t>(q) Investments approved by Agent in its sole discretion.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6.7 ERISA</w:t>
      </w:r>
      <w:r>
        <w:rPr>
          <w:rFonts w:ascii="Arial" w:cs="Arial" w:eastAsia="Arial" w:hAnsi="Arial"/>
          <w:sz w:val="18"/>
          <w:szCs w:val="18"/>
          <w:color w:val="auto"/>
        </w:rPr>
        <w:t>. No Loan Party shall, and shall not permit any Subsidiary to, nor shall permit it’s ERISA Affiliates to, establish, maintain, contribute</w:t>
      </w:r>
      <w:r>
        <w:rPr>
          <w:rFonts w:ascii="Arial" w:cs="Arial" w:eastAsia="Arial" w:hAnsi="Arial"/>
          <w:sz w:val="18"/>
          <w:szCs w:val="18"/>
          <w:b w:val="1"/>
          <w:bCs w:val="1"/>
          <w:color w:val="auto"/>
        </w:rPr>
        <w:t xml:space="preserve"> </w:t>
      </w:r>
      <w:r>
        <w:rPr>
          <w:rFonts w:ascii="Arial" w:cs="Arial" w:eastAsia="Arial" w:hAnsi="Arial"/>
          <w:sz w:val="18"/>
          <w:szCs w:val="18"/>
          <w:color w:val="auto"/>
        </w:rPr>
        <w:t>or agree to contribute to, or otherwise incur any liability, contingent or otherwise, with respect to any “employee benefit plan” that (a) is covered by Title IV of ERISA or Section 412 of the Code or (b) provides for post-employment medical or other welfare benefits, except as required by applicable Requirements of Law and at the sole expense of the plan participants.</w:t>
      </w:r>
    </w:p>
    <w:p>
      <w:pPr>
        <w:spacing w:after="0" w:line="180"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6.8 Transactions with Affiliates</w:t>
      </w:r>
      <w:r>
        <w:rPr>
          <w:rFonts w:ascii="Arial" w:cs="Arial" w:eastAsia="Arial" w:hAnsi="Arial"/>
          <w:sz w:val="16"/>
          <w:szCs w:val="16"/>
          <w:color w:val="auto"/>
        </w:rPr>
        <w:t>. No Loan Party shall, and shall not permit any Subsidiary to, enter into any transaction, including any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sale, lease or exchange of property, the rendering of any service or the payment of any management, advisory or similar fees, with any Affiliate, other than:</w:t>
      </w:r>
    </w:p>
    <w:p>
      <w:pPr>
        <w:spacing w:after="0" w:line="120" w:lineRule="exact"/>
        <w:rPr>
          <w:sz w:val="20"/>
          <w:szCs w:val="20"/>
          <w:color w:val="auto"/>
        </w:rPr>
      </w:pPr>
    </w:p>
    <w:p>
      <w:pPr>
        <w:ind w:left="900" w:hanging="244"/>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transactions that are otherwise permitted under this Agreement;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7"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transactions that are in the ordinary course of business of such Loan Party and are upon fair and reasonable terms no less favorable to such Loan Party, as determined by Agent in Agent’s Permitted Discretion, than it would obtain in a comparable arm’s length transaction with a Person that is not an Affiliate;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employment arrangements and employee benefit plan, director compensation (including bonuses), and other director and employee benefits (including retirement, health, stock option and other benefit plans) and indemnification arrangements, in each case entered into in the ordinary course of business;</w:t>
      </w:r>
    </w:p>
    <w:p>
      <w:pPr>
        <w:spacing w:after="0" w:line="183" w:lineRule="exact"/>
        <w:rPr>
          <w:rFonts w:ascii="Arial" w:cs="Arial" w:eastAsia="Arial" w:hAnsi="Arial"/>
          <w:sz w:val="18"/>
          <w:szCs w:val="18"/>
          <w:color w:val="auto"/>
        </w:rPr>
      </w:pPr>
    </w:p>
    <w:p>
      <w:pPr>
        <w:ind w:firstLine="656"/>
        <w:spacing w:after="0" w:line="277" w:lineRule="auto"/>
        <w:tabs>
          <w:tab w:leader="none" w:pos="9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payments on account of indemnification claims made by directors or officers of Borrower or its Subsidiaries or attributable to the operations of the Borrower or its Subsidiaries;</w:t>
      </w:r>
    </w:p>
    <w:p>
      <w:pPr>
        <w:spacing w:after="0" w:line="170" w:lineRule="exact"/>
        <w:rPr>
          <w:rFonts w:ascii="Arial" w:cs="Arial" w:eastAsia="Arial" w:hAnsi="Arial"/>
          <w:sz w:val="18"/>
          <w:szCs w:val="18"/>
          <w:color w:val="auto"/>
        </w:rPr>
      </w:pPr>
    </w:p>
    <w:p>
      <w:pPr>
        <w:ind w:firstLine="656"/>
        <w:spacing w:after="0" w:line="277" w:lineRule="auto"/>
        <w:tabs>
          <w:tab w:leader="none" w:pos="89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transactions among the Borrower and its Subsidiaries in respect of transfer pricing arrangements, cost plus arrangements, reseller arrangement and similar transactions; and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transactions solely among the Loan Parties, not involving other Affiliates.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6.9 Accounting Changes</w:t>
      </w:r>
      <w:r>
        <w:rPr>
          <w:rFonts w:ascii="Arial" w:cs="Arial" w:eastAsia="Arial" w:hAnsi="Arial"/>
          <w:sz w:val="18"/>
          <w:szCs w:val="18"/>
          <w:color w:val="auto"/>
        </w:rPr>
        <w:t>. No Loan Party shall, and shall not permit any Subsidiary to, make any change in its (a) accounting policies or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practices, except as required by GAAP or pursuant to </w:t>
      </w:r>
      <w:r>
        <w:rPr>
          <w:rFonts w:ascii="Arial" w:cs="Arial" w:eastAsia="Arial" w:hAnsi="Arial"/>
          <w:sz w:val="18"/>
          <w:szCs w:val="18"/>
          <w:u w:val="single" w:color="auto"/>
          <w:color w:val="auto"/>
        </w:rPr>
        <w:t>Section 1.2(e)</w:t>
      </w:r>
      <w:r>
        <w:rPr>
          <w:rFonts w:ascii="Arial" w:cs="Arial" w:eastAsia="Arial" w:hAnsi="Arial"/>
          <w:sz w:val="18"/>
          <w:szCs w:val="18"/>
          <w:color w:val="auto"/>
        </w:rPr>
        <w:t>, or (b) Fiscal Year.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6.10 Negative Pledge Clauses</w:t>
      </w:r>
      <w:r>
        <w:rPr>
          <w:rFonts w:ascii="Arial" w:cs="Arial" w:eastAsia="Arial" w:hAnsi="Arial"/>
          <w:sz w:val="18"/>
          <w:szCs w:val="18"/>
          <w:color w:val="auto"/>
        </w:rPr>
        <w:t>. No Loan Party shall, and shall not permit any Subsidiary to, enter into or suffer to exist or become effective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that prohibits or limits the ability of any Loan Party to create, incur, assume or suffer to exist any Lien upon any of its property or revenues, whether now owned or hereafter acquired, to secure its Obligations under the Loan Documents to which it is a party, other than (i) this Agreement and the other Loan Document, (ii) restrictions and conditions applicable to property or assets being sold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(iii) restrictions or conditions imposed by any agreement evidencing a Permitted Lien, and (iv) customary restrictions and conditions in real property leases, equipment leases and in-bound licenses of Intellectual Property.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6.11 Lines of Business; Subsidiaries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896"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Loan Party shall, and shall not permit any Subsidiary to (i) enter into any business except for the business in which Borrower and the other Loan Parties are engaged on the Closing Date; or (ii) form or acquire any Subsidiaries.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Parent shall not: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192" w:val="left"/>
        </w:tabs>
        <w:numPr>
          <w:ilvl w:val="1"/>
          <w:numId w:val="98"/>
        </w:numPr>
        <w:rPr>
          <w:rFonts w:ascii="Arial" w:cs="Arial" w:eastAsia="Arial" w:hAnsi="Arial"/>
          <w:sz w:val="18"/>
          <w:szCs w:val="18"/>
          <w:color w:val="auto"/>
        </w:rPr>
      </w:pPr>
      <w:r>
        <w:rPr>
          <w:rFonts w:ascii="Arial" w:cs="Arial" w:eastAsia="Arial" w:hAnsi="Arial"/>
          <w:sz w:val="18"/>
          <w:szCs w:val="18"/>
          <w:color w:val="auto"/>
        </w:rPr>
        <w:t>hold any assets other than (A) the Equity Interests of Borrower, (B) agreements relating to the issuance sale, purchase, repurchase or registration of the Equity Interests of Parent, (C) minute books and other corporate books and records of Parent, and (D) other miscellaneous non-material assets;</w:t>
      </w:r>
    </w:p>
    <w:p>
      <w:pPr>
        <w:spacing w:after="0" w:line="183" w:lineRule="exact"/>
        <w:rPr>
          <w:rFonts w:ascii="Arial" w:cs="Arial" w:eastAsia="Arial" w:hAnsi="Arial"/>
          <w:sz w:val="18"/>
          <w:szCs w:val="18"/>
          <w:color w:val="auto"/>
        </w:rPr>
      </w:pPr>
    </w:p>
    <w:p>
      <w:pPr>
        <w:jc w:val="both"/>
        <w:ind w:left="1300" w:firstLine="652"/>
        <w:spacing w:after="0" w:line="286" w:lineRule="auto"/>
        <w:tabs>
          <w:tab w:leader="none" w:pos="2247" w:val="left"/>
        </w:tabs>
        <w:numPr>
          <w:ilvl w:val="1"/>
          <w:numId w:val="98"/>
        </w:numPr>
        <w:rPr>
          <w:rFonts w:ascii="Arial" w:cs="Arial" w:eastAsia="Arial" w:hAnsi="Arial"/>
          <w:sz w:val="17"/>
          <w:szCs w:val="17"/>
          <w:color w:val="auto"/>
        </w:rPr>
      </w:pPr>
      <w:r>
        <w:rPr>
          <w:rFonts w:ascii="Arial" w:cs="Arial" w:eastAsia="Arial" w:hAnsi="Arial"/>
          <w:sz w:val="17"/>
          <w:szCs w:val="17"/>
          <w:color w:val="auto"/>
        </w:rPr>
        <w:t>have any liabilities other than (A) the liabilities under the Loan Documents, (B) guarantees of any refinancing of the foregoing, (C) tax liabilities arising in the ordinary course of business, (D) corporate, administrative and operating expenses in the ordinary course of business and (E) liabilities under any contracts or agreements described in clause (i)(B) above;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left="1300" w:firstLine="652"/>
        <w:spacing w:after="0" w:line="259" w:lineRule="auto"/>
        <w:tabs>
          <w:tab w:leader="none" w:pos="22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other than (A) issuing shares of its own Equity Interests, (B) holding the assets and incurring the liabilities described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activities incidental and related thereto, (C) making payments, dividends, distributions, issuances or other activities otherwise permitted pursuant to this Agreement; and (D) activities and business incidental to its existence as a holding company; or</w:t>
      </w:r>
    </w:p>
    <w:p>
      <w:pPr>
        <w:spacing w:after="0" w:line="186" w:lineRule="exact"/>
        <w:rPr>
          <w:rFonts w:ascii="Arial" w:cs="Arial" w:eastAsia="Arial" w:hAnsi="Arial"/>
          <w:sz w:val="18"/>
          <w:szCs w:val="18"/>
          <w:color w:val="auto"/>
        </w:rPr>
      </w:pPr>
    </w:p>
    <w:p>
      <w:pPr>
        <w:jc w:val="both"/>
        <w:ind w:left="1300" w:firstLine="652"/>
        <w:spacing w:after="0" w:line="257" w:lineRule="auto"/>
        <w:tabs>
          <w:tab w:leader="none" w:pos="22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create, incur, assume or suffer to exist, any Lien on the Equity Interests of any Loan Party, whether now owned or hereafter acquired by Parent other than the Lien securing the Obligations, or (B) enter into, assume or be subject to any agreement prohibiting or otherwise restricting the creation of any Lien on the Equity Interests of any Loan Party, whether now owned or hereafter acquired by Parent, to secure the Obligations or requiring the grant of a Lien on the Equity Interests of the Borrower to secure any other obligation.</w:t>
      </w:r>
    </w:p>
    <w:p>
      <w:pPr>
        <w:spacing w:after="0" w:line="18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6.12 Payment of Nirvana Debt and Subordinated Indebtedness; Amendments to Organizational Agreements; Material Contracts; Employment Agreements</w:t>
      </w:r>
      <w:r>
        <w:rPr>
          <w:rFonts w:ascii="Arial" w:cs="Arial" w:eastAsia="Arial" w:hAnsi="Arial"/>
          <w:sz w:val="18"/>
          <w:szCs w:val="18"/>
          <w:color w:val="auto"/>
        </w:rPr>
        <w:t>. No Loan Party shall, and shall not permit any Subsidiary to:</w:t>
      </w:r>
    </w:p>
    <w:p>
      <w:pPr>
        <w:spacing w:after="0" w:line="166" w:lineRule="exact"/>
        <w:rPr>
          <w:sz w:val="20"/>
          <w:szCs w:val="20"/>
          <w:color w:val="auto"/>
        </w:rPr>
      </w:pPr>
    </w:p>
    <w:p>
      <w:pPr>
        <w:jc w:val="both"/>
        <w:ind w:firstLine="656"/>
        <w:spacing w:after="0" w:line="257" w:lineRule="auto"/>
        <w:tabs>
          <w:tab w:leader="none" w:pos="89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 voluntarily prepay, redeem, purchase, repurchase, defease or otherwise satisfy prior to the scheduled maturity thereof the Nirvana Debt, (ii) make any payments with respect to the Nirvana Debt, unless at the time of such payment, (A) no Default or Event of Default has occurred or is continuing or would result therefrom, and (B) after giving effect to such payment, Loan Parties will be in compliance with the financial covenants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or (iii) amend, modify or change in any manner any term or condition of the documents entered into in respect of Nirvana Debt in a manner that would be adverse to any Loan Party;</w:t>
      </w:r>
    </w:p>
    <w:p>
      <w:pPr>
        <w:spacing w:after="0" w:line="187" w:lineRule="exact"/>
        <w:rPr>
          <w:rFonts w:ascii="Arial" w:cs="Arial" w:eastAsia="Arial" w:hAnsi="Arial"/>
          <w:sz w:val="18"/>
          <w:szCs w:val="18"/>
          <w:color w:val="auto"/>
        </w:rPr>
      </w:pPr>
    </w:p>
    <w:p>
      <w:pPr>
        <w:ind w:firstLine="656"/>
        <w:spacing w:after="0" w:line="277" w:lineRule="auto"/>
        <w:tabs>
          <w:tab w:leader="none" w:pos="9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or permit any amendments to any Loan Party’s organizational documents to the extent any such amendment would be adverse to the Lenders in their capacity as a holder of secured debt of the Borrower;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voluntarily prepay, redeem, purchase, repurchase, defease or otherwise satisfy prior to the scheduled maturity thereof any Subordinated Indebtedness or make any payment at any time in violation of any subordination terms thereof or amend, modify or change in any manner any term or condition of the documents entered into in respect of such Subordinated Indebtedness;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90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modify or change in any manner any term or condition of Disqualified Equity Interests to the extent any such amendment would be adverse to the Agent or any Lenders in their capacity as a holder of secured debt of the Borrower; or</w:t>
      </w:r>
    </w:p>
    <w:p>
      <w:pPr>
        <w:spacing w:after="0" w:line="170" w:lineRule="exact"/>
        <w:rPr>
          <w:rFonts w:ascii="Arial" w:cs="Arial" w:eastAsia="Arial" w:hAnsi="Arial"/>
          <w:sz w:val="18"/>
          <w:szCs w:val="18"/>
          <w:color w:val="auto"/>
        </w:rPr>
      </w:pPr>
    </w:p>
    <w:p>
      <w:pPr>
        <w:jc w:val="both"/>
        <w:ind w:firstLine="656"/>
        <w:spacing w:after="0" w:line="311" w:lineRule="auto"/>
        <w:tabs>
          <w:tab w:leader="none" w:pos="87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amend or permit any amendments to, or terminate or waive any provision of the SPAC Merger Agreement, any SPAC Subscription Agreement, the Sponsor Support Agreement, the Stockholder Support Agreement or any other agreement in connection with the SPAC Transaction, in each case, to the extent any such amendment would be adverse to the Agent or any Lender in their capacity as a holder of secured debt of the Loan Parties.</w:t>
      </w:r>
    </w:p>
    <w:p>
      <w:pPr>
        <w:spacing w:after="0" w:line="1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6.13 Use of Proceeds</w:t>
      </w:r>
      <w:r>
        <w:rPr>
          <w:rFonts w:ascii="Arial" w:cs="Arial" w:eastAsia="Arial" w:hAnsi="Arial"/>
          <w:sz w:val="18"/>
          <w:szCs w:val="18"/>
          <w:color w:val="auto"/>
        </w:rPr>
        <w:t>. No Loan Party shall, and shall not permit any Subsidiary to, use the proceeds of the Term Loan, whether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 hostile acquisition or (c) for any purposes other than as specified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6.14 Sale Leaseback Transactions</w:t>
      </w:r>
      <w:r>
        <w:rPr>
          <w:rFonts w:ascii="Arial" w:cs="Arial" w:eastAsia="Arial" w:hAnsi="Arial"/>
          <w:sz w:val="18"/>
          <w:szCs w:val="18"/>
          <w:color w:val="auto"/>
        </w:rPr>
        <w:t>. No Loan Party shall, and shall not permit any Subsidiary to, enter into any sale-leaseback transaction.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89" w:lineRule="auto"/>
        <w:rPr>
          <w:sz w:val="20"/>
          <w:szCs w:val="20"/>
          <w:color w:val="auto"/>
        </w:rPr>
      </w:pPr>
      <w:r>
        <w:rPr>
          <w:rFonts w:ascii="Arial" w:cs="Arial" w:eastAsia="Arial" w:hAnsi="Arial"/>
          <w:sz w:val="17"/>
          <w:szCs w:val="17"/>
          <w:b w:val="1"/>
          <w:bCs w:val="1"/>
          <w:color w:val="auto"/>
        </w:rPr>
        <w:t>6.15 Guaranty</w:t>
      </w:r>
      <w:r>
        <w:rPr>
          <w:rFonts w:ascii="Arial" w:cs="Arial" w:eastAsia="Arial" w:hAnsi="Arial"/>
          <w:sz w:val="17"/>
          <w:szCs w:val="17"/>
          <w:color w:val="auto"/>
        </w:rPr>
        <w:t>. No Loan Party shall, and shall not permit any Subsidiary to, guaranty or otherwise, in any way, become liable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or liabilities of any Person other than other Loan Parties to the extent permitted by </w:t>
      </w:r>
      <w:r>
        <w:rPr>
          <w:rFonts w:ascii="Arial" w:cs="Arial" w:eastAsia="Arial" w:hAnsi="Arial"/>
          <w:sz w:val="17"/>
          <w:szCs w:val="17"/>
          <w:u w:val="single" w:color="auto"/>
          <w:color w:val="auto"/>
        </w:rPr>
        <w:t>Section 6.1</w:t>
      </w:r>
      <w:r>
        <w:rPr>
          <w:rFonts w:ascii="Arial" w:cs="Arial" w:eastAsia="Arial" w:hAnsi="Arial"/>
          <w:sz w:val="17"/>
          <w:szCs w:val="17"/>
          <w:color w:val="auto"/>
        </w:rPr>
        <w:t>, except by endorsement of instruments or items of payment for deposit to the general account of a Loan Party or for delivery to Agent on account of the Obligations.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6.16 No Burdensome Restrictions</w:t>
      </w:r>
      <w:r>
        <w:rPr>
          <w:rFonts w:ascii="Arial" w:cs="Arial" w:eastAsia="Arial" w:hAnsi="Arial"/>
          <w:sz w:val="16"/>
          <w:szCs w:val="16"/>
          <w:color w:val="auto"/>
        </w:rPr>
        <w:t>. No Loan Party shall, and shall not permit any Subsidiary to, create or otherwise cause, incur, assume, suffer</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to exist or become effective any encumbrance or restriction of any kind exists which materially and adversely affects the ability of (a) any Subsidiary of any Loan Party (i) to pay dividends or to make any other distribution on its Equity Interests owned by its parent, (ii) to pay or prepay any Indebtedness owed to any Loan Party, (iii) to make loans or advances to any Loan Party, or (iv) to transfer any of its property or assets to any Loan Party, or</w:t>
      </w:r>
    </w:p>
    <w:p>
      <w:pPr>
        <w:spacing w:after="0" w:line="2" w:lineRule="exact"/>
        <w:rPr>
          <w:sz w:val="20"/>
          <w:szCs w:val="20"/>
          <w:color w:val="auto"/>
        </w:rPr>
      </w:pPr>
    </w:p>
    <w:p>
      <w:pPr>
        <w:ind w:left="660" w:right="1240" w:hanging="652"/>
        <w:spacing w:after="0" w:line="492" w:lineRule="auto"/>
        <w:tabs>
          <w:tab w:leader="none" w:pos="26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Loan Party to grant Liens on the Collateral to Agent, in each case except for restrictions and conditions imposed by applicable law. </w:t>
      </w:r>
      <w:r>
        <w:rPr>
          <w:rFonts w:ascii="Arial" w:cs="Arial" w:eastAsia="Arial" w:hAnsi="Arial"/>
          <w:sz w:val="18"/>
          <w:szCs w:val="18"/>
          <w:b w:val="1"/>
          <w:bCs w:val="1"/>
          <w:color w:val="auto"/>
        </w:rPr>
        <w:t>6.17 Financial Covenants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firstLine="656"/>
        <w:spacing w:after="0" w:line="259" w:lineRule="auto"/>
        <w:tabs>
          <w:tab w:leader="none" w:pos="8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Borrower shall not permit Unrestricted Cash, measured as of September 30, 2022 and as of the last day of each calendar month thereafter and calculated in a manner consistent with the calculation shown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to be less than the Minimum Unrestricted Cash Amount as of such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aggregate amount of Annual Platform Revenue, determined as of such date, exceeds $50,000,000, then the Minimum Unrestricted Cash Amount shall be deemed to be $10,000,000.</w:t>
      </w:r>
    </w:p>
    <w:p>
      <w:pPr>
        <w:spacing w:after="0" w:line="186" w:lineRule="exact"/>
        <w:rPr>
          <w:rFonts w:ascii="Arial" w:cs="Arial" w:eastAsia="Arial" w:hAnsi="Arial"/>
          <w:sz w:val="18"/>
          <w:szCs w:val="18"/>
          <w:color w:val="auto"/>
        </w:rPr>
      </w:pPr>
    </w:p>
    <w:p>
      <w:pPr>
        <w:ind w:right="20" w:firstLine="656"/>
        <w:spacing w:after="0" w:line="277" w:lineRule="auto"/>
        <w:tabs>
          <w:tab w:leader="none" w:pos="9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Borrower shall not permit the Net Leverage Ratio, measured as of September 30, 2022 and as of the last day of each calendar month thereafter and calculated in a manner consistent with the calculation shown on </w:t>
      </w:r>
      <w:r>
        <w:rPr>
          <w:rFonts w:ascii="Arial" w:cs="Arial" w:eastAsia="Arial" w:hAnsi="Arial"/>
          <w:sz w:val="18"/>
          <w:szCs w:val="18"/>
          <w:u w:val="single" w:color="auto"/>
          <w:color w:val="auto"/>
        </w:rPr>
        <w:t>Exhibit E</w:t>
      </w:r>
      <w:r>
        <w:rPr>
          <w:rFonts w:ascii="Arial" w:cs="Arial" w:eastAsia="Arial" w:hAnsi="Arial"/>
          <w:sz w:val="18"/>
          <w:szCs w:val="18"/>
          <w:color w:val="auto"/>
        </w:rPr>
        <w:t>, to be less than 1.20 to 1.00.</w:t>
      </w:r>
    </w:p>
    <w:p>
      <w:pPr>
        <w:spacing w:after="0" w:line="170" w:lineRule="exact"/>
        <w:rPr>
          <w:rFonts w:ascii="Arial" w:cs="Arial" w:eastAsia="Arial" w:hAnsi="Arial"/>
          <w:sz w:val="18"/>
          <w:szCs w:val="18"/>
          <w:color w:val="auto"/>
        </w:rPr>
      </w:pPr>
    </w:p>
    <w:p>
      <w:pPr>
        <w:jc w:val="both"/>
        <w:ind w:firstLine="656"/>
        <w:spacing w:after="0" w:line="284" w:lineRule="auto"/>
        <w:tabs>
          <w:tab w:leader="none" w:pos="90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In the event the Loan Parties fail to comply with the financial covenant set forth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above, subject to the terms and conditions hereof, Borrower shall have the right (the “</w:t>
      </w:r>
      <w:r>
        <w:rPr>
          <w:rFonts w:ascii="Arial" w:cs="Arial" w:eastAsia="Arial" w:hAnsi="Arial"/>
          <w:sz w:val="16"/>
          <w:szCs w:val="16"/>
          <w:b w:val="1"/>
          <w:bCs w:val="1"/>
          <w:i w:val="1"/>
          <w:iCs w:val="1"/>
          <w:color w:val="auto"/>
        </w:rPr>
        <w:t>Cure Right</w:t>
      </w:r>
      <w:r>
        <w:rPr>
          <w:rFonts w:ascii="Arial" w:cs="Arial" w:eastAsia="Arial" w:hAnsi="Arial"/>
          <w:sz w:val="16"/>
          <w:szCs w:val="16"/>
          <w:color w:val="auto"/>
        </w:rPr>
        <w:t xml:space="preserve">”) until the expiration of the thirtieth (30th) day subsequent to the date the relevant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to issue Permitted Cure Securities for cash or otherwise receive, as additional paid in capital, cash contributions from its equity holders, in either case resulting in Net Cash Proceeds in an aggregate amount equal to, but not greater than, the amount necessary to cure the relevant financial covenant (hereinafter, the “</w:t>
      </w:r>
      <w:r>
        <w:rPr>
          <w:rFonts w:ascii="Arial" w:cs="Arial" w:eastAsia="Arial" w:hAnsi="Arial"/>
          <w:sz w:val="16"/>
          <w:szCs w:val="16"/>
          <w:b w:val="1"/>
          <w:bCs w:val="1"/>
          <w:i w:val="1"/>
          <w:iCs w:val="1"/>
          <w:color w:val="auto"/>
        </w:rPr>
        <w:t>Cure Amount</w:t>
      </w:r>
      <w:r>
        <w:rPr>
          <w:rFonts w:ascii="Arial" w:cs="Arial" w:eastAsia="Arial" w:hAnsi="Arial"/>
          <w:sz w:val="16"/>
          <w:szCs w:val="16"/>
          <w:color w:val="auto"/>
        </w:rPr>
        <w:t xml:space="preserve">”), and upon the receipt by Borrower of the Net Cash Proceeds thereof, the financial covenant shall then be recalculated giving effect to the following pro forma adjustments: (1) solely in respect of a failure to satisfy the financial covenant set forth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Unrestricted Cash shall be increased by an amount equal to the Cure Amount deposited into a Deposit Account of the Borrower subject to a control agreement in favor of the Agent; (2) solely in respect of any Cure Right exercised in respect of a failure to satisfy the financial covenant set forth in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above, Annual Platform Revenue shall be increased for the applicable three consecutive month period, solely for the purposes of measuring such financial covenant and not for any other purpose under this Agreement, by an amount equal to the Cure Amount deposited into a Deposit Account of the Borrower subject to a control agreement in favor of Agent; provided, that such Cure Amount shall not be included as Unrestricted Cash for purposes of calculating such financial covenant for the applicable three consecutive month period, (3) any prepayment of the Loans made with respect to such Cure Amount shall not serve as a reduction to Indebtedness for purposes of calculating the Net Leverage Ratio for the applicable three consecutive month period; and (4) if, after giving effect to the foregoing recalculations, the Loan Parties shall then be in compliance with the requirements of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the Loan Parties shall be deemed to have been in compliance with such financial covenant as of the relevant date of determination with the same effect as though there had been no failure to comply therewith at such date, and the applicable breach or Default of such financial covenant that had occurred shall be deemed not to have occurred for this purpose of the Agreement. In the event that (i) no Default exists other than that arising due to failure of the Loan Parties to comply with a financial covenant set forth in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(ii) Borrower shall have delivered to Agent written notice of its intention to exercise the Cure Right (which notice shall be delivered no earlier than five (5) Business Days following the date the relevant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which exercise if fully consummated would be sufficient in accordance with the terms hereof to cause the Loan Parties to be in compliance with the financial covenant as of the relevant date of determination, then from and following receipt by Agent of any such notice and until the date that is the earlier of (x) the thirtieth (30th) day subsequent to the date the applicable Compliance Certificate reporting such failure is required to be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and (y) the date, if any, on which any Loan Party notifies Agent in writing that such Cure Right shall not be exercised, then neither Agent nor any Lender shall exercise any remedies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hereof during such period. Notwithstanding anything herein to the contrary, (i) the Cure Right may be used only one (1) time in any rolling twelve (12) month period, (ii) the dollar amount of the applicable Cure Amount shall be no greater than the amount required for purposes of complying with the applicable covenant in </w:t>
      </w:r>
      <w:r>
        <w:rPr>
          <w:rFonts w:ascii="Arial" w:cs="Arial" w:eastAsia="Arial" w:hAnsi="Arial"/>
          <w:sz w:val="16"/>
          <w:szCs w:val="16"/>
          <w:u w:val="single" w:color="auto"/>
          <w:color w:val="auto"/>
        </w:rPr>
        <w:t>Section 6.17</w:t>
      </w:r>
      <w:r>
        <w:rPr>
          <w:rFonts w:ascii="Arial" w:cs="Arial" w:eastAsia="Arial" w:hAnsi="Arial"/>
          <w:sz w:val="16"/>
          <w:szCs w:val="16"/>
          <w:color w:val="auto"/>
        </w:rPr>
        <w:t>, and (iii) no Cure Amount shall be used to make a Restricted Payment.</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6.18 Change of Control</w:t>
      </w:r>
      <w:r>
        <w:rPr>
          <w:rFonts w:ascii="Arial" w:cs="Arial" w:eastAsia="Arial" w:hAnsi="Arial"/>
          <w:sz w:val="18"/>
          <w:szCs w:val="18"/>
          <w:color w:val="auto"/>
        </w:rPr>
        <w:t>. Permit or incur any Change of Control.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SECTION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7.1 Events of Default</w:t>
      </w:r>
      <w:r>
        <w:rPr>
          <w:rFonts w:ascii="Arial" w:cs="Arial" w:eastAsia="Arial" w:hAnsi="Arial"/>
          <w:sz w:val="18"/>
          <w:szCs w:val="18"/>
          <w:color w:val="auto"/>
        </w:rPr>
        <w:t>. The occurrence of any of the following shall constitute an Event of Default:</w:t>
      </w:r>
    </w:p>
    <w:p>
      <w:pPr>
        <w:spacing w:after="0" w:line="229" w:lineRule="exact"/>
        <w:rPr>
          <w:sz w:val="20"/>
          <w:szCs w:val="20"/>
          <w:color w:val="auto"/>
        </w:rPr>
      </w:pPr>
    </w:p>
    <w:p>
      <w:pPr>
        <w:jc w:val="both"/>
        <w:ind w:firstLine="656"/>
        <w:spacing w:after="0" w:line="291" w:lineRule="auto"/>
        <w:tabs>
          <w:tab w:leader="none" w:pos="906" w:val="left"/>
        </w:tabs>
        <w:numPr>
          <w:ilvl w:val="1"/>
          <w:numId w:val="102"/>
        </w:numPr>
        <w:rPr>
          <w:rFonts w:ascii="Arial" w:cs="Arial" w:eastAsia="Arial" w:hAnsi="Arial"/>
          <w:sz w:val="16"/>
          <w:szCs w:val="16"/>
          <w:color w:val="auto"/>
        </w:rPr>
      </w:pPr>
      <w:r>
        <w:rPr>
          <w:rFonts w:ascii="Arial" w:cs="Arial" w:eastAsia="Arial" w:hAnsi="Arial"/>
          <w:sz w:val="16"/>
          <w:szCs w:val="16"/>
          <w:color w:val="auto"/>
        </w:rPr>
        <w:t>Borrower shall (i) fail to pay any amount of principal of the Term Loan or Make Whole Premium when due in accordance with the terms hereof, or (ii) fail to pay any amount of interest on the Term Loan, or any other amount payable hereunder or under any other Loan Document, within three</w:t>
      </w: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Business Days after any such interest or other amount becomes due in accordance with the terms hereof; or</w:t>
      </w:r>
    </w:p>
    <w:p>
      <w:pPr>
        <w:spacing w:after="0" w:line="210"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86" w:lineRule="exact"/>
        <w:rPr>
          <w:rFonts w:ascii="Arial" w:cs="Arial" w:eastAsia="Arial" w:hAnsi="Arial"/>
          <w:sz w:val="18"/>
          <w:szCs w:val="18"/>
          <w:color w:val="auto"/>
        </w:rPr>
      </w:pPr>
    </w:p>
    <w:p>
      <w:pPr>
        <w:jc w:val="both"/>
        <w:ind w:firstLine="656"/>
        <w:spacing w:after="0" w:line="289" w:lineRule="auto"/>
        <w:tabs>
          <w:tab w:leader="none" w:pos="89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(i) any Loan Party fails to perform or comply with any term or condition contained in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w:t>
      </w:r>
      <w:r>
        <w:rPr>
          <w:rFonts w:ascii="Arial" w:cs="Arial" w:eastAsia="Arial" w:hAnsi="Arial"/>
          <w:sz w:val="16"/>
          <w:szCs w:val="16"/>
          <w:i w:val="1"/>
          <w:iCs w:val="1"/>
          <w:color w:val="auto"/>
        </w:rPr>
        <w:t>Certificates;</w:t>
      </w:r>
      <w:r>
        <w:rPr>
          <w:rFonts w:ascii="Arial" w:cs="Arial" w:eastAsia="Arial" w:hAnsi="Arial"/>
          <w:sz w:val="16"/>
          <w:szCs w:val="16"/>
          <w:color w:val="auto"/>
        </w:rPr>
        <w:t xml:space="preserve"> </w:t>
      </w:r>
      <w:r>
        <w:rPr>
          <w:rFonts w:ascii="Arial" w:cs="Arial" w:eastAsia="Arial" w:hAnsi="Arial"/>
          <w:sz w:val="16"/>
          <w:szCs w:val="16"/>
          <w:i w:val="1"/>
          <w:iCs w:val="1"/>
          <w:color w:val="auto"/>
        </w:rPr>
        <w:t>Reports; Other Information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Maintenance of Existence; Compliance with Requirements of Law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Maintenance of Collateral; Insurance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5.6</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Inspection of Property; Books and Records; Discussions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5.7</w:t>
      </w:r>
      <w:r>
        <w:rPr>
          <w:rFonts w:ascii="Arial" w:cs="Arial" w:eastAsia="Arial" w:hAnsi="Arial"/>
          <w:sz w:val="16"/>
          <w:szCs w:val="16"/>
          <w:color w:val="auto"/>
        </w:rPr>
        <w:t xml:space="preserve">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5.8</w:t>
      </w:r>
      <w:r>
        <w:rPr>
          <w:rFonts w:ascii="Arial" w:cs="Arial" w:eastAsia="Arial" w:hAnsi="Arial"/>
          <w:sz w:val="16"/>
          <w:szCs w:val="16"/>
          <w:color w:val="auto"/>
        </w:rPr>
        <w:t xml:space="preserve"> [</w:t>
      </w:r>
      <w:r>
        <w:rPr>
          <w:rFonts w:ascii="Arial" w:cs="Arial" w:eastAsia="Arial" w:hAnsi="Arial"/>
          <w:sz w:val="16"/>
          <w:szCs w:val="16"/>
          <w:i w:val="1"/>
          <w:iCs w:val="1"/>
          <w:color w:val="auto"/>
        </w:rPr>
        <w:t>Environmental Law</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Assurances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5.12</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w:t>
      </w:r>
      <w:r>
        <w:rPr>
          <w:rFonts w:ascii="Arial" w:cs="Arial" w:eastAsia="Arial" w:hAnsi="Arial"/>
          <w:sz w:val="16"/>
          <w:szCs w:val="16"/>
          <w:i w:val="1"/>
          <w:iCs w:val="1"/>
          <w:color w:val="auto"/>
        </w:rPr>
        <w:t>Post-Closing Covenants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5.15</w:t>
      </w:r>
      <w:r>
        <w:rPr>
          <w:rFonts w:ascii="Arial" w:cs="Arial" w:eastAsia="Arial" w:hAnsi="Arial"/>
          <w:sz w:val="16"/>
          <w:szCs w:val="16"/>
          <w:color w:val="auto"/>
        </w:rPr>
        <w:t xml:space="preserve"> [</w:t>
      </w:r>
      <w:r>
        <w:rPr>
          <w:rFonts w:ascii="Arial" w:cs="Arial" w:eastAsia="Arial" w:hAnsi="Arial"/>
          <w:sz w:val="16"/>
          <w:szCs w:val="16"/>
          <w:i w:val="1"/>
          <w:iCs w:val="1"/>
          <w:color w:val="auto"/>
        </w:rPr>
        <w:t>Additional 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5.16</w:t>
      </w:r>
      <w:r>
        <w:rPr>
          <w:rFonts w:ascii="Arial" w:cs="Arial" w:eastAsia="Arial" w:hAnsi="Arial"/>
          <w:sz w:val="16"/>
          <w:szCs w:val="16"/>
          <w:color w:val="auto"/>
        </w:rPr>
        <w:t xml:space="preserve"> [</w:t>
      </w:r>
      <w:r>
        <w:rPr>
          <w:rFonts w:ascii="Arial" w:cs="Arial" w:eastAsia="Arial" w:hAnsi="Arial"/>
          <w:sz w:val="16"/>
          <w:szCs w:val="16"/>
          <w:i w:val="1"/>
          <w:iCs w:val="1"/>
          <w:color w:val="auto"/>
        </w:rPr>
        <w:t>Board Observation Rights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Covenants</w:t>
      </w:r>
      <w:r>
        <w:rPr>
          <w:rFonts w:ascii="Arial" w:cs="Arial" w:eastAsia="Arial" w:hAnsi="Arial"/>
          <w:sz w:val="16"/>
          <w:szCs w:val="16"/>
          <w:color w:val="auto"/>
        </w:rPr>
        <w:t xml:space="preserve">] or (ii) any Loan Party or any Affiliate of the Obligations fails or neglects to perform, keep or observe any other term, provision, condition or covenant contained in this Agreement or in the Loan Documents, which is required to be performed, kept or observed by it (exclusive of payment obligations and other occurrences described in other provisions of this </w:t>
      </w:r>
      <w:r>
        <w:rPr>
          <w:rFonts w:ascii="Arial" w:cs="Arial" w:eastAsia="Arial" w:hAnsi="Arial"/>
          <w:sz w:val="16"/>
          <w:szCs w:val="16"/>
          <w:u w:val="single" w:color="auto"/>
          <w:color w:val="auto"/>
        </w:rPr>
        <w:t>Section 7.1</w:t>
      </w:r>
      <w:r>
        <w:rPr>
          <w:rFonts w:ascii="Arial" w:cs="Arial" w:eastAsia="Arial" w:hAnsi="Arial"/>
          <w:sz w:val="16"/>
          <w:szCs w:val="16"/>
          <w:color w:val="auto"/>
        </w:rPr>
        <w:t>) and the same is not cured to Agent’s reasonable satisfaction within thirty (30) days after Agent gives it written notice identifying such Default, provided that if the same cannot reasonably be cured within the aforesaid thirty (30) day period, it shall have such additional time as Agent may grant in its sole discretion to cure the same so long as it is diligently pursuing to cure the same; or</w:t>
      </w:r>
    </w:p>
    <w:p>
      <w:pPr>
        <w:spacing w:after="0" w:line="166" w:lineRule="exact"/>
        <w:rPr>
          <w:rFonts w:ascii="Arial" w:cs="Arial" w:eastAsia="Arial" w:hAnsi="Arial"/>
          <w:sz w:val="16"/>
          <w:szCs w:val="16"/>
          <w:color w:val="auto"/>
        </w:rPr>
      </w:pPr>
    </w:p>
    <w:p>
      <w:pPr>
        <w:jc w:val="both"/>
        <w:ind w:firstLine="656"/>
        <w:spacing w:after="0" w:line="287" w:lineRule="auto"/>
        <w:tabs>
          <w:tab w:leader="none" w:pos="90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any Loan Party shall commence any case, proceeding or other action (a) under any Debtor Relief Law seeking to have an order for relief entered with respect to it, or seeking to adjudicate it as bankrupt or insolvent, or seeking reorganization, arrangement, adjustment, winding up, liquidation, dissolution, composition or other relief with respect to it or its debts, or (b) seeking appointment of a receiver, trustee, custodian, conservator, judicial manager or other similar official for it or for all or any substantial part of its assets, or any Loan Party shall make a general assignment for the benefit of its creditors; or (ii) there shall be commenced against any Loan Party any case, proceeding or other action of a nature referred to in clause (i) above that results in the entry of an order for relief or any such adjudication or appointment or remains undismissed, undischarged or unbonded for a period of sixty (60) days; or (iii) 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or (iv) any Loan Party shall take any action in furtherance of, or indicating its consent to, approval of, or acquiescence in, any of the acts set forth in clause (i), (ii), or (iii) above; or (v) any Loan Party shall generally not, or shall be unable to, or shall admit in writing its inability to, pay its debts as they become due; or</w:t>
      </w:r>
    </w:p>
    <w:p>
      <w:pPr>
        <w:spacing w:after="0" w:line="171" w:lineRule="exact"/>
        <w:rPr>
          <w:rFonts w:ascii="Arial" w:cs="Arial" w:eastAsia="Arial" w:hAnsi="Arial"/>
          <w:sz w:val="16"/>
          <w:szCs w:val="16"/>
          <w:color w:val="auto"/>
        </w:rPr>
      </w:pPr>
    </w:p>
    <w:p>
      <w:pPr>
        <w:jc w:val="both"/>
        <w:ind w:firstLine="656"/>
        <w:spacing w:after="0" w:line="286" w:lineRule="auto"/>
        <w:tabs>
          <w:tab w:leader="none" w:pos="906"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any default or breach occurs, which is not cured within any applicable grace period or waived, (x) in the payment of any amount with respect to any Indebtedness (other than the Obligations and any Subordinated Indebtedness) of Borrower or any other Loan Party for borrowed money having an aggregate principal amount in excess of $500,000 individually or in the aggregate, or (y) in the performance, observance or fulfillment of any provision contained in any agreement, contract, document or instrument to which Borrower or any other Loan Party is a party or to which any of their properties or assets are subject or bound under or pursuant to which any Indebtedness (other than any Subordinated Indebtedness) having an aggregate principal amount in excess of $500,000 individually or in the aggregate was issued, created, assumed, guaranteed or secured and such default or breach continues for more than any applicable grace period and permits the holder of any such Indebtedness to accelerate the maturity thereof; or (ii) any Indebtedness (other than the Obligations and any Subordinated Indebtedness) of Borrower or any other Loan Party for borrowed money having an aggregate principal amount in excess of $500,000 individually or in the aggregate is declared to be due and payable or is required to be prepaid (other than by a regularly scheduled payment or a payment due on the voluntary termination of a Capital Lease) prior to the stated maturity thereof, or any obligation of such Person for the payment of Indebtedness for borrowed money having an aggregate principal amount in excess of $500,000 individually or in the aggregate (other than the Obligations and any Subordinated Indebtedness) is not paid when due or within any applicable grace period, or any such obligation becomes or is declared to be due and payable before the expressed maturity thereof, or there occurs any event which would cause any such obligation to become, or allow any such obligation to be declared, due and payable;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56"/>
        <w:spacing w:after="0" w:line="263" w:lineRule="auto"/>
        <w:tabs>
          <w:tab w:leader="none" w:pos="87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w:t>
      </w:r>
    </w:p>
    <w:p>
      <w:pPr>
        <w:spacing w:after="0" w:line="18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there is entered against any Loan Party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thirty (30) days from the entry thereof; or</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of the Security Documents shall cease, for any reason other than the action or inaction of the Agent or a Lender, to be in full force and effect (other than pursuant to the terms thereof), or any party thereto shall so assert, or any Lien created by any of the Security Documents shall cease to be enforceable and of the same effect and priority purported to be created thereby;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thirty (30) days from the entry thereof; or</w:t>
      </w:r>
    </w:p>
    <w:p>
      <w:pPr>
        <w:spacing w:after="0" w:line="183" w:lineRule="exact"/>
        <w:rPr>
          <w:rFonts w:ascii="Arial" w:cs="Arial" w:eastAsia="Arial" w:hAnsi="Arial"/>
          <w:sz w:val="18"/>
          <w:szCs w:val="18"/>
          <w:color w:val="auto"/>
        </w:rPr>
      </w:pPr>
    </w:p>
    <w:p>
      <w:pPr>
        <w:jc w:val="both"/>
        <w:ind w:firstLine="656"/>
        <w:spacing w:after="0" w:line="259" w:lineRule="auto"/>
        <w:tabs>
          <w:tab w:leader="none" w:pos="8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 any other Loan Party or any of their respective ERISA Affiliates establishes, maintains, contributes or agrees to contribute to, or otherwise incurs any liability, contingent or otherwise, with respect to, any “employee benefit plan” that (i) is covered by Title IV of ERISA or Section 412 of the Code or (ii) provides for post-employment medical or other welfare benefits, except as required by applicable Requirements of Law and at the sole expense of the plan participants; or</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Material Adverse Effect shall occur; or</w:t>
      </w:r>
    </w:p>
    <w:p>
      <w:pPr>
        <w:spacing w:after="0" w:line="225" w:lineRule="exact"/>
        <w:rPr>
          <w:rFonts w:ascii="Arial" w:cs="Arial" w:eastAsia="Arial" w:hAnsi="Arial"/>
          <w:sz w:val="18"/>
          <w:szCs w:val="18"/>
          <w:color w:val="auto"/>
        </w:rPr>
      </w:pPr>
    </w:p>
    <w:p>
      <w:pPr>
        <w:ind w:firstLine="656"/>
        <w:spacing w:after="0" w:line="277" w:lineRule="auto"/>
        <w:tabs>
          <w:tab w:leader="none" w:pos="9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license or permit material (in the Agent’s sole discretion) to the operation of the business of any Loan Party is terminated, revoked, suspended or not renewed, the result of which could reasonably be expected to result in a Material Adverse Effect; or</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1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notice of lien, levy or assessment is filed of record with respect to all or any substantial portion of any Borrower’s assets by the United States, or any department, agency or instrumentality thereof, or by any state, county, municipal or other governmental agency, including, without limitation, the Pension Benefit Guaranty Corporation, or any Taxes or debts owing to any of the foregoing becomes a lien or encumbrance upon the Collateral or any of its other assets and such lien or encumbrance is not released within thirty (30) days after its creation; or</w:t>
      </w:r>
    </w:p>
    <w:p>
      <w:pPr>
        <w:spacing w:after="0" w:line="171" w:lineRule="exact"/>
        <w:rPr>
          <w:rFonts w:ascii="Arial" w:cs="Arial" w:eastAsia="Arial" w:hAnsi="Arial"/>
          <w:sz w:val="17"/>
          <w:szCs w:val="17"/>
          <w:color w:val="auto"/>
        </w:rPr>
      </w:pPr>
    </w:p>
    <w:p>
      <w:pPr>
        <w:jc w:val="both"/>
        <w:ind w:firstLine="656"/>
        <w:spacing w:after="0" w:line="263" w:lineRule="auto"/>
        <w:tabs>
          <w:tab w:leader="none" w:pos="91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 or any other Loan Party or any of their directors, managing members or senior officers is criminally indicted or convicted (i) of a felony, or (ii) under any Law that could reasonably be expected to lead to a forfeiture of any material (as determined by Agent in its sole discretion) portion of the Collateral; or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trading of the Parent’s common shares shall be suspended by the SEC, the Principal Market or FINRA, or otherwise halted for any reason and such common stock shall not be approved for listing or quotation on or delisted from the Principal Market; or</w:t>
      </w:r>
    </w:p>
    <w:p>
      <w:pPr>
        <w:spacing w:after="0" w:line="170" w:lineRule="exact"/>
        <w:rPr>
          <w:rFonts w:ascii="Arial" w:cs="Arial" w:eastAsia="Arial" w:hAnsi="Arial"/>
          <w:sz w:val="18"/>
          <w:szCs w:val="18"/>
          <w:color w:val="auto"/>
        </w:rPr>
      </w:pPr>
    </w:p>
    <w:p>
      <w:pPr>
        <w:ind w:firstLine="656"/>
        <w:spacing w:after="0" w:line="308"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Loan Party breaches or defaults under any term of the SPAC Merger Agreement, any SPAC Subscription Agreement or any other agreement in connection with the SPAC Transaction in a manner that could reasonably be expected to result in liability of $1,000,000 or more.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7"/>
          <w:szCs w:val="17"/>
          <w:b w:val="1"/>
          <w:bCs w:val="1"/>
          <w:color w:val="auto"/>
        </w:rPr>
        <w:t>7.2 Remedies Upon Event of Default</w:t>
      </w:r>
      <w:r>
        <w:rPr>
          <w:rFonts w:ascii="Arial" w:cs="Arial" w:eastAsia="Arial" w:hAnsi="Arial"/>
          <w:sz w:val="17"/>
          <w:szCs w:val="17"/>
          <w:color w:val="auto"/>
        </w:rPr>
        <w:t>. If any Event of Default occurs and is continuing, Agent may take any or all of the following actions:</w:t>
      </w:r>
    </w:p>
    <w:p>
      <w:pPr>
        <w:spacing w:after="0" w:line="241" w:lineRule="exact"/>
        <w:rPr>
          <w:sz w:val="20"/>
          <w:szCs w:val="20"/>
          <w:color w:val="auto"/>
        </w:rPr>
      </w:pPr>
    </w:p>
    <w:p>
      <w:pPr>
        <w:jc w:val="both"/>
        <w:ind w:right="20" w:firstLine="656"/>
        <w:spacing w:after="0" w:line="311" w:lineRule="auto"/>
        <w:tabs>
          <w:tab w:leader="none" w:pos="89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if such event is an Event of Default specified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7.1</w:t>
      </w:r>
      <w:r>
        <w:rPr>
          <w:rFonts w:ascii="Arial" w:cs="Arial" w:eastAsia="Arial" w:hAnsi="Arial"/>
          <w:sz w:val="16"/>
          <w:szCs w:val="16"/>
          <w:u w:val="single" w:color="auto"/>
          <w:color w:val="auto"/>
        </w:rPr>
        <w:t>(d)</w:t>
      </w:r>
      <w:r>
        <w:rPr>
          <w:rFonts w:ascii="Arial" w:cs="Arial" w:eastAsia="Arial" w:hAnsi="Arial"/>
          <w:sz w:val="16"/>
          <w:szCs w:val="16"/>
          <w:color w:val="auto"/>
        </w:rPr>
        <w:t>, the Term Loan Commitment shall immediately terminate automatically and the Term Loan (with accrued interest thereon) and all other amounts owing under this Agreement and the other Loan Documents shall automatically immediately become due and payable, without demand, notice or legal process of any kind, with such rights are hereby waived by the Loan Parties; and</w:t>
      </w:r>
    </w:p>
    <w:p>
      <w:pPr>
        <w:spacing w:after="0" w:line="148" w:lineRule="exact"/>
        <w:rPr>
          <w:rFonts w:ascii="Arial" w:cs="Arial" w:eastAsia="Arial" w:hAnsi="Arial"/>
          <w:sz w:val="16"/>
          <w:szCs w:val="16"/>
          <w:color w:val="auto"/>
        </w:rPr>
      </w:pPr>
    </w:p>
    <w:p>
      <w:pPr>
        <w:jc w:val="both"/>
        <w:ind w:firstLine="656"/>
        <w:spacing w:after="0" w:line="287" w:lineRule="auto"/>
        <w:tabs>
          <w:tab w:leader="none" w:pos="90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such event is any other Event of Default, Agent may, or at the direction of the Required Lenders, shall: (i) immediately terminate the Term Loan Commitment; (ii) declare the Term Loan (with accrued interest thereon) and all other Obligations and other amounts owing under this Agreement and the other Loan Documents to be due and payable forthwith, whereupon the same shall immediately become due and payable, without demand, notice or legal process of any kind, which such rights are hereby waived by the Loan Parties; and (iii) exercise all rights and remedies available to it hereunder and under any other Loan Document, under the UCC or at Law or in equity (in each case, in compliance with all applicable law), including, without limitation the right to (A) apply any property of any Loan Party held by Agent or any Lender to reduce the Obligations, (B) foreclose the Liens created under the Loan Documents, (C) realize upon, take possession of and/or sell any Collateral, with or without judicial process, (D) exercise all rights and powers with respect to the Collateral as such Loan Party might exercise, (E) collect and send notices regarding the Collateral, with or without judicial process, (F) by its own means or with judicial assistance, enter any premises at which Collateral is located, or render any of the foregoing unusable or dispose of the Collateral on such premises without any liability for rent, storage, utilities, or other sums, and no Loan Party shall, or permit any Subsidiary or Affiliate to, resist or interfere with such action, (G) at the Loan Parties’ expense, require that all or any part of the Collateral be assembled and made available to Agent at any place designated by Agent in its sole discretion, and/or (H) relinquish or abandon any Collateral or securities pledged or any Lien thereon.</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any provision of any Loan Document, Agent, in its sole discretion, shall have the right, at any time that any Loan Party fails to do so, after an Event of Default, without prior notice, to: (A) obtain insurance covering any of the Collateral to the extent required hereunder; (B) pay for the performance of any of the Obligations; (C) discharge Taxes, levies and/or Liens on any of the Collateral that are in violation of any Loan Document; and</w:t>
      </w:r>
    </w:p>
    <w:p>
      <w:pPr>
        <w:spacing w:after="0" w:line="2" w:lineRule="exact"/>
        <w:rPr>
          <w:sz w:val="20"/>
          <w:szCs w:val="20"/>
          <w:color w:val="auto"/>
        </w:rPr>
      </w:pPr>
    </w:p>
    <w:p>
      <w:pPr>
        <w:jc w:val="both"/>
        <w:ind w:firstLine="8"/>
        <w:spacing w:after="0" w:line="266" w:lineRule="auto"/>
        <w:tabs>
          <w:tab w:leader="none" w:pos="29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pay for the maintenance, repair and/or preservation of the Collateral. Such expenses and advances (1) shall be deemed loans hereunder and added to the Obligations until reimbursed to Agent and the Lenders, (2) shall be secured by the Collateral, and (3) at Agent’s discretion, shall be deemed a Protective Advance, and such payments by Agent or any Lender shall not be construed as a waiver by Agent or any Lender of any Event of Default or any other rights or remedies of Agent or any Lender. Each Loan Party agrees that notice received at least ten (10) calendar days before the time of any intended public sale, or the time after which any private sale or other disposition of Collateral is to be made, shall be deemed to be reasonable notice of such sale or other disposition. Each Loan Party acknowledges and agrees that (A) a private sale may result in a lower price than if such sale were a public sale, and notwithstanding such circumstances, agrees that such lower price shall not make such private sale unreasonable, and (B) Agent shall be under no obligation to delay a sale of any of the Collateral for the period of time necessary to permit the issuer thereof to register such securities or other interests for public sale under the Securities Act, or under applicable state securities Laws, even if such registration would result in a higher price than a private sale. If permitted by applicable law, any perishable Collateral which threatens to speedily decline in value or which is sold on a recognized market may be sold immediately by Agent without prior notice to any Loan Party. At any sale or disposition of Collateral or securities pledged, Agent may (to the extent permitted by applicable law) purchase all or any part thereof on behalf of itself and the Lenders free from any right of redemption by any Loan Party which right is hereby waived and released. Each Loan Party covenants and agrees not to, and to cause its Subsidiaries and Agents not to, interfere with or impose any obstacle to Agent’s exercise of its rights and remedies with respect to the Collateral. In dealing with or disposing of the Collateral or any part thereof, Agent shall not be required to give priority or preference to any item of Collateral or otherwise to marshal assets or to take possession or sell any Collateral with judicial process. Presentment, demand, protest and all other notices of any kind with respect to the remedies provided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hereby expressly waived by each Loan Party. Each Loan Party hereby irrevocably appoints Agent as its attorney-in-fact for the limited purpose of taking any action permitted under the Loan Documents that Agent deems necessary or desirable (in Agent’s sole discretion) upon the occurrence and during the continuation of an Event of Default to protect and realize upon Agent’s Lien in the Collateral, including the execution and delivery of any and all documents or instruments related to the Collateral in each Loan Party’s name, and said appointment shall create in Agent a power coupled with an interest. Such power of attorney, and proxy with respect thereto, is irrevocable and coupled with an interest and may not be terminated or revoked until all Obligations are paid in full in cash (other than inchoate indemnification obligations for which no claim has been asserted) and all Term Loan Commitments have expired or terminated.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right="20" w:firstLine="648"/>
        <w:spacing w:after="0" w:line="282" w:lineRule="auto"/>
        <w:rPr>
          <w:sz w:val="20"/>
          <w:szCs w:val="20"/>
          <w:color w:val="auto"/>
        </w:rPr>
      </w:pPr>
      <w:r>
        <w:rPr>
          <w:rFonts w:ascii="Arial" w:cs="Arial" w:eastAsia="Arial" w:hAnsi="Arial"/>
          <w:sz w:val="18"/>
          <w:szCs w:val="18"/>
          <w:b w:val="1"/>
          <w:bCs w:val="1"/>
          <w:color w:val="auto"/>
        </w:rPr>
        <w:t>7.3 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color w:val="auto"/>
        </w:rPr>
        <w:t>7.2, any amounts received by Agent or any Lender on account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shall be applied by Agent in the following order: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First</w:t>
      </w:r>
      <w:r>
        <w:rPr>
          <w:rFonts w:ascii="Arial" w:cs="Arial" w:eastAsia="Arial" w:hAnsi="Arial"/>
          <w:sz w:val="16"/>
          <w:szCs w:val="16"/>
          <w:color w:val="auto"/>
        </w:rPr>
        <w:t>, to Agent, for the benefit of itself and Lenders, an amount equal to any interest owed with respect to all Protective Advances until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11" w:lineRule="exact"/>
        <w:rPr>
          <w:sz w:val="20"/>
          <w:szCs w:val="20"/>
          <w:color w:val="auto"/>
        </w:rPr>
      </w:pPr>
    </w:p>
    <w:p>
      <w:pPr>
        <w:ind w:left="920" w:hanging="264"/>
        <w:spacing w:after="0"/>
        <w:tabs>
          <w:tab w:leader="none" w:pos="9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Agent, for the benefit of itself and Lenders, an amount equal to any principal owed with respect to all Protective Advances until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10" w:lineRule="exact"/>
        <w:rPr>
          <w:rFonts w:ascii="Arial" w:cs="Arial" w:eastAsia="Arial" w:hAnsi="Arial"/>
          <w:sz w:val="16"/>
          <w:szCs w:val="16"/>
          <w:color w:val="auto"/>
        </w:rPr>
      </w:pPr>
    </w:p>
    <w:p>
      <w:pPr>
        <w:jc w:val="both"/>
        <w:ind w:firstLine="656"/>
        <w:spacing w:after="0" w:line="263" w:lineRule="auto"/>
        <w:tabs>
          <w:tab w:leader="none" w:pos="892"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fees, reimbursements under </w:t>
      </w:r>
      <w:r>
        <w:rPr>
          <w:rFonts w:ascii="Arial" w:cs="Arial" w:eastAsia="Arial" w:hAnsi="Arial"/>
          <w:sz w:val="18"/>
          <w:szCs w:val="18"/>
          <w:u w:val="single" w:color="auto"/>
          <w:color w:val="auto"/>
        </w:rPr>
        <w:t>Section 8.5</w:t>
      </w:r>
      <w:r>
        <w:rPr>
          <w:rFonts w:ascii="Arial" w:cs="Arial" w:eastAsia="Arial" w:hAnsi="Arial"/>
          <w:sz w:val="18"/>
          <w:szCs w:val="18"/>
          <w:color w:val="auto"/>
        </w:rPr>
        <w:t>, indemnities and other amounts (other than principal, interest, and the Monitoring Fee (as defined in the Fee Letter)) payable to Agent and Lenders (including reasonable fees, charges and disbursements of counsel required to be paid hereunder) until paid in full;</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Agent, any accrued and unpaid Monitoring Fee;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payment of that portion of the Obligations constituting accrued and unpaid interest;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payment of any Make Whole Premium, if applicable;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payment of that portion of the Obligations constituting unpaid principal and all other Obligations; and</w:t>
      </w:r>
    </w:p>
    <w:p>
      <w:pPr>
        <w:spacing w:after="0" w:line="225" w:lineRule="exact"/>
        <w:rPr>
          <w:rFonts w:ascii="Arial" w:cs="Arial" w:eastAsia="Arial" w:hAnsi="Arial"/>
          <w:sz w:val="18"/>
          <w:szCs w:val="18"/>
          <w:color w:val="auto"/>
        </w:rPr>
      </w:pPr>
    </w:p>
    <w:p>
      <w:pPr>
        <w:ind w:firstLine="656"/>
        <w:spacing w:after="0" w:line="277" w:lineRule="auto"/>
        <w:tabs>
          <w:tab w:leader="none" w:pos="91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(other than inchoate indemnification obligations for which no claim has been asserted), to Borrower or as otherwise required by applicable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8.1 Amendments and Waivers</w:t>
      </w:r>
      <w:r>
        <w:rPr>
          <w:rFonts w:ascii="Arial" w:cs="Arial" w:eastAsia="Arial" w:hAnsi="Arial"/>
          <w:sz w:val="16"/>
          <w:szCs w:val="16"/>
          <w:color w:val="auto"/>
        </w:rPr>
        <w:t>(a). Neither this Agreement nor any other Loan Document, nor any terms hereof or thereof, may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changed, waived or otherwise modified unless such amendment, change, waiver or other modification is in writing and signed by the applicable Loan Parties, Agent, and the Required Lenders or by Agent acting at the written direction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46" w:lineRule="exact"/>
        <w:rPr>
          <w:sz w:val="20"/>
          <w:szCs w:val="20"/>
          <w:color w:val="auto"/>
        </w:rPr>
      </w:pPr>
    </w:p>
    <w:p>
      <w:pPr>
        <w:ind w:left="900" w:hanging="244"/>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change, waiver or other modification shall:</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increase the Term Loan Commitment of a Lender without the written consent of such Lender whose Term Loan Commitment is being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increased;</w:t>
      </w:r>
    </w:p>
    <w:p>
      <w:pPr>
        <w:spacing w:after="0" w:line="210" w:lineRule="exact"/>
        <w:rPr>
          <w:rFonts w:ascii="Arial" w:cs="Arial" w:eastAsia="Arial" w:hAnsi="Arial"/>
          <w:sz w:val="16"/>
          <w:szCs w:val="16"/>
          <w:color w:val="auto"/>
        </w:rPr>
      </w:pPr>
    </w:p>
    <w:p>
      <w:pPr>
        <w:ind w:left="660" w:firstLine="644"/>
        <w:spacing w:after="0" w:line="277" w:lineRule="auto"/>
        <w:tabs>
          <w:tab w:leader="none" w:pos="157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(x) extend any date fixed by this Agreement for any payment of principal due to the Lenders (or any of them) or under any other Loan Document without the written consent of each Lender entitled to receive such payment;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62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(x) reduce the principal amount of the Term Loan made by any Lender or (y) reduce the rate of interest thereon, in each case without the written consent of such Lender;</w:t>
      </w:r>
    </w:p>
    <w:p>
      <w:pPr>
        <w:spacing w:after="0" w:line="170" w:lineRule="exact"/>
        <w:rPr>
          <w:rFonts w:ascii="Arial" w:cs="Arial" w:eastAsia="Arial" w:hAnsi="Arial"/>
          <w:sz w:val="18"/>
          <w:szCs w:val="18"/>
          <w:color w:val="auto"/>
        </w:rPr>
      </w:pPr>
    </w:p>
    <w:p>
      <w:pPr>
        <w:ind w:left="660" w:firstLine="644"/>
        <w:spacing w:after="0" w:line="277" w:lineRule="auto"/>
        <w:tabs>
          <w:tab w:leader="none" w:pos="162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reduce the rate or extend the time of payment of, or excuse the payment of, any fees to which any Lender is entitled hereunder without the written consent of each Lender entitled to receive such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right="20" w:firstLine="644"/>
        <w:spacing w:after="0" w:line="308" w:lineRule="auto"/>
        <w:tabs>
          <w:tab w:leader="none" w:pos="159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release or permit the subordination of any portion of the Collateral securing the Obligations, or release any Guarantor from its obligations under any Loan Document (other than a disposition permitted hereunder) without the written consent of each Lender</w:t>
      </w:r>
    </w:p>
    <w:p>
      <w:pPr>
        <w:spacing w:after="0" w:line="146" w:lineRule="exact"/>
        <w:rPr>
          <w:rFonts w:ascii="Arial" w:cs="Arial" w:eastAsia="Arial" w:hAnsi="Arial"/>
          <w:sz w:val="17"/>
          <w:szCs w:val="17"/>
          <w:color w:val="auto"/>
        </w:rPr>
      </w:pPr>
    </w:p>
    <w:p>
      <w:pPr>
        <w:jc w:val="both"/>
        <w:ind w:left="660" w:firstLine="644"/>
        <w:spacing w:after="0" w:line="311" w:lineRule="auto"/>
        <w:tabs>
          <w:tab w:leader="none" w:pos="161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amend, modify or waive any provision of (x)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(y) any other provision of any of the Loan Documents pursuant to which the consent or approval of all Lenders, or a number or specified percentage or other required grouping of Lenders holding any portion of the Term Loan, is by the terms of such provision explicitly required, in each case without the written consent of each Lender directly affected thereby;</w:t>
      </w:r>
    </w:p>
    <w:p>
      <w:pPr>
        <w:spacing w:after="0" w:line="148" w:lineRule="exact"/>
        <w:rPr>
          <w:rFonts w:ascii="Arial" w:cs="Arial" w:eastAsia="Arial" w:hAnsi="Arial"/>
          <w:sz w:val="16"/>
          <w:szCs w:val="16"/>
          <w:color w:val="auto"/>
        </w:rPr>
      </w:pPr>
    </w:p>
    <w:p>
      <w:pPr>
        <w:ind w:left="660" w:firstLine="644"/>
        <w:spacing w:after="0" w:line="277" w:lineRule="auto"/>
        <w:tabs>
          <w:tab w:leader="none" w:pos="166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reduce the percentage specified in, or otherwise modify, the definition of Required Lender, in each case without the written consent of each Lender directly affected thereby;</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2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release Borrower, any other Loan Party or any other Guarantor from any of their respective obligations hereunder or under any other Loan Document (other than in connection with a disposition permitted hereunder) or consent to the assignment or transfer by Borrower or any other Loan Party of any of their respective rights and obligations under this Agreement or any of the other Loan Documents, in each case without the written consent of each Lender;</w:t>
      </w:r>
    </w:p>
    <w:p>
      <w:pPr>
        <w:spacing w:after="0" w:line="186" w:lineRule="exact"/>
        <w:rPr>
          <w:rFonts w:ascii="Arial" w:cs="Arial" w:eastAsia="Arial" w:hAnsi="Arial"/>
          <w:sz w:val="18"/>
          <w:szCs w:val="18"/>
          <w:color w:val="auto"/>
        </w:rPr>
      </w:pPr>
    </w:p>
    <w:p>
      <w:pPr>
        <w:ind w:left="660" w:right="20" w:firstLine="644"/>
        <w:spacing w:after="0" w:line="308" w:lineRule="auto"/>
        <w:tabs>
          <w:tab w:leader="none" w:pos="161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amend, modify or waive any provision with respect to application of payments so as to alter the pro rata sharing of any payment in respect of the Obligations or proceeds of Collateral, in each case without the written consent of each Lender directly affected thereby;</w:t>
      </w:r>
    </w:p>
    <w:p>
      <w:pPr>
        <w:spacing w:after="0" w:line="146" w:lineRule="exact"/>
        <w:rPr>
          <w:rFonts w:ascii="Arial" w:cs="Arial" w:eastAsia="Arial" w:hAnsi="Arial"/>
          <w:sz w:val="17"/>
          <w:szCs w:val="17"/>
          <w:color w:val="auto"/>
        </w:rPr>
      </w:pPr>
    </w:p>
    <w:p>
      <w:pPr>
        <w:ind w:left="660" w:firstLine="644"/>
        <w:spacing w:after="0" w:line="308" w:lineRule="auto"/>
        <w:tabs>
          <w:tab w:leader="none" w:pos="1563"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amend, modify or waive any provision in a manner that adversely affects a particular Lender in a manner that is disproportionate in relation to other Lenders, in each case without the written consent of the Lender that is disproportionately affected thereby; and</w:t>
      </w:r>
    </w:p>
    <w:p>
      <w:pPr>
        <w:spacing w:after="0" w:line="146" w:lineRule="exact"/>
        <w:rPr>
          <w:rFonts w:ascii="Arial" w:cs="Arial" w:eastAsia="Arial" w:hAnsi="Arial"/>
          <w:sz w:val="17"/>
          <w:szCs w:val="17"/>
          <w:color w:val="auto"/>
        </w:rPr>
      </w:pPr>
    </w:p>
    <w:p>
      <w:pPr>
        <w:ind w:left="1600" w:hanging="296"/>
        <w:spacing w:after="0"/>
        <w:tabs>
          <w:tab w:leader="none" w:pos="16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amend any provision of </w:t>
      </w:r>
      <w:r>
        <w:rPr>
          <w:rFonts w:ascii="Arial" w:cs="Arial" w:eastAsia="Arial" w:hAnsi="Arial"/>
          <w:sz w:val="18"/>
          <w:szCs w:val="18"/>
          <w:u w:val="single" w:color="auto"/>
          <w:color w:val="auto"/>
        </w:rPr>
        <w:t>Section 8.18</w:t>
      </w:r>
      <w:r>
        <w:rPr>
          <w:rFonts w:ascii="Arial" w:cs="Arial" w:eastAsia="Arial" w:hAnsi="Arial"/>
          <w:sz w:val="18"/>
          <w:szCs w:val="18"/>
          <w:color w:val="auto"/>
        </w:rPr>
        <w:t xml:space="preserve"> without the consent of Agent; and</w:t>
      </w:r>
    </w:p>
    <w:p>
      <w:pPr>
        <w:spacing w:after="0" w:line="225" w:lineRule="exact"/>
        <w:rPr>
          <w:rFonts w:ascii="Arial" w:cs="Arial" w:eastAsia="Arial" w:hAnsi="Arial"/>
          <w:sz w:val="18"/>
          <w:szCs w:val="18"/>
          <w:color w:val="auto"/>
        </w:rPr>
      </w:pPr>
    </w:p>
    <w:p>
      <w:pPr>
        <w:ind w:firstLine="656"/>
        <w:spacing w:after="0" w:line="277" w:lineRule="auto"/>
        <w:tabs>
          <w:tab w:leader="none" w:pos="9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amendment, waiver or consent with respect to this Agreement or any other Loan Document given or made in accordance with this Section shall be effective only in the specific instance and for the specific purpose for which it was given or made.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b w:val="1"/>
          <w:bCs w:val="1"/>
          <w:color w:val="auto"/>
        </w:rPr>
        <w:t>8.2 Notices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6" w:lineRule="auto"/>
        <w:tabs>
          <w:tab w:leader="none" w:pos="89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All notices, requests and demands to or upon the respective parties hereto to be effective shall be in writing (including by electronic mail), and, unless otherwise expressly provided herein, shall be deemed to have been duly given or made when delivered, or three (3) Business Days after being deposited in the mail, postage prepaid, or one (1) Business Day after being deposited with an overnight courier, or, in the case of electronic mail notice, pursuant to clause (c)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notice or communication delivered by mail must also be accompanied by delivery via electronic mail in accordance with clause (c) below, in each case addressed as follows or to such other address as may be hereafter notified by the respective parties hereto:</w:t>
      </w:r>
    </w:p>
    <w:p>
      <w:pPr>
        <w:sectPr>
          <w:pgSz w:w="11900" w:h="16838" w:orient="portrait"/>
          <w:cols w:equalWidth="0" w:num="1">
            <w:col w:w="11240"/>
          </w:cols>
          <w:pgMar w:left="320" w:top="904"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ashish@presto.com</w:t>
      </w:r>
    </w:p>
    <w:p>
      <w:pPr>
        <w:spacing w:after="0" w:line="200" w:lineRule="exact"/>
        <w:rPr>
          <w:sz w:val="20"/>
          <w:szCs w:val="20"/>
          <w:color w:val="auto"/>
        </w:rPr>
      </w:pPr>
    </w:p>
    <w:p>
      <w:pPr>
        <w:sectPr>
          <w:pgSz w:w="11900" w:h="16838" w:orient="portrait"/>
          <w:cols w:equalWidth="0" w:num="2">
            <w:col w:w="740" w:space="560"/>
            <w:col w:w="9940"/>
          </w:cols>
          <w:pgMar w:left="320" w:top="904"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816 Hamilton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ashish@presto.com</w:t>
      </w:r>
    </w:p>
    <w:p>
      <w:pPr>
        <w:spacing w:after="0" w:line="200"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11"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in each case: with a copy to (which shall not be deemed to 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Fenwick &amp;West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801 California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Faisal Rashid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310-434-5402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Faisal Rashid</w:t>
      </w:r>
    </w:p>
    <w:p>
      <w:pPr>
        <w:spacing w:after="0" w:line="210" w:lineRule="exact"/>
        <w:rPr>
          <w:sz w:val="20"/>
          <w:szCs w:val="20"/>
          <w:color w:val="auto"/>
        </w:rPr>
      </w:pPr>
    </w:p>
    <w:p>
      <w:pPr>
        <w:sectPr>
          <w:pgSz w:w="11900" w:h="16838" w:orient="portrait"/>
          <w:cols w:equalWidth="0" w:num="2">
            <w:col w:w="920" w:space="380"/>
            <w:col w:w="9940"/>
          </w:cols>
          <w:pgMar w:left="320" w:top="904" w:right="339" w:bottom="1440" w:gutter="0" w:footer="0" w:header="0"/>
          <w:type w:val="continuous"/>
        </w:sectPr>
      </w:pPr>
    </w:p>
    <w:p>
      <w:pPr>
        <w:spacing w:after="0"/>
        <w:rPr>
          <w:sz w:val="20"/>
          <w:szCs w:val="20"/>
          <w:color w:val="auto"/>
        </w:rPr>
      </w:pPr>
      <w:r>
        <w:rPr>
          <w:rFonts w:ascii="Arial" w:cs="Arial" w:eastAsia="Arial" w:hAnsi="Arial"/>
          <w:sz w:val="17"/>
          <w:szCs w:val="17"/>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Metropolitan Partners Group Administration,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850 Third Avenue,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Lisiak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561-1250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plisiak@metpg.com</w:t>
      </w:r>
    </w:p>
    <w:p>
      <w:pPr>
        <w:spacing w:after="0" w:line="200"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with a copy: to (which shall not be deemed to be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Aaron S. Rothman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704-331-7446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aaron.rothman@klga tes.com</w:t>
      </w:r>
    </w:p>
    <w:p>
      <w:pPr>
        <w:spacing w:after="0" w:line="200" w:lineRule="exact"/>
        <w:rPr>
          <w:sz w:val="20"/>
          <w:szCs w:val="20"/>
          <w:color w:val="auto"/>
        </w:rPr>
      </w:pPr>
    </w:p>
    <w:p>
      <w:pPr>
        <w:sectPr>
          <w:pgSz w:w="11900" w:h="16838" w:orient="portrait"/>
          <w:cols w:equalWidth="0" w:num="2">
            <w:col w:w="900" w:space="400"/>
            <w:col w:w="9940"/>
          </w:cols>
          <w:pgMar w:left="320" w:top="904" w:right="33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Agent shall not be effective until received.</w:t>
      </w:r>
    </w:p>
    <w:p>
      <w:pPr>
        <w:spacing w:after="0" w:line="225" w:lineRule="exact"/>
        <w:rPr>
          <w:sz w:val="20"/>
          <w:szCs w:val="20"/>
          <w:color w:val="auto"/>
        </w:rPr>
      </w:pPr>
    </w:p>
    <w:p>
      <w:pPr>
        <w:ind w:right="20" w:firstLine="656"/>
        <w:spacing w:after="0" w:line="277" w:lineRule="auto"/>
        <w:tabs>
          <w:tab w:leader="none" w:pos="9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party hereto may change its address or electronic mail address for notices and other communications hereunder by notice to the other parties 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3" w:name="page124"/>
    <w:bookmarkEnd w:id="123"/>
    <w:p>
      <w:pPr>
        <w:jc w:val="both"/>
        <w:ind w:firstLine="656"/>
        <w:spacing w:after="0" w:line="287" w:lineRule="auto"/>
        <w:tabs>
          <w:tab w:leader="none" w:pos="89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Agent or any Lender hereunder and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may be delivered or furnished by electronic communication (including e-mail and Internet or intranet web sites) pursuant to procedures approved by Agent. Agent and the Loan Parties may, in their discretion, agree in a separate writing to accept notices and other communications to them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no such acknowledgment is provided, such notice or communication shall be deemed received the next Business Day after being delivered or (y)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 site shall be deemed received upon the deemed receipt by the intended recipient at its e-mail address as described in the foregoing clause (i) of notification that such notice or communication is available and identifying the web site address therefor.</w:t>
      </w:r>
    </w:p>
    <w:p>
      <w:pPr>
        <w:spacing w:after="0" w:line="16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8.3 No Waiver; Cumulative Remedies</w:t>
      </w:r>
      <w:r>
        <w:rPr>
          <w:rFonts w:ascii="Arial" w:cs="Arial" w:eastAsia="Arial" w:hAnsi="Arial"/>
          <w:sz w:val="16"/>
          <w:szCs w:val="16"/>
          <w:color w:val="auto"/>
        </w:rPr>
        <w:t>. No failure to exercise and no delay in exercising, on the part of Agent or any Lender, any right, remedy,</w:t>
      </w:r>
      <w:r>
        <w:rPr>
          <w:rFonts w:ascii="Arial" w:cs="Arial" w:eastAsia="Arial" w:hAnsi="Arial"/>
          <w:sz w:val="16"/>
          <w:szCs w:val="16"/>
          <w:b w:val="1"/>
          <w:bCs w:val="1"/>
          <w:color w:val="auto"/>
        </w:rPr>
        <w:t xml:space="preserve"> </w:t>
      </w:r>
      <w:r>
        <w:rPr>
          <w:rFonts w:ascii="Arial" w:cs="Arial" w:eastAsia="Arial" w:hAnsi="Arial"/>
          <w:sz w:val="16"/>
          <w:szCs w:val="16"/>
          <w:color w:val="auto"/>
        </w:rPr>
        <w:t>power or privilege hereunder or under the other Loan Documents shall operate as a waiver thereof or acquiescence thereto;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privileges and remedies provided by virtue of any statute or rule of Law or in any of the other Loan Documents. Any forbearance or failure to exercise, and any delay in exercising, any right, power, privilege or remedy hereunder or any other Loan Document shall not impair any such right, power, privilege or remedy or be construed to be a waiver thereof, nor shall it preclude the further exercise of any such right, power, privilege or remedy.</w:t>
      </w:r>
    </w:p>
    <w:p>
      <w:pPr>
        <w:spacing w:after="0" w:line="16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8.4 Survival of Representations and Warranties</w:t>
      </w:r>
      <w:r>
        <w:rPr>
          <w:rFonts w:ascii="Arial" w:cs="Arial" w:eastAsia="Arial" w:hAnsi="Arial"/>
          <w:sz w:val="18"/>
          <w:szCs w:val="18"/>
          <w:color w:val="auto"/>
        </w:rPr>
        <w:t>. All representations and warranties made hereunder, in the other Loan Documents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certificate or statement delivered pursuant hereto or in connection herewith shall survive the execution and delivery of this Agreement and the other Loan Documents and the making of the Term Loan and other extensions of credit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8.5 Expenses; Indemnity; Damage Waiver</w:t>
      </w:r>
      <w:r>
        <w:rPr>
          <w:rFonts w:ascii="Arial" w:cs="Arial" w:eastAsia="Arial" w:hAnsi="Arial"/>
          <w:sz w:val="18"/>
          <w:szCs w:val="18"/>
          <w:color w:val="auto"/>
        </w:rPr>
        <w:t>.</w:t>
      </w:r>
    </w:p>
    <w:p>
      <w:pPr>
        <w:spacing w:after="0" w:line="229" w:lineRule="exact"/>
        <w:rPr>
          <w:sz w:val="20"/>
          <w:szCs w:val="20"/>
          <w:color w:val="auto"/>
        </w:rPr>
      </w:pPr>
    </w:p>
    <w:p>
      <w:pPr>
        <w:ind w:left="900" w:hanging="244"/>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2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otherwise provided herein, the Loan Parties, jointly and severally, shall pay the reasonable and documented out-of-pocket transaction and diligence expenses of Agent and the Lenders (including the reasonable and documented out-of-pocket fees, charges and disbursements of any counsel for Agent or any Lender and of any consultants to the Lender) in connection with the initial preparation, negotiation, execution and delivery of the Loan Documents and all actual fees, costs and reasonable and documented expenses of creating and perfecting Liens in favor of Agent, for the benefit of Lenders, including filing and recording fees, expenses and Other Taxes, search fees, title insurance premiums and reasonable and documented fees, expenses and disbursements of counsel to Agent;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left="660" w:firstLine="644"/>
        <w:spacing w:after="0" w:line="267" w:lineRule="auto"/>
        <w:tabs>
          <w:tab w:leader="none" w:pos="158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Loan Parties, jointly and severally, shall pay (a) all reasonable and documented out-of-pocket expenses incurred by Agent or any Lender (including the reasonable and documented out-of-pocket fees, charges and disbursements of any counsel for Agent or any Lender) in connection with the administration of this Agreement and the other Loan Documents (including all reasonable and documented out-of-pocket expenses related to the board observation rights set forth in </w:t>
      </w:r>
      <w:r>
        <w:rPr>
          <w:rFonts w:ascii="Arial" w:cs="Arial" w:eastAsia="Arial" w:hAnsi="Arial"/>
          <w:sz w:val="17"/>
          <w:szCs w:val="17"/>
          <w:u w:val="single" w:color="auto"/>
          <w:color w:val="auto"/>
        </w:rPr>
        <w:t>Section 5.16</w:t>
      </w:r>
      <w:r>
        <w:rPr>
          <w:rFonts w:ascii="Arial" w:cs="Arial" w:eastAsia="Arial" w:hAnsi="Arial"/>
          <w:sz w:val="17"/>
          <w:szCs w:val="17"/>
          <w:color w:val="auto"/>
        </w:rPr>
        <w:t>), or any amendments, modifications or waivers of the provisions hereof or thereof (whether or not the transactions contemplated hereby or thereby shall be consummated), (b) all Agent’s actual costs and reasonable and documented fees, expenses for, and disbursements of any of Agent’s, auditors, accountants, consultants or appraisers whether internal or external (subject to the limitations agreed to herein), and all reasonable and documented out-of-pocket attorneys’ fees, costs, expenses and disbursements incurred by Agent, (c) all actual costs and reasonable and documented out-of-pocket expenses (including the reasonable and documented out-of-pocket fees, expenses and disbursements of any appraisers, consultants, advisors and agents employed or retained by Agent and its counsel (subject to the limitations agreed to herein)) in connection with the custody or preservation of any of the Collateral, (d) all reasonable and documented out of pocket expenses incurred by Agent or any Lender (including the fees, charges and disbursements of any counsel for Agent or any Lender) in connection with review of the insurance policies maintained by the Loan Parties, limited to a maximum of one (1) review per Fiscal Year, and (e) all out-of-pocket expenses incurred by Agent or any Lender (including the fees, charges and disbursements of any counsel for Agent or any Lender), in connection with the enforcement, collection or protection of its rights (i) in connection with this Agreement and the other Loan Documents, including its rights under this Section, or (ii) in connection with the Term Loan made hereunder, including all such out of pocket expenses incurred during any or in connection with, of negotiation of, any refinancing or restructuring of the credit arrangements provided hereunder in the nature of a “work out” or pursuant to any insolvency or bankruptcy cases or proceedings, or any other proceeding under a Debtor Relief Law.</w:t>
      </w:r>
    </w:p>
    <w:p>
      <w:pPr>
        <w:spacing w:after="0" w:line="189" w:lineRule="exact"/>
        <w:rPr>
          <w:rFonts w:ascii="Arial" w:cs="Arial" w:eastAsia="Arial" w:hAnsi="Arial"/>
          <w:sz w:val="17"/>
          <w:szCs w:val="17"/>
          <w:color w:val="auto"/>
        </w:rPr>
      </w:pPr>
    </w:p>
    <w:p>
      <w:pPr>
        <w:jc w:val="both"/>
        <w:ind w:firstLine="656"/>
        <w:spacing w:after="0" w:line="268" w:lineRule="auto"/>
        <w:tabs>
          <w:tab w:leader="none" w:pos="91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Indemnification by Borrower</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8.5(a)(i)</w:t>
      </w:r>
      <w:r>
        <w:rPr>
          <w:rFonts w:ascii="Arial" w:cs="Arial" w:eastAsia="Arial" w:hAnsi="Arial"/>
          <w:sz w:val="17"/>
          <w:szCs w:val="17"/>
          <w:color w:val="auto"/>
        </w:rPr>
        <w:t xml:space="preserve"> above, the Loan Parties, jointly and severally, shall indemnify Agent, each Lender and each Related Party of Agent and each Lender (each such Person being called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Borrower or any other Loan Party), and in all cases, whether or not caused by or arising, in whole or in part, out of the comparative, contributory, or sole negligence of such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the Term Loan or the use or proposed use of the proceeds therefrom, (iii) the SPAC Transaction, (iv) any actual or alleged presence or release of hazardous materials on or from any property owned or operated by any Loan Party, or any environmental liability related in any way to the Loan Parties, or (v) any actual or prospective claim, litigation, investigation or proceeding relating to any of the foregoing, whether based on contract, tort or any other theory, whether brought by a third party or by Borrower,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indemnity shall not, as to such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84" w:lineRule="exact"/>
        <w:rPr>
          <w:rFonts w:ascii="Arial" w:cs="Arial" w:eastAsia="Arial" w:hAnsi="Arial"/>
          <w:sz w:val="17"/>
          <w:szCs w:val="17"/>
          <w:color w:val="auto"/>
        </w:rPr>
      </w:pPr>
    </w:p>
    <w:p>
      <w:pPr>
        <w:jc w:val="both"/>
        <w:ind w:firstLine="656"/>
        <w:spacing w:after="0" w:line="254" w:lineRule="auto"/>
        <w:tabs>
          <w:tab w:leader="none" w:pos="90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neither Borrower nor any other Loan Party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the Term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left="920" w:hanging="264"/>
        <w:spacing w:after="0"/>
        <w:tabs>
          <w:tab w:leader="none" w:pos="9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demand therefor.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Each party’s obligations under this Section shall survive the termination of the Loan Documents and payment of the Obligations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8.6 Successors and Assigns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5" w:lineRule="auto"/>
        <w:tabs>
          <w:tab w:leader="none" w:pos="89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the Borrower and the other Loan Parties, as the case may be, may not assign or otherwise transfer any of its rights or obligations hereunder or under the applicable Loan Document without the prior written consent of Agent and Lenders in their sole discretion. Nothing in this Agreement or any other Loan Document, expressed or implied, shall be construed to confer upon any Person (other than the parties hereto or thereto, Indemnitees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their respective successors and assigns permitted hereby or thereby and, to the extent expressly contemplated hereby or thereby, Affiliates of each of Agent and Lenders) any legal or equitable right, remedy or claim under or by reason of this Agreement or such other Loan Document. Upon notice to Agent, Lender shall have the right at any time to sell, assign or transfer all or a portion of its rights and obligations under this Agreement and the other Loan Documents to any other Person (other than (w) a natural Person, or a holding company, investment vehicle or trust for, or owned and operated for the primary benefit of, a natural Person, or (x) Borrower or any of Borrower’s Affiliates or another Loan Party, (y) so long as no Event of Default has occurred and is continuing, a direct competitor of Borrower as specifically identified in writing by the Borrower to the Agent at least five (5) Business Days prior to the date of the applicable sale, assignment, or transfer, or (z) so long as no Event of Default has occurred and is continuing, a vulture fund or distressed debt fund), including, without limitation, all or a portion of its Term Loan Commitment or the Term Loan owing to it or other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assignment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not require prior notice to Agent. Upon Agent’s receipt and acceptance of a duly executed and completed assignment agreement (in form and substance reasonably satisfactory to Agent), any forms, certificates or other evidence required by this Agreement in connection therewith, Agent shall record the information contained in such assignment agreement in the Register, shall give prompt notice thereof to Borrower and shall maintain a copy of such assignment agreement.</w:t>
      </w:r>
    </w:p>
    <w:p>
      <w:pPr>
        <w:spacing w:after="0" w:line="176" w:lineRule="exact"/>
        <w:rPr>
          <w:rFonts w:ascii="Arial" w:cs="Arial" w:eastAsia="Arial" w:hAnsi="Arial"/>
          <w:sz w:val="16"/>
          <w:szCs w:val="16"/>
          <w:color w:val="auto"/>
        </w:rPr>
      </w:pPr>
    </w:p>
    <w:p>
      <w:pPr>
        <w:jc w:val="both"/>
        <w:ind w:firstLine="656"/>
        <w:spacing w:after="0" w:line="273" w:lineRule="auto"/>
        <w:tabs>
          <w:tab w:leader="none" w:pos="916"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Agent, acting solely for this purpose as an agent of Borrower, shall maintain at one of its offices a copy of each assignment and assumption delivered to it and a register for the recordation of the names and addresses of the Lenders, and the Term Loan Commitments of, and principal amounts (and stated interest) of the Term Loan owing to, each Lender pursuant to the terms hereof from time to time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Borrower,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77" w:lineRule="exact"/>
        <w:rPr>
          <w:rFonts w:ascii="Arial" w:cs="Arial" w:eastAsia="Arial" w:hAnsi="Arial"/>
          <w:sz w:val="17"/>
          <w:szCs w:val="17"/>
          <w:color w:val="auto"/>
        </w:rPr>
      </w:pPr>
    </w:p>
    <w:p>
      <w:pPr>
        <w:jc w:val="both"/>
        <w:ind w:firstLine="656"/>
        <w:spacing w:after="0" w:line="286" w:lineRule="auto"/>
        <w:tabs>
          <w:tab w:leader="none" w:pos="892"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Borrower or Agent, sell participations to any Person (other than a natural Person, or a holding company, investment vehicle or trust for, or owned and operated for the primary benefit of, a natural Person, or Borrower or any of Borrower’s Affiliates or another Loan Party)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in all or a portion of such Lender’s rights and/or obligations under this Agreement and the other Loan Documents (including all or a portion of its Term Loan Commitment and/or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jc w:val="both"/>
        <w:ind w:firstLine="8"/>
        <w:spacing w:after="0" w:line="295" w:lineRule="auto"/>
        <w:tabs>
          <w:tab w:leader="none" w:pos="21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and the other Loan Documents shall remain unchanged, (ii) such Lender shall remain solely responsible to the other parties hereto for the performance of such obligations, and (iii) Borrower, Agent and Lenders shall continue to deal solely and directly with such Lender in connection with such Lender’s rights and obligations under this Agreement and the other Loan Documents. For the avoidance of doubt, each Lender shall be responsible for the indemnity under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with respect to any payments made by such Lender to its Participant(s).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656"/>
        <w:spacing w:after="0" w:line="290" w:lineRule="auto"/>
        <w:tabs>
          <w:tab w:leader="none" w:pos="903"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Participant Register</w:t>
      </w:r>
      <w:r>
        <w:rPr>
          <w:rFonts w:ascii="Arial" w:cs="Arial" w:eastAsia="Arial" w:hAnsi="Arial"/>
          <w:sz w:val="16"/>
          <w:szCs w:val="16"/>
          <w:color w:val="auto"/>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5" w:lineRule="exact"/>
        <w:rPr>
          <w:rFonts w:ascii="Arial" w:cs="Arial" w:eastAsia="Arial" w:hAnsi="Arial"/>
          <w:sz w:val="16"/>
          <w:szCs w:val="16"/>
          <w:color w:val="auto"/>
        </w:rPr>
      </w:pPr>
    </w:p>
    <w:p>
      <w:pPr>
        <w:jc w:val="both"/>
        <w:ind w:firstLine="656"/>
        <w:spacing w:after="0" w:line="285" w:lineRule="auto"/>
        <w:tabs>
          <w:tab w:leader="none" w:pos="906"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Retained Rights Following Sale of Participations</w:t>
      </w:r>
      <w:r>
        <w:rPr>
          <w:rFonts w:ascii="Arial" w:cs="Arial" w:eastAsia="Arial" w:hAnsi="Arial"/>
          <w:sz w:val="16"/>
          <w:szCs w:val="16"/>
          <w:color w:val="auto"/>
        </w:rPr>
        <w:t xml:space="preserve">. Any agreement or instrument pursuant to which a Lender sells such a participation shall provide that such Lender shall retain the sole right to enforce this Agreement and the other Loan Documents against the Loan Parties. Borrower agrees that each Participant shall be entitled to the benefits of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8.6(a)(ii)</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paragraph</w:t>
      </w:r>
    </w:p>
    <w:p>
      <w:pPr>
        <w:spacing w:after="0" w:line="1" w:lineRule="exact"/>
        <w:rPr>
          <w:rFonts w:ascii="Arial" w:cs="Arial" w:eastAsia="Arial" w:hAnsi="Arial"/>
          <w:sz w:val="16"/>
          <w:szCs w:val="16"/>
          <w:color w:val="auto"/>
        </w:rPr>
      </w:pPr>
    </w:p>
    <w:p>
      <w:pPr>
        <w:ind w:firstLine="8"/>
        <w:spacing w:after="0" w:line="260" w:lineRule="auto"/>
        <w:tabs>
          <w:tab w:leader="none" w:pos="245" w:val="left"/>
        </w:tabs>
        <w:numPr>
          <w:ilvl w:val="0"/>
          <w:numId w:val="121"/>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shall not be entitled to receive any greater payment under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with respect to any participation, than its participating Lender would have been entitled to receive.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8.7 [Reserved]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8.8 Interest Rate Limitation</w:t>
      </w:r>
      <w:r>
        <w:rPr>
          <w:rFonts w:ascii="Arial" w:cs="Arial" w:eastAsia="Arial" w:hAnsi="Arial"/>
          <w:sz w:val="17"/>
          <w:szCs w:val="17"/>
          <w:color w:val="auto"/>
        </w:rPr>
        <w:t>. Notwithstanding anything to the contrary contained in any Loan Document, the interest paid or agreed to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Loan Documents shall not exceed the maximum rate of non-usurious interest permitted by applicable Law (the “</w:t>
      </w:r>
      <w:r>
        <w:rPr>
          <w:rFonts w:ascii="Arial" w:cs="Arial" w:eastAsia="Arial" w:hAnsi="Arial"/>
          <w:sz w:val="17"/>
          <w:szCs w:val="17"/>
          <w:b w:val="1"/>
          <w:bCs w:val="1"/>
          <w:i w:val="1"/>
          <w:iCs w:val="1"/>
          <w:color w:val="auto"/>
        </w:rPr>
        <w:t>Maximum Rate</w:t>
      </w:r>
      <w:r>
        <w:rPr>
          <w:rFonts w:ascii="Arial" w:cs="Arial" w:eastAsia="Arial" w:hAnsi="Arial"/>
          <w:sz w:val="17"/>
          <w:szCs w:val="17"/>
          <w:color w:val="auto"/>
        </w:rPr>
        <w:t>”). If Lenders shall receive interest in an amount that exceeds the Maximum Rate, the excess interest shall be applied to the principal of the Term Loan or, if it exceeds such unpaid principal, refunded to Borrower. In determining whether the interest contracted for, charged, or received by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8.9 Counterparts</w:t>
      </w:r>
      <w:r>
        <w:rPr>
          <w:rFonts w:ascii="Arial" w:cs="Arial" w:eastAsia="Arial" w:hAnsi="Arial"/>
          <w:sz w:val="16"/>
          <w:szCs w:val="16"/>
          <w:color w:val="auto"/>
        </w:rPr>
        <w:t>. This Agreement may be executed in any number of duplicate originals, and each duplicate original shall be deemed to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This Agreement (and each duplicate original) also may be executed in any number of counterparts, each of which shall be deemed an original and all of which together constitute a fully executed Agreement even though all signatures do not appear on the same counterpart. Receipt of an executed signature page to this Agreement by portable document format (.pdf) attachment to an email, other electronic transmission or as any electronic signature complying with the U.S. federal ESIGN Act of 2000 or the New York Electronic Signature and Records Act or any other similar state Laws based on the Uniform Electronic Transactions Act or other transmission method and any counterpart so delivered shall be deemed to have been duly and validly delivered and electronic signatures or the keeping of records in electronic form shall be valid and effective for all purposes to the fullest extent permitted by applicable law. For the avoidance of doubt, the foregoing also applies to any amendment, extension or renewal of this Agreement. Each of the parties hereto hereby represents and warrants to the other parties hereto that it has the corporation or limited liability capacity and authority to execute this Agreement through electronic means and there are no restrictions for doing so in such party’s constitutive documents, including having the same legal effect, validity or enforceability as a manually executed signature or the use of a paper-based recordkeeping system.</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8.10 Severability</w:t>
      </w:r>
      <w:r>
        <w:rPr>
          <w:rFonts w:ascii="Arial" w:cs="Arial" w:eastAsia="Arial" w:hAnsi="Arial"/>
          <w:sz w:val="18"/>
          <w:szCs w:val="18"/>
          <w:color w:val="auto"/>
        </w:rPr>
        <w:t>. Any provision of this Agreement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303" w:lineRule="auto"/>
        <w:rPr>
          <w:sz w:val="20"/>
          <w:szCs w:val="20"/>
          <w:color w:val="auto"/>
        </w:rPr>
      </w:pPr>
      <w:r>
        <w:rPr>
          <w:rFonts w:ascii="Arial" w:cs="Arial" w:eastAsia="Arial" w:hAnsi="Arial"/>
          <w:sz w:val="16"/>
          <w:szCs w:val="16"/>
          <w:b w:val="1"/>
          <w:bCs w:val="1"/>
          <w:color w:val="auto"/>
        </w:rPr>
        <w:t>8.11 Integration; Headings</w:t>
      </w:r>
      <w:r>
        <w:rPr>
          <w:rFonts w:ascii="Arial" w:cs="Arial" w:eastAsia="Arial" w:hAnsi="Arial"/>
          <w:sz w:val="16"/>
          <w:szCs w:val="16"/>
          <w:color w:val="auto"/>
        </w:rPr>
        <w:t>. This Agreement and the other Loan Documents represent the entire agreement of Borrower, the other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Lenders with respect to the subject matter hereof and thereof, and there are no promises, undertakings, representations or warranties by relative to the subject matter hereof not expressly set forth or referred to herein or in the other Loan Documents. The headings of subdivisions in this Agreement are for convenience of reference only, and shall not govern the interpretation of any of the provisions of this Agreement.</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GOVERNING LAW. THIS AGREEMENT AND THE RIGHTS AND OBLIGATIONS OF THE PARTIES UNDER THIS AGREEMENT SHALL BE GOVERNED BY, AND CONSTRUED AND INTERPRETED IN ACCORDANCE WITH, THE LAW OF THE STATE OF NEW YORK WITHOUT REGARD TO CONFLICT OF LAWS PRINCIPLES (OTHER THAN SECTIONS 5-1401 AND 5-1402 OF THE NEW YORK GENERAL OBLIGATIONS LAW)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8.13 Submission to Jurisdiction; Waivers</w:t>
      </w:r>
      <w:r>
        <w:rPr>
          <w:rFonts w:ascii="Arial" w:cs="Arial" w:eastAsia="Arial" w:hAnsi="Arial"/>
          <w:sz w:val="18"/>
          <w:szCs w:val="18"/>
          <w:color w:val="auto"/>
        </w:rPr>
        <w:t>. The parties hereto hereby irrevocably and unconditionally:</w:t>
      </w:r>
    </w:p>
    <w:p>
      <w:pPr>
        <w:spacing w:after="0" w:line="229" w:lineRule="exact"/>
        <w:rPr>
          <w:sz w:val="20"/>
          <w:szCs w:val="20"/>
          <w:color w:val="auto"/>
        </w:rPr>
      </w:pPr>
    </w:p>
    <w:p>
      <w:pPr>
        <w:jc w:val="both"/>
        <w:ind w:firstLine="656"/>
        <w:spacing w:after="0" w:line="289" w:lineRule="auto"/>
        <w:tabs>
          <w:tab w:leader="none" w:pos="89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submit to the exclusive jurisdiction of the State and Federal courts in New York County,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deemed to operate to preclude Agent from bringing suit or taking other legal action in any other jurisdiction to realize on the Collateral or any other security for the Obligations, or to enforce a judgment or other court order in favor of Agent or the Lenders. Each party hereto expressly submits and consents in advance to such jurisdiction in any action or suit commenced in any such court, and each party hereto hereby waives any objection that it may have based upon lack of personal jurisdiction, improper venue, or forum non-conveniens and hereby consents to the granting of such legal or equitable relief as is deemed appropriate by such court. Each party hereto hereby waives personal service of the summons, complaints, and other process issued in such action or suit and agrees that service of such summons, complaints, and other process may be made by registered or certified mail addressed to such party at the addresses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8.2 of this Agreement and that service so made shall be deemed completed upon the earlier to occur of such party’s actual receipt thereof or three (3) days after deposit in the U.S. mails, proper postage prepaid; and</w:t>
      </w:r>
    </w:p>
    <w:p>
      <w:pPr>
        <w:spacing w:after="0" w:line="162" w:lineRule="exact"/>
        <w:rPr>
          <w:rFonts w:ascii="Arial" w:cs="Arial" w:eastAsia="Arial" w:hAnsi="Arial"/>
          <w:sz w:val="16"/>
          <w:szCs w:val="16"/>
          <w:color w:val="auto"/>
        </w:rPr>
      </w:pPr>
    </w:p>
    <w:p>
      <w:pPr>
        <w:jc w:val="both"/>
        <w:ind w:firstLine="656"/>
        <w:spacing w:after="0" w:line="258" w:lineRule="auto"/>
        <w:tabs>
          <w:tab w:leader="none" w:pos="916"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WAIVE, TO THE EXTENT PERMITTED BY APPLICABLE LAW, THEIR RESPECTIVE RIGHT TO A JURY TRIAL OF ANY CLAIM OR CAUSE OF ACTION ARISING OUT OF OR BASED UPON THIS AGREEMENT, THE OTHER LOAN DOCUMENTS OR ANY CONTEMPLATED TRANSACTION, INCLUDING CONTRACT, TORT, BREACH OF DUTY AND ALL OTHER CLAIMS. THIS WAIVER IS A MATERIAL INDUCEMENT FOR THE PARTIES TO ENTER INTO THIS AGREEMENT. EACH PARTY HAS REVIEWED THIS WAIVER WITH ITS COUNSEL</w:t>
      </w:r>
      <w:r>
        <w:rPr>
          <w:rFonts w:ascii="Arial" w:cs="Arial" w:eastAsia="Arial" w:hAnsi="Arial"/>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8.14 Acknowledgements</w:t>
      </w:r>
      <w:r>
        <w:rPr>
          <w:rFonts w:ascii="Arial" w:cs="Arial" w:eastAsia="Arial" w:hAnsi="Arial"/>
          <w:sz w:val="18"/>
          <w:szCs w:val="18"/>
          <w:color w:val="auto"/>
        </w:rPr>
        <w:t>. Each Loan Party hereby acknowledges that:</w:t>
      </w:r>
    </w:p>
    <w:p>
      <w:pPr>
        <w:spacing w:after="0" w:line="229" w:lineRule="exact"/>
        <w:rPr>
          <w:sz w:val="20"/>
          <w:szCs w:val="20"/>
          <w:color w:val="auto"/>
        </w:rPr>
      </w:pPr>
    </w:p>
    <w:p>
      <w:pPr>
        <w:ind w:left="900" w:hanging="244"/>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91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Agent nor any Lender has any fiduciary relationship with or duty to Borrower, any other Loan Party arising out of or in connection with this Agreement or any of the other Loan Documents, and the relationship between Agent and Lenders, on one hand, and Borrower, and any other Loan Party, on the other hand, in connection herewith or therewith is solely that of debtor and creditor; and</w:t>
      </w:r>
    </w:p>
    <w:p>
      <w:pPr>
        <w:spacing w:after="0" w:line="183" w:lineRule="exact"/>
        <w:rPr>
          <w:rFonts w:ascii="Arial" w:cs="Arial" w:eastAsia="Arial" w:hAnsi="Arial"/>
          <w:sz w:val="18"/>
          <w:szCs w:val="18"/>
          <w:color w:val="auto"/>
        </w:rPr>
      </w:pPr>
    </w:p>
    <w:p>
      <w:pPr>
        <w:ind w:firstLine="656"/>
        <w:spacing w:after="0" w:line="277" w:lineRule="auto"/>
        <w:tabs>
          <w:tab w:leader="none" w:pos="90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between Agent, Lenders, Borrower or any other Loan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84" w:lineRule="auto"/>
        <w:rPr>
          <w:sz w:val="20"/>
          <w:szCs w:val="20"/>
          <w:color w:val="auto"/>
        </w:rPr>
      </w:pPr>
      <w:r>
        <w:rPr>
          <w:rFonts w:ascii="Arial" w:cs="Arial" w:eastAsia="Arial" w:hAnsi="Arial"/>
          <w:sz w:val="16"/>
          <w:szCs w:val="16"/>
          <w:b w:val="1"/>
          <w:bCs w:val="1"/>
          <w:color w:val="auto"/>
        </w:rPr>
        <w:t>8.15 Treatment of Certain Information; Confidentiality</w:t>
      </w:r>
      <w:r>
        <w:rPr>
          <w:rFonts w:ascii="Arial" w:cs="Arial" w:eastAsia="Arial" w:hAnsi="Arial"/>
          <w:sz w:val="16"/>
          <w:szCs w:val="16"/>
          <w:color w:val="auto"/>
        </w:rPr>
        <w:t>. Agent and each Lender agrees to use commercially reasonable efforts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Related Parties and its fund investors or shareholders (as potential investors and shareholders), and to its lenders, funding or financing sources (it being understood that the Persons to whom such disclosure is made are informed of the confidential nature of such Information and instructed to keep such Information confidential); (b) to the extent required or requested by any regulatory authority purporting to have jurisdiction over such Person or its Related Parties; (c) to the extent required by applicable Laws or regulations or by any subpoena or similar legal process, upon the request or demand of any Governmental Authority, in response to any order of any court or other Governmental Authority or as may otherwise be required pursuant to any Requirement of Law or if requested or required to do so in connection with any litigation or similar proceeding (provided that such party will use commercially reasonable efforts to give Borrower prior notice to the extent not prohibited); (d) to any other party hereto; (e) in connection with the exercise of any remedies hereunder or under any other Loan Document or any action or proceeding relating to this Agreement or any other Loan Document or the enforcement of rights hereunder or thereunder; (f) on a confidential basis to any rating agency in connection with rating a Loan Party or the Obligations; (g) with the consent of Borrower; (h) to any Person to whom a Lender offers or proposes to offer to sell, assign or transfer the Term Loan, the Term Loan Commitment or any part thereof or any interest or participation therein (it being understood that the Persons to whom such disclosure is made will be informed of the confidential nature of such Information and instructed to keep such Information confidential) or (i) to the extent such Information (x) becomes publicly available other than as a result of a breach of this Section, or (y) becomes available to Agent, a Lender or its Affiliates on a non-confidential basis from a source other than a Loan Party. 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For purposes of this Section,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means all information received from the Loan Parties relating to the Loan Parties or any of their respective businesses, other than any such information that is available to Agent or Lenders on a non-confidential basis prior to disclosure by such Loan Party;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which degree of care is no less than a reasonable degree of care.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8.16 Beneficial Ownership Regulation; Patriot Act</w:t>
      </w:r>
      <w:r>
        <w:rPr>
          <w:rFonts w:ascii="Arial" w:cs="Arial" w:eastAsia="Arial" w:hAnsi="Arial"/>
          <w:sz w:val="17"/>
          <w:szCs w:val="17"/>
          <w:color w:val="auto"/>
        </w:rPr>
        <w:t>. Agent and Lenders hereby notifies each Loan Party that, pursuant to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Patriot Act, it is required to obtain, verify and record information that identifies such Person, which information includes the names and addresses and other information that will allow Agent or such Lender to identify such Loan Party in accordance with the Patriot Act. Each Loan Party will provide, to the extent required by any Requirement of Law, such information and take such actions as are reasonably requested by Agent or a Lender to assist Agent or such Lender in maintaining compliance with the Patriot Act and the Beneficial Ownership Regulation.</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8.17 Marshalling; Setoff</w:t>
      </w:r>
      <w:r>
        <w:rPr>
          <w:rFonts w:ascii="Arial" w:cs="Arial" w:eastAsia="Arial" w:hAnsi="Arial"/>
          <w:sz w:val="17"/>
          <w:szCs w:val="17"/>
          <w:color w:val="auto"/>
        </w:rPr>
        <w:t>. Neither any Agent nor any Lender shall be under any obligation to marshal any assets in favor of any Loan Party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Person or against or in payment of any or all of the Obligations. Each Loan Party grants to Agent and each Lender a continuing Lien, security interest and right of setoff as security for all liabilities and obligations to Agent or such Lender arising under or relating to the Obligations, whether now existing or hereafter arising, upon and against all deposits, credits, collateral and property of such Loan Party, and any other accounts established hereunder for the deposit of cash collateral in order to secure the Obligations, now or hereafter in the possession, custody, safekeeping or control of Agent or such Lender or any entity under the control of Agent or such Lender, and their successors and assigns or in transit to any of them. At any time while an Event of Default exists, without demand or notice (any such notice being expressly waived by such Loan Party), Agent or such Lender may set-off the same or any part thereof and apply the same to any liability or obligation of such Loan Party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RIGHTS OF SETOFF WITH RESPECT TO SUCH DEPOSITS, CREDITS OR OTHER PROPERTY OF THE BORROWER ARE HEREBY KNOWINGLY, VOLUNTARILY AND IRREVOCABLY WAIVED.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t>SECTION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Agency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9.1 Appointment of Agent</w:t>
      </w:r>
      <w:r>
        <w:rPr>
          <w:rFonts w:ascii="Arial" w:cs="Arial" w:eastAsia="Arial" w:hAnsi="Arial"/>
          <w:sz w:val="18"/>
          <w:szCs w:val="18"/>
          <w:color w:val="auto"/>
        </w:rPr>
        <w:t>. Each Lender hereby appoints Agent as collateral agent, payment and administrative agent under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and Agent hereby accepts such appointment. Lenders hereby authorize Agent to (a) execute and deliver the Loan Documents (including any subordination agreement), as applicable, and accept delivery thereof on its behalf from the Loan Parties, (b) take such action on its behalf and to exercise all rights, powers and remedies and perform the duties as are expressly delegated to Agent under this Agreement and the other Loan Documents and (c) exercise such powers as are reasonably incidental thereto.</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9.2 Duties as Agent</w:t>
      </w:r>
      <w:r>
        <w:rPr>
          <w:rFonts w:ascii="Arial" w:cs="Arial" w:eastAsia="Arial" w:hAnsi="Arial"/>
          <w:sz w:val="16"/>
          <w:szCs w:val="16"/>
          <w:color w:val="auto"/>
        </w:rPr>
        <w:t>. Without limiting the generality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9.1(a)</w:t>
      </w:r>
      <w:r>
        <w:rPr>
          <w:rFonts w:ascii="Arial" w:cs="Arial" w:eastAsia="Arial" w:hAnsi="Arial"/>
          <w:sz w:val="16"/>
          <w:szCs w:val="16"/>
          <w:b w:val="1"/>
          <w:bCs w:val="1"/>
          <w:color w:val="auto"/>
        </w:rPr>
        <w:t xml:space="preserve"> </w:t>
      </w:r>
      <w:r>
        <w:rPr>
          <w:rFonts w:ascii="Arial" w:cs="Arial" w:eastAsia="Arial" w:hAnsi="Arial"/>
          <w:sz w:val="16"/>
          <w:szCs w:val="16"/>
          <w:color w:val="auto"/>
        </w:rPr>
        <w:t>above, Agent shall have the sole and exclusive right and authority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exclusion of Lenders), and is hereby authorized as provided in this Agreement and the other Loan Documents or as directed in writing by the Required Lenders, to (a) file and prove claims and file other documents necessary or desirable to allow the claims of Lenders, Agent and their respective Related Parties with respect to any obligations hereunder or under the other Loan Documents in any bankruptcy, insolvency or similar proceeding (but not to vote, consent or otherwise act on behalf of such other Lender or Related Party), (b) act as collateral agent for each Lender for purposes of the perfection of all Liens created by such agreements and all other purposes stated therein, (c) manage, supervise and otherwise deal with the Collateral, (d) take such other action as is necessary or desirable to maintain the perfection and priority of the Liens created or purported to be created by this Agreement and the other Loan Documents, (e) except as may be otherwise specified in this Agreement or the other Loan Documents, exercise all remedies given to Agent and Lenders with respect to the Collateral, whether under this Agreement or the other Loan Documents, applicable Laws or otherwise, (f) to credit bid any or all of the obligations on behalf of Lenders in connection with any sale or other disposition of any or all assets or equity of the Loan Parties and (g) execute any amendment, consent or waiver under this Agreement and the other Loan Documents (including any subordination agreement) on behalf of the Required Lenders that have consented in writing to such amendment, consent or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Agent hereby appoints, authorizes and directs Lenders to act as collateral sub-agents for Agent and the other Lenders for purposes of the perfection of all Liens with respect to the Collateral, including any deposit account maintained by any Loan Party with, and cash and Cash Equivalents held by, Lenders, and may further authorize and direct Lenders to take further actions as collateral sub-agents for purposes of enforcing such Liens or otherwise to transfer the Collateral subject thereto to Agent and Lenders hereby agree to take such further actions to the extent, and only to the extent, so authorized and directed.</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9.3 Limited Duties</w:t>
      </w:r>
      <w:r>
        <w:rPr>
          <w:rFonts w:ascii="Arial" w:cs="Arial" w:eastAsia="Arial" w:hAnsi="Arial"/>
          <w:sz w:val="17"/>
          <w:szCs w:val="17"/>
          <w:color w:val="auto"/>
        </w:rPr>
        <w:t>. Under this Agreement and the other Loan Documents, Agent (a) is acting solely on behalf of Lenders with duties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entirely administrative in nature with respect to the rights delegated to it under this Agreement and the other Loan Documents notwithstanding the use of the defined term “Agent”, which is used for title purposes only, (b) is not assuming any obligation under this Agreement or any other Loan Document other than as expressly set forth therein or herein and is not assuming any role as agent, fiduciary or trustee of or for Lenders or any other Person and (c) shall have no implied functions, responsibilities, duties, obligations or other liabilities under this Agreement or any other Loan Document, and Lenders, by accepting the benefits of this Agreement and the other Loan Documents, hereby waive and agree not to assert any claim against Agent based on the roles, duties and legal relationships expressly disclaimed in clauses (a) through (c) of this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9.4 No Actions Without Instructions</w:t>
      </w:r>
      <w:r>
        <w:rPr>
          <w:rFonts w:ascii="Arial" w:cs="Arial" w:eastAsia="Arial" w:hAnsi="Arial"/>
          <w:sz w:val="18"/>
          <w:szCs w:val="18"/>
          <w:color w:val="auto"/>
        </w:rPr>
        <w:t>. Agent shall not be required to exercise any discretion or take, or to omit to take, any action, including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enforcement or collection, except any action it is required and directed to take, or omit to take, pursuant to instructions approved by the Required Lenders. Notwithstanding the prior sentence, Agent shall not be required to take, or to omit to take, any action (a) unless, upon demand, Agent receives an indemnification satisfactory to it from Lenders against all liabilities that, by reason of such action or omission, may be imposed on, incurred by or asserted against Agent or any of its Affiliates or Related Parties or (b) that is, in the opinion of Agent or its counsel, contrary to this Agreement, the other Loan Document or applicable law.</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9.5 Delegation of Rights and Duties</w:t>
      </w:r>
      <w:r>
        <w:rPr>
          <w:rFonts w:ascii="Arial" w:cs="Arial" w:eastAsia="Arial" w:hAnsi="Arial"/>
          <w:sz w:val="17"/>
          <w:szCs w:val="17"/>
          <w:color w:val="auto"/>
        </w:rPr>
        <w:t>. Agent may, upon any term or condition it specifies, delegate or exercise any of its rights,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remedies under, and delegate or perform any of its duties or any other action with respect to, this Agreement and the other Loan Documents by or through any Lender or their Related Parties. Any such person shall benefit from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to the extent provided to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5" w:lineRule="auto"/>
        <w:rPr>
          <w:sz w:val="20"/>
          <w:szCs w:val="20"/>
          <w:color w:val="auto"/>
        </w:rPr>
      </w:pPr>
      <w:r>
        <w:rPr>
          <w:rFonts w:ascii="Arial" w:cs="Arial" w:eastAsia="Arial" w:hAnsi="Arial"/>
          <w:sz w:val="16"/>
          <w:szCs w:val="16"/>
          <w:b w:val="1"/>
          <w:bCs w:val="1"/>
          <w:color w:val="auto"/>
        </w:rPr>
        <w:t>9.6 Reliance and Liability</w:t>
      </w:r>
      <w:r>
        <w:rPr>
          <w:rFonts w:ascii="Arial" w:cs="Arial" w:eastAsia="Arial" w:hAnsi="Arial"/>
          <w:sz w:val="16"/>
          <w:szCs w:val="16"/>
          <w:color w:val="auto"/>
        </w:rPr>
        <w:t>. Neither Agent nor any of its Related Parties shall be liable or responsible to any Lender or any of its Related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Loan Parties for (a) any action taken or omitted to be taken by Agent or any other such Person hereunder or under any related agreement, instrument or document, except in the case of resulting primarily from its gross negligence or willful misconduct as finally determined by a non-appealable court of competent jurisdiction or (b) any action taken or omitted to be taken by Agent or any such Related Party in connection with this Agreement or any other Loan Document with the consent or at the request of the Required Lenders, nor shall Agent or any of its Related Parties be liable or responsible for (i) the execution, legality, validity, effectiveness, sufficiency, enforceability or enforcement of this Agreement and the other Loan Documents or any instrument or document delivered hereunder or thereunder or relating hereto or thereto, or the value of any Collateral, or the attachment, perfection or priority of any Lien created or purported to be created under or in connection with this Agreement and the other Loan Documents; (ii) the title of any Loan Party to any of the Collateral or the right to grant a security interest therein; (iii) the determination, verification or enforcement any Loan Party’s compliance with any of the terms and conditions of this Agreement or the other Loan Documents; (iv) the failure by any Loan Party to deliver any instrument or document required to be delivered pursuant to the terms hereof or any other Loan Document; or (v) the receipt, disbursement, waiver, extension or other handling of proceeds made or received with respect to the Collateral, or the payment thereof, the servicing of the Collateral or the enforcement or the collection of any amounts owing with respect to the Collateral. Agent shall not incur any liability by acting in reliance upon any notice, consent, certificate, statement or other writing (which may be a bank wire, telex, facsimile transmission, e-mail or similar writing) reasonably believed by it to be genuine or to be signed by the proper party or parties. Agent makes no warranty or representation, and shall not be responsible, to any Lender for any statement, document, information, representation or warranty made or furnished by or on behalf of any of its Related Parties or any Loan Party in connection with this Agreement or the other Loan Documents or any transaction contemplated herein or therein or any other document or information transmitted by Agent, if any, including as to completeness, accuracy, scope or adequacy thereof, or for the scope, nature or results of any due diligence performed by Agent in connection with this Agreement and the other Loan Documents.</w:t>
      </w:r>
    </w:p>
    <w:p>
      <w:pPr>
        <w:spacing w:after="0" w:line="3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9.7 Agent Individually</w:t>
      </w:r>
      <w:r>
        <w:rPr>
          <w:rFonts w:ascii="Arial" w:cs="Arial" w:eastAsia="Arial" w:hAnsi="Arial"/>
          <w:sz w:val="18"/>
          <w:szCs w:val="18"/>
          <w:color w:val="auto"/>
        </w:rPr>
        <w:t>. To the extent Agent is owed an obligation as a Lender or made a Protective Advance and is a party to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it shall have and may exercise the same rights and powers hereunder and thereunder, and shall be subject to the same obligations and liabilities as, any other Lender.</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9.8 Agent Costs and Expenses</w:t>
      </w:r>
      <w:r>
        <w:rPr>
          <w:rFonts w:ascii="Arial" w:cs="Arial" w:eastAsia="Arial" w:hAnsi="Arial"/>
          <w:sz w:val="17"/>
          <w:szCs w:val="17"/>
          <w:color w:val="auto"/>
        </w:rPr>
        <w:t>. Lenders agree to reimburse Agent and each of its Related Parties (to the extent not reimbursed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as required pursuant to this Agreement) promptly upon demand, severally and ratably with each other Lender, for any documented costs and expenses (including reasonable fees and expenses of legal counsel) that may be incurred by Agent or any of its Related Parties in connection with the administration, modification, consent, waiver or enforcement (whether through negotiations, through any work-out, bankruptcy, restructuring or other legal or other proceeding or otherwise) of, or legal advice in respect of its rights or responsibilities under, this Agreement or any other Loan Document. This </w:t>
      </w:r>
      <w:r>
        <w:rPr>
          <w:rFonts w:ascii="Arial" w:cs="Arial" w:eastAsia="Arial" w:hAnsi="Arial"/>
          <w:sz w:val="17"/>
          <w:szCs w:val="17"/>
          <w:u w:val="single" w:color="auto"/>
          <w:color w:val="auto"/>
        </w:rPr>
        <w:t>Section9.8</w:t>
      </w:r>
      <w:r>
        <w:rPr>
          <w:rFonts w:ascii="Arial" w:cs="Arial" w:eastAsia="Arial" w:hAnsi="Arial"/>
          <w:sz w:val="17"/>
          <w:szCs w:val="17"/>
          <w:color w:val="auto"/>
        </w:rPr>
        <w:t xml:space="preserve"> shall survive termination of this Agreement and the other Loan Documents.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9.9 Indemnification of Agent</w:t>
      </w:r>
      <w:r>
        <w:rPr>
          <w:rFonts w:ascii="Arial" w:cs="Arial" w:eastAsia="Arial" w:hAnsi="Arial"/>
          <w:sz w:val="17"/>
          <w:szCs w:val="17"/>
          <w:color w:val="auto"/>
        </w:rPr>
        <w:t>. Lenders further agree to indemnify Agent and each of its Related Parties (to the extent not reimbursed by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as required pursuant to this Agreement), severally and ratably with each other Lender, from and against any and all liabilities, obligations, losses, damages, penalties, actions, judgments, suits, claims, costs, expenses and disbursements of any kind or nature whatsoever (including the reasonable fees and disbursements of counsel for Agent or such Related Parties) in connection with any investigative, administrative or judicial proceeding, enforcement action or any other action taken or omitted to be taken by Agent or any of its Related Parties under or with respect to this Agreement or the other Loan Documents, or any other act, event or transaction related, contemplated or attendant thereto, whether or not Agent or such Related Party shall be designated a party thereto and including any such proceeding initiated by or on behalf of the Loan Parties which may be imposed on, incurred by or asserted against Agent or such Related Party as a result of or in connection with this Agreement or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Lenders shall not be liable to Agent or any of its Related Parties to the extent such liability has resulted primarily from the gross negligence or willful misconduct of Agent or, as the case may be, such Related Party, as determined by a court of competent jurisdiction in a final non-appealable judgment or order. This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shall survive termination of this Agreement and the other Loan Documents.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9.10 Resignation of Agent</w:t>
      </w:r>
      <w:r>
        <w:rPr>
          <w:rFonts w:ascii="Arial" w:cs="Arial" w:eastAsia="Arial" w:hAnsi="Arial"/>
          <w:sz w:val="18"/>
          <w:szCs w:val="18"/>
          <w:color w:val="auto"/>
        </w:rPr>
        <w:t>. Agent may resign at any time by giving notice thereof to Lenders and Borrower. Upon any such resignation,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Required Lenders shall have the right to appoint a successor Agent. If no successor Agent shall have been so appointed by the Required Lenders, and shall have accepted such appointment, within thirty (30) days after the retiring Agent gives notice of resignation, then the retiring Agent may, on behalf of Lenders, appoint a successor Agent, which shall be an entity organized or licensed under the Laws of the United States of America or any state thereof. Upon the acceptance of its appointment as Agent hereunder by a successor Agent, such successor Agent shall thereupon succeed to and become vested with all the rights and duties of the retiring Agent, and the retiring Agent shall be discharged from any further duties and obligations hereunder. After any retiring Agent’s resignation hereunder as Agent, the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or otherwise herein shall inure to its benefit as to any actions taken or omitted to be taken by it while it was Agent.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92" w:lineRule="auto"/>
        <w:rPr>
          <w:sz w:val="20"/>
          <w:szCs w:val="20"/>
          <w:color w:val="auto"/>
        </w:rPr>
      </w:pPr>
      <w:r>
        <w:rPr>
          <w:rFonts w:ascii="Arial" w:cs="Arial" w:eastAsia="Arial" w:hAnsi="Arial"/>
          <w:sz w:val="16"/>
          <w:szCs w:val="16"/>
          <w:b w:val="1"/>
          <w:bCs w:val="1"/>
          <w:color w:val="auto"/>
        </w:rPr>
        <w:t>9.11 Release of Collateral</w:t>
      </w:r>
      <w:r>
        <w:rPr>
          <w:rFonts w:ascii="Arial" w:cs="Arial" w:eastAsia="Arial" w:hAnsi="Arial"/>
          <w:sz w:val="16"/>
          <w:szCs w:val="16"/>
          <w:color w:val="auto"/>
        </w:rPr>
        <w:t>. Lenders hereby consent to the automatic release and hereby directs Agent to release any Lien held by Agent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Lenders against (a) any Collateral that is sold by a Loan Party as permitted by this Agreement or the other Loan Documents (including pursuant to a valid waiver or consent), to the extent all Liens required to be granted in the proceeds of such Collateral after giving effect to such sale have been granted and (b) all of the Collateral of the Loan Parties upon (i) payment and satisfaction in full of all obligations under this Agreement and the other Loan Documents (other than contingent indemnification obligations for which no claim has been asserted), (ii) deposit of cash collateral with respect to all contingent obligations in amounts and on terms and conditions and with parties satisfactory to Agent and each Related Party that is owed such obligations and (iii) to the extent requested by Agent, receipt by Lenders of liability releases from the Loan Parties each in form and substance acceptable to Agent.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9.12 Erroneous Payments</w:t>
      </w:r>
    </w:p>
    <w:p>
      <w:pPr>
        <w:spacing w:after="0" w:line="229" w:lineRule="exact"/>
        <w:rPr>
          <w:sz w:val="20"/>
          <w:szCs w:val="20"/>
          <w:color w:val="auto"/>
        </w:rPr>
      </w:pPr>
    </w:p>
    <w:p>
      <w:pPr>
        <w:jc w:val="both"/>
        <w:ind w:firstLine="656"/>
        <w:spacing w:after="0" w:line="269" w:lineRule="auto"/>
        <w:tabs>
          <w:tab w:leader="none" w:pos="89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Agent (i) notifies a Lender or any Person who has received funds on behalf of a Lender (any such Lender or other recipient (and each of their respective successors and assigns),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xml:space="preserve">”) that Agent has determined in its sole discretion (whether or not 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and (ii) demands in writing the return of such Erroneous Payment (or a portion thereof), such Erroneous Payment shall at all times remain the property of Agent pending its return or repayment as contemplated below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and held in trust for the benefit of Agent, and such Lender shall (or, with respect to any Payment Recipient who received such funds on its behalf, shall cause such Payment Recipient to) promptly, but in no event later than two (2) Business Days thereafter (or such later date as Agent may, in its sole discretion, specify in writing), return to Agent the amount of any such Erroneous Payment (or portion thereof) as to which such a demand was made, in same day funds. A notice of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w:t>
      </w:r>
    </w:p>
    <w:p>
      <w:pPr>
        <w:spacing w:after="0" w:line="178" w:lineRule="exact"/>
        <w:rPr>
          <w:rFonts w:ascii="Arial" w:cs="Arial" w:eastAsia="Arial" w:hAnsi="Arial"/>
          <w:sz w:val="17"/>
          <w:szCs w:val="17"/>
          <w:color w:val="auto"/>
        </w:rPr>
      </w:pPr>
    </w:p>
    <w:p>
      <w:pPr>
        <w:jc w:val="both"/>
        <w:ind w:firstLine="656"/>
        <w:spacing w:after="0" w:line="254" w:lineRule="auto"/>
        <w:tabs>
          <w:tab w:leader="none" w:pos="9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2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it acknowledges and agrees that (A)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and mistake shall be presumed to have been made (absent written confirmation from Agent to the contrary) or (B) an error and mistake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15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such Lender shall (and shall cause any other recipient that receives funds on its respective behalf to) promptly (and, in all events, within one (1) Business Day of its knowledge of the occurrence of any of the circumstances described in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(z)</w:t>
      </w:r>
      <w:r>
        <w:rPr>
          <w:rFonts w:ascii="Arial" w:cs="Arial" w:eastAsia="Arial" w:hAnsi="Arial"/>
          <w:sz w:val="18"/>
          <w:szCs w:val="18"/>
          <w:color w:val="auto"/>
        </w:rPr>
        <w:t xml:space="preserve">) notify Agent of its receipt of such payment, prepayment or repayment, the details thereof (in reasonable detail) and that it is so notifying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ind w:right="680" w:firstLine="648"/>
        <w:spacing w:after="0" w:line="277" w:lineRule="auto"/>
        <w:rPr>
          <w:sz w:val="20"/>
          <w:szCs w:val="20"/>
          <w:color w:val="auto"/>
        </w:rPr>
      </w:pPr>
      <w:r>
        <w:rPr>
          <w:rFonts w:ascii="Arial" w:cs="Arial" w:eastAsia="Arial" w:hAnsi="Arial"/>
          <w:sz w:val="18"/>
          <w:szCs w:val="18"/>
          <w:color w:val="auto"/>
        </w:rPr>
        <w:t xml:space="preserve">For the avoidance of doubt, the failure to deliver a notice to Agent pursuant to this </w:t>
      </w:r>
      <w:r>
        <w:rPr>
          <w:rFonts w:ascii="Arial" w:cs="Arial" w:eastAsia="Arial" w:hAnsi="Arial"/>
          <w:sz w:val="18"/>
          <w:szCs w:val="18"/>
          <w:u w:val="single" w:color="auto"/>
          <w:color w:val="auto"/>
        </w:rPr>
        <w:t>Section 9.12(b)</w:t>
      </w:r>
      <w:r>
        <w:rPr>
          <w:rFonts w:ascii="Arial" w:cs="Arial" w:eastAsia="Arial" w:hAnsi="Arial"/>
          <w:sz w:val="18"/>
          <w:szCs w:val="18"/>
          <w:color w:val="auto"/>
        </w:rPr>
        <w:t xml:space="preserve"> shall not have any effect on a Payment Recipient’s obligations pursuant to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or on whether or not an Erroneous Payment has been made.</w:t>
      </w:r>
    </w:p>
    <w:p>
      <w:pPr>
        <w:spacing w:after="0" w:line="170" w:lineRule="exact"/>
        <w:rPr>
          <w:sz w:val="20"/>
          <w:szCs w:val="20"/>
          <w:color w:val="auto"/>
        </w:rPr>
      </w:pPr>
    </w:p>
    <w:p>
      <w:pPr>
        <w:jc w:val="both"/>
        <w:ind w:firstLine="656"/>
        <w:spacing w:after="0" w:line="286" w:lineRule="auto"/>
        <w:tabs>
          <w:tab w:leader="none" w:pos="91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Each Lender hereby authorizes Agent to set off, net and apply any and all amounts at any time owing to such Lender under any Loan Document, or otherwise payable or distributable by Agent to such Lender under any Loan Document with respect to any payment of principal, interest, fees or other amounts, against any amount that Agent has demanded to be returned under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56"/>
        <w:spacing w:after="0" w:line="283" w:lineRule="auto"/>
        <w:tabs>
          <w:tab w:leader="none" w:pos="91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(i) In the event that an Erroneous Payment (or portion thereof) is not recovered by Agent for any reason, after demand therefor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b w:val="1"/>
          <w:bCs w:val="1"/>
          <w:i w:val="1"/>
          <w:iCs w:val="1"/>
          <w:color w:val="auto"/>
        </w:rPr>
        <w:t>Erroneous Payment Return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Deficiency</w:t>
      </w:r>
      <w:r>
        <w:rPr>
          <w:rFonts w:ascii="Arial" w:cs="Arial" w:eastAsia="Arial" w:hAnsi="Arial"/>
          <w:sz w:val="16"/>
          <w:szCs w:val="16"/>
          <w:color w:val="auto"/>
        </w:rPr>
        <w:t>”), upon Agent’s notice to such Lender at any time, then effective immediately (with the consideration therefor being acknowledged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hereto), (A) such Lender shall be deemed to have assigned its Term Loan (but not its Term Loan Commitments) with respect to which such Erroneous Payment was made in an amount equal to the Erroneous Payment Return Deficiency (or such lesser amount as Agent may specify) (such assignment of the Term Loan (but not Term Loan Commitments), the “</w:t>
      </w:r>
      <w:r>
        <w:rPr>
          <w:rFonts w:ascii="Arial" w:cs="Arial" w:eastAsia="Arial" w:hAnsi="Arial"/>
          <w:sz w:val="16"/>
          <w:szCs w:val="16"/>
          <w:b w:val="1"/>
          <w:bCs w:val="1"/>
          <w:i w:val="1"/>
          <w:iCs w:val="1"/>
          <w:color w:val="auto"/>
        </w:rPr>
        <w:t>Erroneous Payment Deficiency Assignment</w:t>
      </w:r>
      <w:r>
        <w:rPr>
          <w:rFonts w:ascii="Arial" w:cs="Arial" w:eastAsia="Arial" w:hAnsi="Arial"/>
          <w:sz w:val="16"/>
          <w:szCs w:val="16"/>
          <w:color w:val="auto"/>
        </w:rPr>
        <w:t>”) (on a cashless basis and such amount calculated at par plus any accrued and unpaid interest), and is hereby (together with Borrowers) deemed to execute and deliver an assignment and assumption with respect to such Erroneous Payment Deficiency Assignment, and such Lender shall deliver any Notes evidencing the such portion of the Term Loan to Borrower or Agent (but the failure of such Person to deliver any such Notes shall not affect the effectiveness of the foregoing assignment),</w:t>
      </w:r>
    </w:p>
    <w:p>
      <w:pPr>
        <w:spacing w:after="0" w:line="4" w:lineRule="exact"/>
        <w:rPr>
          <w:rFonts w:ascii="Arial" w:cs="Arial" w:eastAsia="Arial" w:hAnsi="Arial"/>
          <w:sz w:val="16"/>
          <w:szCs w:val="16"/>
          <w:color w:val="auto"/>
        </w:rPr>
      </w:pPr>
    </w:p>
    <w:p>
      <w:pPr>
        <w:jc w:val="both"/>
        <w:ind w:firstLine="8"/>
        <w:spacing w:after="0" w:line="287" w:lineRule="auto"/>
        <w:tabs>
          <w:tab w:leader="none" w:pos="30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Agent as the assignee Lender shall be deemed to have acquired the Erroneous Payment Deficiency Assignment, (C) upon such deemed acquisition,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Term Loan Commitments which shall survive as to such assigning Lender, (D) Agent and Borrowers shall each be deemed to have waived any consents required under this Agreement to any such Erroneous Payment Deficiency Assignment, and (E) Agent will reflect in the Register its ownership interest in the Term Loan subject to the Erroneous Payment Deficiency Assignment. For the avoidance of doubt, no Erroneous Payment Deficiency Assignment will reduce the Term Loan Commitments of any Lender and such Term Loan Commitments shall remain available in accordance with the terms of this Agreement.</w:t>
      </w:r>
    </w:p>
    <w:p>
      <w:pPr>
        <w:spacing w:after="0" w:line="169" w:lineRule="exact"/>
        <w:rPr>
          <w:rFonts w:ascii="Arial" w:cs="Arial" w:eastAsia="Arial" w:hAnsi="Arial"/>
          <w:sz w:val="16"/>
          <w:szCs w:val="16"/>
          <w:color w:val="auto"/>
        </w:rPr>
      </w:pPr>
    </w:p>
    <w:p>
      <w:pPr>
        <w:jc w:val="both"/>
        <w:ind w:left="660" w:firstLine="644"/>
        <w:spacing w:after="0" w:line="289" w:lineRule="auto"/>
        <w:tabs>
          <w:tab w:leader="none" w:pos="1586" w:val="left"/>
        </w:tabs>
        <w:numPr>
          <w:ilvl w:val="2"/>
          <w:numId w:val="12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(but excluding, in all events, any assignment consent or approval requirements (whether from Borrower or otherwise)), Agent may, in its discretion, sell any portion of the Term Loan acquired pursuant to an Erroneous Payment Deficiency Assignment and upon receipt of the proceeds of such sale, the Erroneous Payment Return Deficiency owing by the applicable Lender shall be reduced by the net proceeds of the sale of such Term Loan (or portion thereof), and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Agent on or with respect to such portion of the Term Loan acquired from such Lender pursuant to an Erroneous Payment Deficiency Assignment (to the extent that such Term Loan is then owned by Agent) and (y) may, in the sole discretion of Agent, be reduced by any amount specified by Agent in writing to the applicable Lender from time to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56"/>
        <w:spacing w:after="0" w:line="269" w:lineRule="auto"/>
        <w:tabs>
          <w:tab w:leader="none" w:pos="90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parties hereto agree that (x) irrespective of whether Agent may be equitably subrogated, in the event that an Erroneous Payment (or portion thereof) is not recovered from any Payment Recipient that has received such Erroneous Payment (or portion thereof) for any reason,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Arial" w:cs="Arial" w:eastAsia="Arial" w:hAnsi="Arial"/>
          <w:sz w:val="17"/>
          <w:szCs w:val="17"/>
          <w:b w:val="1"/>
          <w:bCs w:val="1"/>
          <w:i w:val="1"/>
          <w:iCs w:val="1"/>
          <w:color w:val="auto"/>
        </w:rPr>
        <w:t>Erroneous Payment Subrogation Rights</w:t>
      </w:r>
      <w:r>
        <w:rPr>
          <w:rFonts w:ascii="Arial" w:cs="Arial" w:eastAsia="Arial" w:hAnsi="Arial"/>
          <w:sz w:val="17"/>
          <w:szCs w:val="17"/>
          <w:color w:val="auto"/>
        </w:rPr>
        <w: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Loan Parties’ Obligations under the Loan Documents in respect of the Erroneous Payment Subrogation Rights shall not be duplicative of such Obligations in respect of any portion of the Term Loan that have been assigned to Agent under an Erroneous Payment Deficiency Assignment) and (y) an Erroneous Payment shall not pay, prepay, repay, discharge or otherwise satisfy any Obligations owed by Borrowers or any other Loan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not be interpreted to increase (or accelerate the due date for), or have the effect of increasing (or accelerating the due date for), the Obligations of Borrowers relative to the amount (and/or timing for payment) of the Obligations that would have been payable had such Erroneous Payment not been made by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for the avoidance of doubt, immediately preceding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shall not apply to the extent any such Erroneous Payment is, and solely with respect to the amount of such Erroneous Payment that is, comprised of funds received by Agent from Borrowers for the purpose of making such Erroneous Payment.</w:t>
      </w:r>
    </w:p>
    <w:p>
      <w:pPr>
        <w:spacing w:after="0" w:line="178" w:lineRule="exact"/>
        <w:rPr>
          <w:rFonts w:ascii="Arial" w:cs="Arial" w:eastAsia="Arial" w:hAnsi="Arial"/>
          <w:sz w:val="17"/>
          <w:szCs w:val="17"/>
          <w:color w:val="auto"/>
        </w:rPr>
      </w:pPr>
    </w:p>
    <w:p>
      <w:pPr>
        <w:jc w:val="both"/>
        <w:ind w:firstLine="656"/>
        <w:spacing w:after="0" w:line="311" w:lineRule="auto"/>
        <w:tabs>
          <w:tab w:leader="none" w:pos="87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Agent for the return of any Erroneous Payment received, including, without limitation, any defense based on “discharge for value” or any similar doctrine.</w:t>
      </w:r>
    </w:p>
    <w:p>
      <w:pPr>
        <w:spacing w:after="0" w:line="148" w:lineRule="exact"/>
        <w:rPr>
          <w:rFonts w:ascii="Arial" w:cs="Arial" w:eastAsia="Arial" w:hAnsi="Arial"/>
          <w:sz w:val="16"/>
          <w:szCs w:val="16"/>
          <w:color w:val="auto"/>
        </w:rPr>
      </w:pPr>
    </w:p>
    <w:p>
      <w:pPr>
        <w:jc w:val="both"/>
        <w:ind w:firstLine="656"/>
        <w:spacing w:after="0" w:line="263" w:lineRule="auto"/>
        <w:tabs>
          <w:tab w:leader="none" w:pos="90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Each party’s obligations, agreements and waivers under this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shall survive the resignation or replacement of Agent, any transfer of rights or obligations by, or the replacement of, a Lender, the termination of the Term Loan Commitments and/or the repayment, satisfaction or discharge of all Obligations (or any portion thereof) under any Loan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and delivered by their proper and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as of the day and year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 LA CARTE,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VENTOUX MERGER SUB II LLC)</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Ashish Gupta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PARENT: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(F/K/A VENTOUX CCM ACQUISITION 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Ashish Gupta</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5" w:name="page136"/>
    <w:bookmarkEnd w:id="135"/>
    <w:p>
      <w:pPr>
        <w:ind w:left="676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METROPOLITAN PARTNERS GROUP</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ADMINISTRATION,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732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682"/>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6" w:name="page137"/>
    <w:bookmarkEnd w:id="136"/>
    <w:p>
      <w:pPr>
        <w:ind w:left="564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METROPOLITAN LEVERED PARTNERS FUND VII, LP</w:t>
      </w:r>
    </w:p>
    <w:p>
      <w:pPr>
        <w:spacing w:after="0" w:line="237"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CORBIN CAPITAL PARTNERS, L.P., its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Daniel Friedman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7" w:name="page138"/>
    <w:bookmarkEnd w:id="137"/>
    <w:p>
      <w:pPr>
        <w:ind w:left="1032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September 21, 2022, by and among (i) Ventoux CCM Acquisition Corp., a Delaware corporation (“</w:t>
      </w:r>
      <w:r>
        <w:rPr>
          <w:rFonts w:ascii="Arial" w:cs="Arial" w:eastAsia="Arial" w:hAnsi="Arial"/>
          <w:sz w:val="17"/>
          <w:szCs w:val="17"/>
          <w:u w:val="single" w:color="auto"/>
          <w:color w:val="auto"/>
        </w:rPr>
        <w:t>Pubco</w:t>
      </w:r>
      <w:r>
        <w:rPr>
          <w:rFonts w:ascii="Arial" w:cs="Arial" w:eastAsia="Arial" w:hAnsi="Arial"/>
          <w:sz w:val="17"/>
          <w:szCs w:val="17"/>
          <w:color w:val="auto"/>
        </w:rPr>
        <w:t>”), (ii) Ventoux Acquisition Holdings LLC, a Delaware limited liability company (“</w:t>
      </w:r>
      <w:r>
        <w:rPr>
          <w:rFonts w:ascii="Arial" w:cs="Arial" w:eastAsia="Arial" w:hAnsi="Arial"/>
          <w:sz w:val="17"/>
          <w:szCs w:val="17"/>
          <w:u w:val="single" w:color="auto"/>
          <w:color w:val="auto"/>
        </w:rPr>
        <w:t>Co-Sponsor</w:t>
      </w:r>
      <w:r>
        <w:rPr>
          <w:rFonts w:ascii="Arial" w:cs="Arial" w:eastAsia="Arial" w:hAnsi="Arial"/>
          <w:sz w:val="17"/>
          <w:szCs w:val="17"/>
          <w:color w:val="auto"/>
        </w:rPr>
        <w:t>”), (iii) Chardan International Investments, LLC, a Delaware limited liability company (together with the Co-Sponsor, the “</w:t>
      </w:r>
      <w:r>
        <w:rPr>
          <w:rFonts w:ascii="Arial" w:cs="Arial" w:eastAsia="Arial" w:hAnsi="Arial"/>
          <w:sz w:val="17"/>
          <w:szCs w:val="17"/>
          <w:u w:val="single" w:color="auto"/>
          <w:color w:val="auto"/>
        </w:rPr>
        <w:t>Sponsors</w:t>
      </w:r>
      <w:r>
        <w:rPr>
          <w:rFonts w:ascii="Arial" w:cs="Arial" w:eastAsia="Arial" w:hAnsi="Arial"/>
          <w:sz w:val="17"/>
          <w:szCs w:val="17"/>
          <w:color w:val="auto"/>
        </w:rPr>
        <w:t>”), (iv) Metropolitan Levered Partners Fund VII, LP, Metropolitan Partners Fund VII, LP and CEOF Holdings LP (collectively, the “</w:t>
      </w:r>
      <w:r>
        <w:rPr>
          <w:rFonts w:ascii="Arial" w:cs="Arial" w:eastAsia="Arial" w:hAnsi="Arial"/>
          <w:sz w:val="17"/>
          <w:szCs w:val="17"/>
          <w:u w:val="single" w:color="auto"/>
          <w:color w:val="auto"/>
        </w:rPr>
        <w:t>Metropolitan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(v) each of the Persons listed on the Schedule of Investors attached hereto as of the date hereof, and (vi) each of the other Persons set forth from time to time on the Schedule of Investors who, at any time, own securities of Pubco and enter into a joinder to this Agreement agreeing to be bound by the terms hereof (each Person identified in the foregoing (ii) through (vi),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xml:space="preserve">”). Unless otherwise provided in this Agreement, capitalized terms used herein shall have the meanings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Pubco and certain of the Investors (the “</w:t>
      </w:r>
      <w:r>
        <w:rPr>
          <w:rFonts w:ascii="Arial" w:cs="Arial" w:eastAsia="Arial" w:hAnsi="Arial"/>
          <w:sz w:val="18"/>
          <w:szCs w:val="18"/>
          <w:u w:val="single" w:color="auto"/>
          <w:color w:val="auto"/>
        </w:rPr>
        <w:t>Original Holders</w:t>
      </w:r>
      <w:r>
        <w:rPr>
          <w:rFonts w:ascii="Arial" w:cs="Arial" w:eastAsia="Arial" w:hAnsi="Arial"/>
          <w:sz w:val="18"/>
          <w:szCs w:val="18"/>
          <w:color w:val="auto"/>
        </w:rPr>
        <w:t>”) are parties to that certain Registration Rights Agreement, dated as of December 23, 2020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WHEREAS, upon the consummation of the transactions contemplated by the Merger Agreement, the Original Holders will hold an aggregate of 2,689,187 shares (the “</w:t>
      </w:r>
      <w:r>
        <w:rPr>
          <w:rFonts w:ascii="Arial" w:cs="Arial" w:eastAsia="Arial" w:hAnsi="Arial"/>
          <w:sz w:val="16"/>
          <w:szCs w:val="16"/>
          <w:u w:val="single" w:color="auto"/>
          <w:color w:val="auto"/>
        </w:rPr>
        <w:t>Founder Shares</w:t>
      </w:r>
      <w:r>
        <w:rPr>
          <w:rFonts w:ascii="Arial" w:cs="Arial" w:eastAsia="Arial" w:hAnsi="Arial"/>
          <w:sz w:val="16"/>
          <w:szCs w:val="16"/>
          <w:color w:val="auto"/>
        </w:rPr>
        <w:t>”) of common stock of Pubco, par value $0.0001 per share, originally issued prior to Pubco’s initial public offering;</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upon the consummation of the transactions contemplated by the Merger Agreement, the Original Holders will hold an aggregate of 5,625,000 warrants (the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to purchase, at an exercise price of $11.50 per share (subject to adjustment), shares of Common Stock;</w:t>
      </w:r>
    </w:p>
    <w:p>
      <w:pPr>
        <w:spacing w:after="0" w:line="1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WHEREAS, Pubco, Ventoux Merger Sub I, Inc. (“</w:t>
      </w:r>
      <w:r>
        <w:rPr>
          <w:rFonts w:ascii="Arial" w:cs="Arial" w:eastAsia="Arial" w:hAnsi="Arial"/>
          <w:sz w:val="18"/>
          <w:szCs w:val="18"/>
          <w:u w:val="single" w:color="auto"/>
          <w:color w:val="auto"/>
        </w:rPr>
        <w:t>First Merger Sub</w:t>
      </w:r>
      <w:r>
        <w:rPr>
          <w:rFonts w:ascii="Arial" w:cs="Arial" w:eastAsia="Arial" w:hAnsi="Arial"/>
          <w:sz w:val="18"/>
          <w:szCs w:val="18"/>
          <w:color w:val="auto"/>
        </w:rPr>
        <w:t>”), Ventoux Merger Sub II, LLC (“</w:t>
      </w:r>
      <w:r>
        <w:rPr>
          <w:rFonts w:ascii="Arial" w:cs="Arial" w:eastAsia="Arial" w:hAnsi="Arial"/>
          <w:sz w:val="18"/>
          <w:szCs w:val="18"/>
          <w:u w:val="single" w:color="auto"/>
          <w:color w:val="auto"/>
        </w:rPr>
        <w:t>Second Merger Sub</w:t>
      </w:r>
      <w:r>
        <w:rPr>
          <w:rFonts w:ascii="Arial" w:cs="Arial" w:eastAsia="Arial" w:hAnsi="Arial"/>
          <w:sz w:val="18"/>
          <w:szCs w:val="18"/>
          <w:color w:val="auto"/>
        </w:rPr>
        <w:t>”) and E La Carte, Inc. (the “</w:t>
      </w:r>
      <w:r>
        <w:rPr>
          <w:rFonts w:ascii="Arial" w:cs="Arial" w:eastAsia="Arial" w:hAnsi="Arial"/>
          <w:sz w:val="18"/>
          <w:szCs w:val="18"/>
          <w:u w:val="single" w:color="auto"/>
          <w:color w:val="auto"/>
        </w:rPr>
        <w:t>Target</w:t>
      </w:r>
      <w:r>
        <w:rPr>
          <w:rFonts w:ascii="Arial" w:cs="Arial" w:eastAsia="Arial" w:hAnsi="Arial"/>
          <w:sz w:val="18"/>
          <w:szCs w:val="18"/>
          <w:color w:val="auto"/>
        </w:rPr>
        <w:t>”) have entered into that certain Agreement and Plan of Merger, dated as of November 10, 2021 (as amended,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(and subject to the terms and conditions set forth therein) First Merger Sub will merge with and into the Target, with the Target surviving such merger as a wholly-owned subsidiary of Pubco (the “</w:t>
      </w:r>
      <w:r>
        <w:rPr>
          <w:rFonts w:ascii="Arial" w:cs="Arial" w:eastAsia="Arial" w:hAnsi="Arial"/>
          <w:sz w:val="18"/>
          <w:szCs w:val="18"/>
          <w:u w:val="single" w:color="auto"/>
          <w:color w:val="auto"/>
        </w:rPr>
        <w:t>First Merger</w:t>
      </w:r>
      <w:r>
        <w:rPr>
          <w:rFonts w:ascii="Arial" w:cs="Arial" w:eastAsia="Arial" w:hAnsi="Arial"/>
          <w:sz w:val="18"/>
          <w:szCs w:val="18"/>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Pubco entered into a credit agreement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September 21, 2022 with certain lending parties pursuant to which the lending parties made available to Target a senior secured single draw term loan facility in the maximum committed principal amount of Fifty Five Million and No/100 Dollars ($55,000,000.00);</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in connection with the execution and delivery of the CreditAgreement, Pubco and the Metropolitan Parties entered into subscription agreements, dated as of September 21, 2022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pursuant to which, and subject to the terms and conditions thereof, Pubco agreed to issue to the Metropolitan Parties the Subscribed Warrants, as defined in the Subscription Agreements);</w:t>
      </w:r>
    </w:p>
    <w:p>
      <w:pPr>
        <w:spacing w:after="0" w:line="1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WHEREAS, the parties to the Prior Agreement desire to amend and restate the Prior Agreement in its entirety on the terms and conditions included herein and to include the recipients of the other Registrable Securities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firstLine="432"/>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70" w:lineRule="exact"/>
        <w:rPr>
          <w:sz w:val="20"/>
          <w:szCs w:val="20"/>
          <w:color w:val="auto"/>
        </w:rPr>
      </w:pPr>
    </w:p>
    <w:p>
      <w:pPr>
        <w:ind w:left="620" w:hanging="180"/>
        <w:spacing w:after="0"/>
        <w:tabs>
          <w:tab w:leader="none" w:pos="62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3" w:lineRule="auto"/>
        <w:tabs>
          <w:tab w:leader="none" w:pos="1554"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Pubco shall use its reasonable best efforts to prepare and file or cause to be prepared and filed with the Commission, no later than 30 days following the consummation of the Mergers (the “</w:t>
      </w:r>
      <w:r>
        <w:rPr>
          <w:rFonts w:ascii="Arial" w:cs="Arial" w:eastAsia="Arial" w:hAnsi="Arial"/>
          <w:sz w:val="16"/>
          <w:szCs w:val="16"/>
          <w:u w:val="single" w:color="auto"/>
          <w:color w:val="auto"/>
        </w:rPr>
        <w:t>Filing Deadline</w:t>
      </w:r>
      <w:r>
        <w:rPr>
          <w:rFonts w:ascii="Arial" w:cs="Arial" w:eastAsia="Arial" w:hAnsi="Arial"/>
          <w:sz w:val="16"/>
          <w:szCs w:val="16"/>
          <w:color w:val="auto"/>
        </w:rPr>
        <w:t>”), a Registration Statement for an offering to be made on a continuous basis pursuant to Rule 415 of the Securities Act registering the resale from time to time by the Investors of all of the Registrable Securities held by the Investors (the “</w:t>
      </w:r>
      <w:r>
        <w:rPr>
          <w:rFonts w:ascii="Arial" w:cs="Arial" w:eastAsia="Arial" w:hAnsi="Arial"/>
          <w:sz w:val="16"/>
          <w:szCs w:val="16"/>
          <w:u w:val="single" w:color="auto"/>
          <w:color w:val="auto"/>
        </w:rPr>
        <w:t>Resale Shelf Registration Statement</w:t>
      </w:r>
      <w:r>
        <w:rPr>
          <w:rFonts w:ascii="Arial" w:cs="Arial" w:eastAsia="Arial" w:hAnsi="Arial"/>
          <w:sz w:val="16"/>
          <w:szCs w:val="16"/>
          <w:color w:val="auto"/>
        </w:rPr>
        <w:t xml:space="preserve">”). The Resale Shelf Registration Statement shall be on Form S-1; </w:t>
      </w:r>
      <w:r>
        <w:rPr>
          <w:rFonts w:ascii="Arial" w:cs="Arial" w:eastAsia="Arial" w:hAnsi="Arial"/>
          <w:sz w:val="16"/>
          <w:szCs w:val="16"/>
          <w:u w:val="single" w:color="auto"/>
          <w:color w:val="auto"/>
        </w:rPr>
        <w:t>provided</w:t>
      </w:r>
      <w:r>
        <w:rPr>
          <w:rFonts w:ascii="Arial" w:cs="Arial" w:eastAsia="Arial" w:hAnsi="Arial"/>
          <w:sz w:val="16"/>
          <w:szCs w:val="16"/>
          <w:color w:val="auto"/>
        </w:rPr>
        <w:t>, that Pubco shall file, within 30 days of such time as Form S-3 (“</w:t>
      </w:r>
      <w:r>
        <w:rPr>
          <w:rFonts w:ascii="Arial" w:cs="Arial" w:eastAsia="Arial" w:hAnsi="Arial"/>
          <w:sz w:val="16"/>
          <w:szCs w:val="16"/>
          <w:u w:val="single" w:color="auto"/>
          <w:color w:val="auto"/>
        </w:rPr>
        <w:t>Form S-3</w:t>
      </w:r>
      <w:r>
        <w:rPr>
          <w:rFonts w:ascii="Arial" w:cs="Arial" w:eastAsia="Arial" w:hAnsi="Arial"/>
          <w:sz w:val="16"/>
          <w:szCs w:val="16"/>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60 days following the Filing Deadline and (ii) three Business Days after the Commission notifies Pubco that it will not review the Resale Shelf Registration Statement, if applicable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provided, that, if the Registration Statement filed pursuant to this Section 1(a) is reviewed by, and Pubco receives comments from, the Commission with respect to such Registration Statement, the Effectiveness Deadline shall be extended to 90 days following the Filing Deadline. Without limiting the foregoing, as soon as practicable, but in no event later than three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 Pubco shall file with the Commission the final form of such Prospectus pursuant to Rule 424 (or successor thereto) under the Securities Act no later than the first Business Day after the Resale Shelf Registration Statement becomes effective. The Resale Shelf Registration Statement shall provide that the Registrable Securities may be sold pursuant to any method or combination of methods legally available to, and requested by, the Investors. Without limiting the foregoing, subject to any comments from the Commission, each Registration Statement filed pursuant to this Section 1 shall include a “plan of distribution” approved by the Majority Presto Investors, the Majority Metropolitan Parties and the Sponsors.</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firstLine="1304"/>
        <w:spacing w:after="0" w:line="284" w:lineRule="auto"/>
        <w:tabs>
          <w:tab w:leader="none" w:pos="156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Notwithstanding the registration obligations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in the event that, despite Pubco’s efforts to include all of the Registrable Securities in any Registration Statement filed pursuant to Section 1(a), the Commission informs Pubco (the “</w:t>
      </w:r>
      <w:r>
        <w:rPr>
          <w:rFonts w:ascii="Arial" w:cs="Arial" w:eastAsia="Arial" w:hAnsi="Arial"/>
          <w:sz w:val="16"/>
          <w:szCs w:val="16"/>
          <w:u w:val="single" w:color="auto"/>
          <w:color w:val="auto"/>
        </w:rPr>
        <w:t>Commission’s Notice</w:t>
      </w:r>
      <w:r>
        <w:rPr>
          <w:rFonts w:ascii="Arial" w:cs="Arial" w:eastAsia="Arial" w:hAnsi="Arial"/>
          <w:sz w:val="16"/>
          <w:szCs w:val="16"/>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Arial" w:cs="Arial" w:eastAsia="Arial" w:hAnsi="Arial"/>
          <w:sz w:val="16"/>
          <w:szCs w:val="16"/>
          <w:u w:val="single" w:color="auto"/>
          <w:color w:val="auto"/>
        </w:rPr>
        <w:t>New Registration Statement</w:t>
      </w:r>
      <w:r>
        <w:rPr>
          <w:rFonts w:ascii="Arial" w:cs="Arial" w:eastAsia="Arial" w:hAnsi="Arial"/>
          <w:sz w:val="16"/>
          <w:szCs w:val="16"/>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u w:val="single" w:color="auto"/>
          <w:color w:val="auto"/>
        </w:rPr>
        <w:t>SEC Guidance</w:t>
      </w:r>
      <w:r>
        <w:rPr>
          <w:rFonts w:ascii="Arial" w:cs="Arial" w:eastAsia="Arial" w:hAnsi="Arial"/>
          <w:sz w:val="16"/>
          <w:szCs w:val="16"/>
          <w:color w:val="auto"/>
        </w:rPr>
        <w:t>”),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months following the date of Pubco’s receipt of the Commission’s Notice, then, until such Resale Shelf Registration Statement is effective, each of the Majority Presto Investors, the Majority Metropolitan Parties and the Sponsors shall be entitled to demand registration rights pursuant to Section 2 below (the “</w:t>
      </w:r>
      <w:r>
        <w:rPr>
          <w:rFonts w:ascii="Arial" w:cs="Arial" w:eastAsia="Arial" w:hAnsi="Arial"/>
          <w:sz w:val="16"/>
          <w:szCs w:val="16"/>
          <w:u w:val="single" w:color="auto"/>
          <w:color w:val="auto"/>
        </w:rPr>
        <w:t>Shelf Demand Right</w:t>
      </w:r>
      <w:r>
        <w:rPr>
          <w:rFonts w:ascii="Arial" w:cs="Arial" w:eastAsia="Arial" w:hAnsi="Arial"/>
          <w:sz w:val="16"/>
          <w:szCs w:val="16"/>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ind w:left="1540" w:hanging="236"/>
        <w:spacing w:after="0"/>
        <w:tabs>
          <w:tab w:leader="none" w:pos="15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Registrations effected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1 shall not be counted as Demand Registrations effected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firstLine="1304"/>
        <w:spacing w:after="0" w:line="289" w:lineRule="auto"/>
        <w:tabs>
          <w:tab w:leader="none" w:pos="15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No Investor shall be named as an “underwriter” in any Registration Statement filed pursuant to this Section 1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Majority Presto Investors, the Majority Metropolitan Parties and the Sponsors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166" w:lineRule="exact"/>
        <w:rPr>
          <w:rFonts w:ascii="Arial" w:cs="Arial" w:eastAsia="Arial" w:hAnsi="Arial"/>
          <w:sz w:val="16"/>
          <w:szCs w:val="16"/>
          <w:color w:val="auto"/>
        </w:rPr>
      </w:pPr>
    </w:p>
    <w:p>
      <w:pPr>
        <w:jc w:val="both"/>
        <w:ind w:firstLine="1304"/>
        <w:spacing w:after="0" w:line="286" w:lineRule="auto"/>
        <w:tabs>
          <w:tab w:leader="none" w:pos="1552"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that on any Trading Day (as defined below) (the “</w:t>
      </w:r>
      <w:r>
        <w:rPr>
          <w:rFonts w:ascii="Arial" w:cs="Arial" w:eastAsia="Arial" w:hAnsi="Arial"/>
          <w:sz w:val="16"/>
          <w:szCs w:val="16"/>
          <w:u w:val="single" w:color="auto"/>
          <w:color w:val="auto"/>
        </w:rPr>
        <w:t>Registration Trigger Date</w:t>
      </w:r>
      <w:r>
        <w:rPr>
          <w:rFonts w:ascii="Arial" w:cs="Arial" w:eastAsia="Arial" w:hAnsi="Arial"/>
          <w:sz w:val="16"/>
          <w:szCs w:val="16"/>
          <w:color w:val="auto"/>
        </w:rPr>
        <w:t>”) the number of shares available under the Registration Statements filed pursuant to this Section 1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60 days of the Registration Trigger Date (or 90 days if the applicable Registration Statement or amendment is reviewed by, and comments are thereto provided from, the Commission) or as promptly as practicable in the event Pubco is required to increase its authorized shares. “</w:t>
      </w:r>
      <w:r>
        <w:rPr>
          <w:rFonts w:ascii="Arial" w:cs="Arial" w:eastAsia="Arial" w:hAnsi="Arial"/>
          <w:sz w:val="16"/>
          <w:szCs w:val="16"/>
          <w:u w:val="single" w:color="auto"/>
          <w:color w:val="auto"/>
        </w:rPr>
        <w:t>Trading Day</w:t>
      </w:r>
      <w:r>
        <w:rPr>
          <w:rFonts w:ascii="Arial" w:cs="Arial" w:eastAsia="Arial" w:hAnsi="Arial"/>
          <w:sz w:val="16"/>
          <w:szCs w:val="16"/>
          <w:color w:val="auto"/>
        </w:rPr>
        <w:t>” shall mean any day on which the Common Stock is traded for any period on the principal securities exchange or other securities market on which the Common Stock is then being traded.</w:t>
      </w:r>
    </w:p>
    <w:p>
      <w:pPr>
        <w:spacing w:after="0" w:line="173" w:lineRule="exact"/>
        <w:rPr>
          <w:rFonts w:ascii="Arial" w:cs="Arial" w:eastAsia="Arial" w:hAnsi="Arial"/>
          <w:sz w:val="16"/>
          <w:szCs w:val="16"/>
          <w:color w:val="auto"/>
        </w:rPr>
      </w:pPr>
    </w:p>
    <w:p>
      <w:pPr>
        <w:ind w:left="620" w:hanging="180"/>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1540"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Requests for Registration</w:t>
      </w:r>
      <w:r>
        <w:rPr>
          <w:rFonts w:ascii="Arial" w:cs="Arial" w:eastAsia="Arial" w:hAnsi="Arial"/>
          <w:sz w:val="16"/>
          <w:szCs w:val="16"/>
          <w:color w:val="auto"/>
        </w:rPr>
        <w:t>. Subject to the terms and conditions of this Agreement and, as applicable, the lock-up provisions contained in (i) Section 5.3 of Pubco’s Amended and Restated Bylaws (the “</w:t>
      </w:r>
      <w:r>
        <w:rPr>
          <w:rFonts w:ascii="Arial" w:cs="Arial" w:eastAsia="Arial" w:hAnsi="Arial"/>
          <w:sz w:val="16"/>
          <w:szCs w:val="16"/>
          <w:u w:val="single" w:color="auto"/>
          <w:color w:val="auto"/>
        </w:rPr>
        <w:t>Bylaws</w:t>
      </w:r>
      <w:r>
        <w:rPr>
          <w:rFonts w:ascii="Arial" w:cs="Arial" w:eastAsia="Arial" w:hAnsi="Arial"/>
          <w:sz w:val="16"/>
          <w:szCs w:val="16"/>
          <w:color w:val="auto"/>
        </w:rPr>
        <w:t>”) (ii) the Share Transfer Agreement, dated September 21, 2022, by and among the Sponsors and the Metropolitan Parties, and (iii) the Support Agreements (as defined in the Merger Agreement) at any time or from time to time,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Arial" w:cs="Arial" w:eastAsia="Arial" w:hAnsi="Arial"/>
          <w:sz w:val="16"/>
          <w:szCs w:val="16"/>
          <w:u w:val="single" w:color="auto"/>
          <w:color w:val="auto"/>
        </w:rPr>
        <w:t>Long-Form Registrations</w:t>
      </w:r>
      <w:r>
        <w:rPr>
          <w:rFonts w:ascii="Arial" w:cs="Arial" w:eastAsia="Arial" w:hAnsi="Arial"/>
          <w:sz w:val="16"/>
          <w:szCs w:val="16"/>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Arial" w:cs="Arial" w:eastAsia="Arial" w:hAnsi="Arial"/>
          <w:sz w:val="16"/>
          <w:szCs w:val="16"/>
          <w:u w:val="single" w:color="auto"/>
          <w:color w:val="auto"/>
        </w:rPr>
        <w:t>Automatic 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if available to Pubco (“</w:t>
      </w:r>
      <w:r>
        <w:rPr>
          <w:rFonts w:ascii="Arial" w:cs="Arial" w:eastAsia="Arial" w:hAnsi="Arial"/>
          <w:sz w:val="16"/>
          <w:szCs w:val="16"/>
          <w:u w:val="single" w:color="auto"/>
          <w:color w:val="auto"/>
        </w:rPr>
        <w:t>Short-Form Registrations</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(such holders being referred to herein as the “</w:t>
      </w:r>
      <w:r>
        <w:rPr>
          <w:rFonts w:ascii="Arial" w:cs="Arial" w:eastAsia="Arial" w:hAnsi="Arial"/>
          <w:sz w:val="16"/>
          <w:szCs w:val="16"/>
          <w:u w:val="single" w:color="auto"/>
          <w:color w:val="auto"/>
        </w:rPr>
        <w:t>Initiating Investors</w:t>
      </w:r>
      <w:r>
        <w:rPr>
          <w:rFonts w:ascii="Arial" w:cs="Arial" w:eastAsia="Arial" w:hAnsi="Arial"/>
          <w:sz w:val="16"/>
          <w:szCs w:val="16"/>
          <w:color w:val="auto"/>
        </w:rPr>
        <w:t>” and all registrations requested by the Initiating Investors being referred to herein as “</w:t>
      </w:r>
      <w:r>
        <w:rPr>
          <w:rFonts w:ascii="Arial" w:cs="Arial" w:eastAsia="Arial" w:hAnsi="Arial"/>
          <w:sz w:val="16"/>
          <w:szCs w:val="16"/>
          <w:u w:val="single" w:color="auto"/>
          <w:color w:val="auto"/>
        </w:rPr>
        <w:t>Demand Registrations</w:t>
      </w:r>
      <w:r>
        <w:rPr>
          <w:rFonts w:ascii="Arial" w:cs="Arial" w:eastAsia="Arial" w:hAnsi="Arial"/>
          <w:sz w:val="16"/>
          <w:szCs w:val="16"/>
          <w:color w:val="auto"/>
        </w:rPr>
        <w:t>”). Each request for a Demand Registration shall specify the approximate number of Registrable Securities requested to be registered and the intended method of distribution. Subject to Sections 10(a) and 10(b) (collectively, the “</w:t>
      </w:r>
      <w:r>
        <w:rPr>
          <w:rFonts w:ascii="Arial" w:cs="Arial" w:eastAsia="Arial" w:hAnsi="Arial"/>
          <w:sz w:val="16"/>
          <w:szCs w:val="16"/>
          <w:u w:val="single" w:color="auto"/>
          <w:color w:val="auto"/>
        </w:rPr>
        <w:t>MNPI Provisions</w:t>
      </w:r>
      <w:r>
        <w:rPr>
          <w:rFonts w:ascii="Arial" w:cs="Arial" w:eastAsia="Arial" w:hAnsi="Arial"/>
          <w:sz w:val="16"/>
          <w:szCs w:val="16"/>
          <w:color w:val="auto"/>
        </w:rPr>
        <w:t>”), within five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0" w:name="page141"/>
    <w:bookmarkEnd w:id="140"/>
    <w:p>
      <w:pPr>
        <w:jc w:val="both"/>
        <w:ind w:firstLine="1304"/>
        <w:spacing w:after="0" w:line="287" w:lineRule="auto"/>
        <w:tabs>
          <w:tab w:leader="none" w:pos="1551"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Long-Form Registrations</w:t>
      </w:r>
      <w:r>
        <w:rPr>
          <w:rFonts w:ascii="Arial" w:cs="Arial" w:eastAsia="Arial" w:hAnsi="Arial"/>
          <w:sz w:val="16"/>
          <w:szCs w:val="16"/>
          <w:color w:val="auto"/>
        </w:rPr>
        <w:t>. (i) The Majority Presto Investors, on behalf of any and all Presto Investors, may request two Long-Form Registration in which Pubco shall pay all Registration Expenses whether or not any such Long-Form Registration has become effective, (ii) the Majority Metropolitan Parties, on behalf of any and all Metropolitan Parties, may request two Long-Form Registration in which Pubco shall pay all Registration Expenses whether or not any such Long-Form Registration has become effective, and (iii) the Sponsors may request two Long-Form Registration in which Pubco shall pay all Registration Expenses whether or not any such Long-Form Registration has become effective; in each case, provided that if Pubco has already effected a Demand Registration (which became effective) in the preceding 45-day period; provided, further, that Pubco shall only be obligated to effect, or take any action to effect, two Long-Form Registrations for each of the Majority Presto Investors, the Majority Metropolitan Parties and the Sponsors.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171" w:lineRule="exact"/>
        <w:rPr>
          <w:rFonts w:ascii="Arial" w:cs="Arial" w:eastAsia="Arial" w:hAnsi="Arial"/>
          <w:sz w:val="16"/>
          <w:szCs w:val="16"/>
          <w:color w:val="auto"/>
        </w:rPr>
      </w:pPr>
    </w:p>
    <w:p>
      <w:pPr>
        <w:jc w:val="both"/>
        <w:ind w:firstLine="1304"/>
        <w:spacing w:after="0" w:line="284" w:lineRule="auto"/>
        <w:tabs>
          <w:tab w:leader="none" w:pos="154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Short-Form Registrations</w:t>
      </w:r>
      <w:r>
        <w:rPr>
          <w:rFonts w:ascii="Arial" w:cs="Arial" w:eastAsia="Arial" w:hAnsi="Arial"/>
          <w:sz w:val="16"/>
          <w:szCs w:val="16"/>
          <w:color w:val="auto"/>
        </w:rPr>
        <w:t xml:space="preserve">. In addition to the Long-Form Registration provided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each of (i) the Majority Presto Investors, on behalf of any and all Presto Investors, (ii) the Majority Metropolitan Parties, on behalf of any and all Metropolitan Parties, and (iii) the Sponsors,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Short-Form Registrations (which became effective) for the holders of Registrable Securities requesting a Short-Form Registration pursuant to this </w:t>
      </w:r>
      <w:r>
        <w:rPr>
          <w:rFonts w:ascii="Arial" w:cs="Arial" w:eastAsia="Arial" w:hAnsi="Arial"/>
          <w:sz w:val="16"/>
          <w:szCs w:val="16"/>
          <w:u w:val="single" w:color="auto"/>
          <w:color w:val="auto"/>
        </w:rPr>
        <w:t>Section 2(c)</w:t>
      </w:r>
      <w:r>
        <w:rPr>
          <w:rFonts w:ascii="Arial" w:cs="Arial" w:eastAsia="Arial" w:hAnsi="Arial"/>
          <w:sz w:val="16"/>
          <w:szCs w:val="16"/>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 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jc w:val="both"/>
        <w:ind w:firstLine="1304"/>
        <w:spacing w:after="0" w:line="284" w:lineRule="auto"/>
        <w:tabs>
          <w:tab w:leader="none" w:pos="1564"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Shelf Takedowns</w:t>
      </w:r>
      <w:r>
        <w:rPr>
          <w:rFonts w:ascii="Arial" w:cs="Arial" w:eastAsia="Arial" w:hAnsi="Arial"/>
          <w:sz w:val="16"/>
          <w:szCs w:val="16"/>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Arial" w:cs="Arial" w:eastAsia="Arial" w:hAnsi="Arial"/>
          <w:sz w:val="16"/>
          <w:szCs w:val="16"/>
          <w:u w:val="single" w:color="auto"/>
          <w:color w:val="auto"/>
        </w:rPr>
        <w:t>Resale Shelf Registration</w:t>
      </w:r>
      <w:r>
        <w:rPr>
          <w:rFonts w:ascii="Arial" w:cs="Arial" w:eastAsia="Arial" w:hAnsi="Arial"/>
          <w:sz w:val="16"/>
          <w:szCs w:val="16"/>
          <w:color w:val="auto"/>
        </w:rPr>
        <w:t xml:space="preserve">”), is effective and its use has not been otherwise suspended by Pubco in accordance with the terms of </w:t>
      </w:r>
      <w:r>
        <w:rPr>
          <w:rFonts w:ascii="Arial" w:cs="Arial" w:eastAsia="Arial" w:hAnsi="Arial"/>
          <w:sz w:val="16"/>
          <w:szCs w:val="16"/>
          <w:u w:val="single" w:color="auto"/>
          <w:color w:val="auto"/>
        </w:rPr>
        <w:t>Section 2(f)</w:t>
      </w:r>
      <w:r>
        <w:rPr>
          <w:rFonts w:ascii="Arial" w:cs="Arial" w:eastAsia="Arial" w:hAnsi="Arial"/>
          <w:sz w:val="16"/>
          <w:szCs w:val="16"/>
          <w:color w:val="auto"/>
        </w:rPr>
        <w:t xml:space="preserve"> below, upon a written demand (a “</w:t>
      </w:r>
      <w:r>
        <w:rPr>
          <w:rFonts w:ascii="Arial" w:cs="Arial" w:eastAsia="Arial" w:hAnsi="Arial"/>
          <w:sz w:val="16"/>
          <w:szCs w:val="16"/>
          <w:u w:val="single" w:color="auto"/>
          <w:color w:val="auto"/>
        </w:rPr>
        <w:t>Takedown Demand</w:t>
      </w:r>
      <w:r>
        <w:rPr>
          <w:rFonts w:ascii="Arial" w:cs="Arial" w:eastAsia="Arial" w:hAnsi="Arial"/>
          <w:sz w:val="16"/>
          <w:szCs w:val="16"/>
          <w:color w:val="auto"/>
        </w:rPr>
        <w:t>”) by any Investor that is, in either case, a Shelf Participant holding Registrable Securities at such time (the “</w:t>
      </w:r>
      <w:r>
        <w:rPr>
          <w:rFonts w:ascii="Arial" w:cs="Arial" w:eastAsia="Arial" w:hAnsi="Arial"/>
          <w:sz w:val="16"/>
          <w:szCs w:val="16"/>
          <w:u w:val="single" w:color="auto"/>
          <w:color w:val="auto"/>
        </w:rPr>
        <w:t>Initiating Holder</w:t>
      </w:r>
      <w:r>
        <w:rPr>
          <w:rFonts w:ascii="Arial" w:cs="Arial" w:eastAsia="Arial" w:hAnsi="Arial"/>
          <w:sz w:val="16"/>
          <w:szCs w:val="16"/>
          <w:color w:val="auto"/>
        </w:rPr>
        <w:t>”), Pubco will facilitate in the manner described in this Agreement a “takedown” of Registrable Securities off of such Resale Shelf Registration (a “</w:t>
      </w:r>
      <w:r>
        <w:rPr>
          <w:rFonts w:ascii="Arial" w:cs="Arial" w:eastAsia="Arial" w:hAnsi="Arial"/>
          <w:sz w:val="16"/>
          <w:szCs w:val="16"/>
          <w:u w:val="single" w:color="auto"/>
          <w:color w:val="auto"/>
        </w:rPr>
        <w:t>take down offering</w:t>
      </w:r>
      <w:r>
        <w:rPr>
          <w:rFonts w:ascii="Arial" w:cs="Arial" w:eastAsia="Arial" w:hAnsi="Arial"/>
          <w:sz w:val="16"/>
          <w:szCs w:val="16"/>
          <w:color w:val="auto"/>
        </w:rPr>
        <w:t>”) and Pubco shall pay all Registration Expenses in connection therewith; provided that, subject to the MNPI Provisions, Pubco will provide (x) in connection with any non-marketed underwritten takedown offering (other than a Block Trade), at least two Business Days’ notice of such Takedown Demand to each holder of Registrable Securities (other than the Initiating Holder) that is a Shelf Participant, (y) in connection with any Block Trade initiated prior to the three year anniversary of the consummation of the Mergers,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Business Days’ notice of such Takedown Demand to each holder of Registrable Securities (other than the Initiating Holder) that is a Shelf Participant. In connection with (x) any non-marketed underwritten takedown offering initiated prior to the three year anniversary of the consummation of the Mergers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395" w:lineRule="exact"/>
        <w:rPr>
          <w:rFonts w:ascii="Arial" w:cs="Arial" w:eastAsia="Arial" w:hAnsi="Arial"/>
          <w:sz w:val="16"/>
          <w:szCs w:val="16"/>
          <w:color w:val="auto"/>
        </w:rPr>
      </w:pPr>
    </w:p>
    <w:p>
      <w:pPr>
        <w:jc w:val="both"/>
        <w:ind w:firstLine="1304"/>
        <w:spacing w:after="0" w:line="290" w:lineRule="auto"/>
        <w:tabs>
          <w:tab w:leader="none" w:pos="1581"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 and Takedown Offerings</w:t>
      </w:r>
      <w:r>
        <w:rPr>
          <w:rFonts w:ascii="Arial" w:cs="Arial" w:eastAsia="Arial" w:hAnsi="Arial"/>
          <w:sz w:val="16"/>
          <w:szCs w:val="16"/>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 such registration (pro rata among the holders of such Registrable Securities on the basis of the number of Registrable Securities owned by each such holder).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jc w:val="both"/>
        <w:ind w:firstLine="1304"/>
        <w:spacing w:after="0" w:line="263" w:lineRule="auto"/>
        <w:tabs>
          <w:tab w:leader="none" w:pos="15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Restrictions on Demand Registrations and Takedown Offerings</w:t>
      </w:r>
      <w:r>
        <w:rPr>
          <w:rFonts w:ascii="Arial" w:cs="Arial" w:eastAsia="Arial" w:hAnsi="Arial"/>
          <w:sz w:val="18"/>
          <w:szCs w:val="18"/>
          <w:color w:val="auto"/>
        </w:rPr>
        <w:t>. Any demand for the filing of a Registration Statement or for a registered offering (including a takedown offering) hereunder will be subject to the constraints of any applicable lock-up arrangements to which any demanding Investor is party, and any such demand must be deferred until such lock-up arrangements no longer apply.</w:t>
      </w:r>
    </w:p>
    <w:p>
      <w:pPr>
        <w:spacing w:after="0" w:line="183" w:lineRule="exact"/>
        <w:rPr>
          <w:rFonts w:ascii="Arial" w:cs="Arial" w:eastAsia="Arial" w:hAnsi="Arial"/>
          <w:sz w:val="18"/>
          <w:szCs w:val="18"/>
          <w:color w:val="auto"/>
        </w:rPr>
      </w:pPr>
    </w:p>
    <w:p>
      <w:pPr>
        <w:jc w:val="both"/>
        <w:ind w:left="660" w:firstLine="1292"/>
        <w:spacing w:after="0" w:line="268" w:lineRule="auto"/>
        <w:tabs>
          <w:tab w:leader="none" w:pos="2186"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Arial" w:cs="Arial" w:eastAsia="Arial" w:hAnsi="Arial"/>
          <w:sz w:val="17"/>
          <w:szCs w:val="17"/>
          <w:u w:val="single" w:color="auto"/>
          <w:color w:val="auto"/>
        </w:rPr>
        <w:t>Section 2(f)(ii)</w:t>
      </w:r>
      <w:r>
        <w:rPr>
          <w:rFonts w:ascii="Arial" w:cs="Arial" w:eastAsia="Arial" w:hAnsi="Arial"/>
          <w:sz w:val="17"/>
          <w:szCs w:val="17"/>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Arial" w:cs="Arial" w:eastAsia="Arial" w:hAnsi="Arial"/>
          <w:sz w:val="17"/>
          <w:szCs w:val="17"/>
          <w:u w:val="single" w:color="auto"/>
          <w:color w:val="auto"/>
        </w:rPr>
        <w:t>Section 2(f)(i)</w:t>
      </w:r>
      <w:r>
        <w:rPr>
          <w:rFonts w:ascii="Arial" w:cs="Arial" w:eastAsia="Arial" w:hAnsi="Arial"/>
          <w:sz w:val="17"/>
          <w:szCs w:val="17"/>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Arial" w:cs="Arial" w:eastAsia="Arial" w:hAnsi="Arial"/>
          <w:sz w:val="17"/>
          <w:szCs w:val="17"/>
          <w:u w:val="single" w:color="auto"/>
          <w:color w:val="auto"/>
        </w:rPr>
        <w:t>Section 5(g)</w:t>
      </w:r>
      <w:r>
        <w:rPr>
          <w:rFonts w:ascii="Arial" w:cs="Arial" w:eastAsia="Arial" w:hAnsi="Arial"/>
          <w:sz w:val="17"/>
          <w:szCs w:val="17"/>
          <w:color w:val="auto"/>
        </w:rPr>
        <w:t xml:space="preserve"> to enable it to comply with its obligations set forth in </w:t>
      </w:r>
      <w:r>
        <w:rPr>
          <w:rFonts w:ascii="Arial" w:cs="Arial" w:eastAsia="Arial" w:hAnsi="Arial"/>
          <w:sz w:val="17"/>
          <w:szCs w:val="17"/>
          <w:u w:val="single" w:color="auto"/>
          <w:color w:val="auto"/>
        </w:rPr>
        <w:t>Section 5(f)</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left="660" w:firstLine="1292"/>
        <w:spacing w:after="0" w:line="285" w:lineRule="auto"/>
        <w:tabs>
          <w:tab w:leader="none" w:pos="222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In the case of an event that causes Pubco to suspend the use of any Resale Shelf Registration as set forth in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5(g)</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Pubco shall give a notice to the holders of Registrable Securities registered pursuant to such Shelf Registration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no later than three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Arial" w:cs="Arial" w:eastAsia="Arial" w:hAnsi="Arial"/>
          <w:sz w:val="16"/>
          <w:szCs w:val="16"/>
          <w:u w:val="single" w:color="auto"/>
          <w:color w:val="auto"/>
        </w:rPr>
        <w:t>End of Suspension Notice</w:t>
      </w:r>
      <w:r>
        <w:rPr>
          <w:rFonts w:ascii="Arial" w:cs="Arial" w:eastAsia="Arial" w:hAnsi="Arial"/>
          <w:sz w:val="16"/>
          <w:szCs w:val="16"/>
          <w:color w:val="auto"/>
        </w:rPr>
        <w:t>”) from Pubco, which End of Suspension Notice shall be given by Pubco to the holders of Registrable Securities and to such holders’ counsel, if any, promptly following the conclusion of any Suspension Event.</w:t>
      </w:r>
    </w:p>
    <w:p>
      <w:pPr>
        <w:spacing w:after="0" w:line="173" w:lineRule="exact"/>
        <w:rPr>
          <w:rFonts w:ascii="Arial" w:cs="Arial" w:eastAsia="Arial" w:hAnsi="Arial"/>
          <w:sz w:val="16"/>
          <w:szCs w:val="16"/>
          <w:color w:val="auto"/>
        </w:rPr>
      </w:pPr>
    </w:p>
    <w:p>
      <w:pPr>
        <w:jc w:val="both"/>
        <w:ind w:left="660" w:firstLine="1292"/>
        <w:spacing w:after="0" w:line="293" w:lineRule="auto"/>
        <w:tabs>
          <w:tab w:leader="none" w:pos="228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herein to the contrary, if Pubco shall give a Suspension Notice with respect to any Resale Shelf Registration pursuant to this </w:t>
      </w:r>
      <w:r>
        <w:rPr>
          <w:rFonts w:ascii="Arial" w:cs="Arial" w:eastAsia="Arial" w:hAnsi="Arial"/>
          <w:sz w:val="16"/>
          <w:szCs w:val="16"/>
          <w:u w:val="single" w:color="auto"/>
          <w:color w:val="auto"/>
        </w:rPr>
        <w:t>Section 2(f)</w:t>
      </w:r>
      <w:r>
        <w:rPr>
          <w:rFonts w:ascii="Arial" w:cs="Arial" w:eastAsia="Arial" w:hAnsi="Arial"/>
          <w:sz w:val="16"/>
          <w:szCs w:val="16"/>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3" w:name="page144"/>
    <w:bookmarkEnd w:id="143"/>
    <w:p>
      <w:pPr>
        <w:jc w:val="both"/>
        <w:ind w:firstLine="1304"/>
        <w:spacing w:after="0" w:line="290" w:lineRule="auto"/>
        <w:tabs>
          <w:tab w:leader="none" w:pos="1551"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165" w:lineRule="exact"/>
        <w:rPr>
          <w:rFonts w:ascii="Arial" w:cs="Arial" w:eastAsia="Arial" w:hAnsi="Arial"/>
          <w:sz w:val="16"/>
          <w:szCs w:val="16"/>
          <w:color w:val="auto"/>
        </w:rPr>
      </w:pPr>
    </w:p>
    <w:p>
      <w:pPr>
        <w:jc w:val="both"/>
        <w:ind w:firstLine="1304"/>
        <w:spacing w:after="0" w:line="301" w:lineRule="auto"/>
        <w:tabs>
          <w:tab w:leader="none" w:pos="1551"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57" w:lineRule="exact"/>
        <w:rPr>
          <w:rFonts w:ascii="Arial" w:cs="Arial" w:eastAsia="Arial" w:hAnsi="Arial"/>
          <w:sz w:val="16"/>
          <w:szCs w:val="16"/>
          <w:color w:val="auto"/>
        </w:rPr>
      </w:pPr>
    </w:p>
    <w:p>
      <w:pPr>
        <w:jc w:val="both"/>
        <w:ind w:firstLine="1304"/>
        <w:spacing w:after="0" w:line="257" w:lineRule="auto"/>
        <w:tabs>
          <w:tab w:leader="none" w:pos="151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Revocation of Demand Notice or Takedown Notice</w:t>
      </w:r>
      <w:r>
        <w:rPr>
          <w:rFonts w:ascii="Arial" w:cs="Arial" w:eastAsia="Arial" w:hAnsi="Arial"/>
          <w:sz w:val="18"/>
          <w:szCs w:val="18"/>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187" w:lineRule="exact"/>
        <w:rPr>
          <w:rFonts w:ascii="Arial" w:cs="Arial" w:eastAsia="Arial" w:hAnsi="Arial"/>
          <w:sz w:val="18"/>
          <w:szCs w:val="18"/>
          <w:color w:val="auto"/>
        </w:rPr>
      </w:pPr>
    </w:p>
    <w:p>
      <w:pPr>
        <w:ind w:left="620" w:hanging="180"/>
        <w:spacing w:after="0"/>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40"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Right to Piggyback</w:t>
      </w:r>
      <w:r>
        <w:rPr>
          <w:rFonts w:ascii="Arial" w:cs="Arial" w:eastAsia="Arial" w:hAnsi="Arial"/>
          <w:sz w:val="16"/>
          <w:szCs w:val="16"/>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(iii) pursuant to a Takedown Demand (which, for the avoidance of doubt, is addressed in and subject to the rights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(iv) 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Pubco shall give prompt written notice to all holders of Registrable Securities of its intention to effect such a Piggyback Registration and, subject to the terms of </w:t>
      </w:r>
      <w:r>
        <w:rPr>
          <w:rFonts w:ascii="Arial" w:cs="Arial" w:eastAsia="Arial" w:hAnsi="Arial"/>
          <w:sz w:val="16"/>
          <w:szCs w:val="16"/>
          <w:u w:val="single" w:color="auto"/>
          <w:color w:val="auto"/>
        </w:rPr>
        <w:t>Sections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3(d)</w:t>
      </w:r>
      <w:r>
        <w:rPr>
          <w:rFonts w:ascii="Arial" w:cs="Arial" w:eastAsia="Arial" w:hAnsi="Arial"/>
          <w:sz w:val="16"/>
          <w:szCs w:val="16"/>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167" w:lineRule="exact"/>
        <w:rPr>
          <w:rFonts w:ascii="Arial" w:cs="Arial" w:eastAsia="Arial" w:hAnsi="Arial"/>
          <w:sz w:val="16"/>
          <w:szCs w:val="16"/>
          <w:color w:val="auto"/>
        </w:rPr>
      </w:pPr>
    </w:p>
    <w:p>
      <w:pPr>
        <w:ind w:firstLine="1304"/>
        <w:spacing w:after="0" w:line="277" w:lineRule="auto"/>
        <w:tabs>
          <w:tab w:leader="none" w:pos="1564"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Piggyback Expenses</w:t>
      </w:r>
      <w:r>
        <w:rPr>
          <w:rFonts w:ascii="Arial" w:cs="Arial" w:eastAsia="Arial" w:hAnsi="Arial"/>
          <w:sz w:val="18"/>
          <w:szCs w:val="18"/>
          <w:color w:val="auto"/>
        </w:rPr>
        <w:t>. The Registration Expenses of the holders of Registrable Securities shall be paid by Pubco in all Piggyback Registrations, whether or not any such registration became effective.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4" w:name="page145"/>
    <w:bookmarkEnd w:id="144"/>
    <w:p>
      <w:pPr>
        <w:jc w:val="both"/>
        <w:ind w:firstLine="1304"/>
        <w:spacing w:after="0" w:line="291" w:lineRule="auto"/>
        <w:tabs>
          <w:tab w:leader="none" w:pos="1554"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Priority on Primary Registrations</w:t>
      </w:r>
      <w:r>
        <w:rPr>
          <w:rFonts w:ascii="Arial" w:cs="Arial" w:eastAsia="Arial" w:hAnsi="Arial"/>
          <w:sz w:val="16"/>
          <w:szCs w:val="16"/>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66" w:lineRule="exact"/>
        <w:rPr>
          <w:rFonts w:ascii="Arial" w:cs="Arial" w:eastAsia="Arial" w:hAnsi="Arial"/>
          <w:sz w:val="16"/>
          <w:szCs w:val="16"/>
          <w:color w:val="auto"/>
        </w:rPr>
      </w:pPr>
    </w:p>
    <w:p>
      <w:pPr>
        <w:jc w:val="both"/>
        <w:ind w:firstLine="1304"/>
        <w:spacing w:after="0" w:line="290" w:lineRule="auto"/>
        <w:tabs>
          <w:tab w:leader="none" w:pos="1564"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Priority on Secondary Registrations</w:t>
      </w:r>
      <w:r>
        <w:rPr>
          <w:rFonts w:ascii="Arial" w:cs="Arial" w:eastAsia="Arial" w:hAnsi="Arial"/>
          <w:sz w:val="16"/>
          <w:szCs w:val="16"/>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65" w:lineRule="exact"/>
        <w:rPr>
          <w:rFonts w:ascii="Arial" w:cs="Arial" w:eastAsia="Arial" w:hAnsi="Arial"/>
          <w:sz w:val="16"/>
          <w:szCs w:val="16"/>
          <w:color w:val="auto"/>
        </w:rPr>
      </w:pPr>
    </w:p>
    <w:p>
      <w:pPr>
        <w:jc w:val="both"/>
        <w:ind w:firstLine="1304"/>
        <w:spacing w:after="0" w:line="272" w:lineRule="auto"/>
        <w:tabs>
          <w:tab w:leader="none" w:pos="154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Other Registrations</w:t>
      </w:r>
      <w:r>
        <w:rPr>
          <w:rFonts w:ascii="Arial" w:cs="Arial" w:eastAsia="Arial" w:hAnsi="Arial"/>
          <w:sz w:val="17"/>
          <w:szCs w:val="17"/>
          <w:color w:val="auto"/>
        </w:rPr>
        <w:t xml:space="preserve">. If Pubco has previously filed a Registration Statement with respect to Registrable Securities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21"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xml:space="preserve">. Pubco shall have the right to terminate or withdraw any registration initiated by it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3 whether or not any holder of Registrable Securities has elected to include securities in such registration. The Registration Expenses of such withdrawn registration shall be borne by Pubco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20" w:hanging="180"/>
        <w:spacing w:after="0"/>
        <w:tabs>
          <w:tab w:leader="none" w:pos="6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Agreements of Certain 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8" w:lineRule="auto"/>
        <w:tabs>
          <w:tab w:leader="none" w:pos="156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that is not a director or executive officer of Pubco on the date of such underwritten Public Offering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Closing Date (as defined in the Merger Agreement) if it owns less than 5% of the outstanding Common Stock on the date of such underwritten Public Offering. In addition, (i) in no event shall any Investor that is not a director or executive officer of Pubco on the date of such underwritten Public Offering be required to enter into lock-up agreements pursuant to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on more than two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shall be for a period of not more than 60 days, (iii) the obligations of the Investors to enter into lockup agreements pursuant to this Section 4(a) shall terminate on the second anniversary of the Closing Date, (iv) no Investor shall be required to enter into a lock-up agreement pursuant to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within six months following the expiration of a previous lock-up agreement entered into by such Investor pursuant to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(v) no Investor shall be required to be subject to a lock-up agreement pursuant to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during the 60 day period commencing immediately following the date that shares of Common Stock are first released from the Lock-up (as defined in the Support Agreements,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jc w:val="both"/>
        <w:ind w:firstLine="1304"/>
        <w:spacing w:after="0" w:line="285" w:lineRule="auto"/>
        <w:tabs>
          <w:tab w:leader="none" w:pos="157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Notwithstanding anything else in this Agreement, Pubco shall not be obligated to include such holder’s Registrable Securities to the extent Pubco has not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received such information, and received any other reasonably requested selling stockholder questionnaires, on or prior to the later of (i) the tenth (10</w:t>
      </w:r>
      <w:r>
        <w:rPr>
          <w:rFonts w:ascii="Arial" w:cs="Arial" w:eastAsia="Arial" w:hAnsi="Arial"/>
          <w:sz w:val="29"/>
          <w:szCs w:val="29"/>
          <w:color w:val="auto"/>
          <w:vertAlign w:val="superscript"/>
        </w:rPr>
        <w:t>th</w:t>
      </w:r>
      <w:r>
        <w:rPr>
          <w:rFonts w:ascii="Arial" w:cs="Arial" w:eastAsia="Arial" w:hAnsi="Arial"/>
          <w:sz w:val="18"/>
          <w:szCs w:val="18"/>
          <w:color w:val="auto"/>
        </w:rPr>
        <w:t>) Business Day following the date on which such information is requested from such holder and (ii) the second Business Day prior to the first anticipated filing date of a Registration Statement pursuant to this Agreement.</w:t>
      </w:r>
    </w:p>
    <w:p>
      <w:pPr>
        <w:spacing w:after="0" w:line="202" w:lineRule="exact"/>
        <w:rPr>
          <w:sz w:val="20"/>
          <w:szCs w:val="20"/>
          <w:color w:val="auto"/>
        </w:rPr>
      </w:pPr>
    </w:p>
    <w:p>
      <w:pPr>
        <w:jc w:val="both"/>
        <w:ind w:firstLine="440"/>
        <w:spacing w:after="0" w:line="279" w:lineRule="auto"/>
        <w:tabs>
          <w:tab w:leader="none" w:pos="612"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Registration Procedures</w:t>
      </w:r>
      <w:r>
        <w:rPr>
          <w:rFonts w:ascii="Arial" w:cs="Arial" w:eastAsia="Arial" w:hAnsi="Arial"/>
          <w:sz w:val="17"/>
          <w:szCs w:val="17"/>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71" w:lineRule="exact"/>
        <w:rPr>
          <w:rFonts w:ascii="Arial" w:cs="Arial" w:eastAsia="Arial" w:hAnsi="Arial"/>
          <w:sz w:val="17"/>
          <w:szCs w:val="17"/>
          <w:color w:val="auto"/>
        </w:rPr>
      </w:pPr>
    </w:p>
    <w:p>
      <w:pPr>
        <w:jc w:val="both"/>
        <w:ind w:firstLine="1304"/>
        <w:spacing w:after="0" w:line="254" w:lineRule="auto"/>
        <w:tabs>
          <w:tab w:leader="none" w:pos="157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55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155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6" w:name="page147"/>
    <w:bookmarkEnd w:id="146"/>
    <w:p>
      <w:pPr>
        <w:jc w:val="both"/>
        <w:ind w:firstLine="1304"/>
        <w:spacing w:after="0" w:line="311" w:lineRule="auto"/>
        <w:tabs>
          <w:tab w:leader="none" w:pos="155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48" w:lineRule="exact"/>
        <w:rPr>
          <w:rFonts w:ascii="Arial" w:cs="Arial" w:eastAsia="Arial" w:hAnsi="Arial"/>
          <w:sz w:val="16"/>
          <w:szCs w:val="16"/>
          <w:color w:val="auto"/>
        </w:rPr>
      </w:pPr>
    </w:p>
    <w:p>
      <w:pPr>
        <w:ind w:right="20" w:firstLine="1304"/>
        <w:spacing w:after="0" w:line="277" w:lineRule="auto"/>
        <w:tabs>
          <w:tab w:leader="none" w:pos="154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70" w:lineRule="exact"/>
        <w:rPr>
          <w:rFonts w:ascii="Arial" w:cs="Arial" w:eastAsia="Arial" w:hAnsi="Arial"/>
          <w:sz w:val="18"/>
          <w:szCs w:val="18"/>
          <w:color w:val="auto"/>
        </w:rPr>
      </w:pPr>
    </w:p>
    <w:p>
      <w:pPr>
        <w:jc w:val="both"/>
        <w:ind w:firstLine="1304"/>
        <w:spacing w:after="0" w:line="296" w:lineRule="auto"/>
        <w:tabs>
          <w:tab w:leader="none" w:pos="15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Arial" w:cs="Arial" w:eastAsia="Arial" w:hAnsi="Arial"/>
          <w:sz w:val="16"/>
          <w:szCs w:val="16"/>
          <w:u w:val="single" w:color="auto"/>
          <w:color w:val="auto"/>
        </w:rPr>
        <w:t>Section 5(f)</w:t>
      </w:r>
      <w:r>
        <w:rPr>
          <w:rFonts w:ascii="Arial" w:cs="Arial" w:eastAsia="Arial" w:hAnsi="Arial"/>
          <w:sz w:val="16"/>
          <w:szCs w:val="16"/>
          <w:color w:val="auto"/>
        </w:rPr>
        <w:t>, (ii) consent to general service of process in any such jurisdiction or (iii) subject itself to taxation in any such jurisdiction);</w:t>
      </w:r>
    </w:p>
    <w:p>
      <w:pPr>
        <w:spacing w:after="0" w:line="161" w:lineRule="exact"/>
        <w:rPr>
          <w:rFonts w:ascii="Arial" w:cs="Arial" w:eastAsia="Arial" w:hAnsi="Arial"/>
          <w:sz w:val="16"/>
          <w:szCs w:val="16"/>
          <w:color w:val="auto"/>
        </w:rPr>
      </w:pPr>
    </w:p>
    <w:p>
      <w:pPr>
        <w:jc w:val="both"/>
        <w:ind w:firstLine="1304"/>
        <w:spacing w:after="0" w:line="288" w:lineRule="auto"/>
        <w:tabs>
          <w:tab w:leader="none" w:pos="15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68" w:lineRule="exact"/>
        <w:rPr>
          <w:rFonts w:ascii="Arial" w:cs="Arial" w:eastAsia="Arial" w:hAnsi="Arial"/>
          <w:sz w:val="16"/>
          <w:szCs w:val="16"/>
          <w:color w:val="auto"/>
        </w:rPr>
      </w:pPr>
    </w:p>
    <w:p>
      <w:pPr>
        <w:jc w:val="both"/>
        <w:ind w:firstLine="1304"/>
        <w:spacing w:after="0" w:line="263" w:lineRule="auto"/>
        <w:tabs>
          <w:tab w:leader="none" w:pos="15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3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applicable, promptly effect a filing with FINRA pursuant to FINRA Rule 5110 (or successor thereto) with respect to the public offering contemplated by resales of securities under the Resale Shelf Registration Statement (an “</w:t>
      </w:r>
      <w:r>
        <w:rPr>
          <w:rFonts w:ascii="Arial" w:cs="Arial" w:eastAsia="Arial" w:hAnsi="Arial"/>
          <w:sz w:val="18"/>
          <w:szCs w:val="18"/>
          <w:u w:val="single" w:color="auto"/>
          <w:color w:val="auto"/>
        </w:rPr>
        <w:t>Issuer Filing</w:t>
      </w:r>
      <w:r>
        <w:rPr>
          <w:rFonts w:ascii="Arial" w:cs="Arial" w:eastAsia="Arial" w:hAnsi="Arial"/>
          <w:sz w:val="18"/>
          <w:szCs w:val="18"/>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86" w:lineRule="exact"/>
        <w:rPr>
          <w:rFonts w:ascii="Arial" w:cs="Arial" w:eastAsia="Arial" w:hAnsi="Arial"/>
          <w:sz w:val="18"/>
          <w:szCs w:val="18"/>
          <w:color w:val="auto"/>
        </w:rPr>
      </w:pPr>
    </w:p>
    <w:p>
      <w:pPr>
        <w:ind w:left="1520" w:hanging="216"/>
        <w:spacing w:after="0"/>
        <w:tabs>
          <w:tab w:leader="none" w:pos="15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not later than the effective date of such Registration Statement;</w:t>
      </w:r>
    </w:p>
    <w:p>
      <w:pPr>
        <w:spacing w:after="0" w:line="248" w:lineRule="exact"/>
        <w:rPr>
          <w:rFonts w:ascii="Arial" w:cs="Arial" w:eastAsia="Arial" w:hAnsi="Arial"/>
          <w:sz w:val="16"/>
          <w:szCs w:val="16"/>
          <w:color w:val="auto"/>
        </w:rPr>
      </w:pPr>
    </w:p>
    <w:p>
      <w:pPr>
        <w:jc w:val="both"/>
        <w:ind w:firstLine="1304"/>
        <w:spacing w:after="0" w:line="259" w:lineRule="auto"/>
        <w:tabs>
          <w:tab w:leader="none" w:pos="156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2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make available for inspection by a representative of the Investors, other than the Majority Metropolitan Parties and Sponsors (such representative to be selected by the Majority Presto Investors), a representative of the Sponsors, a representative of the Metropolitan Parties,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7" w:name="page148"/>
    <w:bookmarkEnd w:id="147"/>
    <w:p>
      <w:pPr>
        <w:jc w:val="both"/>
        <w:ind w:firstLine="1304"/>
        <w:spacing w:after="0" w:line="257" w:lineRule="auto"/>
        <w:tabs>
          <w:tab w:leader="none" w:pos="164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otherwise use its reasonable best efforts to comply with all applicable rules and regulations of the Commission;</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186" w:lineRule="exact"/>
        <w:rPr>
          <w:rFonts w:ascii="Arial" w:cs="Arial" w:eastAsia="Arial" w:hAnsi="Arial"/>
          <w:sz w:val="18"/>
          <w:szCs w:val="18"/>
          <w:color w:val="auto"/>
        </w:rPr>
      </w:pPr>
    </w:p>
    <w:p>
      <w:pPr>
        <w:ind w:firstLine="1304"/>
        <w:spacing w:after="0" w:line="342" w:lineRule="auto"/>
        <w:tabs>
          <w:tab w:leader="none" w:pos="153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51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8" w:name="page149"/>
    <w:bookmarkEnd w:id="148"/>
    <w:p>
      <w:pPr>
        <w:ind w:right="20" w:firstLine="1304"/>
        <w:spacing w:after="0" w:line="277" w:lineRule="auto"/>
        <w:tabs>
          <w:tab w:leader="none" w:pos="159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Pubco does not pay the filing fee covering the Registrable Securities at the time an Automatic Shelf Registration Statement is filed, pay such fee at such time or times as the Registrable Securities are to be sold;</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15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subject to the terms of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2(d)</w:t>
      </w:r>
      <w:r>
        <w:rPr>
          <w:rFonts w:ascii="Arial" w:cs="Arial" w:eastAsia="Arial" w:hAnsi="Arial"/>
          <w:sz w:val="17"/>
          <w:szCs w:val="17"/>
          <w:color w:val="auto"/>
        </w:rPr>
        <w:t>, if an Automatic Shelf Registration Statement has been outstanding for at least three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76" w:lineRule="exact"/>
        <w:rPr>
          <w:rFonts w:ascii="Arial" w:cs="Arial" w:eastAsia="Arial" w:hAnsi="Arial"/>
          <w:sz w:val="17"/>
          <w:szCs w:val="17"/>
          <w:color w:val="auto"/>
        </w:rPr>
      </w:pPr>
    </w:p>
    <w:p>
      <w:pPr>
        <w:jc w:val="both"/>
        <w:ind w:firstLine="1304"/>
        <w:spacing w:after="0" w:line="273" w:lineRule="auto"/>
        <w:tabs>
          <w:tab w:leader="none" w:pos="15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177" w:lineRule="exact"/>
        <w:rPr>
          <w:rFonts w:ascii="Arial" w:cs="Arial" w:eastAsia="Arial" w:hAnsi="Arial"/>
          <w:sz w:val="17"/>
          <w:szCs w:val="17"/>
          <w:color w:val="auto"/>
        </w:rPr>
      </w:pPr>
    </w:p>
    <w:p>
      <w:pPr>
        <w:jc w:val="both"/>
        <w:ind w:firstLine="1304"/>
        <w:spacing w:after="0" w:line="272" w:lineRule="auto"/>
        <w:tabs>
          <w:tab w:leader="none" w:pos="1557" w:val="left"/>
        </w:tabs>
        <w:numPr>
          <w:ilvl w:val="1"/>
          <w:numId w:val="142"/>
        </w:numPr>
        <w:rPr>
          <w:rFonts w:ascii="Arial" w:cs="Arial" w:eastAsia="Arial" w:hAnsi="Arial"/>
          <w:sz w:val="17"/>
          <w:szCs w:val="17"/>
          <w:color w:val="auto"/>
        </w:rPr>
      </w:pPr>
      <w:r>
        <w:rPr>
          <w:rFonts w:ascii="Arial" w:cs="Arial" w:eastAsia="Arial" w:hAnsi="Arial"/>
          <w:sz w:val="17"/>
          <w:szCs w:val="17"/>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177" w:lineRule="exact"/>
        <w:rPr>
          <w:rFonts w:ascii="Arial" w:cs="Arial" w:eastAsia="Arial" w:hAnsi="Arial"/>
          <w:sz w:val="17"/>
          <w:szCs w:val="17"/>
          <w:color w:val="auto"/>
        </w:rPr>
      </w:pPr>
    </w:p>
    <w:p>
      <w:pPr>
        <w:jc w:val="both"/>
        <w:ind w:firstLine="440"/>
        <w:spacing w:after="0" w:line="269" w:lineRule="auto"/>
        <w:tabs>
          <w:tab w:leader="none" w:pos="612"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Termination of Rights</w:t>
      </w:r>
      <w:r>
        <w:rPr>
          <w:rFonts w:ascii="Arial" w:cs="Arial" w:eastAsia="Arial" w:hAnsi="Arial"/>
          <w:sz w:val="17"/>
          <w:szCs w:val="17"/>
          <w:color w:val="auto"/>
        </w:rPr>
        <w:t xml:space="preserve">. Notwithstanding anything contained herein to the contrary, the right of any Investor to include Registrable Securities in any Demand Registration or any Piggyback Registration shall terminate on such date that (i) such Investor (together with its affiliates) beneficially owns less than 1% of the outstanding Common Stock, (ii) has held the securities for one year and (iii) may sell all of the Registrable Securities owned by such Investor pursuant to Rule 144 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if following such a termination, such Investor loses the ability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ind w:left="620" w:hanging="180"/>
        <w:spacing w:after="0"/>
        <w:tabs>
          <w:tab w:leader="none" w:pos="62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557" w:val="left"/>
        </w:tabs>
        <w:numPr>
          <w:ilvl w:val="2"/>
          <w:numId w:val="144"/>
        </w:numPr>
        <w:rPr>
          <w:rFonts w:ascii="Arial" w:cs="Arial" w:eastAsia="Arial" w:hAnsi="Arial"/>
          <w:sz w:val="17"/>
          <w:szCs w:val="17"/>
          <w:color w:val="auto"/>
        </w:rPr>
      </w:pPr>
      <w:r>
        <w:rPr>
          <w:rFonts w:ascii="Arial" w:cs="Arial" w:eastAsia="Arial" w:hAnsi="Arial"/>
          <w:sz w:val="17"/>
          <w:szCs w:val="17"/>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85" w:lineRule="exact"/>
        <w:rPr>
          <w:rFonts w:ascii="Arial" w:cs="Arial" w:eastAsia="Arial" w:hAnsi="Arial"/>
          <w:sz w:val="17"/>
          <w:szCs w:val="17"/>
          <w:color w:val="auto"/>
        </w:rPr>
      </w:pPr>
    </w:p>
    <w:p>
      <w:pPr>
        <w:ind w:firstLine="1304"/>
        <w:spacing w:after="0" w:line="277" w:lineRule="auto"/>
        <w:tabs>
          <w:tab w:leader="none" w:pos="155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170" w:lineRule="exact"/>
        <w:rPr>
          <w:rFonts w:ascii="Arial" w:cs="Arial" w:eastAsia="Arial" w:hAnsi="Arial"/>
          <w:sz w:val="18"/>
          <w:szCs w:val="18"/>
          <w:color w:val="auto"/>
        </w:rPr>
      </w:pPr>
    </w:p>
    <w:p>
      <w:pPr>
        <w:ind w:left="620" w:hanging="180"/>
        <w:spacing w:after="0"/>
        <w:tabs>
          <w:tab w:leader="none" w:pos="62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1566" w:val="left"/>
        </w:tabs>
        <w:numPr>
          <w:ilvl w:val="2"/>
          <w:numId w:val="144"/>
        </w:numPr>
        <w:rPr>
          <w:rFonts w:ascii="Arial" w:cs="Arial" w:eastAsia="Arial" w:hAnsi="Arial"/>
          <w:sz w:val="16"/>
          <w:szCs w:val="16"/>
          <w:color w:val="auto"/>
        </w:rPr>
      </w:pPr>
      <w:r>
        <w:rPr>
          <w:rFonts w:ascii="Arial" w:cs="Arial" w:eastAsia="Arial" w:hAnsi="Arial"/>
          <w:sz w:val="16"/>
          <w:szCs w:val="16"/>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Arial" w:cs="Arial" w:eastAsia="Arial" w:hAnsi="Arial"/>
          <w:sz w:val="16"/>
          <w:szCs w:val="16"/>
          <w:u w:val="single" w:color="auto"/>
          <w:color w:val="auto"/>
        </w:rPr>
        <w:t>Losses</w:t>
      </w:r>
      <w:r>
        <w:rPr>
          <w:rFonts w:ascii="Arial" w:cs="Arial" w:eastAsia="Arial" w:hAnsi="Arial"/>
          <w:sz w:val="16"/>
          <w:szCs w:val="16"/>
          <w:color w:val="auto"/>
        </w:rPr>
        <w:t>”)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 the case of a prospectus, in light of the circumstances under which the statements therein were made), and</w:t>
      </w:r>
    </w:p>
    <w:p>
      <w:pPr>
        <w:spacing w:after="0" w:line="4" w:lineRule="exact"/>
        <w:rPr>
          <w:rFonts w:ascii="Arial" w:cs="Arial" w:eastAsia="Arial" w:hAnsi="Arial"/>
          <w:sz w:val="16"/>
          <w:szCs w:val="16"/>
          <w:color w:val="auto"/>
        </w:rPr>
      </w:pPr>
    </w:p>
    <w:p>
      <w:pPr>
        <w:jc w:val="both"/>
        <w:ind w:firstLine="8"/>
        <w:spacing w:after="0" w:line="284" w:lineRule="auto"/>
        <w:tabs>
          <w:tab w:leader="none" w:pos="29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0" w:name="page151"/>
    <w:bookmarkEnd w:id="150"/>
    <w:p>
      <w:pPr>
        <w:jc w:val="both"/>
        <w:ind w:firstLine="1304"/>
        <w:spacing w:after="0" w:line="269" w:lineRule="auto"/>
        <w:tabs>
          <w:tab w:leader="none" w:pos="157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15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 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76" w:lineRule="exact"/>
        <w:rPr>
          <w:rFonts w:ascii="Arial" w:cs="Arial" w:eastAsia="Arial" w:hAnsi="Arial"/>
          <w:sz w:val="16"/>
          <w:szCs w:val="16"/>
          <w:color w:val="auto"/>
        </w:rPr>
      </w:pPr>
    </w:p>
    <w:p>
      <w:pPr>
        <w:jc w:val="both"/>
        <w:ind w:firstLine="1304"/>
        <w:spacing w:after="0" w:line="267" w:lineRule="auto"/>
        <w:tabs>
          <w:tab w:leader="none" w:pos="155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Each party hereto agrees that, if for any reason the indemnification provisions contemplated by </w:t>
      </w:r>
      <w:r>
        <w:rPr>
          <w:rFonts w:ascii="Arial" w:cs="Arial" w:eastAsia="Arial" w:hAnsi="Arial"/>
          <w:sz w:val="17"/>
          <w:szCs w:val="17"/>
          <w:u w:val="single" w:color="auto"/>
          <w:color w:val="auto"/>
        </w:rPr>
        <w:t>Sections 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8(b)</w:t>
      </w:r>
      <w:r>
        <w:rPr>
          <w:rFonts w:ascii="Arial" w:cs="Arial" w:eastAsia="Arial" w:hAnsi="Arial"/>
          <w:sz w:val="17"/>
          <w:szCs w:val="17"/>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7"/>
          <w:szCs w:val="17"/>
          <w:u w:val="single" w:color="auto"/>
          <w:color w:val="auto"/>
        </w:rPr>
        <w:t>Section 8(c)</w:t>
      </w:r>
      <w:r>
        <w:rPr>
          <w:rFonts w:ascii="Arial" w:cs="Arial" w:eastAsia="Arial" w:hAnsi="Arial"/>
          <w:sz w:val="17"/>
          <w:szCs w:val="17"/>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or otherwise) as a result of any untrue statements, alleged untrue statements, omissions or alleged omissions in connection with such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1" w:name="page152"/>
    <w:bookmarkEnd w:id="151"/>
    <w:p>
      <w:pPr>
        <w:jc w:val="both"/>
        <w:ind w:firstLine="1304"/>
        <w:spacing w:after="0" w:line="263" w:lineRule="auto"/>
        <w:tabs>
          <w:tab w:leader="none" w:pos="1572"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183" w:lineRule="exact"/>
        <w:rPr>
          <w:rFonts w:ascii="Arial" w:cs="Arial" w:eastAsia="Arial" w:hAnsi="Arial"/>
          <w:sz w:val="18"/>
          <w:szCs w:val="18"/>
          <w:color w:val="auto"/>
        </w:rPr>
      </w:pPr>
    </w:p>
    <w:p>
      <w:pPr>
        <w:jc w:val="both"/>
        <w:ind w:firstLine="440"/>
        <w:spacing w:after="0" w:line="286" w:lineRule="auto"/>
        <w:tabs>
          <w:tab w:leader="none" w:pos="612"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Participation in Underwritten Registrations</w:t>
      </w:r>
      <w:r>
        <w:rPr>
          <w:rFonts w:ascii="Arial" w:cs="Arial" w:eastAsia="Arial" w:hAnsi="Arial"/>
          <w:sz w:val="16"/>
          <w:szCs w:val="16"/>
          <w:color w:val="auto"/>
        </w:rPr>
        <w:t>.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w:t>
      </w:r>
    </w:p>
    <w:p>
      <w:pPr>
        <w:spacing w:after="0" w:line="1" w:lineRule="exact"/>
        <w:rPr>
          <w:rFonts w:ascii="Arial" w:cs="Arial" w:eastAsia="Arial" w:hAnsi="Arial"/>
          <w:sz w:val="16"/>
          <w:szCs w:val="16"/>
          <w:color w:val="auto"/>
        </w:rPr>
      </w:pPr>
    </w:p>
    <w:p>
      <w:pPr>
        <w:jc w:val="both"/>
        <w:ind w:firstLine="8"/>
        <w:spacing w:after="0" w:line="267" w:lineRule="auto"/>
        <w:tabs>
          <w:tab w:leader="none" w:pos="28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the respective rights and obligations created under such agreement shall supersede the respective rights and obligations of the holders, Pubco and the underwriters created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700" w:hanging="260"/>
        <w:spacing w:after="0"/>
        <w:tabs>
          <w:tab w:leader="none" w:pos="700"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0" w:lineRule="auto"/>
        <w:tabs>
          <w:tab w:leader="none" w:pos="1542" w:val="left"/>
        </w:tabs>
        <w:numPr>
          <w:ilvl w:val="2"/>
          <w:numId w:val="149"/>
        </w:numPr>
        <w:rPr>
          <w:rFonts w:ascii="Arial" w:cs="Arial" w:eastAsia="Arial" w:hAnsi="Arial"/>
          <w:sz w:val="16"/>
          <w:szCs w:val="16"/>
          <w:color w:val="auto"/>
        </w:rPr>
      </w:pPr>
      <w:r>
        <w:rPr>
          <w:rFonts w:ascii="Arial" w:cs="Arial" w:eastAsia="Arial" w:hAnsi="Arial"/>
          <w:sz w:val="16"/>
          <w:szCs w:val="16"/>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12b-25 under the Exchange Act, as applicable) file all reports and other materials required to be filed by Section 13 or 15(d) of the Exchange Act, as applicable (provided, that the failure to file Current Reports on Form 8-K, other than the Form 8-K filed on the Form 10 Disclosure Filing Date,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165" w:lineRule="exact"/>
        <w:rPr>
          <w:rFonts w:ascii="Arial" w:cs="Arial" w:eastAsia="Arial" w:hAnsi="Arial"/>
          <w:sz w:val="16"/>
          <w:szCs w:val="16"/>
          <w:color w:val="auto"/>
        </w:rPr>
      </w:pPr>
    </w:p>
    <w:p>
      <w:pPr>
        <w:jc w:val="both"/>
        <w:ind w:firstLine="1304"/>
        <w:spacing w:after="0" w:line="287" w:lineRule="auto"/>
        <w:tabs>
          <w:tab w:leader="none" w:pos="1569" w:val="left"/>
        </w:tabs>
        <w:numPr>
          <w:ilvl w:val="2"/>
          <w:numId w:val="14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and subject to (and without limiting) Section 8(s) of the Subscription Agreements,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2" w:name="page153"/>
    <w:bookmarkEnd w:id="152"/>
    <w:p>
      <w:pPr>
        <w:jc w:val="both"/>
        <w:ind w:firstLine="1304"/>
        <w:spacing w:after="0" w:line="269" w:lineRule="auto"/>
        <w:tabs>
          <w:tab w:leader="none" w:pos="15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Notwithstanding the foregoing and Section 8(s) of the Subscription Agreements, to the extent Pubco reasonably and in good faith determines that it is necessary to disclose material non-public information to an Investor in order to comply with its obligations hereunder (a “</w:t>
      </w:r>
      <w:r>
        <w:rPr>
          <w:rFonts w:ascii="Arial" w:cs="Arial" w:eastAsia="Arial" w:hAnsi="Arial"/>
          <w:sz w:val="17"/>
          <w:szCs w:val="17"/>
          <w:u w:val="single" w:color="auto"/>
          <w:color w:val="auto"/>
        </w:rPr>
        <w:t>Necessary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Disclosure</w:t>
      </w:r>
      <w:r>
        <w:rPr>
          <w:rFonts w:ascii="Arial" w:cs="Arial" w:eastAsia="Arial" w:hAnsi="Arial"/>
          <w:sz w:val="17"/>
          <w:szCs w:val="17"/>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Arial" w:cs="Arial" w:eastAsia="Arial" w:hAnsi="Arial"/>
          <w:sz w:val="17"/>
          <w:szCs w:val="17"/>
          <w:u w:val="single" w:color="auto"/>
          <w:color w:val="auto"/>
        </w:rPr>
        <w:t>Agreed Disclosure Process</w:t>
      </w:r>
      <w:r>
        <w:rPr>
          <w:rFonts w:ascii="Arial" w:cs="Arial" w:eastAsia="Arial" w:hAnsi="Arial"/>
          <w:sz w:val="17"/>
          <w:szCs w:val="17"/>
          <w:color w:val="auto"/>
        </w:rPr>
        <w:t>”). Thereafter, Pubco shall be permitted to make such Necessary Disclosure (only) in accordance with the Agreed Disclosure Process. In furtherance of (but without limiting) the foregoing or Section 8(s) of the Subscription Agreements, at any time on or after the effective date of the Resale Shelf Registration Statement, any Investor may deliver written notice (an “</w:t>
      </w:r>
      <w:r>
        <w:rPr>
          <w:rFonts w:ascii="Arial" w:cs="Arial" w:eastAsia="Arial" w:hAnsi="Arial"/>
          <w:sz w:val="17"/>
          <w:szCs w:val="17"/>
          <w:u w:val="single" w:color="auto"/>
          <w:color w:val="auto"/>
        </w:rPr>
        <w:t>Opt-Out Notice</w:t>
      </w:r>
      <w:r>
        <w:rPr>
          <w:rFonts w:ascii="Arial" w:cs="Arial" w:eastAsia="Arial" w:hAnsi="Arial"/>
          <w:sz w:val="17"/>
          <w:szCs w:val="17"/>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78" w:lineRule="exact"/>
        <w:rPr>
          <w:rFonts w:ascii="Arial" w:cs="Arial" w:eastAsia="Arial" w:hAnsi="Arial"/>
          <w:sz w:val="17"/>
          <w:szCs w:val="17"/>
          <w:color w:val="auto"/>
        </w:rPr>
      </w:pPr>
    </w:p>
    <w:p>
      <w:pPr>
        <w:jc w:val="both"/>
        <w:ind w:firstLine="1304"/>
        <w:spacing w:after="0" w:line="267" w:lineRule="auto"/>
        <w:tabs>
          <w:tab w:leader="none" w:pos="155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 144 in respect of such Registrable Securities is at least six months, or (E) if such legend is not required under applicable requirements of the Securities Act (including judicial interpretations and pronouncements issued by the staff of the Commission) as determined in good faith by counsel to Pubco or set forth in a legal opinion delivered by nationally recognized counsel to the Initiating Holder (collectively, the “</w:t>
      </w:r>
      <w:r>
        <w:rPr>
          <w:rFonts w:ascii="Arial" w:cs="Arial" w:eastAsia="Arial" w:hAnsi="Arial"/>
          <w:sz w:val="17"/>
          <w:szCs w:val="17"/>
          <w:u w:val="single" w:color="auto"/>
          <w:color w:val="auto"/>
        </w:rPr>
        <w:t>Unrestricted Conditions</w:t>
      </w:r>
      <w:r>
        <w:rPr>
          <w:rFonts w:ascii="Arial" w:cs="Arial" w:eastAsia="Arial" w:hAnsi="Arial"/>
          <w:sz w:val="17"/>
          <w:szCs w:val="17"/>
          <w:color w:val="auto"/>
        </w:rPr>
        <w:t>”). Pubco agrees that following the Registration Date or at such time as any of the Unrestricted Conditions is met or such legend is otherwise no longer required it will, no later than two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Arial" w:cs="Arial" w:eastAsia="Arial" w:hAnsi="Arial"/>
          <w:sz w:val="17"/>
          <w:szCs w:val="17"/>
          <w:u w:val="single" w:color="auto"/>
          <w:color w:val="auto"/>
        </w:rPr>
        <w:t>Registration Date</w:t>
      </w:r>
      <w:r>
        <w:rPr>
          <w:rFonts w:ascii="Arial" w:cs="Arial" w:eastAsia="Arial" w:hAnsi="Arial"/>
          <w:sz w:val="17"/>
          <w:szCs w:val="17"/>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ind w:left="700" w:hanging="260"/>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4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Approving Party</w:t>
      </w:r>
      <w:r>
        <w:rPr>
          <w:rFonts w:ascii="Arial" w:cs="Arial" w:eastAsia="Arial" w:hAnsi="Arial"/>
          <w:sz w:val="18"/>
          <w:szCs w:val="18"/>
          <w:color w:val="auto"/>
        </w:rPr>
        <w:t xml:space="preserve">” means the holders of a majority of the Registrable Securities participating in the applicable offering or, in the case of a Short-Form Registration effected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the holders of a majority of the type of Registrable Securities that initiated such Short-Form Registration.</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 Trade</w:t>
      </w:r>
      <w:r>
        <w:rPr>
          <w:rFonts w:ascii="Arial" w:cs="Arial" w:eastAsia="Arial" w:hAnsi="Arial"/>
          <w:sz w:val="16"/>
          <w:szCs w:val="16"/>
          <w:color w:val="auto"/>
        </w:rPr>
        <w:t>” means any non-marketed underwritten takedown offering taking the form of a bought deal or block sale to a financial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institution.</w:t>
      </w:r>
    </w:p>
    <w:p>
      <w:pPr>
        <w:spacing w:after="0" w:line="210" w:lineRule="exact"/>
        <w:rPr>
          <w:rFonts w:ascii="Arial" w:cs="Arial" w:eastAsia="Arial" w:hAnsi="Arial"/>
          <w:sz w:val="16"/>
          <w:szCs w:val="16"/>
          <w:color w:val="auto"/>
        </w:rPr>
      </w:pPr>
    </w:p>
    <w:p>
      <w:pPr>
        <w:ind w:firstLine="1304"/>
        <w:spacing w:after="0" w:line="277" w:lineRule="auto"/>
        <w:tabs>
          <w:tab w:leader="none" w:pos="154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or Sunday or a legal holiday in the state in which Pubco’s chief executive office is located or in New York, NY.</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Pubco, par value $0.0001 per share.</w:t>
      </w:r>
    </w:p>
    <w:p>
      <w:pPr>
        <w:spacing w:after="0" w:line="225" w:lineRule="exact"/>
        <w:rPr>
          <w:rFonts w:ascii="Arial" w:cs="Arial" w:eastAsia="Arial" w:hAnsi="Arial"/>
          <w:sz w:val="18"/>
          <w:szCs w:val="18"/>
          <w:color w:val="auto"/>
        </w:rPr>
      </w:pPr>
    </w:p>
    <w:p>
      <w:pPr>
        <w:ind w:right="20" w:firstLine="1304"/>
        <w:spacing w:after="0" w:line="277" w:lineRule="auto"/>
        <w:tabs>
          <w:tab w:leader="none" w:pos="153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federal law then in force, together with all rules and regulations promulgated thereunder.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or any successor thereto.</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Free-Writing Prospectus</w:t>
      </w:r>
      <w:r>
        <w:rPr>
          <w:rFonts w:ascii="Arial" w:cs="Arial" w:eastAsia="Arial" w:hAnsi="Arial"/>
          <w:sz w:val="18"/>
          <w:szCs w:val="18"/>
          <w:color w:val="auto"/>
        </w:rPr>
        <w:t>” means a free-writing prospectus, as defined in Rule 405 of the Securities Act.</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51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Form 10 Disclosure Filing Date</w:t>
      </w:r>
      <w:r>
        <w:rPr>
          <w:rFonts w:ascii="Arial" w:cs="Arial" w:eastAsia="Arial" w:hAnsi="Arial"/>
          <w:sz w:val="17"/>
          <w:szCs w:val="17"/>
          <w:color w:val="auto"/>
        </w:rPr>
        <w:t>” means the date on which Pubco shall file with the Commission a Current Report on Form 8-K that includes current “Form 10 information” (within the meaning of Rule 144) reflecting Pubco’s status as an entity that is no longer an issuer described in paragraph (i)(1)(i) of Rule 144, which in no event shall occur later than four business days following the consummation of the Mergers.</w:t>
      </w:r>
    </w:p>
    <w:p>
      <w:pPr>
        <w:spacing w:after="0" w:line="165" w:lineRule="exact"/>
        <w:rPr>
          <w:rFonts w:ascii="Arial" w:cs="Arial" w:eastAsia="Arial" w:hAnsi="Arial"/>
          <w:sz w:val="17"/>
          <w:szCs w:val="17"/>
          <w:color w:val="auto"/>
        </w:rPr>
      </w:pPr>
    </w:p>
    <w:p>
      <w:pPr>
        <w:ind w:firstLine="1304"/>
        <w:spacing w:after="0" w:line="277" w:lineRule="auto"/>
        <w:tabs>
          <w:tab w:leader="none" w:pos="151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Metropolitan Parties</w:t>
      </w:r>
      <w:r>
        <w:rPr>
          <w:rFonts w:ascii="Arial" w:cs="Arial" w:eastAsia="Arial" w:hAnsi="Arial"/>
          <w:sz w:val="18"/>
          <w:szCs w:val="18"/>
          <w:color w:val="auto"/>
        </w:rPr>
        <w:t>” means, as of any date of determination, the holders of a majority of the Registrable Securities held by the Metropolitan Parties as of such date.</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Presto Investors</w:t>
      </w:r>
      <w:r>
        <w:rPr>
          <w:rFonts w:ascii="Arial" w:cs="Arial" w:eastAsia="Arial" w:hAnsi="Arial"/>
          <w:sz w:val="18"/>
          <w:szCs w:val="18"/>
          <w:color w:val="auto"/>
        </w:rPr>
        <w:t>” means, as of any date of determination, the holders of a majority of the Registrable Securities held by the Presto Investors and their successors and assigns as of such date.</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Registration Statement Filing Deadline</w:t>
      </w:r>
      <w:r>
        <w:rPr>
          <w:rFonts w:ascii="Arial" w:cs="Arial" w:eastAsia="Arial" w:hAnsi="Arial"/>
          <w:sz w:val="16"/>
          <w:szCs w:val="16"/>
          <w:color w:val="auto"/>
        </w:rPr>
        <w:t>” means, with respect to any New Registration Statements that may be required pursuant</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Section 1(b), (i)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 (B) if such New Registration Statement is required for a reason other than as described in clause (i) of this definition,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date on which Pubco first knows that such New Registration Statement is required.</w:t>
      </w:r>
    </w:p>
    <w:p>
      <w:pPr>
        <w:spacing w:after="0" w:line="56" w:lineRule="exact"/>
        <w:rPr>
          <w:sz w:val="20"/>
          <w:szCs w:val="20"/>
          <w:color w:val="auto"/>
        </w:rPr>
      </w:pPr>
    </w:p>
    <w:p>
      <w:pPr>
        <w:jc w:val="both"/>
        <w:ind w:firstLine="1304"/>
        <w:spacing w:after="0" w:line="257" w:lineRule="auto"/>
        <w:tabs>
          <w:tab w:leader="none" w:pos="16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means any Person to whom an Investor transfers Registrable Securities; provided, however, that, with respect to any transfer of Registrable Securities that constitute Lock-up Shares (as defined in the Bylaws), during the applicable Lock-up Period (as defined in the Bylaws and the Support Agreements), the transferee thereof shall only constitute a Permitted Transferee if such transferee is a Person to whom such Registrable Securities are permitted to be transferred by the transferring Investor during the applicable Lock-up Period (as defined in per Bylaws and the Support Agreements) under the Bylaws and the Support Agreements.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83" w:lineRule="exact"/>
        <w:rPr>
          <w:rFonts w:ascii="Arial" w:cs="Arial" w:eastAsia="Arial" w:hAnsi="Arial"/>
          <w:sz w:val="18"/>
          <w:szCs w:val="18"/>
          <w:color w:val="auto"/>
        </w:rPr>
      </w:pPr>
    </w:p>
    <w:p>
      <w:pPr>
        <w:ind w:firstLine="1304"/>
        <w:spacing w:after="0" w:line="277" w:lineRule="auto"/>
        <w:tabs>
          <w:tab w:leader="none" w:pos="15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Presto Investors</w:t>
      </w:r>
      <w:r>
        <w:rPr>
          <w:rFonts w:ascii="Arial" w:cs="Arial" w:eastAsia="Arial" w:hAnsi="Arial"/>
          <w:sz w:val="18"/>
          <w:szCs w:val="18"/>
          <w:color w:val="auto"/>
        </w:rPr>
        <w:t xml:space="preserve">” means the Investors set forth on the Schedule of Investors as of the date hereof and their direct and indirect transferees, if any, who become a party to this Agreement pursuant to </w:t>
      </w:r>
      <w:r>
        <w:rPr>
          <w:rFonts w:ascii="Arial" w:cs="Arial" w:eastAsia="Arial" w:hAnsi="Arial"/>
          <w:sz w:val="18"/>
          <w:szCs w:val="18"/>
          <w:u w:val="single" w:color="auto"/>
          <w:color w:val="auto"/>
        </w:rPr>
        <w:t>Section 12(f)</w:t>
      </w:r>
      <w:r>
        <w:rPr>
          <w:rFonts w:ascii="Arial" w:cs="Arial" w:eastAsia="Arial" w:hAnsi="Arial"/>
          <w:sz w:val="18"/>
          <w:szCs w:val="18"/>
          <w:color w:val="auto"/>
        </w:rPr>
        <w:t xml:space="preserve"> of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jc w:val="both"/>
        <w:ind w:firstLine="1304"/>
        <w:spacing w:after="0" w:line="259" w:lineRule="auto"/>
        <w:tabs>
          <w:tab w:leader="none" w:pos="16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86" w:lineRule="exact"/>
        <w:rPr>
          <w:rFonts w:ascii="Arial" w:cs="Arial" w:eastAsia="Arial" w:hAnsi="Arial"/>
          <w:sz w:val="18"/>
          <w:szCs w:val="18"/>
          <w:color w:val="auto"/>
        </w:rPr>
      </w:pPr>
    </w:p>
    <w:p>
      <w:pPr>
        <w:ind w:firstLine="1304"/>
        <w:spacing w:after="0" w:line="277" w:lineRule="auto"/>
        <w:tabs>
          <w:tab w:leader="none" w:pos="15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any sale or distribution by Pubco and/or holders of Registrable Securities to the public of Common Stock pursuant to an offering registered under the Securities Act.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3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83" w:lineRule="exact"/>
        <w:rPr>
          <w:rFonts w:ascii="Arial" w:cs="Arial" w:eastAsia="Arial" w:hAnsi="Arial"/>
          <w:sz w:val="18"/>
          <w:szCs w:val="18"/>
          <w:color w:val="auto"/>
        </w:rPr>
      </w:pPr>
    </w:p>
    <w:p>
      <w:pPr>
        <w:jc w:val="both"/>
        <w:ind w:firstLine="1304"/>
        <w:spacing w:after="0" w:line="267" w:lineRule="auto"/>
        <w:tabs>
          <w:tab w:leader="none" w:pos="153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(i) any Founder Shares held by the Investors, (ii) any shares of Common Stock issued to an Investor, or issuable upon exercise of warrants issued to an Investor, in Pubco’s initial public offering, (iii) any Private Placement Warrants (or underlying securities) held by the Investors, (iv) any shares of Common Stock issued to an Investor pursuant to the terms of the Merger Agreement, (v) any Subscribed Warrants and Underlying Shares (as defined in the Subscription Agreements), (vi) any other shares of Common Stock or warrants to purchase shares of Common Stock held or later acquired by an Investor, (vii) any shares of Common Stock issued or issuable upon the exercise, conversion or exchange of, or pursuant to anti-dilution provisions applicable to, securities hereafter issued in exchange or substitution for, or otherwise with respect to, securities referred to in clauses (i) through (vi) by way of reclassification, exchange or otherwise, and (viii) any Common Stock issued or issuable with respect to the securities referred to in the preceding clauses (i) through (vii)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following the consummation of the Mergers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191" w:lineRule="exact"/>
        <w:rPr>
          <w:rFonts w:ascii="Arial" w:cs="Arial" w:eastAsia="Arial" w:hAnsi="Arial"/>
          <w:sz w:val="17"/>
          <w:szCs w:val="17"/>
          <w:color w:val="auto"/>
        </w:rPr>
      </w:pPr>
    </w:p>
    <w:p>
      <w:pPr>
        <w:jc w:val="both"/>
        <w:ind w:firstLine="1304"/>
        <w:spacing w:after="0" w:line="259" w:lineRule="auto"/>
        <w:tabs>
          <w:tab w:leader="none" w:pos="15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6" w:lineRule="exact"/>
        <w:rPr>
          <w:rFonts w:ascii="Arial" w:cs="Arial" w:eastAsia="Arial" w:hAnsi="Arial"/>
          <w:sz w:val="18"/>
          <w:szCs w:val="18"/>
          <w:color w:val="auto"/>
        </w:rPr>
      </w:pPr>
    </w:p>
    <w:p>
      <w:pPr>
        <w:ind w:right="20" w:firstLine="1304"/>
        <w:spacing w:after="0" w:line="277" w:lineRule="auto"/>
        <w:tabs>
          <w:tab w:leader="none" w:pos="157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and “</w:t>
      </w:r>
      <w:r>
        <w:rPr>
          <w:rFonts w:ascii="Arial" w:cs="Arial" w:eastAsia="Arial" w:hAnsi="Arial"/>
          <w:sz w:val="18"/>
          <w:szCs w:val="18"/>
          <w:u w:val="single" w:color="auto"/>
          <w:color w:val="auto"/>
        </w:rPr>
        <w:t>Rule 415</w:t>
      </w:r>
      <w:r>
        <w:rPr>
          <w:rFonts w:ascii="Arial" w:cs="Arial" w:eastAsia="Arial" w:hAnsi="Arial"/>
          <w:sz w:val="18"/>
          <w:szCs w:val="18"/>
          <w:color w:val="auto"/>
        </w:rPr>
        <w:t>” mean, in each case, such rule promulgated under the Securities Act (or any successor provision) by the Commission, as the same shall be amended from time to time, or any successor rule then in force.</w:t>
      </w:r>
    </w:p>
    <w:p>
      <w:pPr>
        <w:spacing w:after="0" w:line="170" w:lineRule="exact"/>
        <w:rPr>
          <w:rFonts w:ascii="Arial" w:cs="Arial" w:eastAsia="Arial" w:hAnsi="Arial"/>
          <w:sz w:val="18"/>
          <w:szCs w:val="18"/>
          <w:color w:val="auto"/>
        </w:rPr>
      </w:pPr>
    </w:p>
    <w:p>
      <w:pPr>
        <w:ind w:firstLine="1304"/>
        <w:spacing w:after="0" w:line="277" w:lineRule="auto"/>
        <w:tabs>
          <w:tab w:leader="none" w:pos="155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or any successor federal law then in force, together with all rules and regulations promulgated thereunder.</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159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Participant</w:t>
      </w:r>
      <w:r>
        <w:rPr>
          <w:rFonts w:ascii="Arial" w:cs="Arial" w:eastAsia="Arial" w:hAnsi="Arial"/>
          <w:sz w:val="17"/>
          <w:szCs w:val="17"/>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post-effective amendment thereto or added by means of an automatic post-effective amendment thereto.</w:t>
      </w:r>
    </w:p>
    <w:p>
      <w:pPr>
        <w:spacing w:after="0" w:line="165" w:lineRule="exact"/>
        <w:rPr>
          <w:rFonts w:ascii="Arial" w:cs="Arial" w:eastAsia="Arial" w:hAnsi="Arial"/>
          <w:sz w:val="17"/>
          <w:szCs w:val="17"/>
          <w:color w:val="auto"/>
        </w:rPr>
      </w:pPr>
    </w:p>
    <w:p>
      <w:pPr>
        <w:ind w:left="1560" w:hanging="256"/>
        <w:spacing w:after="0"/>
        <w:tabs>
          <w:tab w:leader="none" w:pos="15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under Rule 405.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ind w:left="700" w:hanging="260"/>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554"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Pubco shall not hereafter enter into any agreement with respect to its securities which is inconsistent with or violates or in any way impairs the rights granted to the Investors in this Agreement.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 and amends and restates the Prior Agreement its entirety.</w:t>
      </w:r>
    </w:p>
    <w:p>
      <w:pPr>
        <w:spacing w:after="0" w:line="183" w:lineRule="exact"/>
        <w:rPr>
          <w:rFonts w:ascii="Arial" w:cs="Arial" w:eastAsia="Arial" w:hAnsi="Arial"/>
          <w:sz w:val="18"/>
          <w:szCs w:val="18"/>
          <w:color w:val="auto"/>
        </w:rPr>
      </w:pPr>
    </w:p>
    <w:p>
      <w:pPr>
        <w:jc w:val="both"/>
        <w:ind w:firstLine="1304"/>
        <w:spacing w:after="0" w:line="255" w:lineRule="auto"/>
        <w:tabs>
          <w:tab w:leader="none" w:pos="1567"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155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Except as otherwise provided herein, the provisions of this Agreement may be amended or waived only with the prior written consent of Pubco and the holders of a majority of the Registrable Securities then outstanding; provided, that such majority shall include the Majority Presto Investors for so long as the Presto Investors hold at least 5% of the outstanding Common Stock on the date of such amendment or waiver,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191" w:lineRule="exact"/>
        <w:rPr>
          <w:rFonts w:ascii="Arial" w:cs="Arial" w:eastAsia="Arial" w:hAnsi="Arial"/>
          <w:sz w:val="18"/>
          <w:szCs w:val="18"/>
          <w:color w:val="auto"/>
        </w:rPr>
      </w:pPr>
    </w:p>
    <w:p>
      <w:pPr>
        <w:jc w:val="both"/>
        <w:ind w:firstLine="1304"/>
        <w:spacing w:after="0" w:line="255" w:lineRule="auto"/>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192" w:lineRule="exact"/>
        <w:rPr>
          <w:rFonts w:ascii="Arial" w:cs="Arial" w:eastAsia="Arial" w:hAnsi="Arial"/>
          <w:sz w:val="18"/>
          <w:szCs w:val="18"/>
          <w:color w:val="auto"/>
        </w:rPr>
      </w:pPr>
    </w:p>
    <w:p>
      <w:pPr>
        <w:jc w:val="both"/>
        <w:ind w:firstLine="1304"/>
        <w:spacing w:after="0" w:line="268" w:lineRule="auto"/>
        <w:tabs>
          <w:tab w:leader="none" w:pos="1521"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Transfer of Rights</w:t>
      </w:r>
      <w:r>
        <w:rPr>
          <w:rFonts w:ascii="Arial" w:cs="Arial" w:eastAsia="Arial" w:hAnsi="Arial"/>
          <w:sz w:val="17"/>
          <w:szCs w:val="17"/>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Arial" w:cs="Arial" w:eastAsia="Arial" w:hAnsi="Arial"/>
          <w:sz w:val="17"/>
          <w:szCs w:val="17"/>
          <w:u w:val="single" w:color="auto"/>
          <w:color w:val="auto"/>
        </w:rPr>
        <w:t>Section 12(f)</w:t>
      </w:r>
      <w:r>
        <w:rPr>
          <w:rFonts w:ascii="Arial" w:cs="Arial" w:eastAsia="Arial" w:hAnsi="Arial"/>
          <w:sz w:val="17"/>
          <w:szCs w:val="17"/>
          <w:color w:val="auto"/>
        </w:rPr>
        <w:t xml:space="preserve"> shall henceforth be an “Investor” for purposes of this Agreement and in the case of a transfer from a Presto Investor, Metropolitan Parties or the Sponsors, a transferee shall be considered a Presto Investor, a Metropolitan Parties or a Sponsor as shall be applicable.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jc w:val="both"/>
        <w:ind w:firstLine="1304"/>
        <w:spacing w:after="0" w:line="259" w:lineRule="auto"/>
        <w:tabs>
          <w:tab w:leader="none" w:pos="1564"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64"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3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53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578"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Arial" w:cs="Arial" w:eastAsia="Arial" w:hAnsi="Arial"/>
          <w:sz w:val="16"/>
          <w:szCs w:val="16"/>
          <w:u w:val="single" w:color="auto"/>
          <w:color w:val="auto"/>
        </w:rPr>
        <w:t>Section 12(k)</w:t>
      </w:r>
      <w:r>
        <w:rPr>
          <w:rFonts w:ascii="Arial" w:cs="Arial" w:eastAsia="Arial" w:hAnsi="Arial"/>
          <w:sz w:val="16"/>
          <w:szCs w:val="16"/>
          <w:color w:val="auto"/>
        </w:rPr>
        <w:t>):</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La Carte, Inc. d/b/a Presto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810 Hamilton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raj@presto.com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Rajat Suri</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cdiamond@whitecase.com</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laurakatherine.mann@whitecase.com</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emery.choi@whitecase.com</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Attention:</w:t>
        <w:tab/>
        <w:t>Colin Diamond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Laura Katherine Mann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Emery Choi</w:t>
      </w:r>
    </w:p>
    <w:p>
      <w:pPr>
        <w:spacing w:after="0" w:line="211" w:lineRule="exact"/>
        <w:rPr>
          <w:sz w:val="20"/>
          <w:szCs w:val="20"/>
          <w:color w:val="auto"/>
        </w:rPr>
      </w:pPr>
    </w:p>
    <w:p>
      <w:pPr>
        <w:jc w:val="both"/>
        <w:ind w:firstLine="1304"/>
        <w:spacing w:after="0" w:line="257" w:lineRule="auto"/>
        <w:tabs>
          <w:tab w:leader="none" w:pos="1524"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1601"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65" w:lineRule="exact"/>
        <w:rPr>
          <w:rFonts w:ascii="Arial" w:cs="Arial" w:eastAsia="Arial" w:hAnsi="Arial"/>
          <w:sz w:val="17"/>
          <w:szCs w:val="17"/>
          <w:color w:val="auto"/>
        </w:rPr>
      </w:pPr>
    </w:p>
    <w:p>
      <w:pPr>
        <w:ind w:left="53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7" w:name="page158"/>
    <w:bookmarkEnd w:id="157"/>
    <w:p>
      <w:pPr>
        <w:ind w:firstLine="432"/>
        <w:spacing w:after="0" w:line="277" w:lineRule="auto"/>
        <w:rPr>
          <w:sz w:val="20"/>
          <w:szCs w:val="20"/>
          <w:color w:val="auto"/>
        </w:rPr>
      </w:pPr>
      <w:r>
        <w:rPr>
          <w:rFonts w:ascii="Arial" w:cs="Arial" w:eastAsia="Arial" w:hAnsi="Arial"/>
          <w:sz w:val="18"/>
          <w:szCs w:val="18"/>
          <w:color w:val="auto"/>
        </w:rPr>
        <w:t>IN WITNESS WHEREOF, the parties hereto have executed this Amended and Restated Registration Rights Agreement as of the date first written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Matt MacDonald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ACQUISITION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Matt MacDonald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CHARDAN INTERNATIONAL INVESTMENTS,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Jonas Grossman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CINDAT USA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Bernard van der Lande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BLIND 1212,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Woodrow H. Levin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Julie Atkinson</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Christian Ahrens</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ROMULUS CAPITAL II, L.P.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Krishna Gupta</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ROMULUS CAPITAL III, L.P.</w:t>
      </w:r>
    </w:p>
    <w:p>
      <w:pPr>
        <w:spacing w:after="0" w:line="30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Krishna Gupta</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8" w:name="page159"/>
    <w:bookmarkEnd w:id="158"/>
    <w:p>
      <w:pPr>
        <w:jc w:val="right"/>
        <w:ind w:right="560"/>
        <w:spacing w:after="0"/>
        <w:rPr>
          <w:sz w:val="20"/>
          <w:szCs w:val="20"/>
          <w:color w:val="auto"/>
        </w:rPr>
      </w:pPr>
      <w:r>
        <w:rPr>
          <w:rFonts w:ascii="Arial" w:cs="Arial" w:eastAsia="Arial" w:hAnsi="Arial"/>
          <w:sz w:val="18"/>
          <w:szCs w:val="18"/>
          <w:color w:val="auto"/>
        </w:rPr>
        <w:t>ROMULUS ELC B3 SPECIAL OPPORTUNITY, L.P.</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Krishna Gupta</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RAJAT SURI</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Rajat Suri</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ASHISH GUPTA</w:t>
      </w:r>
    </w:p>
    <w:p>
      <w:pPr>
        <w:spacing w:after="0" w:line="306"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230"/>
        </w:trPr>
        <w:tc>
          <w:tcPr>
            <w:tcW w:w="56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Ashish Gupta</w:t>
            </w:r>
          </w:p>
        </w:tc>
      </w:tr>
    </w:tbl>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HEALEY</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William Healey</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 MOSHER</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 Mosher</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KRISHNA GUPTA</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Krishna Gupta</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ILYA GOLUBOVICH</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Ilya Golubovich</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KIM AXEL LOPDRUP</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Axel Lopdrup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Kim Axel Lopdrup</w:t>
      </w: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GAIL ZAUDER</w:t>
      </w:r>
    </w:p>
    <w:p>
      <w:pPr>
        <w:spacing w:after="0" w:line="30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Gail Zauder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Gail Zauder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PRESTO CA LLC</w:t>
      </w:r>
    </w:p>
    <w:p>
      <w:pPr>
        <w:spacing w:after="0" w:line="29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McCoy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CCO</w:t>
      </w:r>
    </w:p>
    <w:p>
      <w:pPr>
        <w:spacing w:after="0" w:line="200" w:lineRule="exact"/>
        <w:rPr>
          <w:sz w:val="20"/>
          <w:szCs w:val="20"/>
          <w:color w:val="auto"/>
        </w:rPr>
      </w:pPr>
    </w:p>
    <w:p>
      <w:pPr>
        <w:spacing w:after="0" w:line="2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59" w:name="page160"/>
    <w:bookmarkEnd w:id="159"/>
    <w:p>
      <w:pPr>
        <w:jc w:val="right"/>
        <w:ind w:right="160"/>
        <w:spacing w:after="0"/>
        <w:rPr>
          <w:sz w:val="20"/>
          <w:szCs w:val="20"/>
          <w:color w:val="auto"/>
        </w:rPr>
      </w:pPr>
      <w:r>
        <w:rPr>
          <w:rFonts w:ascii="Arial" w:cs="Arial" w:eastAsia="Arial" w:hAnsi="Arial"/>
          <w:sz w:val="18"/>
          <w:szCs w:val="18"/>
          <w:color w:val="auto"/>
        </w:rPr>
        <w:t>METROPOLITAN LEVERED PARTNERS FUND VII, LP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METROPOLITAN PARTNERS FUND VII, LP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K. Lisiak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Paul K. Lisiak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CEOF HOLDINGS LP</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Daniel Friedman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SILVER ROCK EMPIRE FUND LP - SERIES 2022</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Silver Rock Capital Partners LP, its investment advisor</w:t>
      </w:r>
    </w:p>
    <w:p>
      <w:pPr>
        <w:spacing w:after="0" w:line="22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Hunnius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Patrick Hunnius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LAKE VINEYARD FUND LP - SERIES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Silver Rock Capital Partners LP, its trading advisor</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Patrick Hunnius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Hunnius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&amp; CCO</w:t>
      </w:r>
    </w:p>
    <w:p>
      <w:pPr>
        <w:spacing w:after="0" w:line="222" w:lineRule="exact"/>
        <w:rPr>
          <w:sz w:val="20"/>
          <w:szCs w:val="20"/>
          <w:color w:val="auto"/>
        </w:rPr>
      </w:pPr>
    </w:p>
    <w:p>
      <w:pPr>
        <w:sectPr>
          <w:pgSz w:w="11900" w:h="16838" w:orient="portrait"/>
          <w:cols w:equalWidth="0" w:num="2">
            <w:col w:w="480" w:space="100"/>
            <w:col w:w="10660"/>
          </w:cols>
          <w:pgMar w:left="320" w:top="908"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Amended and Restated Registration Rights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60" w:name="page161"/>
    <w:bookmarkEnd w:id="160"/>
    <w:tbl>
      <w:tblPr>
        <w:tblLayout w:type="fixed"/>
        <w:tblInd w:w="1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40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99"/>
              </w:rPr>
              <w:t>SCHEDULE OF INVESTORS</w:t>
            </w:r>
          </w:p>
        </w:tc>
      </w:tr>
      <w:tr>
        <w:trPr>
          <w:trHeight w:val="223"/>
        </w:trPr>
        <w:tc>
          <w:tcPr>
            <w:tcW w:w="3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Investor</w:t>
            </w:r>
          </w:p>
        </w:tc>
        <w:tc>
          <w:tcPr>
            <w:tcW w:w="18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Address</w:t>
            </w: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Ventoux Acquisition Holdings LLC</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Ventoux Acquisition Holdings LLC</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211 North Street</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Northampton, MA 01060</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Ed Scheetz</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ed@ventouxccm.com</w:t>
            </w:r>
          </w:p>
        </w:tc>
      </w:tr>
      <w:tr>
        <w:trPr>
          <w:trHeight w:val="432"/>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Dentons LLP</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1221 Avenue of the Americas</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10020</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Brian Lee</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brian.lee@dentons.com</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Woolery &amp; Co.</w:t>
            </w:r>
          </w:p>
        </w:tc>
      </w:tr>
      <w:tr>
        <w:trPr>
          <w:trHeight w:val="220"/>
        </w:trPr>
        <w:tc>
          <w:tcPr>
            <w:tcW w:w="3840" w:type="dxa"/>
            <w:vAlign w:val="bottom"/>
            <w:tcBorders>
              <w:lef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 Pier 76</w:t>
            </w:r>
          </w:p>
        </w:tc>
      </w:tr>
      <w:tr>
        <w:trPr>
          <w:trHeight w:val="253"/>
        </w:trPr>
        <w:tc>
          <w:tcPr>
            <w:tcW w:w="3840" w:type="dxa"/>
            <w:vAlign w:val="bottom"/>
            <w:tcBorders>
              <w:lef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60"/>
              <w:spacing w:after="0" w:line="252" w:lineRule="exact"/>
              <w:rPr>
                <w:sz w:val="20"/>
                <w:szCs w:val="20"/>
                <w:color w:val="auto"/>
              </w:rPr>
            </w:pPr>
            <w:r>
              <w:rPr>
                <w:rFonts w:ascii="Arial" w:cs="Arial" w:eastAsia="Arial" w:hAnsi="Arial"/>
                <w:sz w:val="18"/>
                <w:szCs w:val="18"/>
                <w:color w:val="auto"/>
              </w:rPr>
              <w:t>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10018</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Matthew J. Saur</w:t>
            </w:r>
          </w:p>
        </w:tc>
      </w:tr>
      <w:tr>
        <w:trPr>
          <w:trHeight w:val="237"/>
        </w:trPr>
        <w:tc>
          <w:tcPr>
            <w:tcW w:w="3840" w:type="dxa"/>
            <w:vAlign w:val="bottom"/>
            <w:tcBorders>
              <w:left w:val="single" w:sz="8" w:color="auto"/>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Email: mathew@wooleryco.com</w:t>
            </w:r>
          </w:p>
        </w:tc>
      </w:tr>
      <w:tr>
        <w:trPr>
          <w:trHeight w:val="205"/>
        </w:trPr>
        <w:tc>
          <w:tcPr>
            <w:tcW w:w="3840" w:type="dxa"/>
            <w:vAlign w:val="bottom"/>
            <w:tcBorders>
              <w:left w:val="single" w:sz="8" w:color="auto"/>
            </w:tcBorders>
          </w:tcPr>
          <w:p>
            <w:pPr>
              <w:ind w:left="40"/>
              <w:spacing w:after="0" w:line="206" w:lineRule="exact"/>
              <w:rPr>
                <w:sz w:val="20"/>
                <w:szCs w:val="20"/>
                <w:color w:val="auto"/>
              </w:rPr>
            </w:pPr>
            <w:r>
              <w:rPr>
                <w:rFonts w:ascii="Arial" w:cs="Arial" w:eastAsia="Arial" w:hAnsi="Arial"/>
                <w:sz w:val="18"/>
                <w:szCs w:val="18"/>
                <w:b w:val="1"/>
                <w:bCs w:val="1"/>
                <w:color w:val="auto"/>
              </w:rPr>
              <w:t>Chardan International Investments, LLC</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18"/>
                <w:szCs w:val="18"/>
                <w:color w:val="auto"/>
              </w:rPr>
              <w:t>Chardan International Investments LLC</w:t>
            </w:r>
          </w:p>
        </w:tc>
      </w:tr>
      <w:tr>
        <w:trPr>
          <w:trHeight w:val="253"/>
        </w:trPr>
        <w:tc>
          <w:tcPr>
            <w:tcW w:w="3840" w:type="dxa"/>
            <w:vAlign w:val="bottom"/>
            <w:tcBorders>
              <w:lef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60"/>
              <w:spacing w:after="0" w:line="252" w:lineRule="exact"/>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10004</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Jonas Grossman</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jgrossman@chardan.com</w:t>
            </w:r>
          </w:p>
        </w:tc>
      </w:tr>
      <w:tr>
        <w:trPr>
          <w:trHeight w:val="432"/>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Chardan</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 East Putnam Avenue, 4th Floor,</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Greenwich, CT 06830</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Chief Legal Officer</w:t>
            </w:r>
          </w:p>
        </w:tc>
      </w:tr>
      <w:tr>
        <w:trPr>
          <w:trHeight w:val="237"/>
        </w:trPr>
        <w:tc>
          <w:tcPr>
            <w:tcW w:w="3840" w:type="dxa"/>
            <w:vAlign w:val="bottom"/>
            <w:tcBorders>
              <w:left w:val="single" w:sz="8" w:color="auto"/>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E-mail: legal@chardan.com</w:t>
            </w: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Cindat USA LLC</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Cindat USA LLC</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Seagram Building, 375 Park Avenue #3703</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10152</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Bernard Vanderlande</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bernard.vanderlande@cindatusa.com</w:t>
            </w:r>
          </w:p>
        </w:tc>
      </w:tr>
      <w:tr>
        <w:trPr>
          <w:trHeight w:val="47"/>
        </w:trPr>
        <w:tc>
          <w:tcPr>
            <w:tcW w:w="3840" w:type="dxa"/>
            <w:vAlign w:val="bottom"/>
            <w:tcBorders>
              <w:left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Blind 1212, LLC</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Blind 1212, LLC</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404 Sunset Lane</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Glencoe, Il 60022</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Woodrow Levin</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woodrow.levin@gmail.com</w:t>
            </w:r>
          </w:p>
        </w:tc>
      </w:tr>
      <w:tr>
        <w:trPr>
          <w:trHeight w:val="48"/>
        </w:trPr>
        <w:tc>
          <w:tcPr>
            <w:tcW w:w="3840" w:type="dxa"/>
            <w:vAlign w:val="bottom"/>
            <w:tcBorders>
              <w:left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Julie Atkinson</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11 Irvine Road</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Old Greenwich, CT 06870</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julieatkinson57@gmail.com</w:t>
            </w:r>
          </w:p>
        </w:tc>
      </w:tr>
      <w:tr>
        <w:trPr>
          <w:trHeight w:val="48"/>
        </w:trPr>
        <w:tc>
          <w:tcPr>
            <w:tcW w:w="3840" w:type="dxa"/>
            <w:vAlign w:val="bottom"/>
            <w:tcBorders>
              <w:left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Christian Ahrens</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42 Garden Place</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Brooklyn, NY 11201</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cprahrens@gmail.com</w:t>
            </w:r>
          </w:p>
        </w:tc>
      </w:tr>
      <w:tr>
        <w:trPr>
          <w:trHeight w:val="48"/>
        </w:trPr>
        <w:tc>
          <w:tcPr>
            <w:tcW w:w="3840" w:type="dxa"/>
            <w:vAlign w:val="bottom"/>
            <w:tcBorders>
              <w:left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8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Romulus Capital II, L.P.</w:t>
            </w:r>
          </w:p>
        </w:tc>
        <w:tc>
          <w:tcPr>
            <w:tcW w:w="18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Romulus Capital II, L.P.</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307 Harvard Street</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Cambridge, MA 02139</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Krishna Gupta</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kkg@romulusgroup.com</w:t>
            </w:r>
          </w:p>
        </w:tc>
      </w:tr>
      <w:tr>
        <w:trPr>
          <w:trHeight w:val="432"/>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384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Goodwin Procter LLP</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Northern Avenue</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Boston, MA 0221</w:t>
            </w:r>
          </w:p>
        </w:tc>
      </w:tr>
      <w:tr>
        <w:trPr>
          <w:trHeight w:val="216"/>
        </w:trPr>
        <w:tc>
          <w:tcPr>
            <w:tcW w:w="384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William Schnoor</w:t>
            </w:r>
          </w:p>
        </w:tc>
      </w:tr>
      <w:tr>
        <w:trPr>
          <w:trHeight w:val="230"/>
        </w:trPr>
        <w:tc>
          <w:tcPr>
            <w:tcW w:w="384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WSchnoor@goodwinlaw.com</w:t>
            </w:r>
          </w:p>
        </w:tc>
      </w:tr>
      <w:tr>
        <w:trPr>
          <w:trHeight w:val="48"/>
        </w:trPr>
        <w:tc>
          <w:tcPr>
            <w:tcW w:w="3840" w:type="dxa"/>
            <w:vAlign w:val="bottom"/>
            <w:tcBorders>
              <w:left w:val="single" w:sz="8" w:color="auto"/>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655"/>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337" w:right="339" w:bottom="676"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Romulus Capital III, L.P.</w:t>
            </w:r>
          </w:p>
        </w:tc>
        <w:tc>
          <w:tcPr>
            <w:tcW w:w="1180" w:type="dxa"/>
            <w:vAlign w:val="bottom"/>
            <w:tcBorders>
              <w:top w:val="single" w:sz="8" w:color="auto"/>
              <w:right w:val="single" w:sz="8" w:color="auto"/>
            </w:tcBorders>
          </w:tcPr>
          <w:p>
            <w:pPr>
              <w:spacing w:after="0"/>
              <w:rPr>
                <w:sz w:val="19"/>
                <w:szCs w:val="19"/>
                <w:color w:val="auto"/>
              </w:rPr>
            </w:pPr>
          </w:p>
        </w:tc>
        <w:tc>
          <w:tcPr>
            <w:tcW w:w="5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Romulus Capital II, L.P.</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307 Harvard Street</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Cambridge, MA 02139</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Krishna Gupta</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kkg@romulusgroup.com</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Goodwin Procter LLP</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Northern Avenue</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Boston, MA 0221</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William Schnoor</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WSchnoor@goodwinlaw.com</w:t>
            </w:r>
          </w:p>
        </w:tc>
      </w:tr>
      <w:tr>
        <w:trPr>
          <w:trHeight w:val="48"/>
        </w:trPr>
        <w:tc>
          <w:tcPr>
            <w:tcW w:w="4460" w:type="dxa"/>
            <w:vAlign w:val="bottom"/>
            <w:tcBorders>
              <w:left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4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Romulus ELC B3 Special Opportunity, L.P.</w:t>
            </w:r>
          </w:p>
        </w:tc>
        <w:tc>
          <w:tcPr>
            <w:tcW w:w="11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Romulus Capital II, L.P.</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307 Harvard Street</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Cambridge, MA 02139</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Krishna Gupta</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kkg@romulusgroup.com</w:t>
            </w:r>
          </w:p>
        </w:tc>
      </w:tr>
      <w:tr>
        <w:trPr>
          <w:trHeight w:val="432"/>
        </w:trPr>
        <w:tc>
          <w:tcPr>
            <w:tcW w:w="4460" w:type="dxa"/>
            <w:vAlign w:val="bottom"/>
            <w:tcBorders>
              <w:lef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4460" w:type="dxa"/>
            <w:vAlign w:val="bottom"/>
            <w:tcBorders>
              <w:lef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Goodwin Procter LLP</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Northern Avenue</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Boston, MA 0221</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William Schnoor</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WSchnoor@goodwinlaw.com</w:t>
            </w:r>
          </w:p>
        </w:tc>
      </w:tr>
      <w:tr>
        <w:trPr>
          <w:trHeight w:val="48"/>
        </w:trPr>
        <w:tc>
          <w:tcPr>
            <w:tcW w:w="4460" w:type="dxa"/>
            <w:vAlign w:val="bottom"/>
            <w:tcBorders>
              <w:left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4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PRESTO CA LLC</w:t>
            </w:r>
          </w:p>
        </w:tc>
        <w:tc>
          <w:tcPr>
            <w:tcW w:w="11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Presto CA LLC</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222 N. Canal Street, Third Floor</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Chicago, IL 60606</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Keith Kravcik</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kkravcik@clevelandave.com</w:t>
            </w:r>
          </w:p>
        </w:tc>
      </w:tr>
      <w:tr>
        <w:trPr>
          <w:trHeight w:val="432"/>
        </w:trPr>
        <w:tc>
          <w:tcPr>
            <w:tcW w:w="4460" w:type="dxa"/>
            <w:vAlign w:val="bottom"/>
            <w:tcBorders>
              <w:lef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4460" w:type="dxa"/>
            <w:vAlign w:val="bottom"/>
            <w:tcBorders>
              <w:lef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Riley Safer Holmes &amp; Cancila</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70 W. Madison Street, Suite 2900</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Chicago, Illinois 60602</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Jeff Larry</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jlarry@rshc-law.com</w:t>
            </w:r>
          </w:p>
        </w:tc>
      </w:tr>
      <w:tr>
        <w:trPr>
          <w:trHeight w:val="48"/>
        </w:trPr>
        <w:tc>
          <w:tcPr>
            <w:tcW w:w="4460" w:type="dxa"/>
            <w:vAlign w:val="bottom"/>
            <w:tcBorders>
              <w:left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4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Rajat Suri</w:t>
            </w:r>
          </w:p>
        </w:tc>
        <w:tc>
          <w:tcPr>
            <w:tcW w:w="11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Rajat Suri</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Presto Automation Inc.</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985 Industrial Road</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Carlos, CA 94070</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Rajat Suri</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raj@presto.com</w:t>
            </w:r>
          </w:p>
        </w:tc>
      </w:tr>
      <w:tr>
        <w:trPr>
          <w:trHeight w:val="48"/>
        </w:trPr>
        <w:tc>
          <w:tcPr>
            <w:tcW w:w="4460" w:type="dxa"/>
            <w:vAlign w:val="bottom"/>
            <w:tcBorders>
              <w:left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446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Ashish Gupta</w:t>
            </w:r>
          </w:p>
        </w:tc>
        <w:tc>
          <w:tcPr>
            <w:tcW w:w="11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Ashish Gupta</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Presto Automation Inc.</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985 Industrial Road</w:t>
            </w:r>
          </w:p>
        </w:tc>
      </w:tr>
      <w:tr>
        <w:trPr>
          <w:trHeight w:val="216"/>
        </w:trPr>
        <w:tc>
          <w:tcPr>
            <w:tcW w:w="4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Carlos, CA 94070</w:t>
            </w:r>
          </w:p>
        </w:tc>
      </w:tr>
      <w:tr>
        <w:trPr>
          <w:trHeight w:val="230"/>
        </w:trPr>
        <w:tc>
          <w:tcPr>
            <w:tcW w:w="4460" w:type="dxa"/>
            <w:vAlign w:val="bottom"/>
            <w:tcBorders>
              <w:lef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ashish@presto.com</w:t>
            </w:r>
          </w:p>
        </w:tc>
      </w:tr>
      <w:tr>
        <w:trPr>
          <w:trHeight w:val="48"/>
        </w:trPr>
        <w:tc>
          <w:tcPr>
            <w:tcW w:w="4460" w:type="dxa"/>
            <w:vAlign w:val="bottom"/>
            <w:tcBorders>
              <w:left w:val="single" w:sz="8" w:color="auto"/>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40"/>
          </w:cols>
          <w:pgMar w:left="320" w:top="336" w:right="33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5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William Healey</w:t>
            </w:r>
          </w:p>
        </w:tc>
        <w:tc>
          <w:tcPr>
            <w:tcW w:w="2120" w:type="dxa"/>
            <w:vAlign w:val="bottom"/>
            <w:tcBorders>
              <w:top w:val="single" w:sz="8" w:color="auto"/>
              <w:right w:val="single" w:sz="8" w:color="auto"/>
            </w:tcBorders>
          </w:tcPr>
          <w:p>
            <w:pPr>
              <w:spacing w:after="0"/>
              <w:rPr>
                <w:sz w:val="19"/>
                <w:szCs w:val="19"/>
                <w:color w:val="auto"/>
              </w:rPr>
            </w:pPr>
          </w:p>
        </w:tc>
        <w:tc>
          <w:tcPr>
            <w:tcW w:w="5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Healey</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Presto Automation Inc.</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985 Industrial Road</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Carlos, CA 94070</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bill@presto.com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Dan Mosher</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Dan Mosher</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Presto Automation Inc.</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985 Industrial Road</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Carlos, CA 94070</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dmosher@presto.com</w:t>
            </w:r>
          </w:p>
        </w:tc>
      </w:tr>
      <w:tr>
        <w:trPr>
          <w:trHeight w:val="47"/>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Krishna Gupta</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Krishna Gupta</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kkg@romulusgroup.com</w:t>
            </w:r>
          </w:p>
        </w:tc>
      </w:tr>
      <w:tr>
        <w:trPr>
          <w:trHeight w:val="351"/>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337"/>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Goodwin Procter LLP</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Northern Avenue</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Boston, MA 0221</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William Schnoor</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WSchnoor@goodwinlaw.com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Ilya Golubovich</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Ilya Golubovich</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I2BF LLC</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115 E 23rd Street, Suite 507</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10010</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Ilyag@i2bf.com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Kim Axel Lopdrup</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Kim Axel Lopdrup</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Presto Automation Inc.</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985 Industrial Road</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San Carlos, CA 94070</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klopdrup@gmail.com</w:t>
            </w:r>
          </w:p>
        </w:tc>
      </w:tr>
      <w:tr>
        <w:trPr>
          <w:trHeight w:val="47"/>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Ed Scheetz</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Ventoux Acquisition Holdings LLC</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211 North Street</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Northampton, MA 01060</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Ed Scheetz</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ed@ventouxccm.com</w:t>
            </w:r>
          </w:p>
        </w:tc>
      </w:tr>
      <w:tr>
        <w:trPr>
          <w:trHeight w:val="351"/>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337"/>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Dentons LLP</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1221 Avenue of the Americas</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10020</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Brian Lee</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brian.lee@dentons.com</w:t>
            </w:r>
          </w:p>
        </w:tc>
      </w:tr>
      <w:tr>
        <w:trPr>
          <w:trHeight w:val="351"/>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w:t>
            </w:r>
          </w:p>
        </w:tc>
      </w:tr>
      <w:tr>
        <w:trPr>
          <w:trHeight w:val="337"/>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Woolery &amp; Co.</w:t>
            </w:r>
          </w:p>
        </w:tc>
      </w:tr>
      <w:tr>
        <w:trPr>
          <w:trHeight w:val="220"/>
        </w:trPr>
        <w:tc>
          <w:tcPr>
            <w:tcW w:w="3520" w:type="dxa"/>
            <w:vAlign w:val="bottom"/>
            <w:tcBorders>
              <w:left w:val="single" w:sz="8" w:color="auto"/>
            </w:tcBorders>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 Pier 76</w:t>
            </w:r>
          </w:p>
        </w:tc>
      </w:tr>
      <w:tr>
        <w:trPr>
          <w:trHeight w:val="253"/>
        </w:trPr>
        <w:tc>
          <w:tcPr>
            <w:tcW w:w="3520" w:type="dxa"/>
            <w:vAlign w:val="bottom"/>
            <w:tcBorders>
              <w:lef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60"/>
              <w:spacing w:after="0" w:line="252" w:lineRule="exact"/>
              <w:rPr>
                <w:sz w:val="20"/>
                <w:szCs w:val="20"/>
                <w:color w:val="auto"/>
              </w:rPr>
            </w:pPr>
            <w:r>
              <w:rPr>
                <w:rFonts w:ascii="Arial" w:cs="Arial" w:eastAsia="Arial" w:hAnsi="Arial"/>
                <w:sz w:val="18"/>
                <w:szCs w:val="18"/>
                <w:color w:val="auto"/>
              </w:rPr>
              <w:t>408 12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10018</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Matthew J. Saur</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mathew@wooleryco.com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Gail Zauder</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Gail Zauder</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Elixir Advisors</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122 East 82nd Street</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NY, NY 10028</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gzauder@elixiradvisors.com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02"/>
        </w:trPr>
        <w:tc>
          <w:tcPr>
            <w:tcW w:w="352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Keith Kravcik</w:t>
            </w:r>
          </w:p>
        </w:tc>
        <w:tc>
          <w:tcPr>
            <w:tcW w:w="212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Keith Kravcik</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222 N. Canal Street, Third Floor</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Chicago, IL 60606</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Keith Kravcik</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kkravcik@clevelandave.com</w:t>
            </w:r>
          </w:p>
        </w:tc>
      </w:tr>
      <w:tr>
        <w:trPr>
          <w:trHeight w:val="351"/>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337"/>
        </w:trPr>
        <w:tc>
          <w:tcPr>
            <w:tcW w:w="3520" w:type="dxa"/>
            <w:vAlign w:val="bottom"/>
            <w:tcBorders>
              <w:lef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Riley Safer Holmes &amp; Cancila</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70 W. Madison Street, Suite 2900</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Chicago, Illinois 60602</w:t>
            </w:r>
          </w:p>
        </w:tc>
      </w:tr>
      <w:tr>
        <w:trPr>
          <w:trHeight w:val="216"/>
        </w:trPr>
        <w:tc>
          <w:tcPr>
            <w:tcW w:w="3520" w:type="dxa"/>
            <w:vAlign w:val="bottom"/>
            <w:tcBorders>
              <w:lef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Jeff Larry</w:t>
            </w:r>
          </w:p>
        </w:tc>
      </w:tr>
      <w:tr>
        <w:trPr>
          <w:trHeight w:val="230"/>
        </w:trPr>
        <w:tc>
          <w:tcPr>
            <w:tcW w:w="3520" w:type="dxa"/>
            <w:vAlign w:val="bottom"/>
            <w:tcBorders>
              <w:lef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jlarry@rshc-law.com</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574"/>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240"/>
          </w:cols>
          <w:pgMar w:left="320" w:top="255" w:right="339" w:bottom="325" w:gutter="0" w:footer="0" w:header="0"/>
        </w:sectPr>
      </w:pPr>
    </w:p>
    <w:bookmarkStart w:id="163" w:name="page164"/>
    <w:bookmarkEnd w:id="1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5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Metropolitan Levered Partners Fund VII, LP</w:t>
            </w:r>
          </w:p>
        </w:tc>
        <w:tc>
          <w:tcPr>
            <w:tcW w:w="1100" w:type="dxa"/>
            <w:vAlign w:val="bottom"/>
            <w:tcBorders>
              <w:top w:val="single" w:sz="8" w:color="auto"/>
              <w:right w:val="single" w:sz="8" w:color="auto"/>
            </w:tcBorders>
          </w:tcPr>
          <w:p>
            <w:pPr>
              <w:spacing w:after="0"/>
              <w:rPr>
                <w:sz w:val="19"/>
                <w:szCs w:val="19"/>
                <w:color w:val="auto"/>
              </w:rPr>
            </w:pPr>
          </w:p>
        </w:tc>
        <w:tc>
          <w:tcPr>
            <w:tcW w:w="5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Metropolitan Partners Group Administration, LLC</w:t>
            </w:r>
          </w:p>
        </w:tc>
      </w:tr>
      <w:tr>
        <w:trPr>
          <w:trHeight w:val="220"/>
        </w:trPr>
        <w:tc>
          <w:tcPr>
            <w:tcW w:w="454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Metropolitan Partners Fund VII, LP</w:t>
            </w:r>
          </w:p>
        </w:tc>
        <w:tc>
          <w:tcPr>
            <w:tcW w:w="11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850 Third Avenue, 18th Floor</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10022</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Attention: Paul Lisiak</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Telephone No.: (212) 561-1250</w:t>
            </w:r>
          </w:p>
        </w:tc>
      </w:tr>
      <w:tr>
        <w:trPr>
          <w:trHeight w:val="230"/>
        </w:trPr>
        <w:tc>
          <w:tcPr>
            <w:tcW w:w="454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plisiak@metpg.com</w:t>
            </w:r>
          </w:p>
        </w:tc>
      </w:tr>
      <w:tr>
        <w:trPr>
          <w:trHeight w:val="432"/>
        </w:trPr>
        <w:tc>
          <w:tcPr>
            <w:tcW w:w="4540" w:type="dxa"/>
            <w:vAlign w:val="bottom"/>
            <w:tcBorders>
              <w:lef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4540" w:type="dxa"/>
            <w:vAlign w:val="bottom"/>
            <w:tcBorders>
              <w:lef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K&amp;L Gates LLP</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599 Lexington Avenue</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10022</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Attention: Aaron S. Rothman</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Telephone No.: 704-331-7446</w:t>
            </w:r>
          </w:p>
        </w:tc>
      </w:tr>
      <w:tr>
        <w:trPr>
          <w:trHeight w:val="230"/>
        </w:trPr>
        <w:tc>
          <w:tcPr>
            <w:tcW w:w="454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aaron.rothman@klgates.com</w:t>
            </w:r>
          </w:p>
        </w:tc>
      </w:tr>
      <w:tr>
        <w:trPr>
          <w:trHeight w:val="88"/>
        </w:trPr>
        <w:tc>
          <w:tcPr>
            <w:tcW w:w="454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5600" w:type="dxa"/>
            <w:vAlign w:val="bottom"/>
            <w:tcBorders>
              <w:bottom w:val="single" w:sz="8" w:color="auto"/>
              <w:right w:val="single" w:sz="8" w:color="auto"/>
            </w:tcBorders>
          </w:tcPr>
          <w:p>
            <w:pPr>
              <w:spacing w:after="0"/>
              <w:rPr>
                <w:sz w:val="7"/>
                <w:szCs w:val="7"/>
                <w:color w:val="auto"/>
              </w:rPr>
            </w:pPr>
          </w:p>
        </w:tc>
      </w:tr>
      <w:tr>
        <w:trPr>
          <w:trHeight w:val="202"/>
        </w:trPr>
        <w:tc>
          <w:tcPr>
            <w:tcW w:w="45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CEOF Holdings LP</w:t>
            </w:r>
          </w:p>
        </w:tc>
        <w:tc>
          <w:tcPr>
            <w:tcW w:w="11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CEOF Holdings LP</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 Corbin Capital Partners, L.P.</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590 Madison Avenue, 31st Floor</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10022</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Attn: General Counsel</w:t>
            </w:r>
          </w:p>
        </w:tc>
      </w:tr>
      <w:tr>
        <w:trPr>
          <w:trHeight w:val="230"/>
        </w:trPr>
        <w:tc>
          <w:tcPr>
            <w:tcW w:w="454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fof-ops@corbincapital.com</w:t>
            </w:r>
          </w:p>
        </w:tc>
      </w:tr>
      <w:tr>
        <w:trPr>
          <w:trHeight w:val="432"/>
        </w:trPr>
        <w:tc>
          <w:tcPr>
            <w:tcW w:w="4540" w:type="dxa"/>
            <w:vAlign w:val="bottom"/>
            <w:tcBorders>
              <w:lef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a copy (which shall not constitute notice) to:</w:t>
            </w:r>
          </w:p>
        </w:tc>
      </w:tr>
      <w:tr>
        <w:trPr>
          <w:trHeight w:val="418"/>
        </w:trPr>
        <w:tc>
          <w:tcPr>
            <w:tcW w:w="4540" w:type="dxa"/>
            <w:vAlign w:val="bottom"/>
            <w:tcBorders>
              <w:lef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Fox Rothschild LLP</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101 Park Avenue</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17th Floor</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NY 10178</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Attention: Zev M. Bomrind</w:t>
            </w:r>
          </w:p>
        </w:tc>
      </w:tr>
      <w:tr>
        <w:trPr>
          <w:trHeight w:val="216"/>
        </w:trPr>
        <w:tc>
          <w:tcPr>
            <w:tcW w:w="454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Telephone No.: 212-878-7951</w:t>
            </w:r>
          </w:p>
        </w:tc>
      </w:tr>
      <w:tr>
        <w:trPr>
          <w:trHeight w:val="230"/>
        </w:trPr>
        <w:tc>
          <w:tcPr>
            <w:tcW w:w="454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E-Mail: zbomrind@foxrothschild.com</w:t>
            </w:r>
          </w:p>
        </w:tc>
      </w:tr>
      <w:tr>
        <w:trPr>
          <w:trHeight w:val="88"/>
        </w:trPr>
        <w:tc>
          <w:tcPr>
            <w:tcW w:w="4540" w:type="dxa"/>
            <w:vAlign w:val="bottom"/>
            <w:tcBorders>
              <w:left w:val="single" w:sz="8" w:color="auto"/>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5600" w:type="dxa"/>
            <w:vAlign w:val="bottom"/>
            <w:tcBorders>
              <w:bottom w:val="single" w:sz="8" w:color="auto"/>
              <w:right w:val="single" w:sz="8" w:color="auto"/>
            </w:tcBorders>
          </w:tcPr>
          <w:p>
            <w:pPr>
              <w:spacing w:after="0"/>
              <w:rPr>
                <w:sz w:val="7"/>
                <w:szCs w:val="7"/>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903" w:right="3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AMENDED AND RESTATED REGISTRATION RIGHTS AGREEMENT JOINDER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undersigned is executing and delivering this Joinder pursuant to the Amended and Restated Registration Rights Agreement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 (as the same may hereafter be amended,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among Ventoux CCM Acquisition Corp., a 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Pubco</w:t>
      </w:r>
      <w:r>
        <w:rPr>
          <w:rFonts w:ascii="Arial" w:cs="Arial" w:eastAsia="Arial" w:hAnsi="Arial"/>
          <w:sz w:val="18"/>
          <w:szCs w:val="18"/>
          <w:color w:val="auto"/>
        </w:rPr>
        <w:t>”), and the other persons named as parties therein.</w:t>
      </w:r>
    </w:p>
    <w:p>
      <w:pPr>
        <w:spacing w:after="0" w:line="2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as of the ___ day of ________, 20__.</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INVESTOR:</w:t>
      </w:r>
    </w:p>
    <w:p>
      <w:pPr>
        <w:spacing w:after="0" w:line="30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for Notices: [●]</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Agreed and Accepted as of _________________</w:t>
      </w:r>
    </w:p>
    <w:p>
      <w:pPr>
        <w:spacing w:after="0" w:line="26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VENTOUX CCM ACQUISITION CORP.</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0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7"/>
          <w:szCs w:val="17"/>
          <w:color w:val="auto"/>
        </w:rPr>
        <w:t>This AMENDED AND RESTATED WARRANT AGREEMENT (“</w:t>
      </w:r>
      <w:r>
        <w:rPr>
          <w:rFonts w:ascii="Arial" w:cs="Arial" w:eastAsia="Arial" w:hAnsi="Arial"/>
          <w:sz w:val="17"/>
          <w:szCs w:val="17"/>
          <w:b w:val="1"/>
          <w:bCs w:val="1"/>
          <w:color w:val="auto"/>
        </w:rPr>
        <w:t>Warrant Agreement</w:t>
      </w:r>
      <w:r>
        <w:rPr>
          <w:rFonts w:ascii="Arial" w:cs="Arial" w:eastAsia="Arial" w:hAnsi="Arial"/>
          <w:sz w:val="17"/>
          <w:szCs w:val="17"/>
          <w:color w:val="auto"/>
        </w:rPr>
        <w:t>”) is made as of September 21, 2022, by and between Ventoux CCM Acquisition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Continental Stock Transfer &amp; Trust Company (the “</w:t>
      </w:r>
      <w:r>
        <w:rPr>
          <w:rFonts w:ascii="Arial" w:cs="Arial" w:eastAsia="Arial" w:hAnsi="Arial"/>
          <w:sz w:val="17"/>
          <w:szCs w:val="17"/>
          <w:b w:val="1"/>
          <w:bCs w:val="1"/>
          <w:color w:val="auto"/>
        </w:rPr>
        <w:t>Warrant Agent</w:t>
      </w:r>
      <w:r>
        <w:rPr>
          <w:rFonts w:ascii="Arial" w:cs="Arial" w:eastAsia="Arial" w:hAnsi="Arial"/>
          <w:sz w:val="17"/>
          <w:szCs w:val="17"/>
          <w:color w:val="auto"/>
        </w:rPr>
        <w:t>”).</w:t>
      </w:r>
    </w:p>
    <w:p>
      <w:pPr>
        <w:spacing w:after="0" w:line="14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color w:val="auto"/>
        </w:rPr>
        <w:t>WHEREAS, the Company completed an initial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of 17,250,000 units (the “</w:t>
      </w:r>
      <w:r>
        <w:rPr>
          <w:rFonts w:ascii="Arial" w:cs="Arial" w:eastAsia="Arial" w:hAnsi="Arial"/>
          <w:sz w:val="17"/>
          <w:szCs w:val="17"/>
          <w:b w:val="1"/>
          <w:bCs w:val="1"/>
          <w:color w:val="auto"/>
        </w:rPr>
        <w:t>Units</w:t>
      </w:r>
      <w:r>
        <w:rPr>
          <w:rFonts w:ascii="Arial" w:cs="Arial" w:eastAsia="Arial" w:hAnsi="Arial"/>
          <w:sz w:val="17"/>
          <w:szCs w:val="17"/>
          <w:color w:val="auto"/>
        </w:rPr>
        <w:t>”) of the Company, inclusive of the underwriters’ exercise of their over-allotment option in full, each Unit consisting of one share of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one right to receive one-twentieth of one share of Common Stock, and one warrant (the “</w:t>
      </w:r>
      <w:r>
        <w:rPr>
          <w:rFonts w:ascii="Arial" w:cs="Arial" w:eastAsia="Arial" w:hAnsi="Arial"/>
          <w:sz w:val="17"/>
          <w:szCs w:val="17"/>
          <w:b w:val="1"/>
          <w:bCs w:val="1"/>
          <w:color w:val="auto"/>
        </w:rPr>
        <w:t>Public Warrant</w:t>
      </w:r>
      <w:r>
        <w:rPr>
          <w:rFonts w:ascii="Arial" w:cs="Arial" w:eastAsia="Arial" w:hAnsi="Arial"/>
          <w:sz w:val="17"/>
          <w:szCs w:val="17"/>
          <w:color w:val="auto"/>
        </w:rPr>
        <w:t>” or “</w:t>
      </w:r>
      <w:r>
        <w:rPr>
          <w:rFonts w:ascii="Arial" w:cs="Arial" w:eastAsia="Arial" w:hAnsi="Arial"/>
          <w:sz w:val="17"/>
          <w:szCs w:val="17"/>
          <w:b w:val="1"/>
          <w:bCs w:val="1"/>
          <w:color w:val="auto"/>
        </w:rPr>
        <w:t>Public Warrants</w:t>
      </w:r>
      <w:r>
        <w:rPr>
          <w:rFonts w:ascii="Arial" w:cs="Arial" w:eastAsia="Arial" w:hAnsi="Arial"/>
          <w:sz w:val="17"/>
          <w:szCs w:val="17"/>
          <w:color w:val="auto"/>
        </w:rPr>
        <w:t>”), each whole Public Warrant entitling its holder to purchase one-half of one share of Common Stock (the “</w:t>
      </w:r>
      <w:r>
        <w:rPr>
          <w:rFonts w:ascii="Arial" w:cs="Arial" w:eastAsia="Arial" w:hAnsi="Arial"/>
          <w:sz w:val="17"/>
          <w:szCs w:val="17"/>
          <w:b w:val="1"/>
          <w:bCs w:val="1"/>
          <w:color w:val="auto"/>
        </w:rPr>
        <w:t>Public Warrant Shares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65"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color w:val="auto"/>
        </w:rPr>
        <w:t>WHEREAS, the Company entered into Subscription Agreements dated as of December 23, 2020 (collectively, the “</w:t>
      </w:r>
      <w:r>
        <w:rPr>
          <w:rFonts w:ascii="Arial" w:cs="Arial" w:eastAsia="Arial" w:hAnsi="Arial"/>
          <w:sz w:val="17"/>
          <w:szCs w:val="17"/>
          <w:b w:val="1"/>
          <w:bCs w:val="1"/>
          <w:color w:val="auto"/>
        </w:rPr>
        <w:t>Private Placement Subscription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Agreements</w:t>
      </w:r>
      <w:r>
        <w:rPr>
          <w:rFonts w:ascii="Arial" w:cs="Arial" w:eastAsia="Arial" w:hAnsi="Arial"/>
          <w:sz w:val="17"/>
          <w:szCs w:val="17"/>
          <w:color w:val="auto"/>
        </w:rPr>
        <w:t>”), with Ventoux Acquisition Holdings LLC (the “</w:t>
      </w:r>
      <w:r>
        <w:rPr>
          <w:rFonts w:ascii="Arial" w:cs="Arial" w:eastAsia="Arial" w:hAnsi="Arial"/>
          <w:sz w:val="17"/>
          <w:szCs w:val="17"/>
          <w:b w:val="1"/>
          <w:bCs w:val="1"/>
          <w:color w:val="auto"/>
        </w:rPr>
        <w:t>Co-Sponsor</w:t>
      </w:r>
      <w:r>
        <w:rPr>
          <w:rFonts w:ascii="Arial" w:cs="Arial" w:eastAsia="Arial" w:hAnsi="Arial"/>
          <w:sz w:val="17"/>
          <w:szCs w:val="17"/>
          <w:color w:val="auto"/>
        </w:rPr>
        <w:t>”) and Chardan International Investments, LLC (the “</w:t>
      </w:r>
      <w:r>
        <w:rPr>
          <w:rFonts w:ascii="Arial" w:cs="Arial" w:eastAsia="Arial" w:hAnsi="Arial"/>
          <w:sz w:val="17"/>
          <w:szCs w:val="17"/>
          <w:b w:val="1"/>
          <w:bCs w:val="1"/>
          <w:color w:val="auto"/>
        </w:rPr>
        <w:t>Co-Sponsor II</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the Co-Sponsor, the “</w:t>
      </w:r>
      <w:r>
        <w:rPr>
          <w:rFonts w:ascii="Arial" w:cs="Arial" w:eastAsia="Arial" w:hAnsi="Arial"/>
          <w:sz w:val="17"/>
          <w:szCs w:val="17"/>
          <w:b w:val="1"/>
          <w:bCs w:val="1"/>
          <w:color w:val="auto"/>
        </w:rPr>
        <w:t>Sponsors</w:t>
      </w:r>
      <w:r>
        <w:rPr>
          <w:rFonts w:ascii="Arial" w:cs="Arial" w:eastAsia="Arial" w:hAnsi="Arial"/>
          <w:sz w:val="17"/>
          <w:szCs w:val="17"/>
          <w:color w:val="auto"/>
        </w:rPr>
        <w:t>”), pursuant to which the Co-Sponsor purchased 4,450,000 warrants and the Co-Sponsor II purchased 2,225,000 warrants, for an aggregate purchase of 6,675,000 warrants, each for a purchase price of $1.00 per warrant (the “</w:t>
      </w:r>
      <w:r>
        <w:rPr>
          <w:rFonts w:ascii="Arial" w:cs="Arial" w:eastAsia="Arial" w:hAnsi="Arial"/>
          <w:sz w:val="17"/>
          <w:szCs w:val="17"/>
          <w:b w:val="1"/>
          <w:bCs w:val="1"/>
          <w:color w:val="auto"/>
        </w:rPr>
        <w:t>Private Warrants</w:t>
      </w:r>
      <w:r>
        <w:rPr>
          <w:rFonts w:ascii="Arial" w:cs="Arial" w:eastAsia="Arial" w:hAnsi="Arial"/>
          <w:sz w:val="17"/>
          <w:szCs w:val="17"/>
          <w:color w:val="auto"/>
        </w:rPr>
        <w:t>”, together with the Public Warrants, the “</w:t>
      </w:r>
      <w:r>
        <w:rPr>
          <w:rFonts w:ascii="Arial" w:cs="Arial" w:eastAsia="Arial" w:hAnsi="Arial"/>
          <w:sz w:val="17"/>
          <w:szCs w:val="17"/>
          <w:b w:val="1"/>
          <w:bCs w:val="1"/>
          <w:color w:val="auto"/>
        </w:rPr>
        <w:t>Initial Warrants</w:t>
      </w:r>
      <w:r>
        <w:rPr>
          <w:rFonts w:ascii="Arial" w:cs="Arial" w:eastAsia="Arial" w:hAnsi="Arial"/>
          <w:sz w:val="17"/>
          <w:szCs w:val="17"/>
          <w:color w:val="auto"/>
        </w:rPr>
        <w:t>”), each whole Private Warrant entitling its holder to purchase one share of Common Stock (“</w:t>
      </w:r>
      <w:r>
        <w:rPr>
          <w:rFonts w:ascii="Arial" w:cs="Arial" w:eastAsia="Arial" w:hAnsi="Arial"/>
          <w:sz w:val="17"/>
          <w:szCs w:val="17"/>
          <w:b w:val="1"/>
          <w:bCs w:val="1"/>
          <w:color w:val="auto"/>
        </w:rPr>
        <w:t>Private</w:t>
      </w:r>
      <w:r>
        <w:rPr>
          <w:rFonts w:ascii="Arial" w:cs="Arial" w:eastAsia="Arial" w:hAnsi="Arial"/>
          <w:sz w:val="17"/>
          <w:szCs w:val="17"/>
          <w:color w:val="auto"/>
        </w:rPr>
        <w:t xml:space="preserve"> </w:t>
      </w:r>
      <w:r>
        <w:rPr>
          <w:rFonts w:ascii="Arial" w:cs="Arial" w:eastAsia="Arial" w:hAnsi="Arial"/>
          <w:sz w:val="17"/>
          <w:szCs w:val="17"/>
          <w:b w:val="1"/>
          <w:bCs w:val="1"/>
          <w:color w:val="auto"/>
        </w:rPr>
        <w:t>Warrant Shares</w:t>
      </w:r>
      <w:r>
        <w:rPr>
          <w:rFonts w:ascii="Arial" w:cs="Arial" w:eastAsia="Arial" w:hAnsi="Arial"/>
          <w:sz w:val="17"/>
          <w:szCs w:val="17"/>
          <w:color w:val="auto"/>
        </w:rPr>
        <w:t>”, and together with the Public Warrant Shares, the “</w:t>
      </w:r>
      <w:r>
        <w:rPr>
          <w:rFonts w:ascii="Arial" w:cs="Arial" w:eastAsia="Arial" w:hAnsi="Arial"/>
          <w:sz w:val="17"/>
          <w:szCs w:val="17"/>
          <w:b w:val="1"/>
          <w:bCs w:val="1"/>
          <w:color w:val="auto"/>
        </w:rPr>
        <w:t>Initial Warrant Shares</w:t>
      </w:r>
      <w:r>
        <w:rPr>
          <w:rFonts w:ascii="Arial" w:cs="Arial" w:eastAsia="Arial" w:hAnsi="Arial"/>
          <w:sz w:val="17"/>
          <w:szCs w:val="17"/>
          <w:color w:val="auto"/>
        </w:rPr>
        <w:t>”);</w:t>
      </w:r>
    </w:p>
    <w:p>
      <w:pPr>
        <w:spacing w:after="0" w:line="1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WHEREAS, (a) the Company, Co-Sponsor and Co-Sponsor II desire to cancel 550,000 of the Private Warrants on a pro-rata basis between Co-Sponsor and Co-Sponsor II and (b) transfer 500,000 Private Warrants to affiliates of Silver Rock Capital Partners LP (collectively, (“</w:t>
      </w:r>
      <w:r>
        <w:rPr>
          <w:rFonts w:ascii="Arial" w:cs="Arial" w:eastAsia="Arial" w:hAnsi="Arial"/>
          <w:sz w:val="18"/>
          <w:szCs w:val="18"/>
          <w:b w:val="1"/>
          <w:bCs w:val="1"/>
          <w:color w:val="auto"/>
        </w:rPr>
        <w:t>Silver Rock</w:t>
      </w:r>
      <w:r>
        <w:rPr>
          <w:rFonts w:ascii="Arial" w:cs="Arial" w:eastAsia="Arial" w:hAnsi="Arial"/>
          <w:sz w:val="18"/>
          <w:szCs w:val="18"/>
          <w:color w:val="auto"/>
        </w:rPr>
        <w:t>”) in consideration for the termination of that certain Amended and Restated Subscription Agreement, dated July 25, 2022, entered into among the Company, Silver Rock and Target (as defined below);</w:t>
      </w:r>
    </w:p>
    <w:p>
      <w:pPr>
        <w:spacing w:after="0" w:line="18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color w:val="auto"/>
        </w:rPr>
        <w:t>WHEREAS, the Company and Warrant Agent entered into that certain Warrant Agreement, dated as of December 23, 2020 (the “</w:t>
      </w:r>
      <w:r>
        <w:rPr>
          <w:rFonts w:ascii="Arial" w:cs="Arial" w:eastAsia="Arial" w:hAnsi="Arial"/>
          <w:sz w:val="17"/>
          <w:szCs w:val="17"/>
          <w:b w:val="1"/>
          <w:bCs w:val="1"/>
          <w:color w:val="auto"/>
        </w:rPr>
        <w:t>Original Warrant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which provides for the form and provisions of the Initial Warrants, the terms upon which they shall be issued and exercised,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rights, limitations of rights, and immunities of the Company, the Warrant Agent and the holders of the Initial Warrants;</w:t>
      </w:r>
    </w:p>
    <w:p>
      <w:pPr>
        <w:spacing w:after="0" w:line="15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the SEC has declared effective, a Registration Statement on Form S-1, No. 333-251048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the issuance of, among other securities, the Public Warrants;</w:t>
      </w:r>
    </w:p>
    <w:p>
      <w:pPr>
        <w:spacing w:after="0" w:line="17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WHEREAS, the Company, Ventoux Merger Sub I, Inc. (“</w:t>
      </w:r>
      <w:r>
        <w:rPr>
          <w:rFonts w:ascii="Arial" w:cs="Arial" w:eastAsia="Arial" w:hAnsi="Arial"/>
          <w:sz w:val="18"/>
          <w:szCs w:val="18"/>
          <w:b w:val="1"/>
          <w:bCs w:val="1"/>
          <w:color w:val="auto"/>
        </w:rPr>
        <w:t>First Merger Sub</w:t>
      </w:r>
      <w:r>
        <w:rPr>
          <w:rFonts w:ascii="Arial" w:cs="Arial" w:eastAsia="Arial" w:hAnsi="Arial"/>
          <w:sz w:val="18"/>
          <w:szCs w:val="18"/>
          <w:color w:val="auto"/>
        </w:rPr>
        <w:t>”), Ventoux Merger Sub II, LLC (“</w:t>
      </w:r>
      <w:r>
        <w:rPr>
          <w:rFonts w:ascii="Arial" w:cs="Arial" w:eastAsia="Arial" w:hAnsi="Arial"/>
          <w:sz w:val="18"/>
          <w:szCs w:val="18"/>
          <w:b w:val="1"/>
          <w:bCs w:val="1"/>
          <w:color w:val="auto"/>
        </w:rPr>
        <w:t>Second Merger Sub</w:t>
      </w:r>
      <w:r>
        <w:rPr>
          <w:rFonts w:ascii="Arial" w:cs="Arial" w:eastAsia="Arial" w:hAnsi="Arial"/>
          <w:sz w:val="18"/>
          <w:szCs w:val="18"/>
          <w:color w:val="auto"/>
        </w:rPr>
        <w:t>”) and E La Carte, Inc. (the “</w:t>
      </w:r>
      <w:r>
        <w:rPr>
          <w:rFonts w:ascii="Arial" w:cs="Arial" w:eastAsia="Arial" w:hAnsi="Arial"/>
          <w:sz w:val="18"/>
          <w:szCs w:val="18"/>
          <w:b w:val="1"/>
          <w:bCs w:val="1"/>
          <w:color w:val="auto"/>
        </w:rPr>
        <w:t>Target</w:t>
      </w:r>
      <w:r>
        <w:rPr>
          <w:rFonts w:ascii="Arial" w:cs="Arial" w:eastAsia="Arial" w:hAnsi="Arial"/>
          <w:sz w:val="18"/>
          <w:szCs w:val="18"/>
          <w:color w:val="auto"/>
        </w:rPr>
        <w:t>”) have entered into that certain Agreement and Plan of Merger, dated as of November 10, 2021 (as amended,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(and subject to the terms and conditions set forth therein) First Merger Sub will merge with and into the Target,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Target surviving such merger as a wholly-owned subsidiary of the Company (the “</w:t>
      </w:r>
      <w:r>
        <w:rPr>
          <w:rFonts w:ascii="Arial" w:cs="Arial" w:eastAsia="Arial" w:hAnsi="Arial"/>
          <w:sz w:val="18"/>
          <w:szCs w:val="18"/>
          <w:b w:val="1"/>
          <w:bCs w:val="1"/>
          <w:color w:val="auto"/>
        </w:rPr>
        <w:t>First Merger</w:t>
      </w:r>
      <w:r>
        <w:rPr>
          <w:rFonts w:ascii="Arial" w:cs="Arial" w:eastAsia="Arial" w:hAnsi="Arial"/>
          <w:sz w:val="18"/>
          <w:szCs w:val="18"/>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1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following the consummation of the transactions contemplated in the Merger Agreement, the Company will be renamed Presto Automation Inc.;</w:t>
      </w:r>
    </w:p>
    <w:p>
      <w:pPr>
        <w:spacing w:after="0" w:line="16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WHEREAS, the Company and the Target have entered into a credit agreement (the “</w:t>
      </w:r>
      <w:r>
        <w:rPr>
          <w:rFonts w:ascii="Arial" w:cs="Arial" w:eastAsia="Arial" w:hAnsi="Arial"/>
          <w:sz w:val="18"/>
          <w:szCs w:val="18"/>
          <w:b w:val="1"/>
          <w:bCs w:val="1"/>
          <w:color w:val="auto"/>
        </w:rPr>
        <w:t>Credit Agreement</w:t>
      </w:r>
      <w:r>
        <w:rPr>
          <w:rFonts w:ascii="Arial" w:cs="Arial" w:eastAsia="Arial" w:hAnsi="Arial"/>
          <w:sz w:val="18"/>
          <w:szCs w:val="18"/>
          <w:color w:val="auto"/>
        </w:rPr>
        <w:t>”), dated September 21, 2022 with certain lending parties pursuant to which the lending parties made available to the Target a senior secured single draw term loan facility in the maximum committed principal amount of Fifty Five Million and No/100 Dollars ($55,000,000.00);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both"/>
        <w:ind w:firstLine="432"/>
        <w:spacing w:after="0" w:line="255" w:lineRule="auto"/>
        <w:rPr>
          <w:sz w:val="20"/>
          <w:szCs w:val="20"/>
          <w:color w:val="auto"/>
        </w:rPr>
      </w:pPr>
      <w:r>
        <w:rPr>
          <w:rFonts w:ascii="Arial" w:cs="Arial" w:eastAsia="Arial" w:hAnsi="Arial"/>
          <w:sz w:val="18"/>
          <w:szCs w:val="18"/>
          <w:color w:val="auto"/>
        </w:rPr>
        <w:t>WHEREAS, the Company has, concurrently with entering into the Credit Agreement, entered into a Subscription Agreement, dated as of September 21, 2022 (the “</w:t>
      </w:r>
      <w:r>
        <w:rPr>
          <w:rFonts w:ascii="Arial" w:cs="Arial" w:eastAsia="Arial" w:hAnsi="Arial"/>
          <w:sz w:val="18"/>
          <w:szCs w:val="18"/>
          <w:b w:val="1"/>
          <w:bCs w:val="1"/>
          <w:color w:val="auto"/>
        </w:rPr>
        <w:t>Warrant Subscription Agreement</w:t>
      </w:r>
      <w:r>
        <w:rPr>
          <w:rFonts w:ascii="Arial" w:cs="Arial" w:eastAsia="Arial" w:hAnsi="Arial"/>
          <w:sz w:val="18"/>
          <w:szCs w:val="18"/>
          <w:color w:val="auto"/>
        </w:rPr>
        <w:t>” and together with the Private Placement Subscription Agreements, the “</w:t>
      </w:r>
      <w:r>
        <w:rPr>
          <w:rFonts w:ascii="Arial" w:cs="Arial" w:eastAsia="Arial" w:hAnsi="Arial"/>
          <w:sz w:val="18"/>
          <w:szCs w:val="18"/>
          <w:b w:val="1"/>
          <w:bCs w:val="1"/>
          <w:color w:val="auto"/>
        </w:rPr>
        <w:t>Subscription Agreements</w:t>
      </w:r>
      <w:r>
        <w:rPr>
          <w:rFonts w:ascii="Arial" w:cs="Arial" w:eastAsia="Arial" w:hAnsi="Arial"/>
          <w:sz w:val="18"/>
          <w:szCs w:val="18"/>
          <w:color w:val="auto"/>
        </w:rPr>
        <w:t>”) with certain lending parties to the Credit Agreement (each a “</w:t>
      </w:r>
      <w:r>
        <w:rPr>
          <w:rFonts w:ascii="Arial" w:cs="Arial" w:eastAsia="Arial" w:hAnsi="Arial"/>
          <w:sz w:val="18"/>
          <w:szCs w:val="18"/>
          <w:b w:val="1"/>
          <w:bCs w:val="1"/>
          <w:color w:val="auto"/>
        </w:rPr>
        <w:t>Subscriber</w:t>
      </w:r>
      <w:r>
        <w:rPr>
          <w:rFonts w:ascii="Arial" w:cs="Arial" w:eastAsia="Arial" w:hAnsi="Arial"/>
          <w:sz w:val="18"/>
          <w:szCs w:val="18"/>
          <w:color w:val="auto"/>
        </w:rPr>
        <w:t>” and collectively, the “</w:t>
      </w:r>
      <w:r>
        <w:rPr>
          <w:rFonts w:ascii="Arial" w:cs="Arial" w:eastAsia="Arial" w:hAnsi="Arial"/>
          <w:sz w:val="18"/>
          <w:szCs w:val="18"/>
          <w:b w:val="1"/>
          <w:bCs w:val="1"/>
          <w:color w:val="auto"/>
        </w:rPr>
        <w:t>Subscribers</w:t>
      </w:r>
      <w:r>
        <w:rPr>
          <w:rFonts w:ascii="Arial" w:cs="Arial" w:eastAsia="Arial" w:hAnsi="Arial"/>
          <w:sz w:val="18"/>
          <w:szCs w:val="18"/>
          <w:color w:val="auto"/>
        </w:rPr>
        <w:t>”), pursuant to which the Company has agreed to issue to the Subscribers warrants to purchase an aggregate of 1,500,000 shares of Common Stock (the “</w:t>
      </w:r>
      <w:r>
        <w:rPr>
          <w:rFonts w:ascii="Arial" w:cs="Arial" w:eastAsia="Arial" w:hAnsi="Arial"/>
          <w:sz w:val="18"/>
          <w:szCs w:val="18"/>
          <w:b w:val="1"/>
          <w:bCs w:val="1"/>
          <w:color w:val="auto"/>
        </w:rPr>
        <w:t>Financing Warrant Shares</w:t>
      </w:r>
      <w:r>
        <w:rPr>
          <w:rFonts w:ascii="Arial" w:cs="Arial" w:eastAsia="Arial" w:hAnsi="Arial"/>
          <w:sz w:val="18"/>
          <w:szCs w:val="18"/>
          <w:color w:val="auto"/>
        </w:rPr>
        <w:t>” and together with the Initial Warrant Shares, the “</w:t>
      </w:r>
      <w:r>
        <w:rPr>
          <w:rFonts w:ascii="Arial" w:cs="Arial" w:eastAsia="Arial" w:hAnsi="Arial"/>
          <w:sz w:val="18"/>
          <w:szCs w:val="18"/>
          <w:b w:val="1"/>
          <w:bCs w:val="1"/>
          <w:color w:val="auto"/>
        </w:rPr>
        <w:t>Warrant Shares</w:t>
      </w:r>
      <w:r>
        <w:rPr>
          <w:rFonts w:ascii="Arial" w:cs="Arial" w:eastAsia="Arial" w:hAnsi="Arial"/>
          <w:sz w:val="18"/>
          <w:szCs w:val="18"/>
          <w:color w:val="auto"/>
        </w:rPr>
        <w:t>”) for an initial exercise price of $11.50 per share of Common Stock (the “</w:t>
      </w:r>
      <w:r>
        <w:rPr>
          <w:rFonts w:ascii="Arial" w:cs="Arial" w:eastAsia="Arial" w:hAnsi="Arial"/>
          <w:sz w:val="18"/>
          <w:szCs w:val="18"/>
          <w:b w:val="1"/>
          <w:bCs w:val="1"/>
          <w:color w:val="auto"/>
        </w:rPr>
        <w:t>Financing Warrants</w:t>
      </w:r>
      <w:r>
        <w:rPr>
          <w:rFonts w:ascii="Arial" w:cs="Arial" w:eastAsia="Arial" w:hAnsi="Arial"/>
          <w:sz w:val="18"/>
          <w:szCs w:val="18"/>
          <w:color w:val="auto"/>
        </w:rPr>
        <w:t>” and, together with the Initial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each Public Warrant entitles the holder thereof to purchase one-half of one share of Common Stock at a price of $8.21 per whole share; and each Private Warrant and Financing Warrant entitles the holder thereof to purchase one share of Common Stock for $11.50 per share, subject to adjustment as described herein;</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WHEREAS, in connection with the foregoing, the Company and the Warrant Agent desire to amend and restate the Original Warrant Agreement in the form of this Agreement, in accordance with Section 9.8 of the Original Warrant Agreement, such that this Agreement will take effect and supersede the Original Warrant Agreement in its entirety as of immediately prior to the effective time of the Merger (concurrently with the issuance of the Financing Warrants); and</w:t>
      </w:r>
    </w:p>
    <w:p>
      <w:pPr>
        <w:spacing w:after="0" w:line="1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firstLine="440"/>
        <w:spacing w:after="0" w:line="263" w:lineRule="auto"/>
        <w:tabs>
          <w:tab w:leader="none" w:pos="62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83" w:lineRule="exact"/>
        <w:rPr>
          <w:rFonts w:ascii="Arial" w:cs="Arial" w:eastAsia="Arial" w:hAnsi="Arial"/>
          <w:sz w:val="18"/>
          <w:szCs w:val="18"/>
          <w:color w:val="auto"/>
        </w:rPr>
      </w:pPr>
    </w:p>
    <w:p>
      <w:pPr>
        <w:ind w:left="620" w:hanging="180"/>
        <w:spacing w:after="0"/>
        <w:tabs>
          <w:tab w:leader="none" w:pos="62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Warrant other than a Private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The Financing Warrants shall be identical to the Public Warrants, except that the Financing Warrants shall be exercisable for one share of Common Stock.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Warrant Register</w:t>
      </w:r>
      <w:r>
        <w:rPr>
          <w:rFonts w:ascii="Arial" w:cs="Arial" w:eastAsia="Arial" w:hAnsi="Arial"/>
          <w:sz w:val="17"/>
          <w:szCs w:val="17"/>
          <w:color w:val="auto"/>
        </w:rPr>
        <w:t>. The Warrant Agent shall maintain books (the “</w:t>
      </w:r>
      <w:r>
        <w:rPr>
          <w:rFonts w:ascii="Arial" w:cs="Arial" w:eastAsia="Arial" w:hAnsi="Arial"/>
          <w:sz w:val="17"/>
          <w:szCs w:val="17"/>
          <w:b w:val="1"/>
          <w:bCs w:val="1"/>
          <w:color w:val="auto"/>
        </w:rPr>
        <w:t>Warrant Register</w:t>
      </w:r>
      <w:r>
        <w:rPr>
          <w:rFonts w:ascii="Arial" w:cs="Arial" w:eastAsia="Arial" w:hAnsi="Arial"/>
          <w:sz w:val="17"/>
          <w:szCs w:val="17"/>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Financing Warrants.</w:t>
      </w:r>
      <w:r>
        <w:rPr>
          <w:rFonts w:ascii="Arial" w:cs="Arial" w:eastAsia="Arial" w:hAnsi="Arial"/>
          <w:sz w:val="16"/>
          <w:szCs w:val="16"/>
          <w:color w:val="auto"/>
        </w:rPr>
        <w:t xml:space="preserve"> The Financing Warrants (i) will be exercisable either for cash or on a cashless basis at the holder’s option pursuant to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3.3</w:t>
      </w:r>
      <w:r>
        <w:rPr>
          <w:rFonts w:ascii="Arial" w:cs="Arial" w:eastAsia="Arial" w:hAnsi="Arial"/>
          <w:sz w:val="18"/>
          <w:szCs w:val="18"/>
          <w:color w:val="auto"/>
        </w:rPr>
        <w:t xml:space="preserve"> hereof and (ii) will not be redeemable by the Company.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Private Warrants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Cancellation of Certain Private Warrants.</w:t>
      </w:r>
      <w:r>
        <w:rPr>
          <w:rFonts w:ascii="Arial" w:cs="Arial" w:eastAsia="Arial" w:hAnsi="Arial"/>
          <w:sz w:val="17"/>
          <w:szCs w:val="17"/>
          <w:color w:val="auto"/>
        </w:rPr>
        <w:t xml:space="preserve"> Of the 6,675,000 Private Warrants outstanding immediately prior to the execution of this Warrant Agreement, 550,000 Private Warrants shall be cancelled, on a pro rata basis between Co-Sponsor and Co-Sponsor II, effective as of the date hereof.</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Exercise and Redemption</w:t>
      </w:r>
      <w:r>
        <w:rPr>
          <w:rFonts w:ascii="Arial" w:cs="Arial" w:eastAsia="Arial" w:hAnsi="Arial"/>
          <w:sz w:val="18"/>
          <w:szCs w:val="18"/>
          <w:color w:val="auto"/>
        </w:rPr>
        <w:t xml:space="preserve">. The Private Warrants (i) will be exercisable either for cash or on a cashless basis at the holder’s option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and (ii) will not be redeemable by the Company, in either case as long as the Private Warrants are held by the initial purchasers or any of their permitted transferees (as prescribed in the Subscription Agreements) or Silver Rock.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 Terms and Exercise of Warrants.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exercise price of</w:t>
      </w:r>
    </w:p>
    <w:p>
      <w:pPr>
        <w:jc w:val="both"/>
        <w:ind w:firstLine="8"/>
        <w:spacing w:after="0" w:line="253" w:lineRule="auto"/>
        <w:tabs>
          <w:tab w:leader="none" w:pos="2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$11.50 per whole share for the Financing Warrants and the Private Warrants and (ii) $8.21 per whole share for the Public Warrants,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on the date of completion of the Company’s initial business combination, and terminating at 5:00 p.m., New York City time, on the earlier to occur of (i) (A) with respect to the Public Warrants, the Private Warrants (except as provided in the following clause (B)) and the Financing Warrants, five years following the completion of the Company’s initial business combination, and (B) only with respect to the Warrants purchased by Co-Sponsor II, five years from the effective date of the Registration Statement with respect to the Private Warrants,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by Co-Sponsor II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Arial" w:cs="Arial" w:eastAsia="Arial" w:hAnsi="Arial"/>
          <w:sz w:val="17"/>
          <w:szCs w:val="17"/>
          <w:b w:val="1"/>
          <w:b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Except with respect to the right to receive the Redemption Price (as set forth in Section 6 hereunder), each Warrant not exercised on or before the</w:t>
      </w:r>
      <w:r>
        <w:rPr>
          <w:rFonts w:ascii="Arial" w:cs="Arial" w:eastAsia="Arial" w:hAnsi="Arial"/>
          <w:sz w:val="17"/>
          <w:szCs w:val="17"/>
          <w:b w:val="1"/>
          <w:bCs w:val="1"/>
          <w:color w:val="auto"/>
        </w:rPr>
        <w:t xml:space="preserve"> </w:t>
      </w:r>
      <w:r>
        <w:rPr>
          <w:rFonts w:ascii="Arial" w:cs="Arial" w:eastAsia="Arial" w:hAnsi="Arial"/>
          <w:sz w:val="17"/>
          <w:szCs w:val="17"/>
          <w:color w:val="auto"/>
        </w:rPr>
        <w:t>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completed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Registered Holder may not exercise any Warrants in the absence of a registration statement except pursuant to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w:t>
      </w:r>
      <w:r>
        <w:rPr>
          <w:rFonts w:ascii="Arial" w:cs="Arial" w:eastAsia="Arial" w:hAnsi="Arial"/>
          <w:sz w:val="18"/>
          <w:szCs w:val="18"/>
          <w:b w:val="1"/>
          <w:bCs w:val="1"/>
          <w:color w:val="auto"/>
        </w:rPr>
        <w:t>Fair Market Value</w:t>
      </w:r>
      <w:r>
        <w:rPr>
          <w:rFonts w:ascii="Arial" w:cs="Arial" w:eastAsia="Arial" w:hAnsi="Arial"/>
          <w:sz w:val="18"/>
          <w:szCs w:val="18"/>
          <w:color w:val="auto"/>
        </w:rPr>
        <w:t>” of one share of Common Stock is defined as follows:</w:t>
      </w:r>
    </w:p>
    <w:p>
      <w:pPr>
        <w:spacing w:after="0" w:line="170" w:lineRule="exact"/>
        <w:rPr>
          <w:sz w:val="20"/>
          <w:szCs w:val="20"/>
          <w:color w:val="auto"/>
        </w:rPr>
      </w:pPr>
    </w:p>
    <w:p>
      <w:pPr>
        <w:jc w:val="both"/>
        <w:ind w:left="660" w:hanging="328"/>
        <w:spacing w:after="0" w:line="279" w:lineRule="auto"/>
        <w:tabs>
          <w:tab w:leader="none" w:pos="6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the Company’s shares of Common Stock are listed and traded on the New York Stock Exchange, the NYSE American, the NASDAQ Global Select Market, the NASDAQ Global Market or the NASDAQ Capital Market (each, a “</w:t>
      </w:r>
      <w:r>
        <w:rPr>
          <w:rFonts w:ascii="Arial" w:cs="Arial" w:eastAsia="Arial" w:hAnsi="Arial"/>
          <w:sz w:val="17"/>
          <w:szCs w:val="17"/>
          <w:b w:val="1"/>
          <w:bCs w:val="1"/>
          <w:color w:val="auto"/>
        </w:rPr>
        <w:t>Trading Market</w:t>
      </w:r>
      <w:r>
        <w:rPr>
          <w:rFonts w:ascii="Arial" w:cs="Arial" w:eastAsia="Arial" w:hAnsi="Arial"/>
          <w:sz w:val="17"/>
          <w:szCs w:val="17"/>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660" w:hanging="328"/>
        <w:spacing w:after="0" w:line="277"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2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Common Stock Certificates</w:t>
      </w:r>
      <w:r>
        <w:rPr>
          <w:rFonts w:ascii="Arial" w:cs="Arial" w:eastAsia="Arial" w:hAnsi="Arial"/>
          <w:sz w:val="16"/>
          <w:szCs w:val="16"/>
          <w:color w:val="auto"/>
        </w:rPr>
        <w:t>. No later than three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a book-entry position and deliver electronically through the facilities of the Depository Trust Corporation) the number of whole shares of Common Stock to which such Registered Holder is entitled, registered in such name or names as may be directed by such Registered Holder, and, if such Warrant shall not have been exercised or surrendered in full, a new book-entry position or countersigned Warrant, as applicable, for the number of shares of Common Stock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book-entry position or certificate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except that, if the date of such surrender and payment is a date when the stock transfer books of the Company or book-entry system of the Warrant Agent are closed, such person shall be deemed to have become the holder of such shares at the close of business on the next succeeding date on which the stock transfer books or book-entry system are open.</w:t>
      </w:r>
    </w:p>
    <w:p>
      <w:pPr>
        <w:spacing w:after="0" w:line="1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such notice is delivered to the Company.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ind w:left="620" w:hanging="180"/>
        <w:spacing w:after="0"/>
        <w:tabs>
          <w:tab w:leader="none" w:pos="6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If, after the date hereof, and subject to the provisions of Section 4.5 below, the number of outstanding shares of Common Stock is increased or decreased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w:t>
      </w:r>
    </w:p>
    <w:p>
      <w:pPr>
        <w:spacing w:after="0" w:line="2" w:lineRule="exact"/>
        <w:rPr>
          <w:sz w:val="20"/>
          <w:szCs w:val="20"/>
          <w:color w:val="auto"/>
        </w:rPr>
      </w:pPr>
    </w:p>
    <w:p>
      <w:pPr>
        <w:jc w:val="both"/>
        <w:ind w:firstLine="8"/>
        <w:spacing w:after="0" w:line="285" w:lineRule="auto"/>
        <w:tabs>
          <w:tab w:leader="none" w:pos="26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6"/>
          <w:szCs w:val="16"/>
          <w:b w:val="1"/>
          <w:bCs w:val="1"/>
          <w:color w:val="auto"/>
        </w:rPr>
        <w:t>Extraordinary Dividend</w:t>
      </w:r>
      <w:r>
        <w:rPr>
          <w:rFonts w:ascii="Arial" w:cs="Arial" w:eastAsia="Arial" w:hAnsi="Arial"/>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w:t>
      </w:r>
      <w:r>
        <w:rPr>
          <w:rFonts w:ascii="Arial" w:cs="Arial" w:eastAsia="Arial" w:hAnsi="Arial"/>
          <w:sz w:val="16"/>
          <w:szCs w:val="16"/>
          <w:b w:val="1"/>
          <w:bCs w:val="1"/>
          <w:color w:val="auto"/>
        </w:rPr>
        <w:t>Ordinary Cash Dividends</w:t>
      </w:r>
      <w:r>
        <w:rPr>
          <w:rFonts w:ascii="Arial" w:cs="Arial" w:eastAsia="Arial" w:hAnsi="Arial"/>
          <w:sz w:val="16"/>
          <w:szCs w:val="16"/>
          <w:color w:val="auto"/>
        </w:rPr>
        <w:t>”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 or the Financing Warrants.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432"/>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entity (other than a consolidation or merger in which the Company is the continuing entity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 In no event shall the Warrant Price be reduced to less than the par value per share of Common Stock issuable upon exercise of the Warrant.</w:t>
      </w:r>
    </w:p>
    <w:p>
      <w:pPr>
        <w:spacing w:after="0" w:line="17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w:t>
      </w:r>
      <w:r>
        <w:rPr>
          <w:rFonts w:ascii="Arial" w:cs="Arial" w:eastAsia="Arial" w:hAnsi="Arial"/>
          <w:sz w:val="16"/>
          <w:szCs w:val="16"/>
          <w:color w:val="auto"/>
        </w:rPr>
        <w:t xml:space="preserve"> 4.5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14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ind w:firstLine="432"/>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w:t>
      </w:r>
    </w:p>
    <w:p>
      <w:pPr>
        <w:jc w:val="both"/>
        <w:ind w:firstLine="8"/>
        <w:spacing w:after="0" w:line="253" w:lineRule="auto"/>
        <w:tabs>
          <w:tab w:leader="none" w:pos="29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90" w:lineRule="exact"/>
        <w:rPr>
          <w:rFonts w:ascii="Arial" w:cs="Arial" w:eastAsia="Arial" w:hAnsi="Arial"/>
          <w:sz w:val="18"/>
          <w:szCs w:val="18"/>
          <w:color w:val="auto"/>
        </w:rPr>
      </w:pPr>
    </w:p>
    <w:p>
      <w:pPr>
        <w:ind w:left="620" w:hanging="180"/>
        <w:spacing w:after="0"/>
        <w:tabs>
          <w:tab w:leader="none" w:pos="62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or book-entry position for a fraction of a warrant.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620" w:hanging="180"/>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Section 2.4, Section 2.5.2 and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the last sales price of the shares of Common Stock has been equal to or greater than (i) $16.50 per share in the case of the Private Warrants or (ii)165% of the volume weighted average trading price of the Common Stock during the 20 trading day period starting on the trading day prior to the day on which the Company consummated the Merger in the case of the Public Warrants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and a current prospectus relating thereto,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ind w:firstLine="432"/>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620" w:hanging="180"/>
        <w:spacing w:after="0"/>
        <w:tabs>
          <w:tab w:leader="none" w:pos="6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shares of Common Stock</w:t>
      </w:r>
      <w:r>
        <w:rPr>
          <w:rFonts w:ascii="Arial" w:cs="Arial" w:eastAsia="Arial" w:hAnsi="Arial"/>
          <w:sz w:val="18"/>
          <w:szCs w:val="18"/>
          <w:color w:val="auto"/>
        </w:rPr>
        <w:t>. The Company agrees that as soon as practicable, but in no event later than 30 days after the date hereof,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620" w:hanging="180"/>
        <w:spacing w:after="0"/>
        <w:tabs>
          <w:tab w:leader="none" w:pos="6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 of Common Stock.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8.2.2 </w:t>
      </w:r>
      <w:r>
        <w:rPr>
          <w:rFonts w:ascii="Arial" w:cs="Arial" w:eastAsia="Arial" w:hAnsi="Arial"/>
          <w:sz w:val="17"/>
          <w:szCs w:val="17"/>
          <w:u w:val="single" w:color="auto"/>
          <w:color w:val="auto"/>
        </w:rPr>
        <w:t>Notice of Successor Warrant Agent</w:t>
      </w:r>
      <w:r>
        <w:rPr>
          <w:rFonts w:ascii="Arial" w:cs="Arial" w:eastAsia="Arial" w:hAnsi="Arial"/>
          <w:sz w:val="17"/>
          <w:szCs w:val="17"/>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8.3.1</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firstLine="432"/>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87" w:lineRule="exact"/>
        <w:rPr>
          <w:sz w:val="20"/>
          <w:szCs w:val="20"/>
          <w:color w:val="auto"/>
        </w:rPr>
      </w:pPr>
    </w:p>
    <w:p>
      <w:pPr>
        <w:ind w:left="620" w:hanging="180"/>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985 Industrial Road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Carlos, CA 94070</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White and Case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Colin Diamond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7"/>
          <w:szCs w:val="17"/>
          <w:u w:val="single" w:color="auto"/>
          <w:color w:val="auto"/>
        </w:rPr>
        <w:t>Section 9.3</w:t>
      </w:r>
      <w:r>
        <w:rPr>
          <w:rFonts w:ascii="Arial" w:cs="Arial" w:eastAsia="Arial" w:hAnsi="Arial"/>
          <w:sz w:val="17"/>
          <w:szCs w:val="17"/>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 Warrant holder’s counsel in the foreign action as agent for such Warrant holder.</w:t>
      </w:r>
    </w:p>
    <w:p>
      <w:pPr>
        <w:spacing w:after="0" w:line="17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jc w:val="both"/>
        <w:ind w:firstLine="432"/>
        <w:spacing w:after="0" w:line="268"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This Warrant Agreement and any Warrant certificate may be amended by the parties hereto by executing a supplemental warrant agreement (a “</w:t>
      </w:r>
      <w:r>
        <w:rPr>
          <w:rFonts w:ascii="Arial" w:cs="Arial" w:eastAsia="Arial" w:hAnsi="Arial"/>
          <w:sz w:val="17"/>
          <w:szCs w:val="17"/>
          <w:b w:val="1"/>
          <w:bCs w:val="1"/>
          <w:color w:val="auto"/>
        </w:rPr>
        <w:t>Supplemental Agreement</w:t>
      </w:r>
      <w:r>
        <w:rPr>
          <w:rFonts w:ascii="Arial" w:cs="Arial" w:eastAsia="Arial" w:hAnsi="Arial"/>
          <w:sz w:val="17"/>
          <w:szCs w:val="17"/>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Any amendment to the terms of the Financing Warrants shall require the written consent of the Registered Holders of a majority of the then outstanding Financing Warrants.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244"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14605</wp:posOffset>
            </wp:positionV>
            <wp:extent cx="263144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Matt MacDonald</w:t>
      </w:r>
    </w:p>
    <w:p>
      <w:pPr>
        <w:spacing w:after="0" w:line="23" w:lineRule="exact"/>
        <w:rPr>
          <w:sz w:val="20"/>
          <w:szCs w:val="20"/>
          <w:color w:val="auto"/>
        </w:rPr>
      </w:pPr>
    </w:p>
    <w:p>
      <w:pPr>
        <w:ind w:left="666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/s/ Luis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14605</wp:posOffset>
            </wp:positionV>
            <wp:extent cx="263144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Luis Ortiz</w:t>
      </w:r>
    </w:p>
    <w:p>
      <w:pPr>
        <w:spacing w:after="0" w:line="2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760" w:top="908" w:right="95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SPECIMEN WARRANT CERTIFICATE</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NUMBER [ ] WARRANTS WA-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WARRANT WILL BE VOID IF NOT EXERCISED PRIOR TO 5:00 P.M.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CITY TIME, FIVE YEARS FROM THE CLOSING DATE OF THE COMPANY’S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BUSINESS COMBINATION)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92280L119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WARRANT CERTIFIES THAT, for value received, or registered assigns, is the registered holder of a Warrant or Warrants (the “Warrant”), expiring on a date which is five years from the completion of the Company’s initial business combination, to purchase one-half of one fully paid and non-assessable share (the “Warrant Shares”), of common stock, par value $0.0001 per share (the “Common Stock”), of Presto Automation Inc., a Delaware corporation (the “Company”), for each Warrant evidenced by this Warrant Certificate. This Warrant Certificate is subject to and shall be interpreted under the terms and conditions of the Warrant Agreement (as defined below).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w:t>
      </w:r>
    </w:p>
    <w:p>
      <w:pPr>
        <w:spacing w:after="0" w:line="46" w:lineRule="exact"/>
        <w:rPr>
          <w:sz w:val="20"/>
          <w:szCs w:val="20"/>
          <w:color w:val="auto"/>
        </w:rPr>
      </w:pPr>
    </w:p>
    <w:p>
      <w:pPr>
        <w:jc w:val="both"/>
        <w:ind w:firstLine="8"/>
        <w:spacing w:after="0" w:line="287" w:lineRule="auto"/>
        <w:tabs>
          <w:tab w:leader="none" w:pos="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completion of the Company’s initial business combination or (ii) twelve (12) months following the closing of the Company’s initial public offering, such number of Warrant Shares at the Warrant Price (as defined in the Warrant Agreement), upon surrender of this Warrant Certificate and payment of the Warrant Price at the office or agency of Continental Stock Transfer &amp; Trust Company (the “Warrant Agent”), such payment to be made subject to the conditions set forth herein and in the Amended and Restated Warrant Agreement, dated September 21, 2022,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432"/>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30 days’ written notice of such call if the last reported sale price of the Common Stock has been equal to or greater than (i) $16.50 per share in the case of the Private Warrants or (ii)165% of the volume weighted average trading price of the Common Stock during the 20 trading day period starting on the trading day prior to the day on which the Company consummated the Merger in the case of the Public Warrants for any 20 trading for any 20 trading days within a 30 trading day period ending on the third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8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Warrant Shares; and/or</w:t>
      </w:r>
    </w:p>
    <w:p>
      <w:pPr>
        <w:spacing w:after="0" w:line="50" w:lineRule="exact"/>
        <w:rPr>
          <w:sz w:val="20"/>
          <w:szCs w:val="20"/>
          <w:color w:val="auto"/>
        </w:rPr>
      </w:pPr>
    </w:p>
    <w:p>
      <w:pPr>
        <w:jc w:val="both"/>
        <w:ind w:left="5300"/>
        <w:spacing w:after="0" w:line="254"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Warrant Shares because either (x) the Warrant Certificate is a Private Warrant, a Financing Warrant or (y)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of the Warrant Agreement.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 NAME(S) AND ADDRESS)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32829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32829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32829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306070</wp:posOffset>
            </wp:positionV>
            <wp:extent cx="263144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(PLEASE PRINT OR TYPE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14605</wp:posOffset>
            </wp:positionV>
            <wp:extent cx="263144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 ADDRESS(ES))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93179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3179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6350</wp:posOffset>
            </wp:positionV>
            <wp:extent cx="24942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3" w:name="page184"/>
    <w:bookmarkEnd w:id="183"/>
    <w:p>
      <w:pPr>
        <w:ind w:left="10260"/>
        <w:spacing w:after="0"/>
        <w:rPr>
          <w:sz w:val="20"/>
          <w:szCs w:val="20"/>
          <w:color w:val="auto"/>
        </w:rPr>
      </w:pPr>
      <w:r>
        <w:rPr>
          <w:rFonts w:ascii="Arial" w:cs="Arial" w:eastAsia="Arial" w:hAnsi="Arial"/>
          <w:sz w:val="17"/>
          <w:szCs w:val="17"/>
          <w:b w:val="1"/>
          <w:bCs w:val="1"/>
          <w:color w:val="auto"/>
        </w:rPr>
        <w:t>Exhibit 10.4</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GOVERNANCE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THIS GOVERNANCE AGREEMENT</w:t>
      </w:r>
      <w:r>
        <w:rPr>
          <w:rFonts w:ascii="Arial" w:cs="Arial" w:eastAsia="Arial" w:hAnsi="Arial"/>
          <w:sz w:val="17"/>
          <w:szCs w:val="17"/>
          <w:color w:val="auto"/>
        </w:rPr>
        <w:t>, dated as of September 21, 2022, is entered into by and among (i) Presto Automation Inc.,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(ii) the REMUS Stockholders (as defined herein), (iii) Rajat Suri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(iv) Presto CA LLC, a Delaware limited liability company (“CA,” and together with the REMUS Stockholders and the Chief Executive Officer, collectively, the “</w:t>
      </w:r>
      <w:r>
        <w:rPr>
          <w:rFonts w:ascii="Arial" w:cs="Arial" w:eastAsia="Arial" w:hAnsi="Arial"/>
          <w:sz w:val="17"/>
          <w:szCs w:val="17"/>
          <w:u w:val="single" w:color="auto"/>
          <w:color w:val="auto"/>
        </w:rPr>
        <w:t>Principal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Stockholders</w:t>
      </w:r>
      <w:r>
        <w:rPr>
          <w:rFonts w:ascii="Arial" w:cs="Arial" w:eastAsia="Arial" w:hAnsi="Arial"/>
          <w:sz w:val="17"/>
          <w:szCs w:val="17"/>
          <w:color w:val="auto"/>
        </w:rPr>
        <w:t>” and each a “</w:t>
      </w:r>
      <w:r>
        <w:rPr>
          <w:rFonts w:ascii="Arial" w:cs="Arial" w:eastAsia="Arial" w:hAnsi="Arial"/>
          <w:sz w:val="17"/>
          <w:szCs w:val="17"/>
          <w:u w:val="single" w:color="auto"/>
          <w:color w:val="auto"/>
        </w:rPr>
        <w:t>Principal Stockholder</w:t>
      </w:r>
      <w:r>
        <w:rPr>
          <w:rFonts w:ascii="Arial" w:cs="Arial" w:eastAsia="Arial" w:hAnsi="Arial"/>
          <w:sz w:val="17"/>
          <w:szCs w:val="17"/>
          <w:color w:val="auto"/>
        </w:rPr>
        <w:t xml:space="preserve">”) and (v) solely for purposes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III</w:t>
      </w:r>
      <w:r>
        <w:rPr>
          <w:rFonts w:ascii="Arial" w:cs="Arial" w:eastAsia="Arial" w:hAnsi="Arial"/>
          <w:sz w:val="17"/>
          <w:szCs w:val="17"/>
          <w:color w:val="auto"/>
        </w:rPr>
        <w:t>, I2BF Global Investments Ltd., a Cayman Islands exempted company (“</w:t>
      </w:r>
      <w:r>
        <w:rPr>
          <w:rFonts w:ascii="Arial" w:cs="Arial" w:eastAsia="Arial" w:hAnsi="Arial"/>
          <w:sz w:val="17"/>
          <w:szCs w:val="17"/>
          <w:u w:val="single" w:color="auto"/>
          <w:color w:val="auto"/>
        </w:rPr>
        <w:t>I2BF</w:t>
      </w:r>
      <w:r>
        <w:rPr>
          <w:rFonts w:ascii="Arial" w:cs="Arial" w:eastAsia="Arial" w:hAnsi="Arial"/>
          <w:sz w:val="17"/>
          <w:szCs w:val="17"/>
          <w:color w:val="auto"/>
        </w:rPr>
        <w:t xml:space="preserve">”). Capitalized terms used herein without definition shall have the meanings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E La Carte, Inc. entered into that certain Agreement and Plan of Merger, dated as of November 10, 2021 (as amended or supplemented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Ventoux CCM Acquisition Corp. (“</w:t>
      </w:r>
      <w:r>
        <w:rPr>
          <w:rFonts w:ascii="Arial" w:cs="Arial" w:eastAsia="Arial" w:hAnsi="Arial"/>
          <w:sz w:val="18"/>
          <w:szCs w:val="18"/>
          <w:u w:val="single" w:color="auto"/>
          <w:color w:val="auto"/>
        </w:rPr>
        <w:t>Ventoux</w:t>
      </w:r>
      <w:r>
        <w:rPr>
          <w:rFonts w:ascii="Arial" w:cs="Arial" w:eastAsia="Arial" w:hAnsi="Arial"/>
          <w:sz w:val="18"/>
          <w:szCs w:val="18"/>
          <w:color w:val="auto"/>
        </w:rPr>
        <w:t>”), Ventoux Merger Sub Inc., a Delaware corporation and a direct, wholly-owned subsidiary of Ventoux, and Ventoux Merger Sub II LLC, a Delaware limited liability company and a direct, wholly-owned subsidiary of Ventoux;</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WHEREAS, on the date hereof, the parties to the Merger Agreement consummated the transactions contemplated by the Merger Agreement (the “</w:t>
      </w:r>
      <w:r>
        <w:rPr>
          <w:rFonts w:ascii="Arial" w:cs="Arial" w:eastAsia="Arial" w:hAnsi="Arial"/>
          <w:sz w:val="17"/>
          <w:szCs w:val="17"/>
          <w:u w:val="single" w:color="auto"/>
          <w:color w:val="auto"/>
        </w:rPr>
        <w:t>Merger</w:t>
      </w:r>
      <w:r>
        <w:rPr>
          <w:rFonts w:ascii="Arial" w:cs="Arial" w:eastAsia="Arial" w:hAnsi="Arial"/>
          <w:sz w:val="17"/>
          <w:szCs w:val="17"/>
          <w:color w:val="auto"/>
        </w:rPr>
        <w:t>”), and the Principal Stockholders received shares of common stock, par value $0.0001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immediately after the completion of the Merger, the Principal Stockholders will own approximately 54.4% of the issued and outstanding Company Shares (as defined below);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hereto desire to provide for certain governance rights and other matters for the period on and after the effective time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NOW, THEREFORE, in consideration of the mutual agreements and understandings set forth herein, the parties hereto hereby agree as follows: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respective meanings: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Governance Agreement as in effect on the date hereof and as hereafter from time to time amended, modified or supplemented in accordance with the terms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Designees</w:t>
      </w:r>
      <w:r>
        <w:rPr>
          <w:rFonts w:ascii="Arial" w:cs="Arial" w:eastAsia="Arial" w:hAnsi="Arial"/>
          <w:sz w:val="18"/>
          <w:szCs w:val="18"/>
          <w:color w:val="auto"/>
        </w:rPr>
        <w:t xml:space="preserve">” shall mean the directors designated by the Principal Stockholders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Chief Executive Officer Designee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 Designee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Shares</w:t>
      </w:r>
      <w:r>
        <w:rPr>
          <w:rFonts w:ascii="Arial" w:cs="Arial" w:eastAsia="Arial" w:hAnsi="Arial"/>
          <w:sz w:val="16"/>
          <w:szCs w:val="16"/>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Necessary Action</w:t>
      </w:r>
      <w:r>
        <w:rPr>
          <w:rFonts w:ascii="Arial" w:cs="Arial" w:eastAsia="Arial" w:hAnsi="Arial"/>
          <w:sz w:val="16"/>
          <w:szCs w:val="16"/>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Arial" w:cs="Arial" w:eastAsia="Arial" w:hAnsi="Arial"/>
          <w:sz w:val="16"/>
          <w:szCs w:val="16"/>
          <w:u w:val="single" w:color="auto"/>
          <w:color w:val="auto"/>
        </w:rPr>
        <w:t>Section 2.1(e)</w:t>
      </w:r>
      <w:r>
        <w:rPr>
          <w:rFonts w:ascii="Arial" w:cs="Arial" w:eastAsia="Arial" w:hAnsi="Arial"/>
          <w:sz w:val="16"/>
          <w:szCs w:val="16"/>
          <w:color w:val="auto"/>
        </w:rPr>
        <w:t>), to act in a certain manner, including causing members of the Board of Directors or any nominating or similar committee of the Board of Directors to recommend the appointment or nomination of any Board Designees as provided by this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Stockholders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REMUS Designee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REMUS Stockholders</w:t>
      </w:r>
      <w:r>
        <w:rPr>
          <w:rFonts w:ascii="Arial" w:cs="Arial" w:eastAsia="Arial" w:hAnsi="Arial"/>
          <w:sz w:val="17"/>
          <w:szCs w:val="17"/>
          <w:color w:val="auto"/>
        </w:rPr>
        <w:t>” means, collectively, those entities set forth under the heading “REMUS Stockholders” on the signature pages hereto.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0" w:lineRule="auto"/>
        <w:tabs>
          <w:tab w:leader="none" w:pos="1554"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Composition of Initial Board</w:t>
      </w:r>
      <w:r>
        <w:rPr>
          <w:rFonts w:ascii="Arial" w:cs="Arial" w:eastAsia="Arial" w:hAnsi="Arial"/>
          <w:sz w:val="17"/>
          <w:szCs w:val="17"/>
          <w:color w:val="auto"/>
        </w:rPr>
        <w:t>. The Company and the Principal Stockholders shall take all Necessary Action to cause the Board of Directors to be comprised of eight directors. The initial seven members of the Board of Directors shall be (i) Krishna Gupta, whom shall be deemed to have been designated by the REMUS Stockholders, (ii) Rajat Suri, whom shall be deemed to have been designated by the Chief Executive Officer, and (iii) Keith Kravcik, Ed Scheetz, Gail Zauder, Ilya Golubovich, and Kim Axel Lopdrup, with the vacancy to be filled after the date of this Agreement by an individual proposed by the Company’s Nominating and Governance Committee and approved by the Board of Directors. Krishna Gupta shall initially serve as the Chairperson of the Board of Directors and shall continue in such role after the 2023 annual meeting of stockholders until the earlier of (1) such time as he is no longer a director of the Company, and (2) the succeeding annual meeting of stockholders of the Company at which the class of directors of which he is a member is subject to reelection. The foregoing directors shall be divided into three classes of directors, each of whose members shall serve for staggered three-year terms as follows:</w:t>
      </w:r>
    </w:p>
    <w:p>
      <w:pPr>
        <w:spacing w:after="0" w:line="180" w:lineRule="exact"/>
        <w:rPr>
          <w:rFonts w:ascii="Arial" w:cs="Arial" w:eastAsia="Arial" w:hAnsi="Arial"/>
          <w:sz w:val="17"/>
          <w:szCs w:val="17"/>
          <w:color w:val="auto"/>
        </w:rPr>
      </w:pPr>
    </w:p>
    <w:p>
      <w:pPr>
        <w:ind w:left="1960" w:hanging="332"/>
        <w:spacing w:after="0"/>
        <w:tabs>
          <w:tab w:leader="none" w:pos="1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Class I directors shall initially be Krishna Gupta, Keith Kravcik and Ed Scheetz;</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Class II directors shall initially be Ilya Golubovich and the Chief Executive Officer; and</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Class III directors shall initially be Kim Axel Lopdrup and Gail Zauder.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Board Size</w:t>
      </w:r>
      <w:r>
        <w:rPr>
          <w:rFonts w:ascii="Arial" w:cs="Arial" w:eastAsia="Arial" w:hAnsi="Arial"/>
          <w:sz w:val="16"/>
          <w:szCs w:val="16"/>
          <w:color w:val="auto"/>
        </w:rPr>
        <w:t>. Any change to the size of the Board of Directors must be authorized by the affirmative vote of a majority of the entire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 of Directors.</w:t>
      </w:r>
    </w:p>
    <w:p>
      <w:pPr>
        <w:spacing w:after="0" w:line="210" w:lineRule="exact"/>
        <w:rPr>
          <w:rFonts w:ascii="Arial" w:cs="Arial" w:eastAsia="Arial" w:hAnsi="Arial"/>
          <w:sz w:val="16"/>
          <w:szCs w:val="16"/>
          <w:color w:val="auto"/>
        </w:rPr>
      </w:pPr>
    </w:p>
    <w:p>
      <w:pPr>
        <w:jc w:val="both"/>
        <w:ind w:firstLine="1304"/>
        <w:spacing w:after="0" w:line="255" w:lineRule="auto"/>
        <w:tabs>
          <w:tab w:leader="none" w:pos="161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the initial Class I directors, other than Mr. Scheetz, shall be nominated for reelection by stockholders at the 2023 annual meeting of stockholders and, subject to Section 2.1(e), shall hold office until the annual meeting of stockholders in 2026 or until their earlier resignation, removal or death. Class II directors shall be nominated for reelection by the stockholders at the 2024 annual meeting of stockholders and shall hold office until the annual meeting of stockholders in 2027 or until their earlier resignation, removal or death. Class III directors shall be nominated for reelection by the stockholders at the 2025 annual meeting of stockholders and shall and shall hold office until the annual meeting of stockholders in 2028 or until their earlier resignation, removal or death.</w:t>
      </w:r>
    </w:p>
    <w:p>
      <w:pPr>
        <w:spacing w:after="0" w:line="192" w:lineRule="exact"/>
        <w:rPr>
          <w:rFonts w:ascii="Arial" w:cs="Arial" w:eastAsia="Arial" w:hAnsi="Arial"/>
          <w:sz w:val="18"/>
          <w:szCs w:val="18"/>
          <w:color w:val="auto"/>
        </w:rPr>
      </w:pPr>
    </w:p>
    <w:p>
      <w:pPr>
        <w:ind w:left="1600" w:hanging="296"/>
        <w:spacing w:after="0"/>
        <w:tabs>
          <w:tab w:leader="none" w:pos="16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REMUS Representation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5" w:lineRule="auto"/>
        <w:tabs>
          <w:tab w:leader="none" w:pos="2231" w:val="left"/>
        </w:tabs>
        <w:numPr>
          <w:ilvl w:val="2"/>
          <w:numId w:val="169"/>
        </w:numPr>
        <w:rPr>
          <w:rFonts w:ascii="Arial" w:cs="Arial" w:eastAsia="Arial" w:hAnsi="Arial"/>
          <w:sz w:val="17"/>
          <w:szCs w:val="17"/>
          <w:color w:val="auto"/>
        </w:rPr>
      </w:pPr>
      <w:r>
        <w:rPr>
          <w:rFonts w:ascii="Arial" w:cs="Arial" w:eastAsia="Arial" w:hAnsi="Arial"/>
          <w:sz w:val="17"/>
          <w:szCs w:val="17"/>
          <w:color w:val="auto"/>
        </w:rPr>
        <w:t xml:space="preserve">In the event that Gail Zauder resigns or is removed within the 12 months following the consummation of the Merger, the REMUS Stockholders shall have the exclusive right to designate a successor for appointment. Thereafter, any successor to Ms. Zauder shall be determined and designated for election or appointment by the Company’s Nominating and Governance Committee with approval by the Board of Directors. For the avoidance of doubt, any successor director designated by the REMUS Stockholders pursuant to this </w:t>
      </w:r>
      <w:r>
        <w:rPr>
          <w:rFonts w:ascii="Arial" w:cs="Arial" w:eastAsia="Arial" w:hAnsi="Arial"/>
          <w:sz w:val="17"/>
          <w:szCs w:val="17"/>
          <w:u w:val="single" w:color="auto"/>
          <w:color w:val="auto"/>
        </w:rPr>
        <w:t>Section 2.1(d)(i)</w:t>
      </w:r>
      <w:r>
        <w:rPr>
          <w:rFonts w:ascii="Arial" w:cs="Arial" w:eastAsia="Arial" w:hAnsi="Arial"/>
          <w:sz w:val="17"/>
          <w:szCs w:val="17"/>
          <w:color w:val="auto"/>
        </w:rPr>
        <w:t xml:space="preserve"> shall not be considered a REMUS Designee for purposes of the REMUS Stockholders’ right to nominate a Class I director pursuant to Section 2.1(d)(ii).</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1952"/>
        <w:spacing w:after="0" w:line="257" w:lineRule="auto"/>
        <w:tabs>
          <w:tab w:leader="none" w:pos="229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For so long as the REMUS Stockholders and any of their respective Affiliates hold, in the aggregate, not less than five percent of the Company’s outstanding voting securities, the REMUS Stockholders shall be entitled (but not obligated) to nominate for election and require the Company and the Principal Stockholders to take Necessary Action to include a single Class I director (a “</w:t>
      </w:r>
      <w:r>
        <w:rPr>
          <w:rFonts w:ascii="Arial" w:cs="Arial" w:eastAsia="Arial" w:hAnsi="Arial"/>
          <w:sz w:val="18"/>
          <w:szCs w:val="18"/>
          <w:u w:val="single" w:color="auto"/>
          <w:color w:val="auto"/>
        </w:rPr>
        <w:t>REMUS Designee</w:t>
      </w:r>
      <w:r>
        <w:rPr>
          <w:rFonts w:ascii="Arial" w:cs="Arial" w:eastAsia="Arial" w:hAnsi="Arial"/>
          <w:sz w:val="18"/>
          <w:szCs w:val="18"/>
          <w:color w:val="auto"/>
        </w:rPr>
        <w:t>”) in the slate of nominees recommended by the Board of Directors for election as directors at each applicable annual or special meeting of stockholders at which directors are to be elected.</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1612"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CA Representation</w:t>
      </w:r>
      <w:r>
        <w:rPr>
          <w:rFonts w:ascii="Arial" w:cs="Arial" w:eastAsia="Arial" w:hAnsi="Arial"/>
          <w:sz w:val="17"/>
          <w:szCs w:val="17"/>
          <w:color w:val="auto"/>
        </w:rPr>
        <w:t>. For so long as CA and its Affiliates hold, in the aggregate, not less than 75.0%, collectively, of the shares of Common Stock they hold immediately following the consummation of the transactions contemplated by the Merger Agreement, CA shall be entitled (but not obligated) to nominate for election and require the Company and the Principal Stockholders to take Necessary Action to include a single Class I director (a “</w:t>
      </w:r>
      <w:r>
        <w:rPr>
          <w:rFonts w:ascii="Arial" w:cs="Arial" w:eastAsia="Arial" w:hAnsi="Arial"/>
          <w:sz w:val="17"/>
          <w:szCs w:val="17"/>
          <w:u w:val="single" w:color="auto"/>
          <w:color w:val="auto"/>
        </w:rPr>
        <w:t>CA Designee</w:t>
      </w:r>
      <w:r>
        <w:rPr>
          <w:rFonts w:ascii="Arial" w:cs="Arial" w:eastAsia="Arial" w:hAnsi="Arial"/>
          <w:sz w:val="17"/>
          <w:szCs w:val="17"/>
          <w:color w:val="auto"/>
        </w:rPr>
        <w:t xml:space="preserve">”) in the slate of nominees recommended by the Board of Directors for election as directors at each applicable annual or special meeting of stockholders at which directors are to be elected; </w:t>
      </w:r>
      <w:r>
        <w:rPr>
          <w:rFonts w:ascii="Arial" w:cs="Arial" w:eastAsia="Arial" w:hAnsi="Arial"/>
          <w:sz w:val="17"/>
          <w:szCs w:val="17"/>
          <w:i w:val="1"/>
          <w:iCs w:val="1"/>
          <w:color w:val="auto"/>
        </w:rPr>
        <w:t>provided</w:t>
      </w:r>
      <w:r>
        <w:rPr>
          <w:rFonts w:ascii="Arial" w:cs="Arial" w:eastAsia="Arial" w:hAnsi="Arial"/>
          <w:sz w:val="17"/>
          <w:szCs w:val="17"/>
          <w:color w:val="auto"/>
        </w:rPr>
        <w:t>, that any provision of this Agreement to the contrary notwithstanding, within three business days of the date on which CA and its Affiliates hold, in the aggregate, less than 75.0%, collectively, of the shares of Common Stock they hold immediately following the consummation of the transactions contemplated by the Merger Agreement, CA shall notify the Company and, promptly following the written request of the Nominating and Governance Committee of the Board of Directors, shall cause the CA Designee to execute and deliver an irrevocable written resignation from the Board of Directors and any committees on which he or she then sits.</w:t>
      </w:r>
    </w:p>
    <w:p>
      <w:pPr>
        <w:spacing w:after="0" w:line="180" w:lineRule="exact"/>
        <w:rPr>
          <w:rFonts w:ascii="Arial" w:cs="Arial" w:eastAsia="Arial" w:hAnsi="Arial"/>
          <w:sz w:val="17"/>
          <w:szCs w:val="17"/>
          <w:color w:val="auto"/>
        </w:rPr>
      </w:pPr>
    </w:p>
    <w:p>
      <w:pPr>
        <w:jc w:val="both"/>
        <w:ind w:firstLine="1304"/>
        <w:spacing w:after="0" w:line="257" w:lineRule="auto"/>
        <w:tabs>
          <w:tab w:leader="none" w:pos="157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Chief Executive Officer Representation</w:t>
      </w:r>
      <w:r>
        <w:rPr>
          <w:rFonts w:ascii="Arial" w:cs="Arial" w:eastAsia="Arial" w:hAnsi="Arial"/>
          <w:sz w:val="18"/>
          <w:szCs w:val="18"/>
          <w:color w:val="auto"/>
        </w:rPr>
        <w:t>. For so long as the Chief Executive Officer and his Affiliates hold, in the aggregate, not less than five percent of the Company’s outstanding voting securities, the Chief Executive Officer shall be entitled (but not obligated) to nominate for election and require the Company and the Principal Stockholders to take Necessary Action to include a single Class II director (a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Designee</w:t>
      </w:r>
      <w:r>
        <w:rPr>
          <w:rFonts w:ascii="Arial" w:cs="Arial" w:eastAsia="Arial" w:hAnsi="Arial"/>
          <w:sz w:val="18"/>
          <w:szCs w:val="18"/>
          <w:color w:val="auto"/>
        </w:rPr>
        <w:t>”) in the slate of nominees recommended by the Board of Directors for election as directors at each applicable annual or special meeting of stockholders at which directors are to be elected.</w:t>
      </w:r>
    </w:p>
    <w:p>
      <w:pPr>
        <w:spacing w:after="0" w:line="187" w:lineRule="exact"/>
        <w:rPr>
          <w:rFonts w:ascii="Arial" w:cs="Arial" w:eastAsia="Arial" w:hAnsi="Arial"/>
          <w:sz w:val="18"/>
          <w:szCs w:val="18"/>
          <w:color w:val="auto"/>
        </w:rPr>
      </w:pPr>
    </w:p>
    <w:p>
      <w:pPr>
        <w:ind w:left="1600" w:hanging="296"/>
        <w:spacing w:after="0"/>
        <w:tabs>
          <w:tab w:leader="none" w:pos="160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Additional Obligations</w:t>
      </w:r>
      <w:r>
        <w:rPr>
          <w:rFonts w:ascii="Arial" w:cs="Arial" w:eastAsia="Arial" w:hAnsi="Arial"/>
          <w:sz w:val="16"/>
          <w:szCs w:val="16"/>
          <w:color w:val="auto"/>
        </w:rPr>
        <w:t xml:space="preserve">. An individual designated by a Principal Stockholder for election (including pursuant to </w:t>
      </w:r>
      <w:r>
        <w:rPr>
          <w:rFonts w:ascii="Arial" w:cs="Arial" w:eastAsia="Arial" w:hAnsi="Arial"/>
          <w:sz w:val="16"/>
          <w:szCs w:val="16"/>
          <w:u w:val="single" w:color="auto"/>
          <w:color w:val="auto"/>
        </w:rPr>
        <w:t>Sections 2.1(d)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(f)</w:t>
      </w:r>
      <w:r>
        <w:rPr>
          <w:rFonts w:ascii="Arial" w:cs="Arial" w:eastAsia="Arial" w:hAnsi="Arial"/>
          <w:sz w:val="17"/>
          <w:szCs w:val="17"/>
          <w:color w:val="auto"/>
        </w:rPr>
        <w:t xml:space="preserve">) as a director shall comply with the requirements of the charter for, and related guidelines of, the Company’s Nominating and Governance Committee. Notwithstanding anything to the contrary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event that the Board of Directors determines in good faith, after consultation with outside legal counsel, that its nomination, appointment or election of a particular Board Designee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and the Board of Directors and the Company shall take all of the actions required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78" w:lineRule="exact"/>
        <w:rPr>
          <w:rFonts w:ascii="Arial" w:cs="Arial" w:eastAsia="Arial" w:hAnsi="Arial"/>
          <w:sz w:val="16"/>
          <w:szCs w:val="16"/>
          <w:color w:val="auto"/>
        </w:rPr>
      </w:pPr>
    </w:p>
    <w:p>
      <w:pPr>
        <w:jc w:val="both"/>
        <w:ind w:firstLine="1304"/>
        <w:spacing w:after="0" w:line="273" w:lineRule="auto"/>
        <w:tabs>
          <w:tab w:leader="none" w:pos="1636"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Replacement of Board Designees</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as applicable, with respect to decreases in ownership of the Principal Stockholders, (i) each Principal Stockholder shall have the exclusive right to request the resignation of its Board Designee from the Board of Directors and (ii) each Principal Stockholder shall have the exclusive right to designate a replacement director to fill the vacancy (for the remainder of the then current term) created by reason of death, disability, removal or resignation of its Board Designee, and, subject to the provisions of </w:t>
      </w:r>
      <w:r>
        <w:rPr>
          <w:rFonts w:ascii="Arial" w:cs="Arial" w:eastAsia="Arial" w:hAnsi="Arial"/>
          <w:sz w:val="17"/>
          <w:szCs w:val="17"/>
          <w:u w:val="single" w:color="auto"/>
          <w:color w:val="auto"/>
        </w:rPr>
        <w:t>Section 2.1(g)</w:t>
      </w:r>
      <w:r>
        <w:rPr>
          <w:rFonts w:ascii="Arial" w:cs="Arial" w:eastAsia="Arial" w:hAnsi="Arial"/>
          <w:sz w:val="17"/>
          <w:szCs w:val="17"/>
          <w:color w:val="auto"/>
        </w:rPr>
        <w:t>, the Company and the Principal Stockholders shall take all Necessary Action to cause any such vacancies to be filled by the replacement director designated by such designating Principal Stockholder as promptly as reasonably practicable.</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62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Other Nominations; Vacancies</w:t>
      </w:r>
      <w:r>
        <w:rPr>
          <w:rFonts w:ascii="Arial" w:cs="Arial" w:eastAsia="Arial" w:hAnsi="Arial"/>
          <w:sz w:val="18"/>
          <w:szCs w:val="18"/>
          <w:color w:val="auto"/>
        </w:rPr>
        <w:t xml:space="preserve">. Notwithstanding anything contained in this Agreement to the contrary, other than the Principal Stockholders’ rights to (i) nominate individuals for election as specifically set forth in </w:t>
      </w:r>
      <w:r>
        <w:rPr>
          <w:rFonts w:ascii="Arial" w:cs="Arial" w:eastAsia="Arial" w:hAnsi="Arial"/>
          <w:sz w:val="18"/>
          <w:szCs w:val="18"/>
          <w:u w:val="single" w:color="auto"/>
          <w:color w:val="auto"/>
        </w:rPr>
        <w:t>Sections 2.1(d)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(ii) designate replacement directors in accordance with </w:t>
      </w:r>
      <w:r>
        <w:rPr>
          <w:rFonts w:ascii="Arial" w:cs="Arial" w:eastAsia="Arial" w:hAnsi="Arial"/>
          <w:sz w:val="18"/>
          <w:szCs w:val="18"/>
          <w:u w:val="single" w:color="auto"/>
          <w:color w:val="auto"/>
        </w:rPr>
        <w:t>Section 2.1(h)</w:t>
      </w:r>
      <w:r>
        <w:rPr>
          <w:rFonts w:ascii="Arial" w:cs="Arial" w:eastAsia="Arial" w:hAnsi="Arial"/>
          <w:sz w:val="18"/>
          <w:szCs w:val="18"/>
          <w:color w:val="auto"/>
        </w:rPr>
        <w:t>, no Principal Stockholder shall have any right nominate or designate any individual for election or appointment to the Board of Directors, or to fill any vacancy on the Board of Directors, whether such vacancy is caused by a change to the size of the Board of Directors or by the resignation, removal or death of a director.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Committees of the 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7" w:lineRule="auto"/>
        <w:tabs>
          <w:tab w:leader="none" w:pos="15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and applicable law. The Board of Directors may dissolve any committee or remove any member of a committee at any time.</w:t>
      </w:r>
    </w:p>
    <w:p>
      <w:pPr>
        <w:spacing w:after="0" w:line="187" w:lineRule="exact"/>
        <w:rPr>
          <w:rFonts w:ascii="Arial" w:cs="Arial" w:eastAsia="Arial" w:hAnsi="Arial"/>
          <w:sz w:val="18"/>
          <w:szCs w:val="18"/>
          <w:color w:val="auto"/>
        </w:rPr>
      </w:pPr>
    </w:p>
    <w:p>
      <w:pPr>
        <w:ind w:firstLine="1304"/>
        <w:spacing w:after="0" w:line="277" w:lineRule="auto"/>
        <w:tabs>
          <w:tab w:leader="none" w:pos="16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Board of Directors shall constitute and charter an Audit Committee, a Compensation Committee and a Nominating and Governance Committee, comprised solely of independent directors and with an initial constitution as follows:</w:t>
      </w:r>
    </w:p>
    <w:p>
      <w:pPr>
        <w:spacing w:after="0" w:line="170" w:lineRule="exact"/>
        <w:rPr>
          <w:rFonts w:ascii="Arial" w:cs="Arial" w:eastAsia="Arial" w:hAnsi="Arial"/>
          <w:sz w:val="18"/>
          <w:szCs w:val="18"/>
          <w:color w:val="auto"/>
        </w:rPr>
      </w:pPr>
    </w:p>
    <w:p>
      <w:pPr>
        <w:ind w:left="1960" w:hanging="332"/>
        <w:spacing w:after="0"/>
        <w:tabs>
          <w:tab w:leader="none" w:pos="19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members of the Audit Committee shall initially be Gail Zauder (Chair), Ilya Golubovich and Keith Kravcik;</w:t>
      </w:r>
    </w:p>
    <w:p>
      <w:pPr>
        <w:spacing w:after="0" w:line="225" w:lineRule="exact"/>
        <w:rPr>
          <w:rFonts w:ascii="Arial" w:cs="Arial" w:eastAsia="Arial" w:hAnsi="Arial"/>
          <w:sz w:val="18"/>
          <w:szCs w:val="18"/>
          <w:color w:val="auto"/>
        </w:rPr>
      </w:pPr>
    </w:p>
    <w:p>
      <w:pPr>
        <w:ind w:left="1960" w:right="20" w:hanging="332"/>
        <w:spacing w:after="0" w:line="277" w:lineRule="auto"/>
        <w:tabs>
          <w:tab w:leader="none" w:pos="19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members of the Compensation Committee shall initially be Kim Axel Lopdrup (Chair), Ilya Golubovich and Gail Zauder; and</w:t>
      </w:r>
    </w:p>
    <w:p>
      <w:pPr>
        <w:spacing w:after="0" w:line="170" w:lineRule="exact"/>
        <w:rPr>
          <w:rFonts w:ascii="Arial" w:cs="Arial" w:eastAsia="Arial" w:hAnsi="Arial"/>
          <w:sz w:val="18"/>
          <w:szCs w:val="18"/>
          <w:color w:val="auto"/>
        </w:rPr>
      </w:pPr>
    </w:p>
    <w:p>
      <w:pPr>
        <w:ind w:left="1960" w:hanging="332"/>
        <w:spacing w:after="0" w:line="277" w:lineRule="auto"/>
        <w:tabs>
          <w:tab w:leader="none" w:pos="19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members of the Nominating and Governance Committee shall initially be Ilya Golubovich (Chair), Krishna Gupta and Keith Kravcik.</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6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Voting Agreement</w:t>
      </w:r>
      <w:r>
        <w:rPr>
          <w:rFonts w:ascii="Arial" w:cs="Arial" w:eastAsia="Arial" w:hAnsi="Arial"/>
          <w:sz w:val="16"/>
          <w:szCs w:val="16"/>
          <w:color w:val="auto"/>
        </w:rPr>
        <w:t>.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Section 2.1 and 2.2 and to otherwise effect the intent of this Article II.</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Agreement of Company</w:t>
      </w:r>
      <w:r>
        <w:rPr>
          <w:rFonts w:ascii="Arial" w:cs="Arial" w:eastAsia="Arial" w:hAnsi="Arial"/>
          <w:sz w:val="18"/>
          <w:szCs w:val="18"/>
          <w:color w:val="auto"/>
        </w:rPr>
        <w:t xml:space="preserve">. The Company hereby agrees that it will take all Necessary Actions to cause the matters addressed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Restrictions on Other Agreements</w:t>
      </w:r>
      <w:r>
        <w:rPr>
          <w:rFonts w:ascii="Arial" w:cs="Arial" w:eastAsia="Arial" w:hAnsi="Arial"/>
          <w:sz w:val="18"/>
          <w:szCs w:val="18"/>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Each of the parties to this Agreement hereby represents and warrants to each other party to this Agreement, severally on behalf of itself and not jointly, that as of the date such party executes this Agreement:</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Existence; Authority; Enforceability</w:t>
      </w:r>
      <w:r>
        <w:rPr>
          <w:rFonts w:ascii="Arial" w:cs="Arial" w:eastAsia="Arial" w:hAnsi="Arial"/>
          <w:sz w:val="16"/>
          <w:szCs w:val="16"/>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Absence of Conflicts</w:t>
      </w:r>
      <w:r>
        <w:rPr>
          <w:rFonts w:ascii="Arial" w:cs="Arial" w:eastAsia="Arial" w:hAnsi="Arial"/>
          <w:sz w:val="16"/>
          <w:szCs w:val="16"/>
          <w:color w:val="auto"/>
        </w:rPr>
        <w:t>. The execution and delivery by such party of this Agreement and the performance of its obligations hereunder does not and will not (i) 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Consents</w:t>
      </w:r>
      <w:r>
        <w:rPr>
          <w:rFonts w:ascii="Arial" w:cs="Arial" w:eastAsia="Arial" w:hAnsi="Arial"/>
          <w:sz w:val="18"/>
          <w:szCs w:val="18"/>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MISCELLAENOUS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and be of no further force and effect (a) solely with respect to a party hereto, in the event that such party ceases to own any shares of Common Stock, (b) upon the written agreement of the Principal Stockholders to terminate this Agreement or (c) subject to the final sentence of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Arial" w:cs="Arial" w:eastAsia="Arial" w:hAnsi="Arial"/>
          <w:sz w:val="18"/>
          <w:szCs w:val="18"/>
          <w:u w:val="single" w:color="auto"/>
          <w:color w:val="auto"/>
        </w:rPr>
        <w:t>Section 4.1</w:t>
      </w:r>
      <w:r>
        <w:rPr>
          <w:rFonts w:ascii="Arial" w:cs="Arial" w:eastAsia="Arial" w:hAnsi="Arial"/>
          <w:sz w:val="18"/>
          <w:szCs w:val="18"/>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Successors and Assigns; Beneficiaries</w:t>
      </w:r>
      <w:r>
        <w:rPr>
          <w:rFonts w:ascii="Arial" w:cs="Arial" w:eastAsia="Arial" w:hAnsi="Arial"/>
          <w:sz w:val="18"/>
          <w:szCs w:val="18"/>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such Affiliate agrees be bound by the obligations hereunder.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Amendment and Modification; Waiver of Compliance</w:t>
      </w:r>
      <w:r>
        <w:rPr>
          <w:rFonts w:ascii="Arial" w:cs="Arial" w:eastAsia="Arial" w:hAnsi="Arial"/>
          <w:sz w:val="18"/>
          <w:szCs w:val="18"/>
          <w:color w:val="auto"/>
        </w:rPr>
        <w:t>.</w:t>
      </w:r>
    </w:p>
    <w:p>
      <w:pPr>
        <w:spacing w:after="0" w:line="225" w:lineRule="exact"/>
        <w:rPr>
          <w:sz w:val="20"/>
          <w:szCs w:val="20"/>
          <w:color w:val="auto"/>
        </w:rPr>
      </w:pPr>
    </w:p>
    <w:p>
      <w:pPr>
        <w:ind w:left="1600" w:hanging="296"/>
        <w:spacing w:after="0"/>
        <w:tabs>
          <w:tab w:leader="none" w:pos="16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This Agreement may be amended only by a written instrument duly executed by the Company and the Principal Stockholders.</w:t>
      </w:r>
    </w:p>
    <w:p>
      <w:pPr>
        <w:spacing w:after="0" w:line="236" w:lineRule="exact"/>
        <w:rPr>
          <w:rFonts w:ascii="Arial" w:cs="Arial" w:eastAsia="Arial" w:hAnsi="Arial"/>
          <w:sz w:val="17"/>
          <w:szCs w:val="17"/>
          <w:color w:val="auto"/>
        </w:rPr>
      </w:pPr>
    </w:p>
    <w:p>
      <w:pPr>
        <w:jc w:val="both"/>
        <w:ind w:firstLine="1304"/>
        <w:spacing w:after="0" w:line="259" w:lineRule="auto"/>
        <w:tabs>
          <w:tab w:leader="none" w:pos="159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If to the Company,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985 Industrial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Carlos, CA 94070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Ashish Gupta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ashish@presto.com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If to the REMUS Stockholders,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Romulus Capital II,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307 Harvard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Krishna Gupta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kkg@romulusgroup.com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William Schnoor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wschnoor@goodwin.com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If to I2BF,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Ilya Golubovich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I2BF LLC</w:t>
      </w:r>
    </w:p>
    <w:p>
      <w:pPr>
        <w:ind w:left="1300"/>
        <w:spacing w:after="0" w:line="192" w:lineRule="auto"/>
        <w:rPr>
          <w:sz w:val="20"/>
          <w:szCs w:val="20"/>
          <w:color w:val="auto"/>
        </w:rPr>
      </w:pPr>
      <w:r>
        <w:rPr>
          <w:rFonts w:ascii="Arial" w:cs="Arial" w:eastAsia="Arial" w:hAnsi="Arial"/>
          <w:sz w:val="18"/>
          <w:szCs w:val="18"/>
          <w:color w:val="auto"/>
        </w:rPr>
        <w:t>115 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Suite 507</w:t>
      </w:r>
    </w:p>
    <w:p>
      <w:pPr>
        <w:ind w:left="1300"/>
        <w:spacing w:after="0"/>
        <w:rPr>
          <w:sz w:val="20"/>
          <w:szCs w:val="20"/>
          <w:color w:val="auto"/>
        </w:rPr>
      </w:pPr>
      <w:r>
        <w:rPr>
          <w:rFonts w:ascii="Arial" w:cs="Arial" w:eastAsia="Arial" w:hAnsi="Arial"/>
          <w:sz w:val="18"/>
          <w:szCs w:val="18"/>
          <w:color w:val="auto"/>
        </w:rPr>
        <w:t>New York, NY 10010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ilyag@i2bf.com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 If to CA,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Presto CA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222 N. Canal Street, Third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Keith Kravcik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kkravcik@clevelandave.com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Riley Safer Holmes &amp; Cancila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70 W. Madison Street, Suite 2900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Illinois 60602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Jeff Larry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jlarry@rshc-law.com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If to the Chief Executive Officer, addressed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Rajat Suri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Presto Automation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985 Industrial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Carlos, CA 94070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Rajat Suri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raj@presto.com</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or, in each case, to such other address or electronic mail address as such party may designate in writing to each Principal Stockholder by written notice given in the manner specified 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078" w:gutter="0" w:footer="0" w:header="0"/>
        </w:sectPr>
      </w:pPr>
    </w:p>
    <w:bookmarkStart w:id="190" w:name="page191"/>
    <w:bookmarkEnd w:id="190"/>
    <w:p>
      <w:pPr>
        <w:jc w:val="both"/>
        <w:ind w:firstLine="648"/>
        <w:spacing w:after="0" w:line="263" w:lineRule="auto"/>
        <w:rPr>
          <w:sz w:val="20"/>
          <w:szCs w:val="20"/>
          <w:color w:val="auto"/>
        </w:rPr>
      </w:pPr>
      <w:r>
        <w:rPr>
          <w:rFonts w:ascii="Arial" w:cs="Arial" w:eastAsia="Arial" w:hAnsi="Arial"/>
          <w:sz w:val="18"/>
          <w:szCs w:val="18"/>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of this Agreement.</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CHOICE OF LAW AND VENUE; WAIVER OF RIGHT TO JURY TRIAL</w:t>
      </w:r>
      <w:r>
        <w:rPr>
          <w:rFonts w:ascii="Arial" w:cs="Arial" w:eastAsia="Arial" w:hAnsi="Arial"/>
          <w:sz w:val="17"/>
          <w:szCs w:val="17"/>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w:t>
      </w:r>
    </w:p>
    <w:p>
      <w:pPr>
        <w:spacing w:after="0" w:line="7" w:lineRule="exact"/>
        <w:rPr>
          <w:sz w:val="20"/>
          <w:szCs w:val="20"/>
          <w:color w:val="auto"/>
        </w:rPr>
      </w:pPr>
    </w:p>
    <w:p>
      <w:pPr>
        <w:jc w:val="both"/>
        <w:ind w:firstLine="8"/>
        <w:spacing w:after="0" w:line="251" w:lineRule="auto"/>
        <w:tabs>
          <w:tab w:leader="none" w:pos="2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color w:val="auto"/>
        </w:rPr>
        <w:t>IN WITNESS WHEREOF, each of the undersigned has signed this Governance Agreement as of the date first 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Rajat Suri</w:t>
      </w:r>
    </w:p>
    <w:p>
      <w:pPr>
        <w:spacing w:after="0" w:line="36" w:lineRule="exact"/>
        <w:rPr>
          <w:sz w:val="20"/>
          <w:szCs w:val="20"/>
          <w:color w:val="auto"/>
        </w:rPr>
      </w:pPr>
    </w:p>
    <w:p>
      <w:pPr>
        <w:ind w:left="6100"/>
        <w:spacing w:after="0"/>
        <w:tabs>
          <w:tab w:leader="none" w:pos="66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92" w:name="page193"/>
    <w:bookmarkEnd w:id="192"/>
    <w:p>
      <w:pPr>
        <w:ind w:left="5640"/>
        <w:spacing w:after="0"/>
        <w:rPr>
          <w:sz w:val="20"/>
          <w:szCs w:val="20"/>
          <w:color w:val="auto"/>
        </w:rPr>
      </w:pPr>
      <w:r>
        <w:rPr>
          <w:rFonts w:ascii="Arial" w:cs="Arial" w:eastAsia="Arial" w:hAnsi="Arial"/>
          <w:sz w:val="18"/>
          <w:szCs w:val="18"/>
          <w:b w:val="1"/>
          <w:bCs w:val="1"/>
          <w:color w:val="auto"/>
        </w:rPr>
        <w:t>REMUS STOCKHOLDERS: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ROMULUS CAPITAL I, L.P.</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Romulus Capital Partners I, LLC, its General</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tab/>
        <w:t>Krishna Gupta</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ROMULUS CAPITAL II, L.P.</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Romulus Capital Partners II, LLC, its General</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tab/>
        <w:t>Krishna Gupta</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ROMULUS CAPITAL III, L.P.</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Romulus Capital Partners II, LLC, its General</w:t>
      </w:r>
    </w:p>
    <w:p>
      <w:pPr>
        <w:spacing w:after="0" w:line="2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Partner</w:t>
      </w:r>
    </w:p>
    <w:p>
      <w:pPr>
        <w:spacing w:after="0" w:line="21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tab/>
        <w:t>Krishna Gupta</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ROMULUS ELC B3 SPECIAL OPPORTUNITY, L.P.</w:t>
      </w:r>
    </w:p>
    <w:p>
      <w:pPr>
        <w:spacing w:after="0" w:line="241"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tab/>
        <w:t>Krishna Gupta</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ZAFFRAN SPECIAL OPPORTUNITIES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14605</wp:posOffset>
            </wp:positionV>
            <wp:extent cx="255460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tab/>
        <w:t>Krishna Gupta</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Partner</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0"/>
          </w:cols>
          <w:pgMar w:left="1440" w:top="904" w:right="659" w:bottom="1440" w:gutter="0" w:footer="0" w:header="0"/>
        </w:sectPr>
      </w:pPr>
    </w:p>
    <w:bookmarkStart w:id="193" w:name="page194"/>
    <w:bookmarkEnd w:id="193"/>
    <w:p>
      <w:pPr>
        <w:ind w:left="5640"/>
        <w:spacing w:after="0"/>
        <w:rPr>
          <w:sz w:val="20"/>
          <w:szCs w:val="20"/>
          <w:color w:val="auto"/>
        </w:rPr>
      </w:pPr>
      <w:r>
        <w:rPr>
          <w:rFonts w:ascii="Arial" w:cs="Arial" w:eastAsia="Arial" w:hAnsi="Arial"/>
          <w:sz w:val="18"/>
          <w:szCs w:val="18"/>
          <w:b w:val="1"/>
          <w:bCs w:val="1"/>
          <w:color w:val="auto"/>
        </w:rPr>
        <w:t>I2BF GLOBAL INVESTMENTS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Ilya Golubovich</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PRESTO CA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McCoy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RAJAT SURI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4" w:name="page195"/>
    <w:bookmarkEnd w:id="194"/>
    <w:p>
      <w:pPr>
        <w:ind w:left="1032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THIS INDEMNITY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 ● ], 202[ ● ], by and between Presto Automation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believes that, in order to attract and retain highly qualified persons to serve as directors or in other capacities, including as officers, it must provide such persons with adequate protection through indemnification against the risk of claims and actions against them arising out of their services to and activities on behalf of the Company;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Certificate of Incorporation (as amended and/or restated from time to time,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(as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 indemnification of the officers and directors of the Company;</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Indemnitee may also be entitled to indemnification pursuant to applicable provisions of the Delaware General Corporation Law (as may be amended from time to time,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Charter, Bylaws and the DGCL expressly provide that the indemnification provisions set forth therein are not exclusive, and thereby contemplate that contracts may be entered into between the Company and members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officers and other persons with respect to indemnification, hold harmless, advancement and reimbursement rights;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 desires and has requested Indemnitee to serve as a [director] [officer] of the Company and, in order to induce Indemnitee to serve as a [director] [officer] of the Company, the Company is willing to grant Indemnitee the indemnification provided for herein;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Indemnitee is willing to so serve on the basis that such indemnification be provided;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parties by this Agreement desire to set forth their agreement regarding indemnification and the advancement of expenses.</w:t>
      </w:r>
    </w:p>
    <w:p>
      <w:pPr>
        <w:spacing w:after="0" w:line="23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NOW, THEREFORE, in consideration of the mutual covenants and agreements set forth below, and for other good and valuable consideration, the receipt and adequacy of which are hereby acknowledged, the parties hereto, intending to be legally bound, hereby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55" w:lineRule="auto"/>
        <w:tabs>
          <w:tab w:leader="none" w:pos="828"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SERVICES TO THE COMPANY. </w:t>
      </w:r>
      <w:r>
        <w:rPr>
          <w:rFonts w:ascii="Arial" w:cs="Arial" w:eastAsia="Arial" w:hAnsi="Arial"/>
          <w:sz w:val="18"/>
          <w:szCs w:val="18"/>
          <w:color w:val="auto"/>
        </w:rPr>
        <w:t>In consideration of, among other things, the Company’s covenants and obligations hereunder, Indemnitee</w:t>
      </w:r>
      <w:r>
        <w:rPr>
          <w:rFonts w:ascii="Arial" w:cs="Arial" w:eastAsia="Arial" w:hAnsi="Arial"/>
          <w:sz w:val="18"/>
          <w:szCs w:val="18"/>
          <w:b w:val="1"/>
          <w:bCs w:val="1"/>
          <w:color w:val="auto"/>
        </w:rPr>
        <w:t xml:space="preserve"> </w:t>
      </w:r>
      <w:r>
        <w:rPr>
          <w:rFonts w:ascii="Arial" w:cs="Arial" w:eastAsia="Arial" w:hAnsi="Arial"/>
          <w:sz w:val="18"/>
          <w:szCs w:val="18"/>
          <w:color w:val="auto"/>
        </w:rPr>
        <w:t>will serve or continue to serve as an officer, director, advisor, key employee or in any other capacity of the Company, as applicable, for so long as Indemnitee is duly elected or appointed or retained or until Indemnitee tenders Indemnitee’s resignation or until Indemnitee is removed. Notwithstanding anything in the foregoing to the contrary, this Agreement shall continue in full force and effect after Indemnitee has ceased to serve as a director, officer, advisor, key employee or in any other capacity of the Company, as provided in Section 14. This Agreement, however, shall not impose any obligation on Indemnitee or the Company to continue Indemnitee’s service to the Company beyond any period otherwise required by law or by other agreements or commitments of the parties,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ind w:left="840" w:hanging="184"/>
        <w:spacing w:after="0"/>
        <w:tabs>
          <w:tab w:leader="none" w:pos="84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rFonts w:ascii="Arial" w:cs="Arial" w:eastAsia="Arial" w:hAnsi="Arial"/>
          <w:sz w:val="18"/>
          <w:szCs w:val="18"/>
          <w:color w:val="auto"/>
        </w:rPr>
      </w:pPr>
    </w:p>
    <w:p>
      <w:pPr>
        <w:jc w:val="both"/>
        <w:ind w:firstLine="1304"/>
        <w:spacing w:after="0" w:line="279" w:lineRule="auto"/>
        <w:tabs>
          <w:tab w:leader="none" w:pos="1613" w:val="left"/>
        </w:tabs>
        <w:numPr>
          <w:ilvl w:val="1"/>
          <w:numId w:val="176"/>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shall mean any person who is or was a director, officer or employee of the Company or a subsidiary of the Company or any other person authorized by the Company to act for the Company, including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(b)(i)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6" w:lineRule="exact"/>
        <w:rPr>
          <w:sz w:val="20"/>
          <w:szCs w:val="20"/>
          <w:color w:val="auto"/>
        </w:rPr>
      </w:pPr>
    </w:p>
    <w:p>
      <w:pPr>
        <w:jc w:val="both"/>
        <w:ind w:firstLine="8"/>
        <w:spacing w:after="0" w:line="284" w:lineRule="auto"/>
        <w:tabs>
          <w:tab w:leader="none" w:pos="30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Person (as defined below) is or becomes the beneficial owner (as defined below), directly or indirectly, of securities of the Company representing twenty percent (20%) or more of the combined voting power of the Company’s then outstanding securities, (B) during any period of two (2) consecutive years (not including any period prior to the execution of this Agreement), individuals who at the beginning of such period constitute the Board of Directors of the Company, and any new director (other than a director designated by a person who has entered into an agreement with the Company to effect a transaction described in Sections 2(b)(i)(A), 2(b)(i)(C) or 2(b)(i)(D) or a director whose initial nomination for, or assumption of office as, a member of the Board of Directors of the Company occurs as a result of an actual or threatened solicitation of proxies or consents for the election or removal of one or more directors by any person or group other than a solicitation for the election of one or more directors by or on behalf of the Board of Directors of the Company) whose election by the Board of the Directors of the Company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total number of directors constituting the Board of Directors of the Company, (C)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(or the parent entity of such surviving entity)) at least 50% of the combined voting power of the voting securities of the surviving entity (or such parent entity) outstanding immediately after such merger or consolidation and with the power to elect at least a majority of the board of directors or other governing body of such surviving entity or such parent entity; (D) the approval by the stockholders of the Company of a dissolution or complete liquidation of the Company or an agreement for the sale, lease, exchange or other disposition by the Company of all or substantially all of the assets of the Company and its subsidiaries, taken as a whole, and (E)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ind w:left="1960"/>
        <w:spacing w:after="0"/>
        <w:rPr>
          <w:sz w:val="20"/>
          <w:szCs w:val="20"/>
          <w:color w:val="auto"/>
        </w:rPr>
      </w:pPr>
      <w:r>
        <w:rPr>
          <w:rFonts w:ascii="Arial" w:cs="Arial" w:eastAsia="Arial" w:hAnsi="Arial"/>
          <w:sz w:val="18"/>
          <w:szCs w:val="18"/>
          <w:color w:val="auto"/>
        </w:rPr>
        <w:t>For purposes of this Section 2(b)(i), the following terms shall have the following meanings:</w:t>
      </w:r>
    </w:p>
    <w:p>
      <w:pPr>
        <w:spacing w:after="0" w:line="225" w:lineRule="exact"/>
        <w:rPr>
          <w:sz w:val="20"/>
          <w:szCs w:val="20"/>
          <w:color w:val="auto"/>
        </w:rPr>
      </w:pPr>
    </w:p>
    <w:p>
      <w:pPr>
        <w:jc w:val="both"/>
        <w:ind w:firstLine="1952"/>
        <w:spacing w:after="0" w:line="311" w:lineRule="auto"/>
        <w:tabs>
          <w:tab w:leader="none" w:pos="216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as set forth in Sections 13(d) and 14(d) of the Exchange Act; provided, however, that person shall exclude (a) the Company, (b) any trustee or other fiduciary holding securities under an employee benefit plan of the Company, and (c) any corporation owned, directly or indirectly, by the stockholders of the Company in substantially the same proportions as their ownership of stock of the Company.</w:t>
      </w:r>
    </w:p>
    <w:p>
      <w:pPr>
        <w:spacing w:after="0" w:line="149" w:lineRule="exact"/>
        <w:rPr>
          <w:sz w:val="20"/>
          <w:szCs w:val="20"/>
          <w:color w:val="auto"/>
        </w:rPr>
      </w:pPr>
    </w:p>
    <w:p>
      <w:pPr>
        <w:ind w:left="2240" w:hanging="288"/>
        <w:spacing w:after="0"/>
        <w:tabs>
          <w:tab w:leader="none" w:pos="22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given to such term in Rule 13d-3 under the Exchange Act.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1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1600" w:hanging="296"/>
        <w:spacing w:after="0"/>
        <w:tabs>
          <w:tab w:leader="none" w:pos="16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shall mean the Court of Chancery of the State of Delaware.</w:t>
      </w:r>
    </w:p>
    <w:p>
      <w:pPr>
        <w:spacing w:after="0" w:line="225" w:lineRule="exact"/>
        <w:rPr>
          <w:rFonts w:ascii="Arial" w:cs="Arial" w:eastAsia="Arial" w:hAnsi="Arial"/>
          <w:sz w:val="18"/>
          <w:szCs w:val="18"/>
          <w:color w:val="auto"/>
        </w:rPr>
      </w:pPr>
    </w:p>
    <w:p>
      <w:pPr>
        <w:jc w:val="both"/>
        <w:ind w:firstLine="1304"/>
        <w:spacing w:after="0" w:line="279" w:lineRule="auto"/>
        <w:tabs>
          <w:tab w:leader="none" w:pos="156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Enterprise</w:t>
      </w:r>
      <w:r>
        <w:rPr>
          <w:rFonts w:ascii="Arial" w:cs="Arial" w:eastAsia="Arial" w:hAnsi="Arial"/>
          <w:sz w:val="17"/>
          <w:szCs w:val="17"/>
          <w:color w:val="auto"/>
        </w:rPr>
        <w:t>” shall mean the Company and any other corporation, constituent entity (including any constituent of a constituent) absorbed in a consolidation, merger or division transaction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 including as a deemed fiduciary thereto.</w:t>
      </w:r>
    </w:p>
    <w:p>
      <w:pPr>
        <w:spacing w:after="0" w:line="171" w:lineRule="exact"/>
        <w:rPr>
          <w:rFonts w:ascii="Arial" w:cs="Arial" w:eastAsia="Arial" w:hAnsi="Arial"/>
          <w:sz w:val="17"/>
          <w:szCs w:val="17"/>
          <w:color w:val="auto"/>
        </w:rPr>
      </w:pPr>
    </w:p>
    <w:p>
      <w:pPr>
        <w:ind w:left="1580" w:hanging="276"/>
        <w:spacing w:after="0"/>
        <w:tabs>
          <w:tab w:leader="none" w:pos="1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160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be broadly construed and shall include, without limitation, all direct and indirect costs, fees and expenses of any type or nature whatsoever, including, without limitation, all reasonable attorneys’ fees and costs, retainers, court costs, transcript costs, fees and cost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1304"/>
        <w:spacing w:after="0" w:line="290" w:lineRule="auto"/>
        <w:tabs>
          <w:tab w:leader="none" w:pos="161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without limitation, any excise tax assessed on Indemnitee with respect to any employee benefit plan or related trust or funding mechanism (whether in the form of ERISA excise taxes or other excise taxes assessed by the United States Internal Revenue Service, penalties assessed by the United States Department of Labor, restitutions to such a plan or trust or other funding mechanism or to a participant or beneficiary of such plan, trust or other funding mechanism or otherwise); references to “</w:t>
      </w:r>
      <w:r>
        <w:rPr>
          <w:rFonts w:ascii="Arial" w:cs="Arial" w:eastAsia="Arial" w:hAnsi="Arial"/>
          <w:sz w:val="16"/>
          <w:szCs w:val="16"/>
          <w:b w:val="1"/>
          <w:bCs w:val="1"/>
          <w:i w:val="1"/>
          <w:iCs w:val="1"/>
          <w:color w:val="auto"/>
        </w:rPr>
        <w:t>serving at the request of the Company</w:t>
      </w:r>
      <w:r>
        <w:rPr>
          <w:rFonts w:ascii="Arial" w:cs="Arial" w:eastAsia="Arial" w:hAnsi="Arial"/>
          <w:sz w:val="16"/>
          <w:szCs w:val="16"/>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including as a deemed fiduciary thereto;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6"/>
          <w:szCs w:val="16"/>
          <w:b w:val="1"/>
          <w:bCs w:val="1"/>
          <w:i w:val="1"/>
          <w:iCs w:val="1"/>
          <w:color w:val="auto"/>
        </w:rPr>
        <w:t>not opposed to the best interests of the Company</w:t>
      </w:r>
      <w:r>
        <w:rPr>
          <w:rFonts w:ascii="Arial" w:cs="Arial" w:eastAsia="Arial" w:hAnsi="Arial"/>
          <w:sz w:val="16"/>
          <w:szCs w:val="16"/>
          <w:color w:val="auto"/>
        </w:rPr>
        <w:t>” as referred to in this Agreement.</w:t>
      </w:r>
    </w:p>
    <w:p>
      <w:pPr>
        <w:spacing w:after="0" w:line="165" w:lineRule="exact"/>
        <w:rPr>
          <w:rFonts w:ascii="Arial" w:cs="Arial" w:eastAsia="Arial" w:hAnsi="Arial"/>
          <w:sz w:val="16"/>
          <w:szCs w:val="16"/>
          <w:color w:val="auto"/>
        </w:rPr>
      </w:pPr>
    </w:p>
    <w:p>
      <w:pPr>
        <w:jc w:val="both"/>
        <w:ind w:firstLine="1304"/>
        <w:spacing w:after="0" w:line="293" w:lineRule="auto"/>
        <w:tabs>
          <w:tab w:leader="none" w:pos="156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1304"/>
        <w:spacing w:after="0" w:line="273" w:lineRule="auto"/>
        <w:tabs>
          <w:tab w:leader="none" w:pos="155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entity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an entity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1304"/>
        <w:spacing w:after="0" w:line="270" w:lineRule="auto"/>
        <w:tabs>
          <w:tab w:leader="none" w:pos="165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shall include any threatened, pending or completed action, suit, arbitration, mediation, alternate dispute resolution mechanism, investigation (whether formal or informal), inquiry, administrative hearing or any other actual, threatened or completed proceeding, whether brought by or in the right of the Company or otherwise and whether of a civil (including intentional or unintentional tort claims), criminal, administrative or investigative or related nature, in which Indemnitee was, is, will or might be involved as a party or as a participant (including as a witness, deponent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firstLine="1304"/>
        <w:spacing w:after="0" w:line="342" w:lineRule="auto"/>
        <w:tabs>
          <w:tab w:leader="none" w:pos="1569"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19" w:lineRule="exact"/>
        <w:rPr>
          <w:rFonts w:ascii="Arial" w:cs="Arial" w:eastAsia="Arial" w:hAnsi="Arial"/>
          <w:sz w:val="16"/>
          <w:szCs w:val="16"/>
          <w:color w:val="auto"/>
        </w:rPr>
      </w:pPr>
    </w:p>
    <w:p>
      <w:pPr>
        <w:jc w:val="both"/>
        <w:ind w:firstLine="656"/>
        <w:spacing w:after="0" w:line="289" w:lineRule="auto"/>
        <w:tabs>
          <w:tab w:leader="none" w:pos="841"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INDEMNITY IN THIRD-PARTY PROCEEDINGS</w:t>
      </w:r>
      <w:r>
        <w:rPr>
          <w:rFonts w:ascii="Arial" w:cs="Arial" w:eastAsia="Arial" w:hAnsi="Arial"/>
          <w:sz w:val="16"/>
          <w:szCs w:val="16"/>
          <w:color w:val="auto"/>
        </w:rPr>
        <w:t>. To the fullest extent permitted by applicable law, the Company shall indemnify and</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which is addressed in Section 4 below) by reason of Indemnitee’s Corporate Status. Pursuant to this Section 3, Indemnitee shall be indemnified and held harmless to the fullest extent permitted by applicable law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Indemnitee’s conduct was unlawful.</w:t>
      </w:r>
    </w:p>
    <w:p>
      <w:pPr>
        <w:spacing w:after="0" w:line="166" w:lineRule="exact"/>
        <w:rPr>
          <w:rFonts w:ascii="Arial" w:cs="Arial" w:eastAsia="Arial" w:hAnsi="Arial"/>
          <w:sz w:val="16"/>
          <w:szCs w:val="16"/>
          <w:color w:val="auto"/>
        </w:rPr>
      </w:pPr>
    </w:p>
    <w:p>
      <w:pPr>
        <w:jc w:val="both"/>
        <w:ind w:firstLine="656"/>
        <w:spacing w:after="0" w:line="255" w:lineRule="auto"/>
        <w:tabs>
          <w:tab w:leader="none" w:pos="828"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INDEMNITY IN PROCEEDINGS BY OR IN THE RIGHT OF THE COMPANY</w:t>
      </w:r>
      <w:r>
        <w:rPr>
          <w:rFonts w:ascii="Arial" w:cs="Arial" w:eastAsia="Arial" w:hAnsi="Arial"/>
          <w:sz w:val="18"/>
          <w:szCs w:val="18"/>
          <w:color w:val="auto"/>
        </w:rPr>
        <w:t>. To the fullest extent permitted by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indemnify and hold harmless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and held harmless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indemnification for Expenses shall be made under this Section 4 in respect of any claim, issue or matter as to which Indemnitee shall have been finally adjudged by a court to be liable to the Company, unless and only to the extent that the Delaware Court or any other court in which the Proceeding was brought shall determine upon application that, despite the adjudication of liability but in view of all the circumstances of the case, Indemnitee is fairly and reasonably entitled to indemnification for such Expenses which the Delaware Court or such other court shall deem proper.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56"/>
        <w:spacing w:after="0" w:line="287" w:lineRule="auto"/>
        <w:tabs>
          <w:tab w:leader="none" w:pos="841"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INDEMNIFICATION FOR EXPENSES OF A PARTY WHO IS WHOLLY OR PARTLY SUCCESSFUL</w:t>
      </w:r>
      <w:r>
        <w:rPr>
          <w:rFonts w:ascii="Arial" w:cs="Arial" w:eastAsia="Arial" w:hAnsi="Arial"/>
          <w:sz w:val="16"/>
          <w:szCs w:val="16"/>
          <w:color w:val="auto"/>
        </w:rPr>
        <w:t>. Notwithstanding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to the contrary,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and hold harmless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and hold harmless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and hold harmless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motion for summary judgment, settlement (with or without court approval), or upon a plea of nolo contendere or its equivalent shall be deemed, to the fullest extent permitted by law, to be a successful result as to such claim, issue or matter.</w:t>
      </w:r>
    </w:p>
    <w:p>
      <w:pPr>
        <w:spacing w:after="0" w:line="167" w:lineRule="exact"/>
        <w:rPr>
          <w:rFonts w:ascii="Arial" w:cs="Arial" w:eastAsia="Arial" w:hAnsi="Arial"/>
          <w:sz w:val="16"/>
          <w:szCs w:val="16"/>
          <w:color w:val="auto"/>
        </w:rPr>
      </w:pPr>
    </w:p>
    <w:p>
      <w:pPr>
        <w:jc w:val="both"/>
        <w:ind w:firstLine="656"/>
        <w:spacing w:after="0" w:line="303" w:lineRule="auto"/>
        <w:tabs>
          <w:tab w:leader="none" w:pos="841"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INDEMNIFICATION FOR EXPENSES OF A WITNESS</w:t>
      </w:r>
      <w:r>
        <w:rPr>
          <w:rFonts w:ascii="Arial" w:cs="Arial" w:eastAsia="Arial" w:hAnsi="Arial"/>
          <w:sz w:val="16"/>
          <w:szCs w:val="16"/>
          <w:color w:val="auto"/>
        </w:rPr>
        <w:t>. Notwithstanding any other provision of this Agreement to the contrary,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Indemnitee is, by reason of Indemnitee’s Corporate Status, a witness or deponent in any Proceeding (including, without limitation, any Proceeding to which Indemnitee was or is not a party or threatened to be made a party), Indemnitee shall, to the fullest extent permitted by applicable law, be indemnified and held harmless against all Expenses actually and reasonably incurred by Indemnitee or on Indemnitee’s behalf in connection therewith.</w:t>
      </w:r>
    </w:p>
    <w:p>
      <w:pPr>
        <w:spacing w:after="0" w:line="150" w:lineRule="exact"/>
        <w:rPr>
          <w:rFonts w:ascii="Arial" w:cs="Arial" w:eastAsia="Arial" w:hAnsi="Arial"/>
          <w:sz w:val="16"/>
          <w:szCs w:val="16"/>
          <w:color w:val="auto"/>
        </w:rPr>
      </w:pPr>
    </w:p>
    <w:p>
      <w:pPr>
        <w:jc w:val="both"/>
        <w:ind w:firstLine="656"/>
        <w:spacing w:after="0" w:line="256" w:lineRule="auto"/>
        <w:tabs>
          <w:tab w:leader="none" w:pos="855"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 xml:space="preserve">ADDITIONAL INDEMNIFICATION AND HOLD HARMLESS RIGHTS. </w:t>
      </w:r>
      <w:r>
        <w:rPr>
          <w:rFonts w:ascii="Arial" w:cs="Arial" w:eastAsia="Arial" w:hAnsi="Arial"/>
          <w:sz w:val="18"/>
          <w:szCs w:val="18"/>
          <w:color w:val="auto"/>
        </w:rPr>
        <w:t>Notwithstanding any limitation in Sections 3, 4 or 5,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to the fullest extent permitted by applicable law, indemnify and hold harmless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CONTRIBUTION IN THE EVENT OF JOINT LIABILITY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301" w:lineRule="auto"/>
        <w:tabs>
          <w:tab w:leader="none" w:pos="160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or hold harmless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1304"/>
        <w:spacing w:after="0" w:line="263" w:lineRule="auto"/>
        <w:tabs>
          <w:tab w:leader="none" w:pos="1597" w:val="left"/>
        </w:tabs>
        <w:numPr>
          <w:ilvl w:val="2"/>
          <w:numId w:val="185"/>
        </w:numPr>
        <w:rPr>
          <w:rFonts w:ascii="Arial" w:cs="Arial" w:eastAsia="Arial" w:hAnsi="Arial"/>
          <w:sz w:val="18"/>
          <w:szCs w:val="18"/>
          <w:color w:val="auto"/>
        </w:rPr>
      </w:pPr>
      <w:r>
        <w:rPr>
          <w:rFonts w:ascii="Arial" w:cs="Arial" w:eastAsia="Arial" w:hAnsi="Arial"/>
          <w:sz w:val="18"/>
          <w:szCs w:val="18"/>
          <w:color w:val="auto"/>
        </w:rPr>
        <w:t>Without the prior consent of Indemnitee, the Company shall not enter into any settlement of any Proceeding in which the Company is jointly liable with Indemnitee (or would be if joined in such Proceeding) unless such settlement provides for a full and final release of all claims asserted against Indemnitee without any admission of liability or other wrongdoing on the part of Indemnitee.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95" w:val="left"/>
        </w:tabs>
        <w:numPr>
          <w:ilvl w:val="2"/>
          <w:numId w:val="185"/>
        </w:numPr>
        <w:rPr>
          <w:rFonts w:ascii="Arial" w:cs="Arial" w:eastAsia="Arial" w:hAnsi="Arial"/>
          <w:sz w:val="18"/>
          <w:szCs w:val="18"/>
          <w:color w:val="auto"/>
        </w:rPr>
      </w:pPr>
      <w:r>
        <w:rPr>
          <w:rFonts w:ascii="Arial" w:cs="Arial" w:eastAsia="Arial" w:hAnsi="Arial"/>
          <w:sz w:val="18"/>
          <w:szCs w:val="18"/>
          <w:color w:val="auto"/>
        </w:rPr>
        <w:t>The Company hereby agrees, to the fullest extent permissible under applicable law, to fully indemnify and hold harmless Indemnitee from any claims for contribution which may be brought by officers, directors or employees of the Company other than Indemnitee who may be jointly liable with Indemnitee with respect to such claim.</w:t>
      </w:r>
    </w:p>
    <w:p>
      <w:pPr>
        <w:spacing w:after="0" w:line="179" w:lineRule="exact"/>
        <w:rPr>
          <w:rFonts w:ascii="Arial" w:cs="Arial" w:eastAsia="Arial" w:hAnsi="Arial"/>
          <w:sz w:val="18"/>
          <w:szCs w:val="18"/>
          <w:color w:val="auto"/>
        </w:rPr>
      </w:pPr>
    </w:p>
    <w:p>
      <w:pPr>
        <w:ind w:firstLine="656"/>
        <w:spacing w:after="0" w:line="282" w:lineRule="auto"/>
        <w:tabs>
          <w:tab w:leader="none" w:pos="841" w:val="left"/>
        </w:tabs>
        <w:numPr>
          <w:ilvl w:val="1"/>
          <w:numId w:val="186"/>
        </w:numPr>
        <w:rPr>
          <w:rFonts w:ascii="Arial" w:cs="Arial" w:eastAsia="Arial" w:hAnsi="Arial"/>
          <w:sz w:val="18"/>
          <w:szCs w:val="18"/>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or hold harmless payment in connection with any claim made against Indemnitee:</w:t>
      </w:r>
    </w:p>
    <w:p>
      <w:pPr>
        <w:spacing w:after="0" w:line="165" w:lineRule="exact"/>
        <w:rPr>
          <w:rFonts w:ascii="Arial" w:cs="Arial" w:eastAsia="Arial" w:hAnsi="Arial"/>
          <w:sz w:val="18"/>
          <w:szCs w:val="18"/>
          <w:color w:val="auto"/>
        </w:rPr>
      </w:pPr>
    </w:p>
    <w:p>
      <w:pPr>
        <w:jc w:val="both"/>
        <w:ind w:firstLine="1304"/>
        <w:spacing w:after="0" w:line="275" w:lineRule="auto"/>
        <w:tabs>
          <w:tab w:leader="none" w:pos="1591" w:val="left"/>
        </w:tabs>
        <w:numPr>
          <w:ilvl w:val="2"/>
          <w:numId w:val="186"/>
        </w:numPr>
        <w:rPr>
          <w:rFonts w:ascii="Arial" w:cs="Arial" w:eastAsia="Arial" w:hAnsi="Arial"/>
          <w:sz w:val="17"/>
          <w:szCs w:val="17"/>
          <w:color w:val="auto"/>
        </w:rPr>
      </w:pPr>
      <w:r>
        <w:rPr>
          <w:rFonts w:ascii="Arial" w:cs="Arial" w:eastAsia="Arial" w:hAnsi="Arial"/>
          <w:sz w:val="17"/>
          <w:szCs w:val="17"/>
          <w:color w:val="auto"/>
        </w:rPr>
        <w:t xml:space="preserve">for which payment has actually been received by or on behalf of Indemnitee under any insurance policy, contract, agreement or other indemnity or advancement provision, except with respect to any excess beyond the amount actually received under any such insurance policy, contract, agreement, other indemnity or advancement provision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76" w:lineRule="exact"/>
        <w:rPr>
          <w:rFonts w:ascii="Arial" w:cs="Arial" w:eastAsia="Arial" w:hAnsi="Arial"/>
          <w:sz w:val="17"/>
          <w:szCs w:val="17"/>
          <w:color w:val="auto"/>
        </w:rPr>
      </w:pPr>
    </w:p>
    <w:p>
      <w:pPr>
        <w:ind w:firstLine="1304"/>
        <w:spacing w:after="0" w:line="342" w:lineRule="auto"/>
        <w:tabs>
          <w:tab w:leader="none" w:pos="1632" w:val="left"/>
        </w:tabs>
        <w:numPr>
          <w:ilvl w:val="2"/>
          <w:numId w:val="186"/>
        </w:numPr>
        <w:rPr>
          <w:rFonts w:ascii="Arial" w:cs="Arial" w:eastAsia="Arial" w:hAnsi="Arial"/>
          <w:sz w:val="16"/>
          <w:szCs w:val="16"/>
          <w:color w:val="auto"/>
        </w:rPr>
      </w:pPr>
      <w:r>
        <w:rPr>
          <w:rFonts w:ascii="Arial" w:cs="Arial" w:eastAsia="Arial" w:hAnsi="Arial"/>
          <w:sz w:val="16"/>
          <w:szCs w:val="16"/>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23" w:lineRule="exact"/>
        <w:rPr>
          <w:rFonts w:ascii="Arial" w:cs="Arial" w:eastAsia="Arial" w:hAnsi="Arial"/>
          <w:sz w:val="16"/>
          <w:szCs w:val="16"/>
          <w:color w:val="auto"/>
        </w:rPr>
      </w:pPr>
    </w:p>
    <w:p>
      <w:pPr>
        <w:jc w:val="both"/>
        <w:ind w:firstLine="1304"/>
        <w:spacing w:after="0" w:line="291" w:lineRule="auto"/>
        <w:tabs>
          <w:tab w:leader="none" w:pos="1597" w:val="left"/>
        </w:tabs>
        <w:numPr>
          <w:ilvl w:val="2"/>
          <w:numId w:val="186"/>
        </w:numPr>
        <w:rPr>
          <w:rFonts w:ascii="Arial" w:cs="Arial" w:eastAsia="Arial" w:hAnsi="Arial"/>
          <w:sz w:val="16"/>
          <w:szCs w:val="16"/>
          <w:color w:val="auto"/>
        </w:rPr>
      </w:pPr>
      <w:r>
        <w:rPr>
          <w:rFonts w:ascii="Arial" w:cs="Arial" w:eastAsia="Arial" w:hAnsi="Arial"/>
          <w:sz w:val="16"/>
          <w:szCs w:val="16"/>
          <w:color w:val="auto"/>
        </w:rPr>
        <w:t>in connection with any Proceeding (or any part of any Proceeding) initiated by Indemnitee, including any Proceeding (or any part of any Proceeding) initiated by Indemnitee against the Company or its directors, officers, employees or other indemnitees (including any agent), unless</w:t>
      </w:r>
    </w:p>
    <w:p>
      <w:pPr>
        <w:jc w:val="both"/>
        <w:ind w:firstLine="8"/>
        <w:spacing w:after="0" w:line="277" w:lineRule="auto"/>
        <w:tabs>
          <w:tab w:leader="none" w:pos="21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such indemnification is expressly required to be made by law or (ii) the Proceeding (or part thereof) was authorized in the first instance by the Board of Directors of the Company. Indemnitee shall seek payments or advances from the Company in connection with a Proceeding initiated by Indemnitee only to the extent that such payments or advances are unavailable from any insurance policy of the Company covering Indemnitee.</w:t>
      </w:r>
    </w:p>
    <w:p>
      <w:pPr>
        <w:spacing w:after="0" w:line="168" w:lineRule="exact"/>
        <w:rPr>
          <w:rFonts w:ascii="Arial" w:cs="Arial" w:eastAsia="Arial" w:hAnsi="Arial"/>
          <w:sz w:val="17"/>
          <w:szCs w:val="17"/>
          <w:color w:val="auto"/>
        </w:rPr>
      </w:pPr>
    </w:p>
    <w:p>
      <w:pPr>
        <w:ind w:left="920" w:hanging="264"/>
        <w:spacing w:after="0"/>
        <w:tabs>
          <w:tab w:leader="none" w:pos="920" w:val="left"/>
        </w:tabs>
        <w:numPr>
          <w:ilvl w:val="1"/>
          <w:numId w:val="187"/>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To the fullest extent permitted by the DGCL, the Company shall pay the Expenses incurred by Indemnitee in connection with any Proceeding within thirty (30) days after the receipt by the Company of a statement or statements requesting such advances from time to time, prior to the final disposition of any Proceeding. Advances shall, to the fullest extent permitted by law, be unsecured and interest free. Advances shall be made without regard to Indemnitee’s ability to repay the Expenses and without regard to Indemnitee’s ultimate entitlement to be indemnified or held harmless under the other provisions of this Agreement. Advances shall, to the fullest extent permitted by law, include any and all reasonable Expenses incurred pursuing a Proceeding to enforce this right of advancement, including Expenses incurred preparing and forwarding statements to the Company to support the advances claimed. To the fullest extent permitted by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or held harmless by the Company under the provisions of this Agreement, the Charter, the Bylaws, applicable law or otherwise. The execution and delivery by Indemnitee of this Agreement shall constitute such undertaking and no further undertaking shall be required. The Company agrees that for the purposes of any advancement of Expenses for which Indemnitee has made a written demand in accordance with this Agreement, all Expenses included in such demand that are certified by affidavit of Indemnitee’s counsel as being reasonable shall be presumed conclusively to be reasonable. This Section 10(a) shall not apply to any claim made by Indemnitee for which an indemnification or hold harmless payment is excluded pursuant to Section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left="920" w:hanging="264"/>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APPLICATION FOR INDEMNIFICATION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71" w:lineRule="auto"/>
        <w:tabs>
          <w:tab w:leader="none" w:pos="1541"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Promptly after receipt by Indemnitee of notice of the commencement of any Proceeding, Indemnitee shall, if a claim in respect thereof is to be made against the Company hereunder, notify the Company in writing of the commencement thereof. The failure to promptly notify the Company of the commencement of the Proceeding, or of Indemnitee’s request for indemnification, will not relieve the Company from any liability that it may have to Indemnitee hereunder, except to the extent the Company is actually and materially prejudiced in its defense of such Proceeding as a result of such failure;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however, provided, further, that notice will be deemed to have been given without any action on the part of Indemnitee in the event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is a party to the same Proceeding.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178" w:lineRule="exact"/>
        <w:rPr>
          <w:rFonts w:ascii="Arial" w:cs="Arial" w:eastAsia="Arial" w:hAnsi="Arial"/>
          <w:sz w:val="17"/>
          <w:szCs w:val="17"/>
          <w:color w:val="auto"/>
        </w:rPr>
      </w:pPr>
    </w:p>
    <w:p>
      <w:pPr>
        <w:jc w:val="both"/>
        <w:ind w:firstLine="1304"/>
        <w:spacing w:after="0" w:line="285" w:lineRule="auto"/>
        <w:tabs>
          <w:tab w:leader="none" w:pos="156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shall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legal counsel in such Proceeding, but all Expenses related thereto incurred after notice from the Company of its assumption of the defense shall be at Indemnitee’s expense unless: (i) the employment of legal counsel by Indemnitee has been authorized by the Company, (ii) Indemnitee has reasonably determined that there may be a conflict of interest between Indemnitee and the Company in the defense of the Proceeding, (iii) the fees and expenses are non-duplicative and reasonably incurred in connection with Indemnitee’s role in the Proceeding despite the Company’s assumption of the defense, (iv) after a Change in Control, the employment of counsel by Indemnitee has been approved by the Independent Counsel or (v) the Company shall not in fact have employed counsel to assume the defense of such Proceeding, in each of which cases all Expenses of the Proceeding shall be borne by the Company. The Company shall not be entitled to assume the defense of any Proceeding brought by or on behalf of the Company, or as to which Indemnitee shall have made the determination provided for in (ii) above or under the circumstances provided for in (iii) and (iv) above. Indemnitee agrees that any such separate counsel retained by indemnitee will be a member of any approved list of panel counsel under the Company’s applicable directors’ and officers’ liability insurance policy, should the applicable policy provide for a panel of approved counsel and should such approved panel list comprise law firms with well-established reputations in the type of litigation at issue. (For clarity, the fact of a firm’s being part of a panel shall not be evidence of a firm’s having a well-established national reputation for the type of litigation at issue).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1304"/>
        <w:spacing w:after="0" w:line="259" w:lineRule="auto"/>
        <w:tabs>
          <w:tab w:leader="none" w:pos="15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fullest extent permitted by the DGCL, the Company’s assumption of the defense of a Proceeding in accordance with Section 11(b) will constitute an irrevocable acknowledgement by the Company that any loss and liability suffered by Indemnitee and Expenses (including attorneys’ fees), judgments, fines and amounts paid in settlement by or for the account of Indemnitee incurred in connection therewith are indemnifiable by the Company under this Agreement.</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56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determination whether to grant Indemnitee’s indemnification request shall be made promptly and in any event within sixty (60) days following the Company’s receipt of a request for indemnification in accordance with Section 11(a). If the Company determines that Indemnitee is entitled to such indemnification or, as contemplated by paragraph 11(c) the Company has acknowledged such entitlement, the Company will make payment to Indemnitee of the indemnifiable amount within such sixty (60) day period. If the Company is not deemed to have so acknowledged such entitlement or the Company’s determination of whether to grant Indemnitee’s indemnification request shall not have been made within such sixty (60) day period, the requisite determination of entitlement to indemnification shall, subject to Section 9,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96" w:lineRule="exact"/>
        <w:rPr>
          <w:rFonts w:ascii="Arial" w:cs="Arial" w:eastAsia="Arial" w:hAnsi="Arial"/>
          <w:sz w:val="18"/>
          <w:szCs w:val="18"/>
          <w:color w:val="auto"/>
        </w:rPr>
      </w:pPr>
    </w:p>
    <w:p>
      <w:pPr>
        <w:jc w:val="both"/>
        <w:ind w:firstLine="1304"/>
        <w:spacing w:after="0" w:line="270" w:lineRule="auto"/>
        <w:tabs>
          <w:tab w:leader="none" w:pos="157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 the event that (i) the Company determines that Indemnitee is not entitled to indemnification under this Agreement, (ii) the Company denies a request for indemnification, in whole or in part, or fails to respond or make a determination of entitlement to indemnification within sixty (60) days following receipt of a request for indemnification as described above, (iii) payment of indemnification is not made within such sixty (60) day period, (iv) advancement of Expenses is not timely made in accordance with Section 10, or (v) the Company or any other person takes or threatens to take any action to declare this Agreement void or unenforceable, or institutes any litigation or other Proceeding designed to deny, or to recover from,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1304"/>
        <w:spacing w:after="0" w:line="259" w:lineRule="auto"/>
        <w:tabs>
          <w:tab w:leader="none" w:pos="155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Indemnitee shall be presumed to be entitled to indemnification under this Agreement upon submission of a request therefor in accordance with Section 11 of this Agreement. The Company shall have the burden of proof in overcoming such presumption, and such presumption shall be used as a basis for a determination of entitlement to indemnification unless the Company overcomes such presumption by clear and convincing evidence.</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55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If there is a change in control of the Company, upon written request by Indemnitee for indemnification pursuant to Section 11(a), any determination, if required by the DGCL, with respect to Indemnitee’s entitlement thereto shall be made by Independent Counsel selected by Indemnitee with the consent of the Company (such consent not to be unreasonably withheld, conditioned or delayed) in a written opinion, a copy of which shall be delivered to the Company and Indemnitee, and the Company agrees to pay the fees and expenses of the Independent Counsel.</w:t>
      </w:r>
    </w:p>
    <w:p>
      <w:pPr>
        <w:spacing w:after="0" w:line="167" w:lineRule="exact"/>
        <w:rPr>
          <w:rFonts w:ascii="Arial" w:cs="Arial" w:eastAsia="Arial" w:hAnsi="Arial"/>
          <w:sz w:val="17"/>
          <w:szCs w:val="17"/>
          <w:color w:val="auto"/>
        </w:rPr>
      </w:pPr>
    </w:p>
    <w:p>
      <w:pPr>
        <w:jc w:val="both"/>
        <w:ind w:firstLine="656"/>
        <w:spacing w:after="0" w:line="261" w:lineRule="auto"/>
        <w:tabs>
          <w:tab w:leader="none" w:pos="918"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to the extent requested by Indemnitee and approved by the Board,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 SUBROGATION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69" w:lineRule="auto"/>
        <w:tabs>
          <w:tab w:leader="none" w:pos="159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161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DGCL permits the Company to purchase and maintain insurance on behalf of Indemnitee against any liability asserted against Indemnitee or incurred by or on behalf of Indemnitee or in such capacity as a director, officer or employee of the Company or as an agent of another Enterprise, or arising out of Indemnitee’s status as such, whether or not the Company would have the power to indemnify Indemnitee against such liability under the DGCL, as it may then be in effect. The purchase, establishment, and maintenance of any such insurance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with respect to any such insurance. The Company shall use commercially reasonable efforts to obtain and maintain in effect during the 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 the event of a change in control or the Company’s becoming insolvent, the Company shall maintain in force any and all insurance policies then maintained by the Company in providing insurance--directors’ and officers’ liability, fiduciary, employment practices or otherwise--in respect of the individual directors and officers of the Company, for a fixed period of six years thereafter (a “Tail Policy”). Such coverage shall be non-cancellable and shall be placed and serviced for the duration of its term by the Company’s incumbent insurance broker. Such broker shall place the Tail Policy with the incumbent insurance carriers using the policies that were in place at the time of the event giving rise to the change in control (unless the incumbent carriers will not offer such policies, in which case the Tail Policy placed by the Company’s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304"/>
        <w:spacing w:after="0" w:line="286" w:lineRule="auto"/>
        <w:tabs>
          <w:tab w:leader="none" w:pos="163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or employees of the Company or agents of any other Enterprise, Indemnitee shall be covered by such policy or policies in accordance with its or their terms to the maximum extent of the coverage available for any such director, officer, or employee of the Company or any agent of any such other Enterprise under such policy or policies. If, at the time the Company receives notice from any source of a Proceeding as to which Indemnitee is a party or a participant (as a witness, deponent or otherwise), the Company has director and officer liability or similar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Further, if requested by Indemnitee, within two (2) business days of such request the Company will instruct the insurance carriers and the Company’s insurance broker that they may communicate directly with Indemnitee regarding such claim. In the event of a change in control or the Company’s becoming insolvent, the Company shall maintain in force a Tail Policy. Such coverage shall be non-cancellable and shall be placed and serviced for the duration of its term by the Company’s incumbent insurance broker. Such broker shall place the Tail Policy with the incumbent insurance carriers using the policies that were in place at the time of the event giving rise to the change in control (unless the incumbent carriers will not offer such policies, in which case the Tail Policy placed by the Company’s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70" w:lineRule="exact"/>
        <w:rPr>
          <w:rFonts w:ascii="Arial" w:cs="Arial" w:eastAsia="Arial" w:hAnsi="Arial"/>
          <w:sz w:val="16"/>
          <w:szCs w:val="16"/>
          <w:color w:val="auto"/>
        </w:rPr>
      </w:pPr>
    </w:p>
    <w:p>
      <w:pPr>
        <w:jc w:val="both"/>
        <w:ind w:firstLine="1304"/>
        <w:spacing w:after="0" w:line="286" w:lineRule="auto"/>
        <w:tabs>
          <w:tab w:leader="none" w:pos="162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5" w:lineRule="exact"/>
        <w:rPr>
          <w:rFonts w:ascii="Arial" w:cs="Arial" w:eastAsia="Arial" w:hAnsi="Arial"/>
          <w:sz w:val="17"/>
          <w:szCs w:val="17"/>
          <w:color w:val="auto"/>
        </w:rPr>
      </w:pPr>
    </w:p>
    <w:p>
      <w:pPr>
        <w:jc w:val="both"/>
        <w:ind w:firstLine="1304"/>
        <w:spacing w:after="0" w:line="271" w:lineRule="auto"/>
        <w:tabs>
          <w:tab w:leader="none" w:pos="1606"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Company’s obligation to indemnify, hold harmless,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or hold harmless payments or advancement of expenses from such Enterprise. Notwithstanding any other provision of this Agreement to the contrary, (i) Indemnitee shall have no obligation to reduce, offset, allocate, pursue or apportion any indemnification, hold harmless,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contribution or insurance coverage rights against any person or entity other than the Company.</w:t>
      </w:r>
    </w:p>
    <w:p>
      <w:pPr>
        <w:spacing w:after="0" w:line="174" w:lineRule="exact"/>
        <w:rPr>
          <w:rFonts w:ascii="Arial" w:cs="Arial" w:eastAsia="Arial" w:hAnsi="Arial"/>
          <w:sz w:val="17"/>
          <w:szCs w:val="17"/>
          <w:color w:val="auto"/>
        </w:rPr>
      </w:pPr>
    </w:p>
    <w:p>
      <w:pPr>
        <w:jc w:val="both"/>
        <w:ind w:firstLine="656"/>
        <w:spacing w:after="0" w:line="270" w:lineRule="auto"/>
        <w:tabs>
          <w:tab w:leader="none" w:pos="945" w:val="left"/>
        </w:tabs>
        <w:numPr>
          <w:ilvl w:val="0"/>
          <w:numId w:val="193"/>
        </w:numPr>
        <w:rPr>
          <w:rFonts w:ascii="Arial" w:cs="Arial" w:eastAsia="Arial" w:hAnsi="Arial"/>
          <w:sz w:val="17"/>
          <w:szCs w:val="17"/>
          <w:color w:val="auto"/>
        </w:rPr>
      </w:pPr>
      <w:r>
        <w:rPr>
          <w:rFonts w:ascii="Arial" w:cs="Arial" w:eastAsia="Arial" w:hAnsi="Arial"/>
          <w:sz w:val="17"/>
          <w:szCs w:val="17"/>
          <w:b w:val="1"/>
          <w:bCs w:val="1"/>
          <w:color w:val="auto"/>
        </w:rPr>
        <w:t>SECTION 409A OF THE CODE</w:t>
      </w:r>
      <w:r>
        <w:rPr>
          <w:rFonts w:ascii="Arial" w:cs="Arial" w:eastAsia="Arial" w:hAnsi="Arial"/>
          <w:sz w:val="17"/>
          <w:szCs w:val="17"/>
          <w:color w:val="auto"/>
        </w:rPr>
        <w:t>. If Indemnitee’s right to payment or reimbursement of indemnification or expenses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would not be exempt from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pursuant to Treasury Regulation Section 1.0409A-1(b)(10), then (a) the payment or reimbursement of indemnification and expenses provided or advanced to or for Indemnitee pursuant to this Agreement in one taxable year shall not affect the amount of indemnification and expenses provided or advanced to or for Indemnitee in any other taxable year, (b) any reimbursement to Indemnitee of expenses under this Agreement shall be paid to Indemnitee on or before the last day of Indemnitee’s taxable year following the taxable year in which the expense was incurred and (c) the right to advancement, reimbursement or payment of indemnification and expenses under this Agreement may not be liquidated or exchanged for any other benefit. In addition, to the extent that this Agreement is subject to Section 409A of the Code, this Agreement shall be interpreted and enforced so as to avoid any tax, penalty or interest under Section 409A of the Code. For purposes of this Section 14, “Expenses” shall be deemed to include, in addition to those items included in the definition thereof in Section 2, any liability, loss, judgment, fine and amounts paid in settlement.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56"/>
        <w:spacing w:after="0" w:line="256" w:lineRule="auto"/>
        <w:tabs>
          <w:tab w:leader="none" w:pos="958"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by reason of Indemnitee’s Corporate Status, whether or not Indemnitee is acting in any such capacity at the time any liability or expense is incurred for which indemnification or advancement can be provided under this Agreement.</w:t>
      </w:r>
    </w:p>
    <w:p>
      <w:pPr>
        <w:spacing w:after="0" w:line="187" w:lineRule="exact"/>
        <w:rPr>
          <w:rFonts w:ascii="Arial" w:cs="Arial" w:eastAsia="Arial" w:hAnsi="Arial"/>
          <w:sz w:val="18"/>
          <w:szCs w:val="18"/>
          <w:color w:val="auto"/>
        </w:rPr>
      </w:pPr>
    </w:p>
    <w:p>
      <w:pPr>
        <w:ind w:left="960" w:hanging="304"/>
        <w:spacing w:after="0"/>
        <w:tabs>
          <w:tab w:leader="none" w:pos="960" w:val="left"/>
        </w:tabs>
        <w:numPr>
          <w:ilvl w:val="0"/>
          <w:numId w:val="194"/>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color w:val="auto"/>
        </w:rPr>
      </w:pPr>
    </w:p>
    <w:p>
      <w:pPr>
        <w:ind w:left="920" w:hanging="264"/>
        <w:spacing w:after="0"/>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86" w:lineRule="auto"/>
        <w:tabs>
          <w:tab w:leader="none" w:pos="163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 or as an agent of another Enterprise.</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6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(which rights shall continue in full force and effect and shall be in addition to the rights provided hereunder),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596"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indemnification, hold harmless, and advancement of expenses rights provided by or granted pursuant to this Agreement shall be binding upon and be enforceable by the parties hereto and their respective successors and assigns (including any direct or indirect successor by purchase, merger, consolidation, division or otherwise to all or substantially all of the business and/or assets of the Company), shall continue as to an Indemnitee who has ceased to be a director, officer, or employee of the Company or agent of any other Enterprise, and shall inure to the benefit of Indemnitee and Indemnitee’s spouse, assigns, heirs, devisees, executors and administrators and other legal representatives.</w:t>
      </w:r>
    </w:p>
    <w:p>
      <w:pPr>
        <w:spacing w:after="0" w:line="176" w:lineRule="exact"/>
        <w:rPr>
          <w:rFonts w:ascii="Arial" w:cs="Arial" w:eastAsia="Arial" w:hAnsi="Arial"/>
          <w:sz w:val="17"/>
          <w:szCs w:val="17"/>
          <w:color w:val="auto"/>
        </w:rPr>
      </w:pPr>
    </w:p>
    <w:p>
      <w:pPr>
        <w:jc w:val="both"/>
        <w:ind w:right="20" w:firstLine="1304"/>
        <w:spacing w:after="0" w:line="263" w:lineRule="auto"/>
        <w:tabs>
          <w:tab w:leader="none" w:pos="161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to the fullest extent permitted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1304"/>
        <w:spacing w:after="0" w:line="289" w:lineRule="auto"/>
        <w:tabs>
          <w:tab w:leader="none" w:pos="164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rFonts w:ascii="Arial" w:cs="Arial" w:eastAsia="Arial" w:hAnsi="Arial"/>
          <w:sz w:val="16"/>
          <w:szCs w:val="16"/>
          <w:color w:val="auto"/>
        </w:rPr>
      </w:pPr>
    </w:p>
    <w:p>
      <w:pPr>
        <w:jc w:val="both"/>
        <w:ind w:firstLine="656"/>
        <w:spacing w:after="0" w:line="266" w:lineRule="auto"/>
        <w:tabs>
          <w:tab w:leader="none" w:pos="1075"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color w:val="auto"/>
        </w:rPr>
      </w:pPr>
    </w:p>
    <w:p>
      <w:pPr>
        <w:jc w:val="both"/>
        <w:ind w:firstLine="656"/>
        <w:spacing w:after="0" w:line="289" w:lineRule="auto"/>
        <w:tabs>
          <w:tab w:leader="none" w:pos="918" w:val="left"/>
        </w:tabs>
        <w:numPr>
          <w:ilvl w:val="0"/>
          <w:numId w:val="196"/>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or (ii) mailed by certified or registered mail with postage prepaid, on the third (3rd) business day after the date on which it is so mailed:</w:t>
      </w:r>
    </w:p>
    <w:p>
      <w:pPr>
        <w:spacing w:after="0" w:line="161" w:lineRule="exact"/>
        <w:rPr>
          <w:rFonts w:ascii="Arial" w:cs="Arial" w:eastAsia="Arial" w:hAnsi="Arial"/>
          <w:sz w:val="17"/>
          <w:szCs w:val="17"/>
          <w:color w:val="auto"/>
        </w:rPr>
      </w:pPr>
    </w:p>
    <w:p>
      <w:pPr>
        <w:ind w:right="20" w:firstLine="1304"/>
        <w:spacing w:after="0" w:line="277" w:lineRule="auto"/>
        <w:tabs>
          <w:tab w:leader="none" w:pos="159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Presto Automation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985 Industrial Rd Suite 205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Carlos, CA 94070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656"/>
        <w:spacing w:after="0" w:line="292" w:lineRule="auto"/>
        <w:tabs>
          <w:tab w:leader="none" w:pos="918"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NOTICE BY THE COMPANY</w:t>
      </w:r>
      <w:r>
        <w:rPr>
          <w:rFonts w:ascii="Arial" w:cs="Arial" w:eastAsia="Arial" w:hAnsi="Arial"/>
          <w:sz w:val="16"/>
          <w:szCs w:val="16"/>
          <w:color w:val="auto"/>
        </w:rPr>
        <w:t>. If the Indemnitee is the subject of, or is, to the knowledge of the Company, implicated in any way during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whether formal or informal, that is related to Indemnitee’s Corporate Status and that reasonably could lead to a Proceeding for which indemnification can be provided under this Agreement, the Company shall notify the Indemnitee of such investigation and shall share (to the extent legally permissible) with Indemnitee any information it has provided to any third parties concerning the investigation (“Shared Information”). By executing this Agreement, Indemnitee agrees that such Shared Information may be material non-public information and that Indemnitee is thus obligated to hold such information in confidence and not disclose it publicly; provided, however, that Indemnitee may use the Shared Information and disclose such Shared Information to Indemnitee’s legal counsel and third parties, in each case solely in connection with defending Indemnitee from legal liability.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firstLine="656"/>
        <w:spacing w:after="0" w:line="285" w:lineRule="auto"/>
        <w:tabs>
          <w:tab w:leader="none" w:pos="918" w:val="left"/>
        </w:tabs>
        <w:numPr>
          <w:ilvl w:val="1"/>
          <w:numId w:val="198"/>
        </w:numPr>
        <w:rPr>
          <w:rFonts w:ascii="Arial" w:cs="Arial" w:eastAsia="Arial" w:hAnsi="Arial"/>
          <w:sz w:val="16"/>
          <w:szCs w:val="16"/>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by, and construed and enforced in accordance with, the laws of the State of Delaware, without regard to its conflict of laws rules.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w:t>
      </w:r>
    </w:p>
    <w:p>
      <w:pPr>
        <w:spacing w:after="0" w:line="3"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19 or in such other manner as may be permitted by law, shall be valid and sufficient service thereof.</w:t>
      </w:r>
    </w:p>
    <w:p>
      <w:pPr>
        <w:spacing w:after="0" w:line="188" w:lineRule="exact"/>
        <w:rPr>
          <w:rFonts w:ascii="Arial" w:cs="Arial" w:eastAsia="Arial" w:hAnsi="Arial"/>
          <w:sz w:val="18"/>
          <w:szCs w:val="18"/>
          <w:color w:val="auto"/>
        </w:rPr>
      </w:pPr>
    </w:p>
    <w:p>
      <w:pPr>
        <w:jc w:val="both"/>
        <w:ind w:firstLine="656"/>
        <w:spacing w:after="0" w:line="266" w:lineRule="auto"/>
        <w:tabs>
          <w:tab w:leader="none" w:pos="931"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color w:val="auto"/>
        </w:rPr>
      </w:pPr>
    </w:p>
    <w:p>
      <w:pPr>
        <w:jc w:val="both"/>
        <w:ind w:firstLine="656"/>
        <w:spacing w:after="0" w:line="266" w:lineRule="auto"/>
        <w:tabs>
          <w:tab w:leader="none" w:pos="945"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color w:val="auto"/>
        </w:rPr>
      </w:pPr>
    </w:p>
    <w:p>
      <w:pPr>
        <w:jc w:val="both"/>
        <w:ind w:firstLine="656"/>
        <w:spacing w:after="0" w:line="266" w:lineRule="auto"/>
        <w:tabs>
          <w:tab w:leader="none" w:pos="931" w:val="left"/>
        </w:tabs>
        <w:numPr>
          <w:ilvl w:val="1"/>
          <w:numId w:val="199"/>
        </w:numPr>
        <w:rPr>
          <w:rFonts w:ascii="Arial" w:cs="Arial" w:eastAsia="Arial" w:hAnsi="Arial"/>
          <w:sz w:val="18"/>
          <w:szCs w:val="18"/>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Indemnity Agreement to be signed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7713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7713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904" w:right="759" w:bottom="1440" w:gutter="0" w:footer="0" w:header="0"/>
        </w:sectPr>
      </w:pPr>
    </w:p>
    <w:bookmarkStart w:id="209" w:name="page210"/>
    <w:bookmarkEnd w:id="209"/>
    <w:p>
      <w:pPr>
        <w:jc w:val="right"/>
        <w:ind w:right="459"/>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INCENTIVE AWARD PLAN</w:t>
      </w:r>
    </w:p>
    <w:p>
      <w:pPr>
        <w:spacing w:after="0" w:line="158" w:lineRule="exact"/>
        <w:rPr>
          <w:sz w:val="20"/>
          <w:szCs w:val="20"/>
          <w:color w:val="auto"/>
        </w:rPr>
      </w:pPr>
    </w:p>
    <w:p>
      <w:pPr>
        <w:ind w:left="860" w:hanging="406"/>
        <w:spacing w:after="0"/>
        <w:tabs>
          <w:tab w:leader="none" w:pos="8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the Plan; Effective Date; Duration.</w:t>
      </w:r>
    </w:p>
    <w:p>
      <w:pPr>
        <w:spacing w:after="0" w:line="148" w:lineRule="exact"/>
        <w:rPr>
          <w:rFonts w:ascii="Arial" w:cs="Arial" w:eastAsia="Arial" w:hAnsi="Arial"/>
          <w:sz w:val="18"/>
          <w:szCs w:val="18"/>
          <w:b w:val="1"/>
          <w:bCs w:val="1"/>
          <w:color w:val="auto"/>
        </w:rPr>
      </w:pPr>
    </w:p>
    <w:p>
      <w:pPr>
        <w:jc w:val="both"/>
        <w:ind w:left="460" w:right="459" w:firstLine="426"/>
        <w:spacing w:after="0" w:line="255" w:lineRule="auto"/>
        <w:tabs>
          <w:tab w:leader="none" w:pos="145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Establishment of the Plan; Effective Date. The Plan permits the grant of Incentive Stock Options, Nonqualified Stock Options, Stock Appreciation Rights, Restricted Stock, Restricted Stock Units, Other Stock-Based Awards, Other Cash-Based Awards, Dividend Equivalents, and Performance Awards. The Plan shall become effective on the Effective Date. The effectiveness of the Plan shall be subject to approval of the Plan by the stockholders of the Company within twelve months following the date the Plan is first approved by the Board.</w:t>
      </w:r>
    </w:p>
    <w:p>
      <w:pPr>
        <w:spacing w:after="0" w:line="124" w:lineRule="exact"/>
        <w:rPr>
          <w:rFonts w:ascii="Arial" w:cs="Arial" w:eastAsia="Arial" w:hAnsi="Arial"/>
          <w:sz w:val="18"/>
          <w:szCs w:val="18"/>
          <w:color w:val="auto"/>
        </w:rPr>
      </w:pPr>
    </w:p>
    <w:p>
      <w:pPr>
        <w:jc w:val="both"/>
        <w:ind w:left="460" w:right="459" w:firstLine="426"/>
        <w:spacing w:after="0" w:line="257" w:lineRule="auto"/>
        <w:tabs>
          <w:tab w:leader="none" w:pos="146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Duration of the Plan. The Plan shall remain in effect, subject to the right of the Board to amend or terminate the Plan at any time pursuant to Section 14, until the tenth anniversary of the Effective Date. In the case of an Award that is an Incentive Stock Option, no Incentive Stock Option shall be granted on or after ten years from the earlier of (i) the date the Plan is approved by the Board and (ii) date the Company’s stockholders approve the Plan.</w:t>
      </w:r>
    </w:p>
    <w:p>
      <w:pPr>
        <w:spacing w:after="0" w:line="116" w:lineRule="exact"/>
        <w:rPr>
          <w:rFonts w:ascii="Arial" w:cs="Arial" w:eastAsia="Arial" w:hAnsi="Arial"/>
          <w:sz w:val="18"/>
          <w:szCs w:val="18"/>
          <w:color w:val="auto"/>
        </w:rPr>
      </w:pPr>
    </w:p>
    <w:p>
      <w:pPr>
        <w:jc w:val="both"/>
        <w:ind w:left="460" w:right="459" w:hanging="6"/>
        <w:spacing w:after="0" w:line="274" w:lineRule="auto"/>
        <w:tabs>
          <w:tab w:leader="none" w:pos="865"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purpose of the Plan is to provide a means through which the Company and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may attract and retain key personnel and to provide a means whereby certain directors, officers, employees, consultants and advisors of the Company and its Affiliates can acquire and maintain an equity interest in the Company, or be paid incentive compensation, which may be measured by reference to the value of Common Stock, thereby strengthening their commitment to the welfare of the Company and its Affiliates and aligning their interests with those of the Company’s stockholders.</w:t>
      </w:r>
    </w:p>
    <w:p>
      <w:pPr>
        <w:spacing w:after="0" w:line="92" w:lineRule="exact"/>
        <w:rPr>
          <w:rFonts w:ascii="Arial" w:cs="Arial" w:eastAsia="Arial" w:hAnsi="Arial"/>
          <w:sz w:val="17"/>
          <w:szCs w:val="17"/>
          <w:b w:val="1"/>
          <w:bCs w:val="1"/>
          <w:color w:val="auto"/>
        </w:rPr>
      </w:pPr>
    </w:p>
    <w:p>
      <w:pPr>
        <w:ind w:left="460" w:right="479" w:hanging="6"/>
        <w:spacing w:after="0" w:line="312" w:lineRule="auto"/>
        <w:tabs>
          <w:tab w:leader="none" w:pos="865"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Certain terms used herein have the definitions given to them in the first instance in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they are used. In addition, for purposes of the Plan, the following terms are defined as set forth below:</w:t>
      </w:r>
    </w:p>
    <w:p>
      <w:pPr>
        <w:spacing w:after="0" w:line="76" w:lineRule="exact"/>
        <w:rPr>
          <w:rFonts w:ascii="Arial" w:cs="Arial" w:eastAsia="Arial" w:hAnsi="Arial"/>
          <w:sz w:val="17"/>
          <w:szCs w:val="17"/>
          <w:b w:val="1"/>
          <w:bCs w:val="1"/>
          <w:color w:val="auto"/>
        </w:rPr>
      </w:pPr>
    </w:p>
    <w:p>
      <w:pPr>
        <w:jc w:val="both"/>
        <w:ind w:left="460" w:right="459" w:firstLine="426"/>
        <w:spacing w:after="0" w:line="293" w:lineRule="auto"/>
        <w:tabs>
          <w:tab w:leader="none" w:pos="145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96" w:lineRule="exact"/>
        <w:rPr>
          <w:rFonts w:ascii="Arial" w:cs="Arial" w:eastAsia="Arial" w:hAnsi="Arial"/>
          <w:sz w:val="16"/>
          <w:szCs w:val="16"/>
          <w:color w:val="auto"/>
        </w:rPr>
      </w:pPr>
    </w:p>
    <w:p>
      <w:pPr>
        <w:jc w:val="both"/>
        <w:ind w:left="460" w:right="459" w:firstLine="426"/>
        <w:spacing w:after="0" w:line="301" w:lineRule="auto"/>
        <w:tabs>
          <w:tab w:leader="none" w:pos="146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“Applicable Law”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Common Stock is listed, quoted or traded.</w:t>
      </w:r>
    </w:p>
    <w:p>
      <w:pPr>
        <w:spacing w:after="0" w:line="76" w:lineRule="exact"/>
        <w:rPr>
          <w:rFonts w:ascii="Arial" w:cs="Arial" w:eastAsia="Arial" w:hAnsi="Arial"/>
          <w:sz w:val="16"/>
          <w:szCs w:val="16"/>
          <w:color w:val="auto"/>
        </w:rPr>
      </w:pPr>
    </w:p>
    <w:p>
      <w:pPr>
        <w:jc w:val="both"/>
        <w:ind w:left="460" w:right="459" w:firstLine="426"/>
        <w:spacing w:after="0" w:line="286" w:lineRule="auto"/>
        <w:tabs>
          <w:tab w:leader="none" w:pos="145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any Incentive Stock Option, Nonqualified Stock Option, Stock Appreciation Right, Restricted Stock, Restricted Stock Unit, Other Stock-Based Awards, Other Cash-Based Awards, Dividend Equivalents, and/or Performance Award granted under the Plan.</w:t>
      </w:r>
    </w:p>
    <w:p>
      <w:pPr>
        <w:spacing w:after="0" w:line="97" w:lineRule="exact"/>
        <w:rPr>
          <w:rFonts w:ascii="Arial" w:cs="Arial" w:eastAsia="Arial" w:hAnsi="Arial"/>
          <w:sz w:val="17"/>
          <w:szCs w:val="17"/>
          <w:color w:val="auto"/>
        </w:rPr>
      </w:pPr>
    </w:p>
    <w:p>
      <w:pPr>
        <w:ind w:left="460" w:right="459" w:firstLine="426"/>
        <w:spacing w:after="0" w:line="277" w:lineRule="auto"/>
        <w:tabs>
          <w:tab w:leader="none" w:pos="146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“Award Agreement” means a written agreement between a Participant and the Company which sets out the terms of the grant of an Award.</w:t>
      </w:r>
    </w:p>
    <w:p>
      <w:pPr>
        <w:spacing w:after="0" w:line="102" w:lineRule="exact"/>
        <w:rPr>
          <w:rFonts w:ascii="Arial" w:cs="Arial" w:eastAsia="Arial" w:hAnsi="Arial"/>
          <w:sz w:val="18"/>
          <w:szCs w:val="18"/>
          <w:color w:val="auto"/>
        </w:rPr>
      </w:pPr>
    </w:p>
    <w:p>
      <w:pPr>
        <w:ind w:left="1460" w:hanging="574"/>
        <w:spacing w:after="0"/>
        <w:tabs>
          <w:tab w:leader="none" w:pos="14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44" w:lineRule="exact"/>
        <w:rPr>
          <w:rFonts w:ascii="Arial" w:cs="Arial" w:eastAsia="Arial" w:hAnsi="Arial"/>
          <w:sz w:val="18"/>
          <w:szCs w:val="18"/>
          <w:color w:val="auto"/>
        </w:rPr>
      </w:pPr>
    </w:p>
    <w:p>
      <w:pPr>
        <w:jc w:val="both"/>
        <w:ind w:left="460" w:right="459" w:firstLine="426"/>
        <w:spacing w:after="0" w:line="269" w:lineRule="auto"/>
        <w:tabs>
          <w:tab w:leader="none" w:pos="143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-6893560</wp:posOffset>
            </wp:positionV>
            <wp:extent cx="19088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1908810"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-5976620</wp:posOffset>
            </wp:positionV>
            <wp:extent cx="9296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92964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-3001645</wp:posOffset>
            </wp:positionV>
            <wp:extent cx="7416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4168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-1861820</wp:posOffset>
            </wp:positionV>
            <wp:extent cx="8451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jc w:val="both"/>
        <w:ind w:left="460" w:right="459"/>
        <w:spacing w:after="0" w:line="272" w:lineRule="auto"/>
        <w:rPr>
          <w:sz w:val="20"/>
          <w:szCs w:val="20"/>
          <w:color w:val="auto"/>
        </w:rPr>
      </w:pPr>
      <w:r>
        <w:rPr>
          <w:rFonts w:ascii="Arial" w:cs="Arial" w:eastAsia="Arial" w:hAnsi="Arial"/>
          <w:sz w:val="17"/>
          <w:szCs w:val="17"/>
          <w:color w:val="auto"/>
        </w:rPr>
        <w:t>theft or proven dishonesty in the course of his employment or other service to the Company or an Affiliate; (C) refusal to perform any lawful, material obligation or fulfill any duty to the Company or its Affiliates (other than due to a disability, as determined by the Committee), which refusal, if curable, is not cured within 15 days after delivery of written notice thereof; (D) material breach of any agreement with or duty owed to the Company or any of its Affiliates, which breach, if curable, is not cured within 15 days after the delivery of written notice thereof; or (E) material violation or breach of the documented code of ethics, code of conduct or similar document of the Company or an Affilliate or fiduciary duties to the Company or an Affiliate.</w:t>
      </w:r>
    </w:p>
    <w:p>
      <w:pPr>
        <w:spacing w:after="0" w:line="96" w:lineRule="exact"/>
        <w:rPr>
          <w:sz w:val="20"/>
          <w:szCs w:val="20"/>
          <w:color w:val="auto"/>
        </w:rPr>
      </w:pPr>
    </w:p>
    <w:p>
      <w:pPr>
        <w:jc w:val="both"/>
        <w:ind w:left="460" w:right="459" w:firstLine="426"/>
        <w:spacing w:after="0" w:line="263" w:lineRule="auto"/>
        <w:tabs>
          <w:tab w:leader="none" w:pos="14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“Change in Control” shall, in the case of a particular Award, unless the applicable Award Agreement states otherwise or contains a different definition of “Change in Control,” be deemed to occur upon any of the following events:</w:t>
      </w:r>
    </w:p>
    <w:p>
      <w:pPr>
        <w:spacing w:after="0" w:line="116" w:lineRule="exact"/>
        <w:rPr>
          <w:rFonts w:ascii="Arial" w:cs="Arial" w:eastAsia="Arial" w:hAnsi="Arial"/>
          <w:sz w:val="18"/>
          <w:szCs w:val="18"/>
          <w:color w:val="auto"/>
        </w:rPr>
      </w:pPr>
    </w:p>
    <w:p>
      <w:pPr>
        <w:jc w:val="both"/>
        <w:ind w:left="960" w:right="459" w:firstLine="340"/>
        <w:spacing w:after="0" w:line="290" w:lineRule="auto"/>
        <w:tabs>
          <w:tab w:leader="none" w:pos="178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 the Company or any of its Affiliates, (B) any trustee or other fiduciary holding securities under any employee benefit plan of the Company or any of its Affiliates, (C) an underwriter temporarily holding securities pursuant to an offering of such securities, or (D) an entity owned, directly or indirectly, by the stockholders of the Company in substantially the same proportions as their ownership of Common Stock) becomes the “beneficial owner” (as defined in Rule 13d-3 under the Exchange Act), directly or indirectly, by way of merger, consolidation, recapitalization, reorganization or otherwise, of fifty percent (50%) or more of the total voting power of the then outstanding voting securities of the Company;</w:t>
      </w:r>
    </w:p>
    <w:p>
      <w:pPr>
        <w:spacing w:after="0" w:line="97" w:lineRule="exact"/>
        <w:rPr>
          <w:rFonts w:ascii="Arial" w:cs="Arial" w:eastAsia="Arial" w:hAnsi="Arial"/>
          <w:sz w:val="16"/>
          <w:szCs w:val="16"/>
          <w:color w:val="auto"/>
        </w:rPr>
      </w:pPr>
    </w:p>
    <w:p>
      <w:pPr>
        <w:jc w:val="both"/>
        <w:ind w:left="960" w:right="459" w:firstLine="340"/>
        <w:spacing w:after="0" w:line="296" w:lineRule="auto"/>
        <w:tabs>
          <w:tab w:leader="none" w:pos="179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cessation of control (by virtue of their not constituting a majority of directors) of the Board by the individuals (the “</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who (x) were directors on the Effective Date or (y) become directors after Effective Date and whose election or nomination for election by the Company’s stockholders was approved by a vote of at least two-thirds of the directors then in office who were directors on the Effective Date or whose election or nomination for election was previously so approved;</w:t>
      </w:r>
    </w:p>
    <w:p>
      <w:pPr>
        <w:spacing w:after="0" w:line="80" w:lineRule="exact"/>
        <w:rPr>
          <w:rFonts w:ascii="Arial" w:cs="Arial" w:eastAsia="Arial" w:hAnsi="Arial"/>
          <w:sz w:val="16"/>
          <w:szCs w:val="16"/>
          <w:color w:val="auto"/>
        </w:rPr>
      </w:pPr>
    </w:p>
    <w:p>
      <w:pPr>
        <w:jc w:val="both"/>
        <w:ind w:left="960" w:right="459" w:firstLine="340"/>
        <w:spacing w:after="0" w:line="255" w:lineRule="auto"/>
        <w:tabs>
          <w:tab w:leader="none" w:pos="180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company,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124" w:lineRule="exact"/>
        <w:rPr>
          <w:rFonts w:ascii="Arial" w:cs="Arial" w:eastAsia="Arial" w:hAnsi="Arial"/>
          <w:sz w:val="18"/>
          <w:szCs w:val="18"/>
          <w:color w:val="auto"/>
        </w:rPr>
      </w:pPr>
    </w:p>
    <w:p>
      <w:pPr>
        <w:ind w:left="960" w:right="479" w:firstLine="340"/>
        <w:spacing w:after="0" w:line="277" w:lineRule="auto"/>
        <w:tabs>
          <w:tab w:leader="none" w:pos="179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of the Company or the sale or disposition by the Company of all or substantially all the Company’s assets; or</w:t>
      </w:r>
    </w:p>
    <w:p>
      <w:pPr>
        <w:spacing w:after="0" w:line="102" w:lineRule="exact"/>
        <w:rPr>
          <w:rFonts w:ascii="Arial" w:cs="Arial" w:eastAsia="Arial" w:hAnsi="Arial"/>
          <w:sz w:val="18"/>
          <w:szCs w:val="18"/>
          <w:color w:val="auto"/>
        </w:rPr>
      </w:pPr>
    </w:p>
    <w:p>
      <w:pPr>
        <w:ind w:left="1780" w:hanging="480"/>
        <w:spacing w:after="0"/>
        <w:tabs>
          <w:tab w:leader="none" w:pos="178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any other event specified as a “Change in Control” in an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-3757930</wp:posOffset>
            </wp:positionV>
            <wp:extent cx="8724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136"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(iii), (iv), or (v)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27" w:lineRule="exact"/>
        <w:rPr>
          <w:sz w:val="20"/>
          <w:szCs w:val="20"/>
          <w:color w:val="auto"/>
        </w:rPr>
      </w:pPr>
    </w:p>
    <w:p>
      <w:pPr>
        <w:ind w:left="460" w:right="459" w:firstLine="426"/>
        <w:spacing w:after="0" w:line="277" w:lineRule="auto"/>
        <w:tabs>
          <w:tab w:leader="none" w:pos="146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claim, liability or obligation of any nature, arising out of or relating to the Plan or an alleged breach of the Plan or an Award Agreement.</w:t>
      </w:r>
    </w:p>
    <w:p>
      <w:pPr>
        <w:spacing w:after="0" w:line="102" w:lineRule="exact"/>
        <w:rPr>
          <w:rFonts w:ascii="Arial" w:cs="Arial" w:eastAsia="Arial" w:hAnsi="Arial"/>
          <w:sz w:val="18"/>
          <w:szCs w:val="18"/>
          <w:color w:val="auto"/>
        </w:rPr>
      </w:pPr>
    </w:p>
    <w:p>
      <w:pPr>
        <w:jc w:val="both"/>
        <w:ind w:left="460" w:right="459" w:firstLine="426"/>
        <w:spacing w:after="0" w:line="259" w:lineRule="auto"/>
        <w:tabs>
          <w:tab w:leader="none" w:pos="14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05" w:lineRule="exact"/>
        <w:rPr>
          <w:rFonts w:ascii="Arial" w:cs="Arial" w:eastAsia="Arial" w:hAnsi="Arial"/>
          <w:sz w:val="18"/>
          <w:szCs w:val="18"/>
          <w:color w:val="auto"/>
        </w:rPr>
      </w:pPr>
    </w:p>
    <w:p>
      <w:pPr>
        <w:ind w:left="460" w:right="479" w:firstLine="426"/>
        <w:spacing w:after="0" w:line="277" w:lineRule="auto"/>
        <w:tabs>
          <w:tab w:leader="none" w:pos="14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at least two people as the Board may appoint to administer the Plan or, if no such committee has been appointed by the Board, the Board.</w:t>
      </w:r>
    </w:p>
    <w:p>
      <w:pPr>
        <w:spacing w:after="0" w:line="102" w:lineRule="exact"/>
        <w:rPr>
          <w:rFonts w:ascii="Arial" w:cs="Arial" w:eastAsia="Arial" w:hAnsi="Arial"/>
          <w:sz w:val="18"/>
          <w:szCs w:val="18"/>
          <w:color w:val="auto"/>
        </w:rPr>
      </w:pPr>
    </w:p>
    <w:p>
      <w:pPr>
        <w:ind w:left="460" w:right="479" w:firstLine="426"/>
        <w:spacing w:after="0" w:line="342" w:lineRule="auto"/>
        <w:tabs>
          <w:tab w:leader="none" w:pos="14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“Common Stock” means the Company’s common stock, par value $0.0001 per share (and any stock or other securities into which such shares may be converted or into which they may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-212090</wp:posOffset>
            </wp:positionV>
            <wp:extent cx="7226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1" w:name="page212"/>
    <w:bookmarkEnd w:id="211"/>
    <w:p>
      <w:pPr>
        <w:ind w:left="1420" w:hanging="534"/>
        <w:spacing w:after="0"/>
        <w:tabs>
          <w:tab w:leader="none" w:pos="14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Presto Automation Inc., a Delaware corporation.</w:t>
      </w:r>
    </w:p>
    <w:p>
      <w:pPr>
        <w:spacing w:after="0" w:line="144" w:lineRule="exact"/>
        <w:rPr>
          <w:rFonts w:ascii="Arial" w:cs="Arial" w:eastAsia="Arial" w:hAnsi="Arial"/>
          <w:sz w:val="18"/>
          <w:szCs w:val="18"/>
          <w:color w:val="auto"/>
        </w:rPr>
      </w:pPr>
    </w:p>
    <w:p>
      <w:pPr>
        <w:ind w:left="460" w:right="479" w:firstLine="426"/>
        <w:spacing w:after="0" w:line="277" w:lineRule="auto"/>
        <w:tabs>
          <w:tab w:leader="none" w:pos="142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w:t>
      </w:r>
      <w:r>
        <w:rPr>
          <w:rFonts w:ascii="Arial" w:cs="Arial" w:eastAsia="Arial" w:hAnsi="Arial"/>
          <w:sz w:val="18"/>
          <w:szCs w:val="18"/>
          <w:color w:val="auto"/>
        </w:rPr>
        <w:t>t” means the date on which the granting of an Award is authorized, or such other date as may be specified in such authorization.</w:t>
      </w:r>
    </w:p>
    <w:p>
      <w:pPr>
        <w:spacing w:after="0" w:line="102" w:lineRule="exact"/>
        <w:rPr>
          <w:rFonts w:ascii="Arial" w:cs="Arial" w:eastAsia="Arial" w:hAnsi="Arial"/>
          <w:sz w:val="18"/>
          <w:szCs w:val="18"/>
          <w:color w:val="auto"/>
        </w:rPr>
      </w:pPr>
    </w:p>
    <w:p>
      <w:pPr>
        <w:jc w:val="both"/>
        <w:ind w:left="460" w:right="479" w:firstLine="426"/>
        <w:spacing w:after="0" w:line="263" w:lineRule="auto"/>
        <w:tabs>
          <w:tab w:leader="none" w:pos="146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“Dividend Equivalent” means a right awarded under Section 11 to receive the equivalent value (in cash or Common Stock) of ordinary dividends that would otherwise be paid on the Common Stock subject to an Award that is a full-value award but that have not been issued or delivered.</w:t>
      </w:r>
    </w:p>
    <w:p>
      <w:pPr>
        <w:spacing w:after="0" w:line="116" w:lineRule="exact"/>
        <w:rPr>
          <w:rFonts w:ascii="Arial" w:cs="Arial" w:eastAsia="Arial" w:hAnsi="Arial"/>
          <w:sz w:val="18"/>
          <w:szCs w:val="18"/>
          <w:color w:val="auto"/>
        </w:rPr>
      </w:pPr>
    </w:p>
    <w:p>
      <w:pPr>
        <w:jc w:val="both"/>
        <w:ind w:left="460" w:right="459" w:firstLine="426"/>
        <w:spacing w:after="0" w:line="263" w:lineRule="auto"/>
        <w:tabs>
          <w:tab w:leader="none" w:pos="146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“Effective Date” means the date on which the transactions contemplated by the Merger Agreement are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has adopted the Plan prior to or on such date, subject to approval of the Plan by the Company’s stockholders.</w:t>
      </w:r>
    </w:p>
    <w:p>
      <w:pPr>
        <w:spacing w:after="0" w:line="102" w:lineRule="exact"/>
        <w:rPr>
          <w:rFonts w:ascii="Arial" w:cs="Arial" w:eastAsia="Arial" w:hAnsi="Arial"/>
          <w:sz w:val="18"/>
          <w:szCs w:val="18"/>
          <w:color w:val="auto"/>
        </w:rPr>
      </w:pPr>
    </w:p>
    <w:p>
      <w:pPr>
        <w:ind w:left="460" w:right="459" w:firstLine="426"/>
        <w:spacing w:after="0" w:line="277" w:lineRule="auto"/>
        <w:tabs>
          <w:tab w:leader="none" w:pos="146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“Eligible Director” means a person who is a “non-employee director” within the meaning of Rule 16b-3 under the Exchange Act.</w:t>
      </w:r>
    </w:p>
    <w:p>
      <w:pPr>
        <w:spacing w:after="0" w:line="102" w:lineRule="exact"/>
        <w:rPr>
          <w:rFonts w:ascii="Arial" w:cs="Arial" w:eastAsia="Arial" w:hAnsi="Arial"/>
          <w:sz w:val="18"/>
          <w:szCs w:val="18"/>
          <w:color w:val="auto"/>
        </w:rPr>
      </w:pPr>
    </w:p>
    <w:p>
      <w:pPr>
        <w:ind w:left="1460" w:hanging="574"/>
        <w:spacing w:after="0"/>
        <w:tabs>
          <w:tab w:leader="none" w:pos="14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“Eligible Person” with respect to an Award denominated in Common Stock, means any</w:t>
      </w:r>
    </w:p>
    <w:p>
      <w:pPr>
        <w:spacing w:after="0" w:line="23" w:lineRule="exact"/>
        <w:rPr>
          <w:rFonts w:ascii="Arial" w:cs="Arial" w:eastAsia="Arial" w:hAnsi="Arial"/>
          <w:sz w:val="18"/>
          <w:szCs w:val="18"/>
          <w:color w:val="auto"/>
        </w:rPr>
      </w:pPr>
    </w:p>
    <w:p>
      <w:pPr>
        <w:ind w:left="720" w:hanging="266"/>
        <w:spacing w:after="0"/>
        <w:tabs>
          <w:tab w:leader="none" w:pos="7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individual employed by the Company or an Affiliate; (ii) director of the Company or an Affiliate;</w:t>
      </w:r>
    </w:p>
    <w:p>
      <w:pPr>
        <w:spacing w:after="0" w:line="9" w:lineRule="exact"/>
        <w:rPr>
          <w:rFonts w:ascii="Arial" w:cs="Arial" w:eastAsia="Arial" w:hAnsi="Arial"/>
          <w:sz w:val="18"/>
          <w:szCs w:val="18"/>
          <w:color w:val="auto"/>
        </w:rPr>
      </w:pPr>
    </w:p>
    <w:p>
      <w:pPr>
        <w:jc w:val="both"/>
        <w:ind w:left="460" w:right="479" w:hanging="6"/>
        <w:spacing w:after="0" w:line="265" w:lineRule="auto"/>
        <w:tabs>
          <w:tab w:leader="none" w:pos="80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consultant or advisor to the Company or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Securities Act applies such persons must be eligible to be offered securities registrable on Form S-8 under the Securities Act; or</w:t>
      </w:r>
    </w:p>
    <w:p>
      <w:pPr>
        <w:jc w:val="both"/>
        <w:ind w:left="460" w:right="459" w:hanging="6"/>
        <w:spacing w:after="0" w:line="271" w:lineRule="auto"/>
        <w:tabs>
          <w:tab w:leader="none" w:pos="76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prospective employees, directors, officers, consultants or advisors who have accepted offers of employment or consultancy from the Company or its Affiliates (and would satisfy the provisions of clauses (i) through (iii) above once he begins employment with or begins providing services to the Company or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Date of Grant of any Award to such individual shall not be prior to the date he begins employment with or begins providing services to the Company or its Affiliates).</w:t>
      </w:r>
    </w:p>
    <w:p>
      <w:pPr>
        <w:spacing w:after="0" w:line="110" w:lineRule="exact"/>
        <w:rPr>
          <w:rFonts w:ascii="Arial" w:cs="Arial" w:eastAsia="Arial" w:hAnsi="Arial"/>
          <w:sz w:val="17"/>
          <w:szCs w:val="17"/>
          <w:color w:val="auto"/>
        </w:rPr>
      </w:pPr>
    </w:p>
    <w:p>
      <w:pPr>
        <w:jc w:val="both"/>
        <w:ind w:left="460" w:right="479" w:firstLine="426"/>
        <w:spacing w:after="0" w:line="263" w:lineRule="auto"/>
        <w:tabs>
          <w:tab w:leader="none" w:pos="143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“Exchange Act” means the U.S. Securities Exchange Act of 1934, as it may be amended from time to time, including the rules and regulations promulgated thereunder and successor provisions and rules and regulations thereto.</w:t>
      </w:r>
    </w:p>
    <w:p>
      <w:pPr>
        <w:spacing w:after="0" w:line="102" w:lineRule="exact"/>
        <w:rPr>
          <w:rFonts w:ascii="Arial" w:cs="Arial" w:eastAsia="Arial" w:hAnsi="Arial"/>
          <w:sz w:val="18"/>
          <w:szCs w:val="18"/>
          <w:color w:val="auto"/>
        </w:rPr>
      </w:pPr>
    </w:p>
    <w:p>
      <w:pPr>
        <w:ind w:left="1440" w:hanging="554"/>
        <w:spacing w:after="0"/>
        <w:tabs>
          <w:tab w:leader="none" w:pos="1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“Exercise Price” has the meaning given such term in Section 7(c) of the Plan.</w:t>
      </w:r>
    </w:p>
    <w:p>
      <w:pPr>
        <w:spacing w:after="0" w:line="157" w:lineRule="exact"/>
        <w:rPr>
          <w:rFonts w:ascii="Arial" w:cs="Arial" w:eastAsia="Arial" w:hAnsi="Arial"/>
          <w:sz w:val="18"/>
          <w:szCs w:val="18"/>
          <w:color w:val="auto"/>
        </w:rPr>
      </w:pPr>
    </w:p>
    <w:p>
      <w:pPr>
        <w:ind w:left="1420" w:hanging="534"/>
        <w:spacing w:after="0"/>
        <w:tabs>
          <w:tab w:leader="none" w:pos="142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169" w:lineRule="exact"/>
        <w:rPr>
          <w:rFonts w:ascii="Arial" w:cs="Arial" w:eastAsia="Arial" w:hAnsi="Arial"/>
          <w:sz w:val="17"/>
          <w:szCs w:val="17"/>
          <w:color w:val="auto"/>
        </w:rPr>
      </w:pPr>
    </w:p>
    <w:p>
      <w:pPr>
        <w:jc w:val="both"/>
        <w:ind w:left="1100" w:right="459" w:firstLine="164"/>
        <w:spacing w:after="0" w:line="301" w:lineRule="auto"/>
        <w:tabs>
          <w:tab w:leader="none" w:pos="1796" w:val="left"/>
        </w:tabs>
        <w:numPr>
          <w:ilvl w:val="2"/>
          <w:numId w:val="205"/>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or a national market system, the closing sales price for such shares (or if no sales were reported, the closing price on the date immediately preceding such date) as quoted on such exchange or system on the day of determination, as reported in The Wall Street Journal or such other source as the Committee deems reliable;</w:t>
      </w:r>
    </w:p>
    <w:p>
      <w:pPr>
        <w:spacing w:after="0" w:line="76" w:lineRule="exact"/>
        <w:rPr>
          <w:rFonts w:ascii="Arial" w:cs="Arial" w:eastAsia="Arial" w:hAnsi="Arial"/>
          <w:sz w:val="16"/>
          <w:szCs w:val="16"/>
          <w:color w:val="auto"/>
        </w:rPr>
      </w:pPr>
    </w:p>
    <w:p>
      <w:pPr>
        <w:jc w:val="both"/>
        <w:ind w:left="1100" w:right="479" w:firstLine="164"/>
        <w:spacing w:after="0" w:line="259" w:lineRule="auto"/>
        <w:tabs>
          <w:tab w:leader="none" w:pos="179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the Fair Market Value of a Common Share will be the mean between the high bid and low asked prices for the Common Stock on the day of determination, as reported in The Wall Street Journal or such other source as the Committee deems reliable; or</w:t>
      </w:r>
    </w:p>
    <w:p>
      <w:pPr>
        <w:spacing w:after="0" w:line="119" w:lineRule="exact"/>
        <w:rPr>
          <w:rFonts w:ascii="Arial" w:cs="Arial" w:eastAsia="Arial" w:hAnsi="Arial"/>
          <w:sz w:val="18"/>
          <w:szCs w:val="18"/>
          <w:color w:val="auto"/>
        </w:rPr>
      </w:pPr>
    </w:p>
    <w:p>
      <w:pPr>
        <w:jc w:val="both"/>
        <w:ind w:left="1100" w:right="459" w:firstLine="164"/>
        <w:spacing w:after="0" w:line="263" w:lineRule="auto"/>
        <w:tabs>
          <w:tab w:leader="none" w:pos="180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Committee and such determination shall be conclusive and binding on all persons.</w:t>
      </w:r>
    </w:p>
    <w:p>
      <w:pPr>
        <w:spacing w:after="0" w:line="116" w:lineRule="exact"/>
        <w:rPr>
          <w:rFonts w:ascii="Arial" w:cs="Arial" w:eastAsia="Arial" w:hAnsi="Arial"/>
          <w:sz w:val="18"/>
          <w:szCs w:val="18"/>
          <w:color w:val="auto"/>
        </w:rPr>
      </w:pPr>
    </w:p>
    <w:p>
      <w:pPr>
        <w:jc w:val="both"/>
        <w:ind w:left="1100" w:right="459" w:firstLine="164"/>
        <w:spacing w:after="0" w:line="263" w:lineRule="auto"/>
        <w:tabs>
          <w:tab w:leader="none" w:pos="1792" w:val="left"/>
        </w:tabs>
        <w:numPr>
          <w:ilvl w:val="2"/>
          <w:numId w:val="205"/>
        </w:numPr>
        <w:rPr>
          <w:rFonts w:ascii="Arial" w:cs="Arial" w:eastAsia="Arial" w:hAnsi="Arial"/>
          <w:sz w:val="18"/>
          <w:szCs w:val="18"/>
          <w:color w:val="auto"/>
        </w:rPr>
      </w:pPr>
      <w:r>
        <w:rPr>
          <w:rFonts w:ascii="Arial" w:cs="Arial" w:eastAsia="Arial" w:hAnsi="Arial"/>
          <w:sz w:val="18"/>
          <w:szCs w:val="18"/>
          <w:color w:val="auto"/>
        </w:rPr>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spacing w:after="0" w:line="102" w:lineRule="exact"/>
        <w:rPr>
          <w:rFonts w:ascii="Arial" w:cs="Arial" w:eastAsia="Arial" w:hAnsi="Arial"/>
          <w:sz w:val="18"/>
          <w:szCs w:val="18"/>
          <w:color w:val="auto"/>
        </w:rPr>
      </w:pPr>
    </w:p>
    <w:p>
      <w:pPr>
        <w:ind w:left="1460" w:hanging="574"/>
        <w:spacing w:after="0"/>
        <w:tabs>
          <w:tab w:leader="none" w:pos="14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“Immediate Family Members” shall have the meaning set forth in Section 15(b)(ii).</w:t>
      </w:r>
    </w:p>
    <w:p>
      <w:pPr>
        <w:spacing w:after="0" w:line="157" w:lineRule="exact"/>
        <w:rPr>
          <w:rFonts w:ascii="Arial" w:cs="Arial" w:eastAsia="Arial" w:hAnsi="Arial"/>
          <w:sz w:val="18"/>
          <w:szCs w:val="18"/>
          <w:color w:val="auto"/>
        </w:rPr>
      </w:pPr>
    </w:p>
    <w:p>
      <w:pPr>
        <w:jc w:val="both"/>
        <w:ind w:left="460" w:right="459" w:firstLine="426"/>
        <w:spacing w:after="0" w:line="263" w:lineRule="auto"/>
        <w:tabs>
          <w:tab w:leader="none" w:pos="146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“Incentive Stock Option” means an Option that is designated by the Committee as an incentive stock option as described in Section 422 of the Code and otherwise meets the requirements set forth in the Plan for incentive stock options.</w:t>
      </w:r>
    </w:p>
    <w:p>
      <w:pPr>
        <w:spacing w:after="0" w:line="116" w:lineRule="exact"/>
        <w:rPr>
          <w:rFonts w:ascii="Arial" w:cs="Arial" w:eastAsia="Arial" w:hAnsi="Arial"/>
          <w:sz w:val="18"/>
          <w:szCs w:val="18"/>
          <w:color w:val="auto"/>
        </w:rPr>
      </w:pPr>
    </w:p>
    <w:p>
      <w:pPr>
        <w:ind w:left="1440" w:hanging="554"/>
        <w:spacing w:after="0"/>
        <w:tabs>
          <w:tab w:leader="none" w:pos="14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“Indemnifiable Person” shall have the meaning set forth in Section 4(e)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-6688455</wp:posOffset>
            </wp:positionV>
            <wp:extent cx="948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948690"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-6182360</wp:posOffset>
            </wp:positionV>
            <wp:extent cx="703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70358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-5685155</wp:posOffset>
            </wp:positionV>
            <wp:extent cx="7327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327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-5316855</wp:posOffset>
            </wp:positionV>
            <wp:extent cx="7353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35330" cy="8255"/>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-3987800</wp:posOffset>
            </wp:positionV>
            <wp:extent cx="6203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2039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-3490595</wp:posOffset>
            </wp:positionV>
            <wp:extent cx="6565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65659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-747395</wp:posOffset>
            </wp:positionV>
            <wp:extent cx="13011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1301115" cy="8890"/>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-516255</wp:posOffset>
            </wp:positionV>
            <wp:extent cx="10769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107696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-10160</wp:posOffset>
            </wp:positionV>
            <wp:extent cx="9804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2" w:name="page213"/>
    <w:bookmarkEnd w:id="212"/>
    <w:p>
      <w:pPr>
        <w:jc w:val="both"/>
        <w:ind w:left="460" w:right="459" w:firstLine="426"/>
        <w:spacing w:after="0" w:line="257" w:lineRule="auto"/>
        <w:tabs>
          <w:tab w:leader="none" w:pos="14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“Mature Shares” means shares of Common Stock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tax or deduction obligation of the Participant.</w:t>
      </w:r>
    </w:p>
    <w:p>
      <w:pPr>
        <w:spacing w:after="0" w:line="106" w:lineRule="exact"/>
        <w:rPr>
          <w:rFonts w:ascii="Arial" w:cs="Arial" w:eastAsia="Arial" w:hAnsi="Arial"/>
          <w:sz w:val="18"/>
          <w:szCs w:val="18"/>
          <w:color w:val="auto"/>
        </w:rPr>
      </w:pPr>
    </w:p>
    <w:p>
      <w:pPr>
        <w:jc w:val="both"/>
        <w:ind w:left="460" w:right="459" w:firstLine="426"/>
        <w:spacing w:after="0" w:line="263" w:lineRule="auto"/>
        <w:tabs>
          <w:tab w:leader="none" w:pos="14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“Merger Agreement” shall mean that certain Agreement and Plan of Merger, by and among Ventoux CCM Acquisition Corp., Ventoux Merger Sub Inc. and E La Carte, Inc., dated as of November 10, 2021 as amended from time to time.</w:t>
      </w:r>
    </w:p>
    <w:p>
      <w:pPr>
        <w:spacing w:after="0" w:line="116" w:lineRule="exact"/>
        <w:rPr>
          <w:rFonts w:ascii="Arial" w:cs="Arial" w:eastAsia="Arial" w:hAnsi="Arial"/>
          <w:sz w:val="18"/>
          <w:szCs w:val="18"/>
          <w:color w:val="auto"/>
        </w:rPr>
      </w:pPr>
    </w:p>
    <w:p>
      <w:pPr>
        <w:ind w:left="460" w:right="479" w:firstLine="426"/>
        <w:spacing w:after="0" w:line="277" w:lineRule="auto"/>
        <w:tabs>
          <w:tab w:leader="none" w:pos="14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“Nonqualified Stock Option” means an Option that is not designated by the Committee as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977900</wp:posOffset>
            </wp:positionH>
            <wp:positionV relativeFrom="paragraph">
              <wp:posOffset>-1459230</wp:posOffset>
            </wp:positionV>
            <wp:extent cx="6718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-687705</wp:posOffset>
            </wp:positionV>
            <wp:extent cx="8870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887095" cy="825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-182245</wp:posOffset>
            </wp:positionV>
            <wp:extent cx="12719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1271905" cy="8890"/>
                    </a:xfrm>
                    <a:prstGeom prst="rect">
                      <a:avLst/>
                    </a:prstGeom>
                    <a:noFill/>
                  </pic:spPr>
                </pic:pic>
              </a:graphicData>
            </a:graphic>
          </wp:anchor>
        </w:drawing>
      </w:r>
    </w:p>
    <w:p>
      <w:pPr>
        <w:spacing w:after="0" w:line="83" w:lineRule="exact"/>
        <w:rPr>
          <w:sz w:val="20"/>
          <w:szCs w:val="20"/>
          <w:color w:val="auto"/>
        </w:rPr>
      </w:pPr>
    </w:p>
    <w:p>
      <w:pPr>
        <w:ind w:left="1440" w:hanging="554"/>
        <w:spacing w:after="0"/>
        <w:tabs>
          <w:tab w:leader="none" w:pos="14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144" w:lineRule="exact"/>
        <w:rPr>
          <w:rFonts w:ascii="Arial" w:cs="Arial" w:eastAsia="Arial" w:hAnsi="Arial"/>
          <w:sz w:val="18"/>
          <w:szCs w:val="18"/>
          <w:color w:val="auto"/>
        </w:rPr>
      </w:pPr>
    </w:p>
    <w:p>
      <w:pPr>
        <w:ind w:left="1460" w:hanging="574"/>
        <w:spacing w:after="0"/>
        <w:tabs>
          <w:tab w:leader="none" w:pos="14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“Option Period” has the meaning given such term in Section 7(d) of the Plan.</w:t>
      </w:r>
    </w:p>
    <w:p>
      <w:pPr>
        <w:spacing w:after="0" w:line="157" w:lineRule="exact"/>
        <w:rPr>
          <w:rFonts w:ascii="Arial" w:cs="Arial" w:eastAsia="Arial" w:hAnsi="Arial"/>
          <w:sz w:val="18"/>
          <w:szCs w:val="18"/>
          <w:color w:val="auto"/>
        </w:rPr>
      </w:pPr>
    </w:p>
    <w:p>
      <w:pPr>
        <w:ind w:left="460" w:right="459" w:firstLine="426"/>
        <w:spacing w:after="0" w:line="277" w:lineRule="auto"/>
        <w:tabs>
          <w:tab w:leader="none" w:pos="144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“Optionholder Earnout Shares” means Earnout Shares issuable to holders of Exchanged Options (each as defined in the Merger Agreement).</w:t>
      </w:r>
    </w:p>
    <w:p>
      <w:pPr>
        <w:spacing w:after="0" w:line="102" w:lineRule="exact"/>
        <w:rPr>
          <w:rFonts w:ascii="Arial" w:cs="Arial" w:eastAsia="Arial" w:hAnsi="Arial"/>
          <w:sz w:val="18"/>
          <w:szCs w:val="18"/>
          <w:color w:val="auto"/>
        </w:rPr>
      </w:pPr>
    </w:p>
    <w:p>
      <w:pPr>
        <w:jc w:val="both"/>
        <w:ind w:left="460" w:right="459" w:firstLine="426"/>
        <w:spacing w:after="0" w:line="263" w:lineRule="auto"/>
        <w:tabs>
          <w:tab w:leader="none" w:pos="14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“Other Cash-Based Award” means a cash Award granted to a Participant under Section 10 of the Plan, including cash awarded as a bonus or upon the attainment of Performance Goals or otherwise as permitted under the Plan.</w:t>
      </w:r>
    </w:p>
    <w:p>
      <w:pPr>
        <w:spacing w:after="0" w:line="102" w:lineRule="exact"/>
        <w:rPr>
          <w:rFonts w:ascii="Arial" w:cs="Arial" w:eastAsia="Arial" w:hAnsi="Arial"/>
          <w:sz w:val="18"/>
          <w:szCs w:val="18"/>
          <w:color w:val="auto"/>
        </w:rPr>
      </w:pPr>
    </w:p>
    <w:p>
      <w:pPr>
        <w:jc w:val="both"/>
        <w:ind w:left="460" w:right="459" w:firstLine="426"/>
        <w:spacing w:after="0" w:line="263" w:lineRule="auto"/>
        <w:tabs>
          <w:tab w:leader="none" w:pos="144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“Other Stock-Based Award” means an equity-based or equity-related Award, other than an Option, SAR, Restricted Stock, Restricted Stock Unit or Dividend Equivalent, granted in accordance with the terms and conditions set forth under Section 10 of the Plan</w:t>
      </w:r>
    </w:p>
    <w:p>
      <w:pPr>
        <w:spacing w:after="0" w:line="116" w:lineRule="exact"/>
        <w:rPr>
          <w:rFonts w:ascii="Arial" w:cs="Arial" w:eastAsia="Arial" w:hAnsi="Arial"/>
          <w:sz w:val="18"/>
          <w:szCs w:val="18"/>
          <w:color w:val="auto"/>
        </w:rPr>
      </w:pPr>
    </w:p>
    <w:p>
      <w:pPr>
        <w:ind w:left="460" w:right="479" w:firstLine="426"/>
        <w:spacing w:after="0" w:line="277" w:lineRule="auto"/>
        <w:tabs>
          <w:tab w:leader="none" w:pos="143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w:t>
      </w:r>
      <w:r>
        <w:rPr>
          <w:rFonts w:ascii="Arial" w:cs="Arial" w:eastAsia="Arial" w:hAnsi="Arial"/>
          <w:sz w:val="18"/>
          <w:szCs w:val="18"/>
          <w:color w:val="auto"/>
        </w:rPr>
        <w:t>t” means an Eligible Person who has been selected by the Committee to participate in the Plan and to receive an Award pursuant to Section 6 of the Plan.</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4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“Performance Award” shall mean any Award designated by the Committee as a Performance Award pursuant to Section 12 of the Plan.</w:t>
      </w:r>
    </w:p>
    <w:p>
      <w:pPr>
        <w:spacing w:after="0" w:line="89" w:lineRule="exact"/>
        <w:rPr>
          <w:rFonts w:ascii="Arial" w:cs="Arial" w:eastAsia="Arial" w:hAnsi="Arial"/>
          <w:sz w:val="18"/>
          <w:szCs w:val="18"/>
          <w:color w:val="auto"/>
        </w:rPr>
      </w:pPr>
    </w:p>
    <w:p>
      <w:pPr>
        <w:jc w:val="both"/>
        <w:ind w:left="460" w:right="459" w:firstLine="426"/>
        <w:spacing w:after="0" w:line="263" w:lineRule="auto"/>
        <w:tabs>
          <w:tab w:leader="none" w:pos="14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Award under the Plan pursuant to Section 12 of the Plan.</w:t>
      </w:r>
    </w:p>
    <w:p>
      <w:pPr>
        <w:spacing w:after="0" w:line="116" w:lineRule="exact"/>
        <w:rPr>
          <w:rFonts w:ascii="Arial" w:cs="Arial" w:eastAsia="Arial" w:hAnsi="Arial"/>
          <w:sz w:val="18"/>
          <w:szCs w:val="18"/>
          <w:color w:val="auto"/>
        </w:rPr>
      </w:pPr>
    </w:p>
    <w:p>
      <w:pPr>
        <w:jc w:val="both"/>
        <w:ind w:left="460" w:right="479" w:firstLine="426"/>
        <w:spacing w:after="0" w:line="259" w:lineRule="auto"/>
        <w:tabs>
          <w:tab w:leader="none" w:pos="142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formulae applied against the relevant Performance Goal to determine, with regard to the Performance Award of a particular Participant, whether all, some portion but less than all, or none of the Performance Award has been earned for the applicable Performance Period.</w:t>
      </w:r>
    </w:p>
    <w:p>
      <w:pPr>
        <w:spacing w:after="0" w:line="119" w:lineRule="exact"/>
        <w:rPr>
          <w:rFonts w:ascii="Arial" w:cs="Arial" w:eastAsia="Arial" w:hAnsi="Arial"/>
          <w:sz w:val="18"/>
          <w:szCs w:val="18"/>
          <w:color w:val="auto"/>
        </w:rPr>
      </w:pPr>
    </w:p>
    <w:p>
      <w:pPr>
        <w:jc w:val="both"/>
        <w:ind w:left="460" w:right="479" w:firstLine="426"/>
        <w:spacing w:after="0" w:line="263" w:lineRule="auto"/>
        <w:tabs>
          <w:tab w:leader="none" w:pos="142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“Performance Goals” shall mean, for a Performance Period, the one or more goals established by the Committee for the Performance Period based upon the Performance Criteria pursuant to Section 12 of the Plan.</w:t>
      </w:r>
    </w:p>
    <w:p>
      <w:pPr>
        <w:spacing w:after="0" w:line="102" w:lineRule="exact"/>
        <w:rPr>
          <w:rFonts w:ascii="Arial" w:cs="Arial" w:eastAsia="Arial" w:hAnsi="Arial"/>
          <w:sz w:val="18"/>
          <w:szCs w:val="18"/>
          <w:color w:val="auto"/>
        </w:rPr>
      </w:pPr>
    </w:p>
    <w:p>
      <w:pPr>
        <w:jc w:val="both"/>
        <w:ind w:left="460" w:right="479" w:firstLine="426"/>
        <w:spacing w:after="0" w:line="263" w:lineRule="auto"/>
        <w:tabs>
          <w:tab w:leader="none" w:pos="146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as the Committee may select, over which the attainment of one or more Performance Goals will be measured for the purpose of determining a Participant’s right to, and the payment of, a Performance Award.</w:t>
      </w:r>
    </w:p>
    <w:p>
      <w:pPr>
        <w:spacing w:after="0" w:line="116" w:lineRule="exact"/>
        <w:rPr>
          <w:rFonts w:ascii="Arial" w:cs="Arial" w:eastAsia="Arial" w:hAnsi="Arial"/>
          <w:sz w:val="18"/>
          <w:szCs w:val="18"/>
          <w:color w:val="auto"/>
        </w:rPr>
      </w:pPr>
    </w:p>
    <w:p>
      <w:pPr>
        <w:ind w:left="1420" w:hanging="534"/>
        <w:spacing w:after="0"/>
        <w:tabs>
          <w:tab w:leader="none" w:pos="14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“Permitted Transferee” shall have the meaning set forth in Section 15(b)(ii) of the Plan.</w:t>
      </w:r>
    </w:p>
    <w:p>
      <w:pPr>
        <w:spacing w:after="0" w:line="157" w:lineRule="exact"/>
        <w:rPr>
          <w:rFonts w:ascii="Arial" w:cs="Arial" w:eastAsia="Arial" w:hAnsi="Arial"/>
          <w:sz w:val="18"/>
          <w:szCs w:val="18"/>
          <w:color w:val="auto"/>
        </w:rPr>
      </w:pPr>
    </w:p>
    <w:p>
      <w:pPr>
        <w:ind w:left="460" w:right="459" w:firstLine="349"/>
        <w:spacing w:after="0" w:line="277" w:lineRule="auto"/>
        <w:tabs>
          <w:tab w:leader="none" w:pos="1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entity or group within the meaning of Section 13(d)(3) or 14(d)(2) of the Exchange Act.</w:t>
      </w:r>
    </w:p>
    <w:p>
      <w:pPr>
        <w:spacing w:after="0" w:line="89" w:lineRule="exact"/>
        <w:rPr>
          <w:rFonts w:ascii="Arial" w:cs="Arial" w:eastAsia="Arial" w:hAnsi="Arial"/>
          <w:sz w:val="18"/>
          <w:szCs w:val="18"/>
          <w:color w:val="auto"/>
        </w:rPr>
      </w:pPr>
    </w:p>
    <w:p>
      <w:pPr>
        <w:jc w:val="both"/>
        <w:ind w:left="460" w:right="479" w:firstLine="426"/>
        <w:spacing w:after="0" w:line="263" w:lineRule="auto"/>
        <w:tabs>
          <w:tab w:leader="none" w:pos="146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“Restricted Period” means the period of time determined by the Committee during which an Award is subject to restrictions or, as applicable, the period of time within which performance is measured for purposes of determining whether an Award has been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-5386070</wp:posOffset>
            </wp:positionV>
            <wp:extent cx="643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643890" cy="825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-5154295</wp:posOffset>
            </wp:positionV>
            <wp:extent cx="13500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1350010" cy="889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-4785995</wp:posOffset>
            </wp:positionV>
            <wp:extent cx="117221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1172210" cy="8255"/>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-4288790</wp:posOffset>
            </wp:positionV>
            <wp:extent cx="11950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119507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-3414395</wp:posOffset>
            </wp:positionV>
            <wp:extent cx="9296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92964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-3054350</wp:posOffset>
            </wp:positionV>
            <wp:extent cx="9779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-2548255</wp:posOffset>
            </wp:positionV>
            <wp:extent cx="10077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1007745"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-1905635</wp:posOffset>
            </wp:positionV>
            <wp:extent cx="8788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87884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-1408430</wp:posOffset>
            </wp:positionV>
            <wp:extent cx="9105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910590"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-902335</wp:posOffset>
            </wp:positionV>
            <wp:extent cx="9569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956945"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-311150</wp:posOffset>
            </wp:positionV>
            <wp:extent cx="8070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807085"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3" w:name="page214"/>
    <w:bookmarkEnd w:id="213"/>
    <w:p>
      <w:pPr>
        <w:jc w:val="both"/>
        <w:ind w:left="460" w:right="479" w:firstLine="426"/>
        <w:spacing w:after="0" w:line="311" w:lineRule="auto"/>
        <w:tabs>
          <w:tab w:leader="none" w:pos="146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“Restricted Stock” means shares of Common Stock, subject to certain specified performance or time-based restrictions (including, without limitation, a requirement that the Participant remain continuously employed or provide continuous services for a specified period of time), granted under Section 9 of the Plan.</w:t>
      </w:r>
    </w:p>
    <w:p>
      <w:pPr>
        <w:spacing w:after="0" w:line="67" w:lineRule="exact"/>
        <w:rPr>
          <w:rFonts w:ascii="Arial" w:cs="Arial" w:eastAsia="Arial" w:hAnsi="Arial"/>
          <w:sz w:val="16"/>
          <w:szCs w:val="16"/>
          <w:color w:val="auto"/>
        </w:rPr>
      </w:pPr>
    </w:p>
    <w:p>
      <w:pPr>
        <w:jc w:val="both"/>
        <w:ind w:left="460" w:right="459" w:firstLine="426"/>
        <w:spacing w:after="0" w:line="279" w:lineRule="auto"/>
        <w:tabs>
          <w:tab w:leader="none" w:pos="146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“Restricted Stock Unit” means an unfunded and unsecured promise to deliver shares of Common Stock, cash, other securities or other property, subject to certain performance or time-based restrictions (including, without limitation, a requirement that the Participant remain continuously employed or provide continuous services for a specified period of time), granted under Section 9 of the Plan.</w:t>
      </w:r>
    </w:p>
    <w:p>
      <w:pPr>
        <w:spacing w:after="0" w:line="103" w:lineRule="exact"/>
        <w:rPr>
          <w:rFonts w:ascii="Arial" w:cs="Arial" w:eastAsia="Arial" w:hAnsi="Arial"/>
          <w:sz w:val="17"/>
          <w:szCs w:val="17"/>
          <w:color w:val="auto"/>
        </w:rPr>
      </w:pPr>
    </w:p>
    <w:p>
      <w:pPr>
        <w:ind w:left="1460" w:hanging="574"/>
        <w:spacing w:after="0"/>
        <w:tabs>
          <w:tab w:leader="none" w:pos="14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given such term in Section 8(b) of the Plan.</w:t>
      </w:r>
    </w:p>
    <w:p>
      <w:pPr>
        <w:spacing w:after="0" w:line="157" w:lineRule="exact"/>
        <w:rPr>
          <w:rFonts w:ascii="Arial" w:cs="Arial" w:eastAsia="Arial" w:hAnsi="Arial"/>
          <w:sz w:val="18"/>
          <w:szCs w:val="18"/>
          <w:color w:val="auto"/>
        </w:rPr>
      </w:pPr>
    </w:p>
    <w:p>
      <w:pPr>
        <w:jc w:val="both"/>
        <w:ind w:left="460" w:right="459" w:firstLine="426"/>
        <w:spacing w:after="0" w:line="259" w:lineRule="auto"/>
        <w:tabs>
          <w:tab w:leader="none" w:pos="144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spacing w:after="0" w:line="105" w:lineRule="exact"/>
        <w:rPr>
          <w:rFonts w:ascii="Arial" w:cs="Arial" w:eastAsia="Arial" w:hAnsi="Arial"/>
          <w:sz w:val="18"/>
          <w:szCs w:val="18"/>
          <w:color w:val="auto"/>
        </w:rPr>
      </w:pPr>
    </w:p>
    <w:p>
      <w:pPr>
        <w:ind w:left="1420" w:hanging="534"/>
        <w:spacing w:after="0"/>
        <w:tabs>
          <w:tab w:leader="none" w:pos="14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w:t>
      </w:r>
    </w:p>
    <w:p>
      <w:pPr>
        <w:spacing w:after="0" w:line="157" w:lineRule="exact"/>
        <w:rPr>
          <w:rFonts w:ascii="Arial" w:cs="Arial" w:eastAsia="Arial" w:hAnsi="Arial"/>
          <w:sz w:val="18"/>
          <w:szCs w:val="18"/>
          <w:color w:val="auto"/>
        </w:rPr>
      </w:pPr>
    </w:p>
    <w:p>
      <w:pPr>
        <w:ind w:left="1420" w:hanging="534"/>
        <w:spacing w:after="0"/>
        <w:tabs>
          <w:tab w:leader="none" w:pos="142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“Stock Appreciation Right” or “</w:t>
      </w:r>
      <w:r>
        <w:rPr>
          <w:rFonts w:ascii="Arial" w:cs="Arial" w:eastAsia="Arial" w:hAnsi="Arial"/>
          <w:sz w:val="17"/>
          <w:szCs w:val="17"/>
          <w:u w:val="single" w:color="auto"/>
          <w:color w:val="auto"/>
        </w:rPr>
        <w:t>SAR</w:t>
      </w:r>
      <w:r>
        <w:rPr>
          <w:rFonts w:ascii="Arial" w:cs="Arial" w:eastAsia="Arial" w:hAnsi="Arial"/>
          <w:sz w:val="17"/>
          <w:szCs w:val="17"/>
          <w:color w:val="auto"/>
        </w:rPr>
        <w:t>” means an Award granted under Section 8 of the Plan.</w:t>
      </w:r>
    </w:p>
    <w:p>
      <w:pPr>
        <w:spacing w:after="0" w:line="169" w:lineRule="exact"/>
        <w:rPr>
          <w:rFonts w:ascii="Arial" w:cs="Arial" w:eastAsia="Arial" w:hAnsi="Arial"/>
          <w:sz w:val="17"/>
          <w:szCs w:val="17"/>
          <w:color w:val="auto"/>
        </w:rPr>
      </w:pPr>
    </w:p>
    <w:p>
      <w:pPr>
        <w:jc w:val="both"/>
        <w:ind w:left="460" w:right="479" w:firstLine="426"/>
        <w:spacing w:after="0" w:line="291" w:lineRule="auto"/>
        <w:tabs>
          <w:tab w:leader="none" w:pos="146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“Strike Price” means, except as otherwise provided by the Committee in the case of Substitute Awards, (i) in the case of a SAR granted in tandem with an Option, the Exercise Price of the related Option, or</w:t>
      </w:r>
    </w:p>
    <w:p>
      <w:pPr>
        <w:ind w:left="720" w:hanging="266"/>
        <w:spacing w:after="0"/>
        <w:tabs>
          <w:tab w:leader="none" w:pos="7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the case of a SAR granted independent of an Option, the Fair Market Value on the Date of Grant.</w:t>
      </w:r>
    </w:p>
    <w:p>
      <w:pPr>
        <w:spacing w:after="0" w:line="141" w:lineRule="exact"/>
        <w:rPr>
          <w:rFonts w:ascii="Arial" w:cs="Arial" w:eastAsia="Arial" w:hAnsi="Arial"/>
          <w:sz w:val="17"/>
          <w:szCs w:val="17"/>
          <w:color w:val="auto"/>
        </w:rPr>
      </w:pPr>
    </w:p>
    <w:p>
      <w:pPr>
        <w:jc w:val="both"/>
        <w:ind w:left="460" w:right="459" w:firstLine="426"/>
        <w:spacing w:after="0" w:line="259" w:lineRule="auto"/>
        <w:tabs>
          <w:tab w:leader="none" w:pos="146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in which the Company owns, directly or indirectly, stock representing 50% or more of the combined voting power of all classes of stock entitled to vote, and any other business organization, regardless of form, in which the Company possesses, directly or indirectly, 50% or more of the total combined equity interests in such organization.</w:t>
      </w:r>
    </w:p>
    <w:p>
      <w:pPr>
        <w:spacing w:after="0" w:line="119" w:lineRule="exact"/>
        <w:rPr>
          <w:rFonts w:ascii="Arial" w:cs="Arial" w:eastAsia="Arial" w:hAnsi="Arial"/>
          <w:sz w:val="18"/>
          <w:szCs w:val="18"/>
          <w:color w:val="auto"/>
        </w:rPr>
      </w:pPr>
    </w:p>
    <w:p>
      <w:pPr>
        <w:ind w:left="1440" w:hanging="554"/>
        <w:spacing w:after="0"/>
        <w:tabs>
          <w:tab w:leader="none" w:pos="14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“Substitute Award” has the meaning given such term in Section 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-3619500</wp:posOffset>
            </wp:positionV>
            <wp:extent cx="7607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60730"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-3122295</wp:posOffset>
            </wp:positionV>
            <wp:extent cx="9918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991870" cy="889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-2247900</wp:posOffset>
            </wp:positionV>
            <wp:extent cx="669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-1381760</wp:posOffset>
            </wp:positionV>
            <wp:extent cx="11677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1167765" cy="8255"/>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-1150620</wp:posOffset>
            </wp:positionV>
            <wp:extent cx="5448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54483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-10160</wp:posOffset>
            </wp:positionV>
            <wp:extent cx="7861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86130" cy="8890"/>
                    </a:xfrm>
                    <a:prstGeom prst="rect">
                      <a:avLst/>
                    </a:prstGeom>
                    <a:noFill/>
                  </pic:spPr>
                </pic:pic>
              </a:graphicData>
            </a:graphic>
          </wp:anchor>
        </w:drawing>
      </w:r>
    </w:p>
    <w:p>
      <w:pPr>
        <w:spacing w:after="0" w:line="134" w:lineRule="exact"/>
        <w:rPr>
          <w:sz w:val="20"/>
          <w:szCs w:val="20"/>
          <w:color w:val="auto"/>
        </w:rPr>
      </w:pPr>
    </w:p>
    <w:p>
      <w:pPr>
        <w:ind w:left="860" w:hanging="406"/>
        <w:spacing w:after="0"/>
        <w:tabs>
          <w:tab w:leader="none" w:pos="8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48" w:lineRule="exact"/>
        <w:rPr>
          <w:rFonts w:ascii="Arial" w:cs="Arial" w:eastAsia="Arial" w:hAnsi="Arial"/>
          <w:sz w:val="18"/>
          <w:szCs w:val="18"/>
          <w:b w:val="1"/>
          <w:bCs w:val="1"/>
          <w:color w:val="auto"/>
        </w:rPr>
      </w:pPr>
    </w:p>
    <w:p>
      <w:pPr>
        <w:jc w:val="both"/>
        <w:ind w:left="460" w:right="459" w:firstLine="426"/>
        <w:spacing w:after="0" w:line="270" w:lineRule="auto"/>
        <w:tabs>
          <w:tab w:leader="none" w:pos="1456"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Committee shall administer the Plan. To the extent required to comply with the provisions of Rule 16b-3 promulgated under the Exchange Act and Applicable Law (if the Board is not acting as the Committee under the Plan), it is intended that each member of the Committee shall, at the time he takes any action with respect to an Award under the Plan, be an Eligible Director. However, the fact that a Committee member shall fail to qualify as an Eligible Director shall not invalidate any Award granted by the Committee that is otherwise validly granted under the Plan. 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spacing w:after="0" w:line="113" w:lineRule="exact"/>
        <w:rPr>
          <w:rFonts w:ascii="Arial" w:cs="Arial" w:eastAsia="Arial" w:hAnsi="Arial"/>
          <w:sz w:val="17"/>
          <w:szCs w:val="17"/>
          <w:color w:val="auto"/>
        </w:rPr>
      </w:pPr>
    </w:p>
    <w:p>
      <w:pPr>
        <w:jc w:val="both"/>
        <w:ind w:left="460" w:right="459" w:firstLine="426"/>
        <w:spacing w:after="0" w:line="267" w:lineRule="auto"/>
        <w:tabs>
          <w:tab w:leader="none" w:pos="146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Committee Authority.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and (x) make any other determination and take any other action that the Committee deems necessary or desirable for the administration of the Plan, in each case, to the extent consistent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-2364740</wp:posOffset>
            </wp:positionV>
            <wp:extent cx="9893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4" w:name="page215"/>
    <w:bookmarkEnd w:id="214"/>
    <w:p>
      <w:pPr>
        <w:jc w:val="both"/>
        <w:ind w:left="460" w:right="459" w:firstLine="426"/>
        <w:spacing w:after="0" w:line="301" w:lineRule="auto"/>
        <w:tabs>
          <w:tab w:leader="none" w:pos="1456"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spacing w:after="0" w:line="76" w:lineRule="exact"/>
        <w:rPr>
          <w:rFonts w:ascii="Arial" w:cs="Arial" w:eastAsia="Arial" w:hAnsi="Arial"/>
          <w:sz w:val="16"/>
          <w:szCs w:val="16"/>
          <w:color w:val="auto"/>
        </w:rPr>
      </w:pPr>
    </w:p>
    <w:p>
      <w:pPr>
        <w:jc w:val="both"/>
        <w:ind w:left="460" w:right="479" w:firstLine="426"/>
        <w:spacing w:after="0" w:line="255" w:lineRule="auto"/>
        <w:tabs>
          <w:tab w:leader="none" w:pos="1466"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stockholder of the Company.</w:t>
      </w:r>
    </w:p>
    <w:p>
      <w:pPr>
        <w:spacing w:after="0" w:line="124" w:lineRule="exact"/>
        <w:rPr>
          <w:rFonts w:ascii="Arial" w:cs="Arial" w:eastAsia="Arial" w:hAnsi="Arial"/>
          <w:sz w:val="18"/>
          <w:szCs w:val="18"/>
          <w:color w:val="auto"/>
        </w:rPr>
      </w:pPr>
    </w:p>
    <w:p>
      <w:pPr>
        <w:jc w:val="both"/>
        <w:ind w:left="460" w:right="459" w:firstLine="426"/>
        <w:spacing w:after="0" w:line="267" w:lineRule="auto"/>
        <w:tabs>
          <w:tab w:leader="none" w:pos="1402"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No member of the Board, the Committee, delegate of the Committee or any employee or agent of the Company (each such person, an “</w:t>
      </w:r>
      <w:r>
        <w:rPr>
          <w:rFonts w:ascii="Arial" w:cs="Arial" w:eastAsia="Arial" w:hAnsi="Arial"/>
          <w:sz w:val="17"/>
          <w:szCs w:val="17"/>
          <w:u w:val="single" w:color="auto"/>
          <w:color w:val="auto"/>
        </w:rPr>
        <w:t>Indemnifiable Person</w:t>
      </w:r>
      <w:r>
        <w:rPr>
          <w:rFonts w:ascii="Arial" w:cs="Arial" w:eastAsia="Arial" w:hAnsi="Arial"/>
          <w:sz w:val="17"/>
          <w:szCs w:val="17"/>
          <w:color w:val="auto"/>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Articles of Incorporation or Bylaws. The foregoing right of indemnification shall not be exclusive of any other rights of indemnification to which such Indemnifiable Persons may be entitled under the Company’s Articles of Incorporation or Bylaws, as a matter of law, or otherwise, or any other power that the Company may have to indemnify such Indemnifiable Persons or hold them harmless.</w:t>
      </w:r>
    </w:p>
    <w:p>
      <w:pPr>
        <w:spacing w:after="0" w:line="112" w:lineRule="exact"/>
        <w:rPr>
          <w:rFonts w:ascii="Arial" w:cs="Arial" w:eastAsia="Arial" w:hAnsi="Arial"/>
          <w:sz w:val="17"/>
          <w:szCs w:val="17"/>
          <w:color w:val="auto"/>
        </w:rPr>
      </w:pPr>
    </w:p>
    <w:p>
      <w:pPr>
        <w:ind w:left="860" w:hanging="406"/>
        <w:spacing w:after="0"/>
        <w:tabs>
          <w:tab w:leader="none" w:pos="8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p>
    <w:p>
      <w:pPr>
        <w:spacing w:after="0" w:line="148" w:lineRule="exact"/>
        <w:rPr>
          <w:rFonts w:ascii="Arial" w:cs="Arial" w:eastAsia="Arial" w:hAnsi="Arial"/>
          <w:sz w:val="18"/>
          <w:szCs w:val="18"/>
          <w:b w:val="1"/>
          <w:bCs w:val="1"/>
          <w:color w:val="auto"/>
        </w:rPr>
      </w:pPr>
    </w:p>
    <w:p>
      <w:pPr>
        <w:ind w:left="1460" w:hanging="574"/>
        <w:spacing w:after="0"/>
        <w:tabs>
          <w:tab w:leader="none" w:pos="14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Committee may, from time to time, grant Awards to one or more Eligible Persons.</w:t>
      </w:r>
    </w:p>
    <w:p>
      <w:pPr>
        <w:spacing w:after="0" w:line="157" w:lineRule="exact"/>
        <w:rPr>
          <w:rFonts w:ascii="Arial" w:cs="Arial" w:eastAsia="Arial" w:hAnsi="Arial"/>
          <w:sz w:val="18"/>
          <w:szCs w:val="18"/>
          <w:color w:val="auto"/>
        </w:rPr>
      </w:pPr>
    </w:p>
    <w:p>
      <w:pPr>
        <w:jc w:val="both"/>
        <w:ind w:left="460" w:right="459" w:firstLine="426"/>
        <w:spacing w:after="0" w:line="272" w:lineRule="auto"/>
        <w:tabs>
          <w:tab w:leader="none" w:pos="1466" w:val="left"/>
        </w:tabs>
        <w:numPr>
          <w:ilvl w:val="1"/>
          <w:numId w:val="213"/>
        </w:numPr>
        <w:rPr>
          <w:rFonts w:ascii="Arial" w:cs="Arial" w:eastAsia="Arial" w:hAnsi="Arial"/>
          <w:sz w:val="17"/>
          <w:szCs w:val="17"/>
          <w:color w:val="auto"/>
        </w:rPr>
      </w:pPr>
      <w:r>
        <w:rPr>
          <w:rFonts w:ascii="Arial" w:cs="Arial" w:eastAsia="Arial" w:hAnsi="Arial"/>
          <w:sz w:val="17"/>
          <w:szCs w:val="17"/>
          <w:color w:val="auto"/>
        </w:rPr>
        <w:t>Subject to Section 5(c) and Section 13 of the Plan, Awards granted under the Plan shall be subject to the following limitations: (i) the Committee is authorized to deliver under the Plan an aggregate of 4,617,400 shares of Common Stock, plus (ii) any Optionholder Earnout Shares, as applicable, which are forfeited by reason of a termination of service or employment following the Effective Date (in the case of this subclause (ii), not to exceed 4,500,000 shares of Common Stock in the aggregate). Subject to Section 13, the maximum aggregate number of Shares that may be issued through the exercise of Incentive Stock Options granted under the Plan is 23,087,000 shares of Common Stock.</w:t>
      </w:r>
    </w:p>
    <w:p>
      <w:pPr>
        <w:spacing w:after="0" w:line="109" w:lineRule="exact"/>
        <w:rPr>
          <w:rFonts w:ascii="Arial" w:cs="Arial" w:eastAsia="Arial" w:hAnsi="Arial"/>
          <w:sz w:val="17"/>
          <w:szCs w:val="17"/>
          <w:color w:val="auto"/>
        </w:rPr>
      </w:pPr>
    </w:p>
    <w:p>
      <w:pPr>
        <w:jc w:val="both"/>
        <w:ind w:left="460" w:right="459" w:firstLine="426"/>
        <w:spacing w:after="0" w:line="296" w:lineRule="auto"/>
        <w:tabs>
          <w:tab w:leader="none" w:pos="1456" w:val="left"/>
        </w:tabs>
        <w:numPr>
          <w:ilvl w:val="1"/>
          <w:numId w:val="213"/>
        </w:numPr>
        <w:rPr>
          <w:rFonts w:ascii="Arial" w:cs="Arial" w:eastAsia="Arial" w:hAnsi="Arial"/>
          <w:sz w:val="16"/>
          <w:szCs w:val="16"/>
          <w:color w:val="auto"/>
        </w:rPr>
      </w:pPr>
      <w:r>
        <w:rPr>
          <w:rFonts w:ascii="Arial" w:cs="Arial" w:eastAsia="Arial" w:hAnsi="Arial"/>
          <w:sz w:val="16"/>
          <w:szCs w:val="16"/>
          <w:color w:val="auto"/>
        </w:rPr>
        <w:t>On each January 1 of each of 2023 through 2032,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provided, that the Board or the Committee may in its sole discretion reduce the amount of the increase in any particular year.</w:t>
      </w:r>
    </w:p>
    <w:p>
      <w:pPr>
        <w:spacing w:after="0" w:line="80" w:lineRule="exact"/>
        <w:rPr>
          <w:rFonts w:ascii="Arial" w:cs="Arial" w:eastAsia="Arial" w:hAnsi="Arial"/>
          <w:sz w:val="16"/>
          <w:szCs w:val="16"/>
          <w:color w:val="auto"/>
        </w:rPr>
      </w:pPr>
    </w:p>
    <w:p>
      <w:pPr>
        <w:jc w:val="both"/>
        <w:ind w:left="460" w:right="479" w:firstLine="426"/>
        <w:spacing w:after="0" w:line="259" w:lineRule="auto"/>
        <w:tabs>
          <w:tab w:leader="none" w:pos="146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the event that (i) any Option or other Award granted hereunder is exercised through the tendering of Shares (either actually or by attestation) or by the withholding of Shares by the Company, or (ii) tax or deduction liabilities arising from such Option or other Award are satisfied by the tendering of Shares (either actually or 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5" w:name="page216"/>
    <w:bookmarkEnd w:id="215"/>
    <w:p>
      <w:pPr>
        <w:jc w:val="both"/>
        <w:ind w:left="460" w:right="459"/>
        <w:spacing w:after="0" w:line="259" w:lineRule="auto"/>
        <w:rPr>
          <w:sz w:val="20"/>
          <w:szCs w:val="20"/>
          <w:color w:val="auto"/>
        </w:rPr>
      </w:pPr>
      <w:r>
        <w:rPr>
          <w:rFonts w:ascii="Arial" w:cs="Arial" w:eastAsia="Arial" w:hAnsi="Arial"/>
          <w:sz w:val="18"/>
          <w:szCs w:val="18"/>
          <w:color w:val="auto"/>
        </w:rPr>
        <w:t>attestation) or by the withholding of Shares by the Company, then in each such case the Shares so tendered or withheld shall be added to the Shares available for grant under the Plan on a one-for-one basis. Shares underlying Awards under the Plan that are forfeited, canceled, expire unexercised, or are settled in cash shall also be available again for issuance as Awards under the Plan.</w:t>
      </w:r>
    </w:p>
    <w:p>
      <w:pPr>
        <w:spacing w:after="0" w:line="106" w:lineRule="exact"/>
        <w:rPr>
          <w:sz w:val="20"/>
          <w:szCs w:val="20"/>
          <w:color w:val="auto"/>
        </w:rPr>
      </w:pPr>
    </w:p>
    <w:p>
      <w:pPr>
        <w:jc w:val="both"/>
        <w:ind w:left="460" w:right="459" w:firstLine="426"/>
        <w:spacing w:after="0" w:line="263" w:lineRule="auto"/>
        <w:tabs>
          <w:tab w:leader="none" w:pos="145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Shares delivered by the Company in settlement of Awards may be authorized and unissued shares, shares held in the treasury of the Company, shares purchased on the open market or by private purchase, or a combination of the foregoing.</w:t>
      </w:r>
    </w:p>
    <w:p>
      <w:pPr>
        <w:spacing w:after="0" w:line="116" w:lineRule="exact"/>
        <w:rPr>
          <w:rFonts w:ascii="Arial" w:cs="Arial" w:eastAsia="Arial" w:hAnsi="Arial"/>
          <w:sz w:val="18"/>
          <w:szCs w:val="18"/>
          <w:color w:val="auto"/>
        </w:rPr>
      </w:pPr>
    </w:p>
    <w:p>
      <w:pPr>
        <w:jc w:val="both"/>
        <w:ind w:left="460" w:right="459" w:firstLine="426"/>
        <w:spacing w:after="0" w:line="279" w:lineRule="auto"/>
        <w:tabs>
          <w:tab w:leader="none" w:pos="143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Awards may, in the sole discretion of the Committee, be granted under the Plan in assumption of, or in substitution for, outstanding awards previously granted by an entity acquired by the Company or with which the Company combines (“</w:t>
      </w:r>
      <w:r>
        <w:rPr>
          <w:rFonts w:ascii="Arial" w:cs="Arial" w:eastAsia="Arial" w:hAnsi="Arial"/>
          <w:sz w:val="17"/>
          <w:szCs w:val="17"/>
          <w:u w:val="single" w:color="auto"/>
          <w:color w:val="auto"/>
        </w:rPr>
        <w:t>Substitute Awards</w:t>
      </w:r>
      <w:r>
        <w:rPr>
          <w:rFonts w:ascii="Arial" w:cs="Arial" w:eastAsia="Arial" w:hAnsi="Arial"/>
          <w:sz w:val="17"/>
          <w:szCs w:val="17"/>
          <w:color w:val="auto"/>
        </w:rPr>
        <w:t>”). The number of Shares underlying any Substitute Awards shall not be counted against the aggregate number of Shares available for Awards under the Plan.</w:t>
      </w:r>
    </w:p>
    <w:p>
      <w:pPr>
        <w:spacing w:after="0" w:line="99" w:lineRule="exact"/>
        <w:rPr>
          <w:rFonts w:ascii="Arial" w:cs="Arial" w:eastAsia="Arial" w:hAnsi="Arial"/>
          <w:sz w:val="17"/>
          <w:szCs w:val="17"/>
          <w:color w:val="auto"/>
        </w:rPr>
      </w:pPr>
    </w:p>
    <w:p>
      <w:pPr>
        <w:jc w:val="both"/>
        <w:ind w:left="460" w:right="479" w:hanging="6"/>
        <w:spacing w:after="0" w:line="266" w:lineRule="auto"/>
        <w:tabs>
          <w:tab w:leader="none" w:pos="865"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Participation shall be limited to Eligible Persons who have entered into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who have received written notification from the Committee, or from a person designated by the Committee, that they have been selected to participate in the Plan.</w:t>
      </w:r>
    </w:p>
    <w:p>
      <w:pPr>
        <w:spacing w:after="0" w:line="94" w:lineRule="exact"/>
        <w:rPr>
          <w:rFonts w:ascii="Arial" w:cs="Arial" w:eastAsia="Arial" w:hAnsi="Arial"/>
          <w:sz w:val="18"/>
          <w:szCs w:val="18"/>
          <w:b w:val="1"/>
          <w:bCs w:val="1"/>
          <w:color w:val="auto"/>
        </w:rPr>
      </w:pPr>
    </w:p>
    <w:p>
      <w:pPr>
        <w:ind w:left="860" w:hanging="406"/>
        <w:spacing w:after="0"/>
        <w:tabs>
          <w:tab w:leader="none" w:pos="8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161" w:lineRule="exact"/>
        <w:rPr>
          <w:rFonts w:ascii="Arial" w:cs="Arial" w:eastAsia="Arial" w:hAnsi="Arial"/>
          <w:sz w:val="18"/>
          <w:szCs w:val="18"/>
          <w:b w:val="1"/>
          <w:bCs w:val="1"/>
          <w:color w:val="auto"/>
        </w:rPr>
      </w:pPr>
    </w:p>
    <w:p>
      <w:pPr>
        <w:jc w:val="both"/>
        <w:ind w:left="460" w:right="459" w:firstLine="426"/>
        <w:spacing w:after="0" w:line="254" w:lineRule="auto"/>
        <w:tabs>
          <w:tab w:leader="none" w:pos="1456"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w:t>
      </w:r>
    </w:p>
    <w:p>
      <w:pPr>
        <w:spacing w:after="0" w:line="127" w:lineRule="exact"/>
        <w:rPr>
          <w:rFonts w:ascii="Arial" w:cs="Arial" w:eastAsia="Arial" w:hAnsi="Arial"/>
          <w:sz w:val="18"/>
          <w:szCs w:val="18"/>
          <w:color w:val="auto"/>
        </w:rPr>
      </w:pPr>
    </w:p>
    <w:p>
      <w:pPr>
        <w:jc w:val="both"/>
        <w:ind w:left="460" w:right="459" w:firstLine="426"/>
        <w:spacing w:after="0" w:line="287" w:lineRule="auto"/>
        <w:tabs>
          <w:tab w:leader="none" w:pos="146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 xml:space="preserve">Incentive Stock Options.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86" w:lineRule="exact"/>
        <w:rPr>
          <w:rFonts w:ascii="Arial" w:cs="Arial" w:eastAsia="Arial" w:hAnsi="Arial"/>
          <w:sz w:val="16"/>
          <w:szCs w:val="16"/>
          <w:color w:val="auto"/>
        </w:rPr>
      </w:pPr>
    </w:p>
    <w:p>
      <w:pPr>
        <w:jc w:val="both"/>
        <w:ind w:left="460" w:right="459" w:firstLine="426"/>
        <w:spacing w:after="0" w:line="290" w:lineRule="auto"/>
        <w:tabs>
          <w:tab w:leader="none" w:pos="1456"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Exercise Price. Except with respect to Substitute Awards, the exercise price (“</w:t>
      </w:r>
      <w:r>
        <w:rPr>
          <w:rFonts w:ascii="Arial" w:cs="Arial" w:eastAsia="Arial" w:hAnsi="Arial"/>
          <w:sz w:val="16"/>
          <w:szCs w:val="16"/>
          <w:u w:val="single" w:color="auto"/>
          <w:color w:val="auto"/>
        </w:rPr>
        <w:t>Exercise Price</w:t>
      </w:r>
      <w:r>
        <w:rPr>
          <w:rFonts w:ascii="Arial" w:cs="Arial" w:eastAsia="Arial" w:hAnsi="Arial"/>
          <w:sz w:val="16"/>
          <w:szCs w:val="16"/>
          <w:color w:val="auto"/>
        </w:rPr>
        <w:t xml:space="preserve">”) per Share for each Option shall not be less than 100% of the Fair Market Value of such share determined as of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 xml:space="preserve">r, that in the case of an Incentive Stock Option granted to an employee who, at the time of the grant of such Option, owns shares representing more than 10% of the total combined voting power of all classes of shares of the Company or any related corporation (as determined in accordance with Treasury Regulation Section 1.422-2(f)), the Exercise Price per share shall not be less than 110% of the Fair Market Value per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notwithstanding any provision herein to the contrary, the Exercise Price shall not be less than the par value per Share.</w:t>
      </w:r>
    </w:p>
    <w:p>
      <w:pPr>
        <w:spacing w:after="0" w:line="97" w:lineRule="exact"/>
        <w:rPr>
          <w:rFonts w:ascii="Arial" w:cs="Arial" w:eastAsia="Arial" w:hAnsi="Arial"/>
          <w:sz w:val="16"/>
          <w:szCs w:val="16"/>
          <w:color w:val="auto"/>
        </w:rPr>
      </w:pPr>
    </w:p>
    <w:p>
      <w:pPr>
        <w:jc w:val="both"/>
        <w:ind w:left="460" w:right="459" w:firstLine="426"/>
        <w:spacing w:after="0" w:line="254" w:lineRule="auto"/>
        <w:tabs>
          <w:tab w:leader="none" w:pos="146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Vesting and Expiration. Options shall vest and become exercisable in such manner and on such date or dates determined by the Committee and shall expire after such period, not to exceed ten years, as may be determined by the Committee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w:t>
      </w:r>
      <w:r>
        <w:rPr>
          <w:rFonts w:ascii="Arial" w:cs="Arial" w:eastAsia="Arial" w:hAnsi="Arial"/>
          <w:sz w:val="18"/>
          <w:szCs w:val="18"/>
          <w:color w:val="auto"/>
        </w:rPr>
        <w:t xml:space="preserve">r, that the Option Period shall not exceed five years from the Date of Grant in the case of an Incentive Stock Option granted to a Participant who on the Date of Grant owns shares representing more than 10% of the total combined voting power of all classes of shares of the Company or any related corporation (as determined in accordance with Treasury Regulation Section 1.422-2(f));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-3775710</wp:posOffset>
            </wp:positionV>
            <wp:extent cx="112141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1121410" cy="8255"/>
                    </a:xfrm>
                    <a:prstGeom prst="rect">
                      <a:avLst/>
                    </a:prstGeom>
                    <a:noFill/>
                  </pic:spPr>
                </pic:pic>
              </a:graphicData>
            </a:graphic>
          </wp:anchor>
        </w:drawing>
        <w:drawing>
          <wp:anchor simplePos="0" relativeHeight="251657728" behindDoc="1" locked="0" layoutInCell="0" allowOverlap="1">
            <wp:simplePos x="0" y="0"/>
            <wp:positionH relativeFrom="column">
              <wp:posOffset>920750</wp:posOffset>
            </wp:positionH>
            <wp:positionV relativeFrom="paragraph">
              <wp:posOffset>-2044065</wp:posOffset>
            </wp:positionV>
            <wp:extent cx="6565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656590"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-852805</wp:posOffset>
            </wp:positionV>
            <wp:extent cx="10642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6" w:name="page217"/>
    <w:bookmarkEnd w:id="216"/>
    <w:p>
      <w:pPr>
        <w:jc w:val="both"/>
        <w:ind w:left="460" w:right="459"/>
        <w:spacing w:after="0" w:line="291" w:lineRule="auto"/>
        <w:rPr>
          <w:sz w:val="20"/>
          <w:szCs w:val="20"/>
          <w:color w:val="auto"/>
        </w:rPr>
      </w:pP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notwithstanding any vesting dates set by the Committee, the Committee may, in its sole discretion, accelerate the exercisability of any Option, which acceleration shall not affect the terms and conditions of such Option other than with respect to exercisability. If the Option would expire at a time when the exercise of the Option would violate applicable securities laws, the expiration date applicable to the Option will be automatically extended to a date that is 30 calendar days following the date such exercise would no longer violate applicable securities laws (so long as such extension shall not violate Section 409A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such expiration date be extended beyond the expiration of the Option Period.</w:t>
      </w:r>
    </w:p>
    <w:p>
      <w:pPr>
        <w:spacing w:after="0" w:line="85" w:lineRule="exact"/>
        <w:rPr>
          <w:sz w:val="20"/>
          <w:szCs w:val="20"/>
          <w:color w:val="auto"/>
        </w:rPr>
      </w:pPr>
    </w:p>
    <w:p>
      <w:pPr>
        <w:jc w:val="both"/>
        <w:ind w:left="460" w:right="459" w:firstLine="426"/>
        <w:spacing w:after="0" w:line="284" w:lineRule="auto"/>
        <w:tabs>
          <w:tab w:leader="none" w:pos="1456"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Method of Exercise and Form of Payment.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Stock valued at the Fair Market Value at the time the Option is exercised (including, pursuant to procedures approved by the Committee, by means of attestation of ownership of a sufficient number of Shares in lieu of actual delivery of such shares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Shares are not subject to any pledge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(B) if there is a public market for the Common Stock at such time, by means of a broker-assisted “cashless exercise” pursuant to which the Company is delivered a copy of irrevocable instructions to a stockbroker to sell the Shares otherwise deliverable upon the exercise of the Option and to deliver promptly to the Company an amount equal to the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12" w:lineRule="exact"/>
        <w:rPr>
          <w:rFonts w:ascii="Arial" w:cs="Arial" w:eastAsia="Arial" w:hAnsi="Arial"/>
          <w:sz w:val="16"/>
          <w:szCs w:val="16"/>
          <w:color w:val="auto"/>
        </w:rPr>
      </w:pPr>
    </w:p>
    <w:p>
      <w:pPr>
        <w:jc w:val="both"/>
        <w:ind w:left="460" w:right="459" w:firstLine="426"/>
        <w:spacing w:after="0" w:line="270" w:lineRule="auto"/>
        <w:tabs>
          <w:tab w:leader="none" w:pos="143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Notification upon Disqualifying Disposition of an Incentive Stock Option. Each Participant awarded an Incentive Stock Option under the Plan shall notify the Company in writing immediately after the date he makes a disqualifying disposition of any Shares acquired pursuant to the exercise of such Incentive Stock Option. A disqualifying disposition is any disposition (including, without limitation, any sale) of such Shares before the later of (i) two years after the Date of Grant of the Incentive Stock Option or (ii) one year after the date of exercise of the Incentive Stock Option. The Company may, if determined by the Committee and in accordance with procedures established by the Committee, retain possession of any Shares acquired pursuant to the exercise of an Incentive Stock Option as agent for the applicable Participant until the end of the period described in the preceding sentence.</w:t>
      </w:r>
    </w:p>
    <w:p>
      <w:pPr>
        <w:spacing w:after="0" w:line="113" w:lineRule="exact"/>
        <w:rPr>
          <w:rFonts w:ascii="Arial" w:cs="Arial" w:eastAsia="Arial" w:hAnsi="Arial"/>
          <w:sz w:val="17"/>
          <w:szCs w:val="17"/>
          <w:color w:val="auto"/>
        </w:rPr>
      </w:pPr>
    </w:p>
    <w:p>
      <w:pPr>
        <w:jc w:val="both"/>
        <w:ind w:left="460" w:right="459" w:firstLine="426"/>
        <w:spacing w:after="0" w:line="275" w:lineRule="auto"/>
        <w:tabs>
          <w:tab w:leader="none" w:pos="1466" w:val="left"/>
        </w:tabs>
        <w:numPr>
          <w:ilvl w:val="1"/>
          <w:numId w:val="216"/>
        </w:numPr>
        <w:rPr>
          <w:rFonts w:ascii="Arial" w:cs="Arial" w:eastAsia="Arial" w:hAnsi="Arial"/>
          <w:sz w:val="17"/>
          <w:szCs w:val="17"/>
          <w:color w:val="auto"/>
        </w:rPr>
      </w:pPr>
      <w:r>
        <w:rPr>
          <w:rFonts w:ascii="Arial" w:cs="Arial" w:eastAsia="Arial" w:hAnsi="Arial"/>
          <w:sz w:val="17"/>
          <w:szCs w:val="17"/>
          <w:color w:val="auto"/>
        </w:rPr>
        <w:t>Compliance With Laws, etc. Notwithstanding the foregoing, in no event shall a Participant be permitted to exercise an Option in a manner that the Committee determines would violate the Sarbanes Oxley Act of 2002, if applicable; any other Applicable Law; the applicable rules and regulations of the Securities and Exchange Commission; or the applicable rules and regulations of any securities exchange or inter-dealer quotation system on which the securities of the Company are listed or traded.</w:t>
      </w:r>
    </w:p>
    <w:p>
      <w:pPr>
        <w:spacing w:after="0" w:line="91" w:lineRule="exact"/>
        <w:rPr>
          <w:rFonts w:ascii="Arial" w:cs="Arial" w:eastAsia="Arial" w:hAnsi="Arial"/>
          <w:sz w:val="17"/>
          <w:szCs w:val="17"/>
          <w:color w:val="auto"/>
        </w:rPr>
      </w:pPr>
    </w:p>
    <w:p>
      <w:pPr>
        <w:ind w:left="860" w:hanging="406"/>
        <w:spacing w:after="0"/>
        <w:tabs>
          <w:tab w:leader="none" w:pos="8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61" w:lineRule="exact"/>
        <w:rPr>
          <w:rFonts w:ascii="Arial" w:cs="Arial" w:eastAsia="Arial" w:hAnsi="Arial"/>
          <w:sz w:val="18"/>
          <w:szCs w:val="18"/>
          <w:b w:val="1"/>
          <w:bCs w:val="1"/>
          <w:color w:val="auto"/>
        </w:rPr>
      </w:pPr>
    </w:p>
    <w:p>
      <w:pPr>
        <w:jc w:val="both"/>
        <w:ind w:left="460" w:right="459" w:firstLine="426"/>
        <w:spacing w:after="0" w:line="273" w:lineRule="auto"/>
        <w:tabs>
          <w:tab w:leader="none" w:pos="1456"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10" w:lineRule="exact"/>
        <w:rPr>
          <w:rFonts w:ascii="Arial" w:cs="Arial" w:eastAsia="Arial" w:hAnsi="Arial"/>
          <w:sz w:val="17"/>
          <w:szCs w:val="17"/>
          <w:color w:val="auto"/>
        </w:rPr>
      </w:pPr>
    </w:p>
    <w:p>
      <w:pPr>
        <w:ind w:left="460" w:right="459" w:firstLine="426"/>
        <w:spacing w:after="0" w:line="277" w:lineRule="auto"/>
        <w:tabs>
          <w:tab w:leader="none" w:pos="146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Strike Price. The Strike Price per Share for each SAR shall not be less than 100% of the Fair Market Value of such share determined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-6405880</wp:posOffset>
            </wp:positionV>
            <wp:extent cx="1925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1925320" cy="825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-3430905</wp:posOffset>
            </wp:positionV>
            <wp:extent cx="36442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3644265" cy="889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-2102485</wp:posOffset>
            </wp:positionV>
            <wp:extent cx="13220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1322070"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-182245</wp:posOffset>
            </wp:positionV>
            <wp:extent cx="5448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54483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7" w:name="page218"/>
    <w:bookmarkEnd w:id="217"/>
    <w:p>
      <w:pPr>
        <w:jc w:val="both"/>
        <w:ind w:left="460" w:right="459" w:firstLine="426"/>
        <w:spacing w:after="0" w:line="269" w:lineRule="auto"/>
        <w:tabs>
          <w:tab w:leader="none" w:pos="126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Vesting and Expiration. 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7"/>
          <w:szCs w:val="17"/>
          <w:u w:val="single" w:color="auto"/>
          <w:color w:val="auto"/>
        </w:rPr>
        <w:t>SAR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w:t>
      </w:r>
      <w:r>
        <w:rPr>
          <w:rFonts w:ascii="Arial" w:cs="Arial" w:eastAsia="Arial" w:hAnsi="Arial"/>
          <w:sz w:val="17"/>
          <w:szCs w:val="17"/>
          <w:color w:val="auto"/>
        </w:rPr>
        <w:t xml:space="preserve">r, that notwithstanding any vesting dates set by the Committee, the Committee may, in its sole discretion, accelerate the exercisability of any SAR, which acceleration shall not affect the terms and conditions of such SAR other than with respect to exercisability. If the SAR would expire at a time when the exercise of the SAR would violate applicable securities laws, the expiration date applicable to the SAR will be automatically extended to a date that is 30 calendar days following the date such exercise would no longer violate applicable securities laws (so long as such extension shall not violate Section 409A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such expiration date be extended beyond the expiration of the SAR Period.</w:t>
      </w:r>
    </w:p>
    <w:p>
      <w:pPr>
        <w:spacing w:after="0" w:line="97" w:lineRule="exact"/>
        <w:rPr>
          <w:rFonts w:ascii="Arial" w:cs="Arial" w:eastAsia="Arial" w:hAnsi="Arial"/>
          <w:sz w:val="17"/>
          <w:szCs w:val="17"/>
          <w:color w:val="auto"/>
        </w:rPr>
      </w:pPr>
    </w:p>
    <w:p>
      <w:pPr>
        <w:jc w:val="both"/>
        <w:ind w:left="460" w:right="459" w:firstLine="426"/>
        <w:spacing w:after="0" w:line="263" w:lineRule="auto"/>
        <w:tabs>
          <w:tab w:leader="none" w:pos="127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Method of Exercise. SARs that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16" w:lineRule="exact"/>
        <w:rPr>
          <w:rFonts w:ascii="Arial" w:cs="Arial" w:eastAsia="Arial" w:hAnsi="Arial"/>
          <w:sz w:val="18"/>
          <w:szCs w:val="18"/>
          <w:color w:val="auto"/>
        </w:rPr>
      </w:pPr>
    </w:p>
    <w:p>
      <w:pPr>
        <w:jc w:val="both"/>
        <w:ind w:left="460" w:right="459" w:firstLine="426"/>
        <w:spacing w:after="0" w:line="290" w:lineRule="auto"/>
        <w:tabs>
          <w:tab w:leader="none" w:pos="1267"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Paymen</w:t>
      </w:r>
      <w:r>
        <w:rPr>
          <w:rFonts w:ascii="Arial" w:cs="Arial" w:eastAsia="Arial" w:hAnsi="Arial"/>
          <w:sz w:val="16"/>
          <w:szCs w:val="16"/>
          <w:color w:val="auto"/>
        </w:rPr>
        <w:t>t. Upon the exercise of a SAR, the Company shall pay to the Participant an amount equal to the number of shares subject to the SAR that are being exercised, multiplied by the excess, if any, of the Fair Market Value of one Share on the exercise date over the Strike Price, less an amount equal to any taxes required to be withheld or paid. The Company shall pay such amount in cash, in Common Stock having a Fair Market Value equal to such amount, or any combination thereof, as determined by the Committee.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93" w:lineRule="exact"/>
        <w:rPr>
          <w:rFonts w:ascii="Arial" w:cs="Arial" w:eastAsia="Arial" w:hAnsi="Arial"/>
          <w:sz w:val="16"/>
          <w:szCs w:val="16"/>
          <w:color w:val="auto"/>
        </w:rPr>
      </w:pPr>
    </w:p>
    <w:p>
      <w:pPr>
        <w:ind w:left="860" w:hanging="406"/>
        <w:spacing w:after="0"/>
        <w:tabs>
          <w:tab w:leader="none" w:pos="8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148" w:lineRule="exact"/>
        <w:rPr>
          <w:rFonts w:ascii="Arial" w:cs="Arial" w:eastAsia="Arial" w:hAnsi="Arial"/>
          <w:sz w:val="18"/>
          <w:szCs w:val="18"/>
          <w:b w:val="1"/>
          <w:bCs w:val="1"/>
          <w:color w:val="auto"/>
        </w:rPr>
      </w:pPr>
    </w:p>
    <w:p>
      <w:pPr>
        <w:jc w:val="both"/>
        <w:ind w:left="460" w:right="459" w:firstLine="426"/>
        <w:spacing w:after="0" w:line="257" w:lineRule="auto"/>
        <w:tabs>
          <w:tab w:leader="none" w:pos="1267"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spacing w:after="0" w:line="120" w:lineRule="exact"/>
        <w:rPr>
          <w:rFonts w:ascii="Arial" w:cs="Arial" w:eastAsia="Arial" w:hAnsi="Arial"/>
          <w:sz w:val="18"/>
          <w:szCs w:val="18"/>
          <w:color w:val="auto"/>
        </w:rPr>
      </w:pPr>
    </w:p>
    <w:p>
      <w:pPr>
        <w:jc w:val="both"/>
        <w:ind w:left="460" w:right="459" w:firstLine="426"/>
        <w:spacing w:after="0" w:line="268" w:lineRule="auto"/>
        <w:tabs>
          <w:tab w:leader="none" w:pos="1277" w:val="left"/>
        </w:tabs>
        <w:numPr>
          <w:ilvl w:val="1"/>
          <w:numId w:val="219"/>
        </w:numPr>
        <w:rPr>
          <w:rFonts w:ascii="Arial" w:cs="Arial" w:eastAsia="Arial" w:hAnsi="Arial"/>
          <w:sz w:val="17"/>
          <w:szCs w:val="17"/>
          <w:color w:val="auto"/>
        </w:rPr>
      </w:pPr>
      <w:r>
        <w:rPr>
          <w:rFonts w:ascii="Arial" w:cs="Arial" w:eastAsia="Arial" w:hAnsi="Arial"/>
          <w:sz w:val="17"/>
          <w:szCs w:val="17"/>
          <w:color w:val="auto"/>
        </w:rPr>
        <w:t>Restricted Accounts; Escrow or Similar Arrangement. 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 agreement evidencing an Award of Restricted Stock and, if applicable, an escrow agreement and blank stock power within the amount of time specified by the Committee, the Award shall be null and void. Subject to the restrictions set forth in this Section 9 and the applicable Award Agreement, the Participant generally shall have the rights and privileges of a stockholder as to such Restricted Stock, including, without limitation, the right to vote such Restricted Stock and the right to receive dividends, if applicable. To the extent shares of Restricted Stock are forfeited, any share certificates issued to the Participant evidencing such shares shall be returned to the Company, and all rights of the Participant to such shares and as a stockholder with respect thereto shall terminate without further obligation on the part of the Company.</w:t>
      </w:r>
    </w:p>
    <w:p>
      <w:pPr>
        <w:spacing w:after="0" w:line="114" w:lineRule="exact"/>
        <w:rPr>
          <w:rFonts w:ascii="Arial" w:cs="Arial" w:eastAsia="Arial" w:hAnsi="Arial"/>
          <w:sz w:val="17"/>
          <w:szCs w:val="17"/>
          <w:color w:val="auto"/>
        </w:rPr>
      </w:pPr>
    </w:p>
    <w:p>
      <w:pPr>
        <w:jc w:val="both"/>
        <w:ind w:left="460" w:right="479" w:firstLine="426"/>
        <w:spacing w:after="0" w:line="263" w:lineRule="auto"/>
        <w:tabs>
          <w:tab w:leader="none" w:pos="1267"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Unless otherwise provided by the Committee in an Award Agreement the unvested portion of Restricted Stock and Restricted Stock Units shall terminate and be forfeited upon termination of employment or service of the Participant granted the applicable Award.</w:t>
      </w:r>
    </w:p>
    <w:p>
      <w:pPr>
        <w:spacing w:after="0" w:line="102" w:lineRule="exact"/>
        <w:rPr>
          <w:rFonts w:ascii="Arial" w:cs="Arial" w:eastAsia="Arial" w:hAnsi="Arial"/>
          <w:sz w:val="18"/>
          <w:szCs w:val="18"/>
          <w:color w:val="auto"/>
        </w:rPr>
      </w:pPr>
    </w:p>
    <w:p>
      <w:pPr>
        <w:ind w:left="1280" w:hanging="394"/>
        <w:spacing w:after="0"/>
        <w:tabs>
          <w:tab w:leader="none" w:pos="12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Delivery of Restricted Stock and Settlement of Restricted Stock Units.</w:t>
      </w:r>
    </w:p>
    <w:p>
      <w:pPr>
        <w:spacing w:after="0" w:line="157" w:lineRule="exact"/>
        <w:rPr>
          <w:rFonts w:ascii="Arial" w:cs="Arial" w:eastAsia="Arial" w:hAnsi="Arial"/>
          <w:sz w:val="18"/>
          <w:szCs w:val="18"/>
          <w:color w:val="auto"/>
        </w:rPr>
      </w:pPr>
    </w:p>
    <w:p>
      <w:pPr>
        <w:jc w:val="both"/>
        <w:ind w:left="1100" w:right="459" w:firstLine="200"/>
        <w:spacing w:after="0" w:line="259" w:lineRule="auto"/>
        <w:tabs>
          <w:tab w:leader="none" w:pos="1832" w:val="left"/>
        </w:tabs>
        <w:numPr>
          <w:ilvl w:val="2"/>
          <w:numId w:val="219"/>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-7758430</wp:posOffset>
            </wp:positionV>
            <wp:extent cx="10553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105537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-6026785</wp:posOffset>
            </wp:positionV>
            <wp:extent cx="9010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90106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-3326765</wp:posOffset>
            </wp:positionV>
            <wp:extent cx="24745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2474595"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-677545</wp:posOffset>
            </wp:positionV>
            <wp:extent cx="31508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3150870"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8" w:name="page219"/>
    <w:bookmarkEnd w:id="218"/>
    <w:p>
      <w:pPr>
        <w:jc w:val="both"/>
        <w:ind w:left="1100" w:right="459"/>
        <w:spacing w:after="0" w:line="289" w:lineRule="auto"/>
        <w:rPr>
          <w:sz w:val="20"/>
          <w:szCs w:val="20"/>
          <w:color w:val="auto"/>
        </w:rPr>
      </w:pPr>
      <w:r>
        <w:rPr>
          <w:rFonts w:ascii="Arial" w:cs="Arial" w:eastAsia="Arial" w:hAnsi="Arial"/>
          <w:sz w:val="16"/>
          <w:szCs w:val="16"/>
          <w:color w:val="auto"/>
        </w:rPr>
        <w:t>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or shall register such shares in the Participants name without any such restrictions. Dividends, if any, that may have been withheld by the Committee and attributable to any particular share of Restricted Stock shall be distributed to the Participant in cash or, at the sole discretion of the Committee, in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spacing w:after="0" w:line="85" w:lineRule="exact"/>
        <w:rPr>
          <w:sz w:val="20"/>
          <w:szCs w:val="20"/>
          <w:color w:val="auto"/>
        </w:rPr>
      </w:pPr>
    </w:p>
    <w:p>
      <w:pPr>
        <w:jc w:val="both"/>
        <w:ind w:left="1100" w:right="459" w:firstLine="200"/>
        <w:spacing w:after="0" w:line="269" w:lineRule="auto"/>
        <w:tabs>
          <w:tab w:leader="none" w:pos="1788" w:val="left"/>
        </w:tabs>
        <w:numPr>
          <w:ilvl w:val="2"/>
          <w:numId w:val="220"/>
        </w:numPr>
        <w:rPr>
          <w:rFonts w:ascii="Arial" w:cs="Arial" w:eastAsia="Arial" w:hAnsi="Arial"/>
          <w:sz w:val="17"/>
          <w:szCs w:val="17"/>
          <w:color w:val="auto"/>
        </w:rPr>
      </w:pPr>
      <w:r>
        <w:rPr>
          <w:rFonts w:ascii="Arial" w:cs="Arial" w:eastAsia="Arial" w:hAnsi="Arial"/>
          <w:sz w:val="17"/>
          <w:szCs w:val="17"/>
          <w:color w:val="auto"/>
        </w:rPr>
        <w:t xml:space="preserve">Unless otherwise provided by the Committee in an Award Agreement, upon the expiration of the Restricted Period with respect to any outstanding Restricted Stock Units, the Company shall deliver to the Participant, or his beneficiary, without charge, one share of Common Stock for each such outstanding Restricted Stock Unit;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in its sole discretion, elect to (A) pay cash or part cash and part Common Stock in lieu of delivering only Common Stock in respect of such Restricted Stock Units or (B) defer the delivery of shares of Common Stock (or cash or part Common Stock and part cash, as the case may be) beyond the expiration of the Restricted Period if such delivery would result in a violation of Applicable Law until such time as is no longer the case. If a cash payment is made in lieu of delivering Common Stock, the amount of such payment shall be equal to the Fair Market Value of the Common Stock as of the date on which the Restricted Period lapsed with respect to such Restricted Stock Units, less an amount equal to any taxes required to be withheld or paid.</w:t>
      </w:r>
    </w:p>
    <w:p>
      <w:pPr>
        <w:spacing w:after="0" w:line="107" w:lineRule="exact"/>
        <w:rPr>
          <w:rFonts w:ascii="Arial" w:cs="Arial" w:eastAsia="Arial" w:hAnsi="Arial"/>
          <w:sz w:val="17"/>
          <w:szCs w:val="17"/>
          <w:color w:val="auto"/>
        </w:rPr>
      </w:pPr>
    </w:p>
    <w:p>
      <w:pPr>
        <w:ind w:left="860" w:hanging="406"/>
        <w:spacing w:after="0"/>
        <w:tabs>
          <w:tab w:leader="none" w:pos="8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 and Other Cash-Based Awards.</w:t>
      </w:r>
    </w:p>
    <w:p>
      <w:pPr>
        <w:spacing w:after="0" w:line="161" w:lineRule="exact"/>
        <w:rPr>
          <w:rFonts w:ascii="Arial" w:cs="Arial" w:eastAsia="Arial" w:hAnsi="Arial"/>
          <w:sz w:val="18"/>
          <w:szCs w:val="18"/>
          <w:b w:val="1"/>
          <w:bCs w:val="1"/>
          <w:color w:val="auto"/>
        </w:rPr>
      </w:pPr>
    </w:p>
    <w:p>
      <w:pPr>
        <w:jc w:val="both"/>
        <w:ind w:left="460" w:right="459" w:firstLine="426"/>
        <w:spacing w:after="0" w:line="272" w:lineRule="auto"/>
        <w:tabs>
          <w:tab w:leader="none" w:pos="1267"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Other Stock-Based Awards</w:t>
      </w:r>
      <w:r>
        <w:rPr>
          <w:rFonts w:ascii="Arial" w:cs="Arial" w:eastAsia="Arial" w:hAnsi="Arial"/>
          <w:sz w:val="17"/>
          <w:szCs w:val="17"/>
          <w:color w:val="auto"/>
        </w:rPr>
        <w:t>. The Committee may grant types of equity-based or equity related Awards not otherwise described by the terms of the Plan (including the grant or offer for sale of unrestricted Common Stock), in such amounts and subject to such terms and conditions, as the Committee shall determine. Such Other Stock-Based Awards may involve the transfer of actual shares of Common Stock to Participants, or payment in cash or otherwise of amounts based on the value of Common Stock. The terms and conditions of such Awards shall be consistent with the Plan and set forth in the Award Agreement and need not be uniform among all such Awards or all Participants receiving such Awards.</w:t>
      </w:r>
    </w:p>
    <w:p>
      <w:pPr>
        <w:spacing w:after="0" w:line="96" w:lineRule="exact"/>
        <w:rPr>
          <w:rFonts w:ascii="Arial" w:cs="Arial" w:eastAsia="Arial" w:hAnsi="Arial"/>
          <w:sz w:val="17"/>
          <w:szCs w:val="17"/>
          <w:color w:val="auto"/>
        </w:rPr>
      </w:pPr>
    </w:p>
    <w:p>
      <w:pPr>
        <w:jc w:val="both"/>
        <w:ind w:left="460" w:right="459" w:firstLine="426"/>
        <w:spacing w:after="0" w:line="263" w:lineRule="auto"/>
        <w:tabs>
          <w:tab w:leader="none" w:pos="1277"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Other Cash-Based Awards</w:t>
      </w:r>
      <w:r>
        <w:rPr>
          <w:rFonts w:ascii="Arial" w:cs="Arial" w:eastAsia="Arial" w:hAnsi="Arial"/>
          <w:sz w:val="18"/>
          <w:szCs w:val="18"/>
          <w:color w:val="auto"/>
        </w:rPr>
        <w:t>. The Committee may grant a Participant a cash Award not otherwise described by the terms of the Plan, including cash awarded as a bonus or upon the attainment of Performance Goals or otherwise as permitted under the Plan.</w:t>
      </w:r>
    </w:p>
    <w:p>
      <w:pPr>
        <w:spacing w:after="0" w:line="116" w:lineRule="exact"/>
        <w:rPr>
          <w:rFonts w:ascii="Arial" w:cs="Arial" w:eastAsia="Arial" w:hAnsi="Arial"/>
          <w:sz w:val="18"/>
          <w:szCs w:val="18"/>
          <w:color w:val="auto"/>
        </w:rPr>
      </w:pPr>
    </w:p>
    <w:p>
      <w:pPr>
        <w:jc w:val="both"/>
        <w:ind w:left="460" w:right="459" w:firstLine="426"/>
        <w:spacing w:after="0" w:line="291" w:lineRule="auto"/>
        <w:tabs>
          <w:tab w:leader="none" w:pos="1267"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Value of Awards</w:t>
      </w:r>
      <w:r>
        <w:rPr>
          <w:rFonts w:ascii="Arial" w:cs="Arial" w:eastAsia="Arial" w:hAnsi="Arial"/>
          <w:sz w:val="16"/>
          <w:szCs w:val="16"/>
          <w:color w:val="auto"/>
        </w:rPr>
        <w:t>. Each Other Stock-Based Award shall be expressed in terms of shares of Common Stock or units based on Common Stock, as determined by the Committee, and each Other Cash-Based Awards shall be shall be expressed in terms of cash, as determined by the Committee. The Committee may establish Performance Goals in its discretion pursuant to Section 12, and any such Performance Goals shall be set forth in the applicable Award Agreement. If the Committee exercises its discretion to establish Performance Goals, the number and/or value of Other Stock-Based Awards or Other Cash-Based Awards that will be paid out to the Participant will depend on the extent to which such Performance Goals are met.</w:t>
      </w:r>
    </w:p>
    <w:p>
      <w:pPr>
        <w:spacing w:after="0" w:line="98" w:lineRule="exact"/>
        <w:rPr>
          <w:rFonts w:ascii="Arial" w:cs="Arial" w:eastAsia="Arial" w:hAnsi="Arial"/>
          <w:sz w:val="16"/>
          <w:szCs w:val="16"/>
          <w:color w:val="auto"/>
        </w:rPr>
      </w:pPr>
    </w:p>
    <w:p>
      <w:pPr>
        <w:jc w:val="both"/>
        <w:ind w:left="460" w:right="459" w:firstLine="426"/>
        <w:spacing w:after="0" w:line="311" w:lineRule="auto"/>
        <w:tabs>
          <w:tab w:leader="none" w:pos="1277" w:val="left"/>
        </w:tabs>
        <w:numPr>
          <w:ilvl w:val="1"/>
          <w:numId w:val="221"/>
        </w:numPr>
        <w:rPr>
          <w:rFonts w:ascii="Arial" w:cs="Arial" w:eastAsia="Arial" w:hAnsi="Arial"/>
          <w:sz w:val="16"/>
          <w:szCs w:val="16"/>
          <w:color w:val="auto"/>
        </w:rPr>
      </w:pPr>
      <w:r>
        <w:rPr>
          <w:rFonts w:ascii="Arial" w:cs="Arial" w:eastAsia="Arial" w:hAnsi="Arial"/>
          <w:sz w:val="16"/>
          <w:szCs w:val="16"/>
          <w:color w:val="auto"/>
        </w:rPr>
        <w:t>Payment of Awards. Payment, if any, with respect to an Other Stock-Based Award or Other Cash-Based Award shall be made in accordance with the terms of the Award, as set forth in the Award Agreement, in cash, Common Stock or a combination of cash and Common Stock, as the Committee determines.</w:t>
      </w:r>
    </w:p>
    <w:p>
      <w:pPr>
        <w:spacing w:after="0" w:line="67" w:lineRule="exact"/>
        <w:rPr>
          <w:rFonts w:ascii="Arial" w:cs="Arial" w:eastAsia="Arial" w:hAnsi="Arial"/>
          <w:sz w:val="16"/>
          <w:szCs w:val="16"/>
          <w:color w:val="auto"/>
        </w:rPr>
      </w:pPr>
    </w:p>
    <w:p>
      <w:pPr>
        <w:jc w:val="both"/>
        <w:ind w:left="460" w:right="459" w:firstLine="426"/>
        <w:spacing w:after="0" w:line="272" w:lineRule="auto"/>
        <w:tabs>
          <w:tab w:leader="none" w:pos="1267"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The Committee shall determine the extent to which the Participant shall have the right to receive Other Stock-Based Awards or Other Cash-Based Awards following the Participant’s termination of employment or service (including by reason of such Participant’s death, disability (as determined by the Committee), or termination without Cause). Such provisions shall be determined in the sole discretion of the Committee and will be included in the applicable Award Agreement but need not be uniform among all Other Stock-Based Awards or Other Cash-Based Awards issued pursuant to the Plan and may reflect distinctions based on the reasons for the termination of employment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-1360805</wp:posOffset>
            </wp:positionV>
            <wp:extent cx="9137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9" w:name="page220"/>
    <w:bookmarkEnd w:id="219"/>
    <w:p>
      <w:pPr>
        <w:jc w:val="both"/>
        <w:ind w:left="460" w:right="459" w:hanging="6"/>
        <w:spacing w:after="0" w:line="269" w:lineRule="auto"/>
        <w:tabs>
          <w:tab w:leader="none" w:pos="850"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No adjustment shall be made in the Common Stock issuable or taken into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Awards on account of cash dividends that may be paid or other rights that may be issued to the holders of Common Stock prior to issuance of such Common Stock under such Award. The Committee may grant Dividend Equivalents based on the dividends declared on shares of Common Stock that are subject to any Award (other than an Option or Stock Appreciation Right). Any Award of Dividend Equivalents may be credited as of the dividend payment dates, during the period between the Date of Grant of the Award and the date the Award becomes payable or terminates or expires, as determined by the Committee; however, Dividend Equivalents shall not be payable unless and until the Award becomes payable, and shall be subject to forfeiture to the same extent as the underlying Award. Dividend Equivalents may be subject to any additional limitations and/or restrictions determined by the Committee. Dividend Equivalents shall be payable in cash, Common Stock or converted to full-value Awards, calculated based on such formula, as may be determined by the Committee.</w:t>
      </w:r>
    </w:p>
    <w:p>
      <w:pPr>
        <w:spacing w:after="0" w:line="97" w:lineRule="exact"/>
        <w:rPr>
          <w:rFonts w:ascii="Arial" w:cs="Arial" w:eastAsia="Arial" w:hAnsi="Arial"/>
          <w:sz w:val="17"/>
          <w:szCs w:val="17"/>
          <w:b w:val="1"/>
          <w:bCs w:val="1"/>
          <w:color w:val="auto"/>
        </w:rPr>
      </w:pPr>
    </w:p>
    <w:p>
      <w:pPr>
        <w:ind w:left="860" w:hanging="406"/>
        <w:spacing w:after="0"/>
        <w:tabs>
          <w:tab w:leader="none" w:pos="8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p>
    <w:p>
      <w:pPr>
        <w:spacing w:after="0" w:line="161" w:lineRule="exact"/>
        <w:rPr>
          <w:rFonts w:ascii="Arial" w:cs="Arial" w:eastAsia="Arial" w:hAnsi="Arial"/>
          <w:sz w:val="18"/>
          <w:szCs w:val="18"/>
          <w:b w:val="1"/>
          <w:bCs w:val="1"/>
          <w:color w:val="auto"/>
        </w:rPr>
      </w:pPr>
    </w:p>
    <w:p>
      <w:pPr>
        <w:jc w:val="both"/>
        <w:ind w:left="460" w:right="459" w:firstLine="426"/>
        <w:spacing w:after="0" w:line="257" w:lineRule="auto"/>
        <w:tabs>
          <w:tab w:leader="none" w:pos="1267"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Committee shall have the authority, at the time of grant of any Award described in Sections 7 through 10 of the Plan, to designate such Award as a Performance Award. The Committee shall have the authority to make an award of a cash bonus to any Participant and designate such Award as a Performance Award. Unless otherwise determined by the Committee, all Performance Awards shall be evidenced by an Award Agreement.</w:t>
      </w:r>
    </w:p>
    <w:p>
      <w:pPr>
        <w:spacing w:after="0" w:line="120" w:lineRule="exact"/>
        <w:rPr>
          <w:rFonts w:ascii="Arial" w:cs="Arial" w:eastAsia="Arial" w:hAnsi="Arial"/>
          <w:sz w:val="18"/>
          <w:szCs w:val="18"/>
          <w:color w:val="auto"/>
        </w:rPr>
      </w:pPr>
    </w:p>
    <w:p>
      <w:pPr>
        <w:jc w:val="both"/>
        <w:ind w:left="460" w:right="459" w:firstLine="426"/>
        <w:spacing w:after="0" w:line="255" w:lineRule="auto"/>
        <w:tabs>
          <w:tab w:leader="none" w:pos="127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Discretion of Committee with Respect to Performance Awards. The Committee shall have the discretion to establish the terms, conditions and restrictions of any Performance Award. With regard to a particular Performance Period, the Committee shall have sole discretion to select the length of such Performance Period, the type(s) of Performance Awards to be issued, the Performance Criteria that will be used to establish the Performance Goal(s), the kind(s) and/or level(s) of the Performance Goals(s) that is (are) to apply and the Performance Formula.</w:t>
      </w:r>
    </w:p>
    <w:p>
      <w:pPr>
        <w:spacing w:after="0" w:line="111" w:lineRule="exact"/>
        <w:rPr>
          <w:rFonts w:ascii="Arial" w:cs="Arial" w:eastAsia="Arial" w:hAnsi="Arial"/>
          <w:sz w:val="18"/>
          <w:szCs w:val="18"/>
          <w:color w:val="auto"/>
        </w:rPr>
      </w:pPr>
    </w:p>
    <w:p>
      <w:pPr>
        <w:jc w:val="both"/>
        <w:ind w:left="460" w:right="459" w:firstLine="426"/>
        <w:spacing w:after="0" w:line="283" w:lineRule="auto"/>
        <w:tabs>
          <w:tab w:leader="none" w:pos="1267" w:val="left"/>
        </w:tabs>
        <w:numPr>
          <w:ilvl w:val="1"/>
          <w:numId w:val="222"/>
        </w:numPr>
        <w:rPr>
          <w:rFonts w:ascii="Arial" w:cs="Arial" w:eastAsia="Arial" w:hAnsi="Arial"/>
          <w:sz w:val="16"/>
          <w:szCs w:val="16"/>
          <w:color w:val="auto"/>
        </w:rPr>
      </w:pPr>
      <w:r>
        <w:rPr>
          <w:rFonts w:ascii="Arial" w:cs="Arial" w:eastAsia="Arial" w:hAnsi="Arial"/>
          <w:sz w:val="16"/>
          <w:szCs w:val="16"/>
          <w:color w:val="auto"/>
        </w:rPr>
        <w:t>Performance Criteria. The Committee may establish Performance Criteria that will be used to establish the Performance Goal(s) for Performance Awards which may be based on the attainment of specific levels of performance of the Company (and/or one or more Affiliates, divisions, business segments or operational units, or any combination of the foregoing) and may include, without limitation, any of the following: (i) net earnings or net income (before or after taxes); (ii) basic or diluted earnings 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stockholder return); (xiii) expense targets; (xiv) margins; (xv) productivity and operating efficiencies; (xvi)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transactions; (xxxiii) personal targets, goals or completion of projects; and (xxxiv) such other criteria as established by the Committee in its discretion from time to time.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comparable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or may be adjusted when established to include or exclude any items otherwise includable or excludable under GAAP.</w:t>
      </w:r>
    </w:p>
    <w:p>
      <w:pPr>
        <w:spacing w:after="0" w:line="337" w:lineRule="exact"/>
        <w:rPr>
          <w:rFonts w:ascii="Arial" w:cs="Arial" w:eastAsia="Arial" w:hAnsi="Arial"/>
          <w:sz w:val="16"/>
          <w:szCs w:val="16"/>
          <w:color w:val="auto"/>
        </w:rPr>
      </w:pPr>
    </w:p>
    <w:p>
      <w:pPr>
        <w:jc w:val="both"/>
        <w:ind w:left="460" w:right="479" w:firstLine="426"/>
        <w:spacing w:after="0" w:line="259" w:lineRule="auto"/>
        <w:tabs>
          <w:tab w:leader="none" w:pos="127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Modification of Performance Goal(s). The Committee is authorized at any time to adjust or modify the calculation of a Performance Goal for such Performance Period, based on and in order to appropriately reflect any specified circumstance or event that occurs during a Performance Period, including but not limited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-5426710</wp:posOffset>
            </wp:positionV>
            <wp:extent cx="30048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004820"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-4518025</wp:posOffset>
            </wp:positionV>
            <wp:extent cx="9867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-446405</wp:posOffset>
            </wp:positionV>
            <wp:extent cx="16827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168275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0" w:name="page221"/>
    <w:bookmarkEnd w:id="220"/>
    <w:p>
      <w:pPr>
        <w:jc w:val="both"/>
        <w:ind w:left="460" w:right="459"/>
        <w:spacing w:after="0" w:line="284" w:lineRule="auto"/>
        <w:rPr>
          <w:sz w:val="20"/>
          <w:szCs w:val="20"/>
          <w:color w:val="auto"/>
        </w:rPr>
      </w:pPr>
      <w:r>
        <w:rPr>
          <w:rFonts w:ascii="Arial" w:cs="Arial" w:eastAsia="Arial" w:hAnsi="Arial"/>
          <w:sz w:val="16"/>
          <w:szCs w:val="16"/>
          <w:color w:val="auto"/>
        </w:rPr>
        <w:t>following: (i) asset write-downs; (ii) litigation or claim judgments or settlements; (iii) the effect of changes in tax laws, accounting principles, or other laws or regulatory rules affecting reported results; (iv) any reorganization and restructuring programs; (v) unusual and/or infrequently occurring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 (vi) acquisitions or divestitures; (vii) discontinued operations;</w:t>
      </w:r>
    </w:p>
    <w:p>
      <w:pPr>
        <w:spacing w:after="0" w:line="4" w:lineRule="exact"/>
        <w:rPr>
          <w:sz w:val="20"/>
          <w:szCs w:val="20"/>
          <w:color w:val="auto"/>
        </w:rPr>
      </w:pPr>
    </w:p>
    <w:p>
      <w:pPr>
        <w:ind w:left="460" w:right="479" w:hanging="6"/>
        <w:spacing w:after="0" w:line="323" w:lineRule="auto"/>
        <w:tabs>
          <w:tab w:leader="none" w:pos="87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any other specific unusual or infrequently occurring or non-recurring events, or objectively determinable category thereof; (ix) foreign exchange gains and losses; and (x) a change in the Company’s fiscal year.</w:t>
      </w:r>
    </w:p>
    <w:p>
      <w:pPr>
        <w:spacing w:after="0" w:line="57" w:lineRule="exact"/>
        <w:rPr>
          <w:rFonts w:ascii="Arial" w:cs="Arial" w:eastAsia="Arial" w:hAnsi="Arial"/>
          <w:sz w:val="16"/>
          <w:szCs w:val="16"/>
          <w:color w:val="auto"/>
        </w:rPr>
      </w:pPr>
    </w:p>
    <w:p>
      <w:pPr>
        <w:jc w:val="both"/>
        <w:ind w:left="460" w:right="459" w:firstLine="426"/>
        <w:spacing w:after="0" w:line="269" w:lineRule="auto"/>
        <w:tabs>
          <w:tab w:leader="none" w:pos="126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Terms and Condition to Receipt of Payment. Unless otherwise provided in the applicable Award Agreement, a Participant must be employed by the Company on the last day of a Performance Period to be eligible for payment in respect of a Performance Award for such Performance Period. Unless otherwise determined by the Committee, a Participant shall be eligible to receive payment in respect of a Performance Award only to the extent that: (i) the Performance Goals for such period are achieved; and (ii) all or some of the portion of such Participant’s Performance Award has been earned for the Performance Period based on the application of the Performance Formula to such achieved Performance Goals. Following the completion of a Performance Period, the Committee shall determine whether, and to what extent, the Performance Goals for the Performance Period have been achieved and, if so, calculate the amount of the Performance Awards earned for the period based upon the Performance Formula. The Committee shall then determine the amount of each Participant’s Performance Award actually payable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-1409065</wp:posOffset>
            </wp:positionV>
            <wp:extent cx="21132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2113280" cy="8890"/>
                    </a:xfrm>
                    <a:prstGeom prst="rect">
                      <a:avLst/>
                    </a:prstGeom>
                    <a:noFill/>
                  </pic:spPr>
                </pic:pic>
              </a:graphicData>
            </a:graphic>
          </wp:anchor>
        </w:drawing>
      </w:r>
    </w:p>
    <w:p>
      <w:pPr>
        <w:spacing w:after="0" w:line="90" w:lineRule="exact"/>
        <w:rPr>
          <w:sz w:val="20"/>
          <w:szCs w:val="20"/>
          <w:color w:val="auto"/>
        </w:rPr>
      </w:pPr>
    </w:p>
    <w:p>
      <w:pPr>
        <w:jc w:val="both"/>
        <w:ind w:left="460" w:right="459" w:hanging="6"/>
        <w:spacing w:after="0" w:line="287" w:lineRule="auto"/>
        <w:tabs>
          <w:tab w:leader="none" w:pos="86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Changes in Capital Structure and Similar Events. </w:t>
      </w:r>
      <w:r>
        <w:rPr>
          <w:rFonts w:ascii="Arial" w:cs="Arial" w:eastAsia="Arial" w:hAnsi="Arial"/>
          <w:sz w:val="16"/>
          <w:szCs w:val="16"/>
          <w:color w:val="auto"/>
        </w:rPr>
        <w:t>In the event of (a) any dividend (other than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cash dividends) or other distribution (whether in the form of cash, Common Stock, other securities or other property), recapitalization, stock split, reverse stock split, reorganization, merger, amalgamation, consolidation, spin-off, split-up, split-off, combination, repurchase or exchange of Common Stock or other securities of the Company, issuance of warrants or other rights to acquire Common Stock or other securities of the Company, or other similar corporate transaction or event (including, without limitation, a Change in Control) that affects the Common Stock, or (b) 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subject to the requirements of Code Sections 409A, 421, and 422, if applicable, including without limitation any or all of the following:</w:t>
      </w:r>
    </w:p>
    <w:p>
      <w:pPr>
        <w:spacing w:after="0" w:line="100" w:lineRule="exact"/>
        <w:rPr>
          <w:rFonts w:ascii="Arial" w:cs="Arial" w:eastAsia="Arial" w:hAnsi="Arial"/>
          <w:sz w:val="16"/>
          <w:szCs w:val="16"/>
          <w:b w:val="1"/>
          <w:bCs w:val="1"/>
          <w:color w:val="auto"/>
        </w:rPr>
      </w:pPr>
    </w:p>
    <w:p>
      <w:pPr>
        <w:jc w:val="both"/>
        <w:ind w:left="460" w:right="459" w:firstLine="426"/>
        <w:spacing w:after="0" w:line="290" w:lineRule="auto"/>
        <w:tabs>
          <w:tab w:leader="none" w:pos="1267"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adjusting any or all of (i)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(ii) the terms of any outstanding Award, including, without limitation, (A) the number of shares of Common Stock or other securities of the Company (or number and kind of other securities or other property) subject to outstanding Awards or to which outstanding Awards relate, (B) the Exercise Price or Strike Price with respect to any Award or (C) any applicable performance measures (including, without limitation, Performance Criteria and Performance Goals);</w:t>
      </w:r>
    </w:p>
    <w:p>
      <w:pPr>
        <w:spacing w:after="0" w:line="84" w:lineRule="exact"/>
        <w:rPr>
          <w:rFonts w:ascii="Arial" w:cs="Arial" w:eastAsia="Arial" w:hAnsi="Arial"/>
          <w:sz w:val="16"/>
          <w:szCs w:val="16"/>
          <w:color w:val="auto"/>
        </w:rPr>
      </w:pPr>
    </w:p>
    <w:p>
      <w:pPr>
        <w:ind w:left="460" w:right="479" w:firstLine="426"/>
        <w:spacing w:after="0" w:line="277" w:lineRule="auto"/>
        <w:tabs>
          <w:tab w:leader="none" w:pos="127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in a manner that substantially preserves the applicable terms of such Awards;</w:t>
      </w:r>
    </w:p>
    <w:p>
      <w:pPr>
        <w:spacing w:after="0" w:line="102" w:lineRule="exact"/>
        <w:rPr>
          <w:rFonts w:ascii="Arial" w:cs="Arial" w:eastAsia="Arial" w:hAnsi="Arial"/>
          <w:sz w:val="18"/>
          <w:szCs w:val="18"/>
          <w:color w:val="auto"/>
        </w:rPr>
      </w:pPr>
    </w:p>
    <w:p>
      <w:pPr>
        <w:ind w:left="460" w:right="479" w:firstLine="426"/>
        <w:spacing w:after="0" w:line="277" w:lineRule="auto"/>
        <w:tabs>
          <w:tab w:leader="none" w:pos="126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accelerating the exercisability or vesting of, lapse of restrictions on, or termination of, Awards or providing for a period of time for exercise prior to the occurrence of such event;</w:t>
      </w:r>
    </w:p>
    <w:p>
      <w:pPr>
        <w:spacing w:after="0" w:line="102" w:lineRule="exact"/>
        <w:rPr>
          <w:rFonts w:ascii="Arial" w:cs="Arial" w:eastAsia="Arial" w:hAnsi="Arial"/>
          <w:sz w:val="18"/>
          <w:szCs w:val="18"/>
          <w:color w:val="auto"/>
        </w:rPr>
      </w:pPr>
    </w:p>
    <w:p>
      <w:pPr>
        <w:jc w:val="both"/>
        <w:ind w:left="460" w:right="479" w:firstLine="426"/>
        <w:spacing w:after="0" w:line="263" w:lineRule="auto"/>
        <w:tabs>
          <w:tab w:leader="none" w:pos="127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modifying the terms of Awards to add events, conditions or circumstances (including termination of employment within a specified period after a Change in Control) upon which the exercisability or vesting of or lapse of restrictions thereon will accelerate;</w:t>
      </w:r>
    </w:p>
    <w:p>
      <w:pPr>
        <w:spacing w:after="0" w:line="102" w:lineRule="exact"/>
        <w:rPr>
          <w:rFonts w:ascii="Arial" w:cs="Arial" w:eastAsia="Arial" w:hAnsi="Arial"/>
          <w:sz w:val="18"/>
          <w:szCs w:val="18"/>
          <w:color w:val="auto"/>
        </w:rPr>
      </w:pPr>
    </w:p>
    <w:p>
      <w:pPr>
        <w:jc w:val="both"/>
        <w:ind w:left="460" w:right="459" w:firstLine="426"/>
        <w:spacing w:after="0" w:line="259" w:lineRule="auto"/>
        <w:tabs>
          <w:tab w:leader="none" w:pos="126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deeming any performance measures (including, without limitation, Performance Criteria and Performance Goals) satisfied at target, maximum or actual performance through closing or such other level determined by the Committee in its sole discretion, or providing for the performance measures to continue (as is or as adjusted by the Committee) after closing;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1" w:name="page222"/>
    <w:bookmarkEnd w:id="221"/>
    <w:p>
      <w:pPr>
        <w:jc w:val="both"/>
        <w:ind w:left="460" w:right="459" w:firstLine="426"/>
        <w:spacing w:after="0" w:line="272" w:lineRule="auto"/>
        <w:tabs>
          <w:tab w:leader="none" w:pos="124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providing that for a period prior to the Change in Control determined by the Committee in its sole discretion, any Options or SARs that would not otherwise become exercisable prior to the Change in Control will be exercisable as to all Common Stock subject thereto (but any such exercise will be contingent upon and subject to the occurrence of the Change in Control and if the Change in Control does not take place after giving such notice for any reason whatsoever, the exercise will be null and void) and that any Options or SARs not exercised prior to the consummation of the Change in Control will terminate and be of no further force and effect as of the consummation of the Change in Control; and</w:t>
      </w:r>
    </w:p>
    <w:p>
      <w:pPr>
        <w:spacing w:after="0" w:line="96" w:lineRule="exact"/>
        <w:rPr>
          <w:rFonts w:ascii="Arial" w:cs="Arial" w:eastAsia="Arial" w:hAnsi="Arial"/>
          <w:sz w:val="17"/>
          <w:szCs w:val="17"/>
          <w:color w:val="auto"/>
        </w:rPr>
      </w:pPr>
    </w:p>
    <w:p>
      <w:pPr>
        <w:jc w:val="both"/>
        <w:ind w:left="460" w:right="459" w:firstLine="426"/>
        <w:spacing w:after="0" w:line="286" w:lineRule="auto"/>
        <w:tabs>
          <w:tab w:leader="none" w:pos="127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canceling any one or more outstanding Awards and causing to be paid to the holders thereof, in cash, Common Stock, other securities or other property, or any combination thereof, the value of such Awards, if any, as determined by the Committee (which if applicable may be based upon the price per Common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Common Stock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“equity restructuring” (within the meaning of the Financial Accounting Standards Board Accounting Standards Codification Topic 718), the Committee shall make an equitable or proportionate adjustment to outstanding Awards to reflect such equity restructuring. The Company shall give each Participant notice of an adjustment hereunder and, upon notice, such adjustment shall be final, conclusive and binding for all purposes.</w:t>
      </w:r>
    </w:p>
    <w:p>
      <w:pPr>
        <w:spacing w:after="0" w:line="99" w:lineRule="exact"/>
        <w:rPr>
          <w:rFonts w:ascii="Arial" w:cs="Arial" w:eastAsia="Arial" w:hAnsi="Arial"/>
          <w:sz w:val="16"/>
          <w:szCs w:val="16"/>
          <w:color w:val="auto"/>
        </w:rPr>
      </w:pPr>
    </w:p>
    <w:p>
      <w:pPr>
        <w:ind w:left="860" w:hanging="406"/>
        <w:spacing w:after="0"/>
        <w:tabs>
          <w:tab w:leader="none" w:pos="8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161" w:lineRule="exact"/>
        <w:rPr>
          <w:rFonts w:ascii="Arial" w:cs="Arial" w:eastAsia="Arial" w:hAnsi="Arial"/>
          <w:sz w:val="18"/>
          <w:szCs w:val="18"/>
          <w:b w:val="1"/>
          <w:bCs w:val="1"/>
          <w:color w:val="auto"/>
        </w:rPr>
      </w:pPr>
    </w:p>
    <w:p>
      <w:pPr>
        <w:jc w:val="both"/>
        <w:ind w:left="460" w:right="459" w:firstLine="426"/>
        <w:spacing w:after="0" w:line="270" w:lineRule="auto"/>
        <w:tabs>
          <w:tab w:leader="none" w:pos="126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Amendment and Termination of the Plan. The Board may amend, alter, suspend, discontinue, or terminate the Plan or any portion thereof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Stock may be listed or quoted);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99" w:lineRule="exact"/>
        <w:rPr>
          <w:rFonts w:ascii="Arial" w:cs="Arial" w:eastAsia="Arial" w:hAnsi="Arial"/>
          <w:sz w:val="17"/>
          <w:szCs w:val="17"/>
          <w:color w:val="auto"/>
        </w:rPr>
      </w:pPr>
    </w:p>
    <w:p>
      <w:pPr>
        <w:jc w:val="both"/>
        <w:ind w:left="460" w:right="459" w:firstLine="426"/>
        <w:spacing w:after="0" w:line="287" w:lineRule="auto"/>
        <w:tabs>
          <w:tab w:leader="none" w:pos="127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 xml:space="preserve">Amendment of Award Agreements; Repricing.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in its sole discretion, that the amendment is necessary for the Award to comply with Code Section 409A. In addition, the Committee shall, without the approval of the stockholders of the Company, have the authority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96" w:lineRule="exact"/>
        <w:rPr>
          <w:rFonts w:ascii="Arial" w:cs="Arial" w:eastAsia="Arial" w:hAnsi="Arial"/>
          <w:sz w:val="16"/>
          <w:szCs w:val="16"/>
          <w:color w:val="auto"/>
        </w:rPr>
      </w:pPr>
    </w:p>
    <w:p>
      <w:pPr>
        <w:ind w:left="860" w:hanging="406"/>
        <w:spacing w:after="0"/>
        <w:tabs>
          <w:tab w:leader="none" w:pos="8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61" w:lineRule="exact"/>
        <w:rPr>
          <w:rFonts w:ascii="Arial" w:cs="Arial" w:eastAsia="Arial" w:hAnsi="Arial"/>
          <w:sz w:val="18"/>
          <w:szCs w:val="18"/>
          <w:b w:val="1"/>
          <w:bCs w:val="1"/>
          <w:color w:val="auto"/>
        </w:rPr>
      </w:pPr>
    </w:p>
    <w:p>
      <w:pPr>
        <w:jc w:val="both"/>
        <w:ind w:left="460" w:right="459" w:firstLine="426"/>
        <w:spacing w:after="0" w:line="273" w:lineRule="auto"/>
        <w:tabs>
          <w:tab w:leader="none" w:pos="1267"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Award Agreements. 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-4017645</wp:posOffset>
            </wp:positionV>
            <wp:extent cx="19615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1961515"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-2697480</wp:posOffset>
            </wp:positionV>
            <wp:extent cx="2108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-725805</wp:posOffset>
            </wp:positionV>
            <wp:extent cx="8807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88074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2" w:name="page223"/>
    <w:bookmarkEnd w:id="222"/>
    <w:p>
      <w:pPr>
        <w:ind w:left="1280" w:hanging="394"/>
        <w:spacing w:after="0"/>
        <w:tabs>
          <w:tab w:leader="none" w:pos="128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880" w:right="459" w:firstLine="438"/>
        <w:spacing w:after="0" w:line="272" w:lineRule="auto"/>
        <w:tabs>
          <w:tab w:leader="none" w:pos="1752"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w:t>
      </w:r>
    </w:p>
    <w:p>
      <w:pPr>
        <w:spacing w:after="0" w:line="109" w:lineRule="exact"/>
        <w:rPr>
          <w:rFonts w:ascii="Arial" w:cs="Arial" w:eastAsia="Arial" w:hAnsi="Arial"/>
          <w:sz w:val="17"/>
          <w:szCs w:val="17"/>
          <w:color w:val="auto"/>
        </w:rPr>
      </w:pPr>
    </w:p>
    <w:p>
      <w:pPr>
        <w:jc w:val="both"/>
        <w:ind w:left="880" w:right="459" w:firstLine="438"/>
        <w:spacing w:after="0" w:line="285" w:lineRule="auto"/>
        <w:tabs>
          <w:tab w:leader="none" w:pos="1761" w:val="left"/>
        </w:tabs>
        <w:numPr>
          <w:ilvl w:val="1"/>
          <w:numId w:val="227"/>
        </w:numPr>
        <w:rPr>
          <w:rFonts w:ascii="Arial" w:cs="Arial" w:eastAsia="Arial" w:hAnsi="Arial"/>
          <w:sz w:val="16"/>
          <w:szCs w:val="16"/>
          <w:color w:val="auto"/>
        </w:rPr>
      </w:pPr>
      <w:r>
        <w:rPr>
          <w:rFonts w:ascii="Arial" w:cs="Arial" w:eastAsia="Arial" w:hAnsi="Arial"/>
          <w:sz w:val="16"/>
          <w:szCs w:val="16"/>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Arial" w:cs="Arial" w:eastAsia="Arial" w:hAnsi="Arial"/>
          <w:sz w:val="16"/>
          <w:szCs w:val="16"/>
          <w:u w:val="single" w:color="auto"/>
          <w:color w:val="auto"/>
        </w:rPr>
        <w:t>Immediate Family Members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880" w:right="459"/>
        <w:spacing w:after="0" w:line="268" w:lineRule="auto"/>
        <w:rPr>
          <w:rFonts w:ascii="Arial" w:cs="Arial" w:eastAsia="Arial" w:hAnsi="Arial"/>
          <w:sz w:val="16"/>
          <w:szCs w:val="16"/>
          <w:color w:val="auto"/>
        </w:rPr>
      </w:pPr>
      <w:r>
        <w:rPr>
          <w:rFonts w:ascii="Arial" w:cs="Arial" w:eastAsia="Arial" w:hAnsi="Arial"/>
          <w:sz w:val="17"/>
          <w:szCs w:val="17"/>
          <w:color w:val="auto"/>
        </w:rPr>
        <w:t>(B) a trust solely for the benefit of the Participant and his Immediate Family Members; (C) a partnership or limited liability company whose only partners or stockholders are the Participant and his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15" w:lineRule="exact"/>
        <w:rPr>
          <w:rFonts w:ascii="Arial" w:cs="Arial" w:eastAsia="Arial" w:hAnsi="Arial"/>
          <w:sz w:val="16"/>
          <w:szCs w:val="16"/>
          <w:color w:val="auto"/>
        </w:rPr>
      </w:pPr>
    </w:p>
    <w:p>
      <w:pPr>
        <w:jc w:val="both"/>
        <w:ind w:left="880" w:right="459" w:firstLine="438"/>
        <w:spacing w:after="0" w:line="268" w:lineRule="auto"/>
        <w:tabs>
          <w:tab w:leader="none" w:pos="175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00" w:lineRule="exact"/>
        <w:rPr>
          <w:rFonts w:ascii="Arial" w:cs="Arial" w:eastAsia="Arial" w:hAnsi="Arial"/>
          <w:sz w:val="17"/>
          <w:szCs w:val="17"/>
          <w:color w:val="auto"/>
        </w:rPr>
      </w:pPr>
    </w:p>
    <w:p>
      <w:pPr>
        <w:ind w:left="1260" w:hanging="374"/>
        <w:spacing w:after="0"/>
        <w:tabs>
          <w:tab w:leader="none" w:pos="12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Tax Withholding and Deductions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880" w:right="459" w:firstLine="438"/>
        <w:spacing w:after="0" w:line="270" w:lineRule="auto"/>
        <w:tabs>
          <w:tab w:leader="none" w:pos="1752"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 Participant shall be required to pay to the Company or any Affiliate, and the Company or any Affiliate shall have the right and is hereby authorized to deduct and withhold, from any cash, Common Stock, other securities or other property deliverable under any Award or from any compensation or other amounts owing to a Participant, the amount (in cash, Common Stock, other securities or other property) of any required taxes (up to the maximum statutory rate under Applicable Law as in effect from time to time as determined by the Committee) and deduction in respect of an Award, its grant, vesting or exercise, or any payment or transfer under an Award or under the Plan and to take such other action as may be necessary in the opinion of the Committee or the Company to satisfy all obligations for the payment of such taxes.</w:t>
      </w:r>
    </w:p>
    <w:p>
      <w:pPr>
        <w:spacing w:after="0" w:line="113" w:lineRule="exact"/>
        <w:rPr>
          <w:rFonts w:ascii="Arial" w:cs="Arial" w:eastAsia="Arial" w:hAnsi="Arial"/>
          <w:sz w:val="17"/>
          <w:szCs w:val="17"/>
          <w:color w:val="auto"/>
        </w:rPr>
      </w:pPr>
    </w:p>
    <w:p>
      <w:pPr>
        <w:jc w:val="both"/>
        <w:ind w:left="880" w:right="459" w:firstLine="438"/>
        <w:spacing w:after="0" w:line="272" w:lineRule="auto"/>
        <w:tabs>
          <w:tab w:leader="none" w:pos="1761" w:val="left"/>
        </w:tabs>
        <w:numPr>
          <w:ilvl w:val="1"/>
          <w:numId w:val="227"/>
        </w:numPr>
        <w:rPr>
          <w:rFonts w:ascii="Arial" w:cs="Arial" w:eastAsia="Arial" w:hAnsi="Arial"/>
          <w:sz w:val="17"/>
          <w:szCs w:val="17"/>
          <w:color w:val="auto"/>
        </w:rPr>
      </w:pPr>
      <w:r>
        <w:rPr>
          <w:rFonts w:ascii="Arial" w:cs="Arial" w:eastAsia="Arial" w:hAnsi="Arial"/>
          <w:sz w:val="17"/>
          <w:szCs w:val="17"/>
          <w:color w:val="auto"/>
        </w:rPr>
        <w:t>Without limiting the generality of clause (i) above, the Committee may, in its sole discretion, permit a Participant to satisfy, in whole or in part, the foregoing tax and deduction liability by (A) the delivery of shares of Common Stock (which are not subject to any pledge or other security interest and are Mature Shares, except as otherwise determined by the Committee) owned by the Participant having a Fair Market Value equal to such liability or (B) having the Company withhold from the number of shares of Common Stock otherwise issuable or deliverable pursuant to the exercise or settlement of the Award a number of shares with a Fair Market Value equal to such liability.</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3" w:name="page224"/>
    <w:bookmarkEnd w:id="223"/>
    <w:p>
      <w:pPr>
        <w:jc w:val="both"/>
        <w:ind w:left="460" w:right="459" w:firstLine="426"/>
        <w:spacing w:after="0" w:line="267" w:lineRule="auto"/>
        <w:tabs>
          <w:tab w:leader="none" w:pos="1277"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Waiver</w:t>
      </w:r>
      <w:r>
        <w:rPr>
          <w:rFonts w:ascii="Arial" w:cs="Arial" w:eastAsia="Arial" w:hAnsi="Arial"/>
          <w:sz w:val="17"/>
          <w:szCs w:val="17"/>
          <w:color w:val="auto"/>
        </w:rPr>
        <w:t>. No employee of the Company or an Affiliate, or other person, shall have any Claim or right to be granted an Award under the Plan or, having been selected for the grant of an Award, to be selected for a grant of any other Award. A Participant’s sole remedy for any Claim related to the Plan or any Award shall be against the Company, and no Participant shall have any Claim or right of any nature against any Subsidiary or Affiliate of the Company or any stockholder or existing or former director, officer or employee of the Company or any Subsidiary of the Company.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spacing w:after="0" w:line="105" w:lineRule="exact"/>
        <w:rPr>
          <w:rFonts w:ascii="Arial" w:cs="Arial" w:eastAsia="Arial" w:hAnsi="Arial"/>
          <w:sz w:val="17"/>
          <w:szCs w:val="17"/>
          <w:color w:val="auto"/>
        </w:rPr>
      </w:pPr>
    </w:p>
    <w:p>
      <w:pPr>
        <w:jc w:val="both"/>
        <w:ind w:left="460" w:right="479" w:firstLine="426"/>
        <w:spacing w:after="0" w:line="254" w:lineRule="auto"/>
        <w:tabs>
          <w:tab w:leader="none" w:pos="126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International Participants. With respect to Participants who reside or work outside of the United States of America, the Committee may in its sole discretion amend the terms of the Plan or outstanding Awards with respect to such Participants in order to conform such terms with the requirements of local law or to obtain more favorable tax or other and, in furtherance of such purposes the Administrator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27" w:lineRule="exact"/>
        <w:rPr>
          <w:rFonts w:ascii="Arial" w:cs="Arial" w:eastAsia="Arial" w:hAnsi="Arial"/>
          <w:sz w:val="18"/>
          <w:szCs w:val="18"/>
          <w:color w:val="auto"/>
        </w:rPr>
      </w:pPr>
    </w:p>
    <w:p>
      <w:pPr>
        <w:jc w:val="both"/>
        <w:ind w:left="460" w:right="459" w:firstLine="426"/>
        <w:spacing w:after="0" w:line="289" w:lineRule="auto"/>
        <w:tabs>
          <w:tab w:leader="none" w:pos="124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Designation and Change of Beneficiary. Each Participant may file, on forms supplied by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spouse or, if the Participant is unmarried at the time of death, his estate.</w:t>
      </w:r>
    </w:p>
    <w:p>
      <w:pPr>
        <w:spacing w:after="0" w:line="98" w:lineRule="exact"/>
        <w:rPr>
          <w:rFonts w:ascii="Arial" w:cs="Arial" w:eastAsia="Arial" w:hAnsi="Arial"/>
          <w:sz w:val="16"/>
          <w:szCs w:val="16"/>
          <w:color w:val="auto"/>
        </w:rPr>
      </w:pPr>
    </w:p>
    <w:p>
      <w:pPr>
        <w:jc w:val="both"/>
        <w:ind w:left="460" w:right="459" w:firstLine="426"/>
        <w:spacing w:after="0" w:line="271" w:lineRule="auto"/>
        <w:tabs>
          <w:tab w:leader="none" w:pos="127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Termination of Employment/Service. Unless determined otherwise by the Committee at any time following such event and subject to Section 15(r) of the Plan: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spacing w:after="0" w:line="97" w:lineRule="exact"/>
        <w:rPr>
          <w:rFonts w:ascii="Arial" w:cs="Arial" w:eastAsia="Arial" w:hAnsi="Arial"/>
          <w:sz w:val="17"/>
          <w:szCs w:val="17"/>
          <w:color w:val="auto"/>
        </w:rPr>
      </w:pPr>
    </w:p>
    <w:p>
      <w:pPr>
        <w:jc w:val="both"/>
        <w:ind w:left="460" w:right="459" w:firstLine="426"/>
        <w:spacing w:after="0" w:line="311" w:lineRule="auto"/>
        <w:tabs>
          <w:tab w:leader="none" w:pos="1277"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Except as otherwise specifically provided in the Plan or any Award Agreement, no person shall be entitled to the privileges of ownership in respect of Common Stock or other securities that are subject to Awards hereunder until such shares have been issued or delivered to that person.</w:t>
      </w:r>
    </w:p>
    <w:p>
      <w:pPr>
        <w:spacing w:after="0" w:line="81" w:lineRule="exact"/>
        <w:rPr>
          <w:rFonts w:ascii="Arial" w:cs="Arial" w:eastAsia="Arial" w:hAnsi="Arial"/>
          <w:sz w:val="16"/>
          <w:szCs w:val="16"/>
          <w:color w:val="auto"/>
        </w:rPr>
      </w:pPr>
    </w:p>
    <w:p>
      <w:pPr>
        <w:ind w:left="1240" w:hanging="354"/>
        <w:spacing w:after="0"/>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Government and Other Regulations.</w:t>
      </w:r>
    </w:p>
    <w:p>
      <w:pPr>
        <w:spacing w:after="0" w:line="157" w:lineRule="exact"/>
        <w:rPr>
          <w:rFonts w:ascii="Arial" w:cs="Arial" w:eastAsia="Arial" w:hAnsi="Arial"/>
          <w:sz w:val="18"/>
          <w:szCs w:val="18"/>
          <w:color w:val="auto"/>
        </w:rPr>
      </w:pPr>
    </w:p>
    <w:p>
      <w:pPr>
        <w:jc w:val="both"/>
        <w:ind w:left="880" w:right="479" w:firstLine="438"/>
        <w:spacing w:after="0" w:line="272" w:lineRule="auto"/>
        <w:tabs>
          <w:tab w:leader="none" w:pos="1752"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Stock or other securities pursuant to an Award unless such shares have been properly registered for sale pursuant to the Securities Act with the Securities and Exchange Commission or unless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-5166995</wp:posOffset>
            </wp:positionV>
            <wp:extent cx="11690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1169035" cy="8255"/>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-4112260</wp:posOffset>
            </wp:positionV>
            <wp:extent cx="19367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193675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-2783840</wp:posOffset>
            </wp:positionV>
            <wp:extent cx="16992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1699260" cy="8255"/>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-1094740</wp:posOffset>
            </wp:positionV>
            <wp:extent cx="16275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162750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4" w:name="page225"/>
    <w:bookmarkEnd w:id="224"/>
    <w:p>
      <w:pPr>
        <w:jc w:val="both"/>
        <w:ind w:left="880" w:right="459"/>
        <w:spacing w:after="0" w:line="285" w:lineRule="auto"/>
        <w:rPr>
          <w:sz w:val="20"/>
          <w:szCs w:val="20"/>
          <w:color w:val="auto"/>
        </w:rPr>
      </w:pPr>
      <w:r>
        <w:rPr>
          <w:rFonts w:ascii="Arial" w:cs="Arial" w:eastAsia="Arial" w:hAnsi="Arial"/>
          <w:sz w:val="16"/>
          <w:szCs w:val="16"/>
          <w:color w:val="auto"/>
        </w:rPr>
        <w:t>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Stock or other securities to be offered or sold under the Plan. The Committee shall have the authority to provide that all certificates for Common Stock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 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95" w:lineRule="exact"/>
        <w:rPr>
          <w:sz w:val="20"/>
          <w:szCs w:val="20"/>
          <w:color w:val="auto"/>
        </w:rPr>
      </w:pPr>
    </w:p>
    <w:p>
      <w:pPr>
        <w:jc w:val="both"/>
        <w:ind w:left="880" w:right="459" w:firstLine="438"/>
        <w:spacing w:after="0" w:line="286" w:lineRule="auto"/>
        <w:tabs>
          <w:tab w:leader="none" w:pos="176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Committee may cancel an Award or any portion thereof if the Committee determines, in its sole discretion, that legal or contractual restrictions and/or blockage and/or other market considerations would make the Company’s acquisition of Common Stock from the public markets, the Company’s issuance of Common Stock or other securities to the Participant, the Participant’s acquisition of Common Stock or other securities from the Company and/or the Participant’s sale of Common Stock to the public markets, illegal, impracticable or inadvisable. If the Committee determines to cancel all or any portion of an Award denominated in Common Stock in accordance with the foregoing, the Company shall pay to the Participant an amount equal to the excess of (A) the aggregate Fair Market Value of the Common Stock subject to such Award or portion thereof that is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Stock (in the case of any other Award). Such amount shall be delivered to the Participant as soon as practicable following the cancellation of such Award or portion thereof.</w:t>
      </w:r>
    </w:p>
    <w:p>
      <w:pPr>
        <w:spacing w:after="0" w:line="106" w:lineRule="exact"/>
        <w:rPr>
          <w:rFonts w:ascii="Arial" w:cs="Arial" w:eastAsia="Arial" w:hAnsi="Arial"/>
          <w:sz w:val="16"/>
          <w:szCs w:val="16"/>
          <w:color w:val="auto"/>
        </w:rPr>
      </w:pPr>
    </w:p>
    <w:p>
      <w:pPr>
        <w:jc w:val="both"/>
        <w:ind w:left="460" w:right="459" w:firstLine="426"/>
        <w:spacing w:after="0" w:line="291" w:lineRule="auto"/>
        <w:tabs>
          <w:tab w:leader="none" w:pos="123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Payments to Persons Other Than Participants.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98" w:lineRule="exact"/>
        <w:rPr>
          <w:rFonts w:ascii="Arial" w:cs="Arial" w:eastAsia="Arial" w:hAnsi="Arial"/>
          <w:sz w:val="16"/>
          <w:szCs w:val="16"/>
          <w:color w:val="auto"/>
        </w:rPr>
      </w:pPr>
    </w:p>
    <w:p>
      <w:pPr>
        <w:jc w:val="both"/>
        <w:ind w:left="460" w:right="479" w:firstLine="426"/>
        <w:spacing w:after="0" w:line="275" w:lineRule="auto"/>
        <w:tabs>
          <w:tab w:leader="none" w:pos="127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Nonexclusivity of the Plan.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the Plan, and such arrangements may be either applicable generally or only in specific cases.</w:t>
      </w:r>
    </w:p>
    <w:p>
      <w:pPr>
        <w:spacing w:after="0" w:line="95" w:lineRule="exact"/>
        <w:rPr>
          <w:rFonts w:ascii="Arial" w:cs="Arial" w:eastAsia="Arial" w:hAnsi="Arial"/>
          <w:sz w:val="17"/>
          <w:szCs w:val="17"/>
          <w:color w:val="auto"/>
        </w:rPr>
      </w:pPr>
    </w:p>
    <w:p>
      <w:pPr>
        <w:jc w:val="both"/>
        <w:ind w:left="460" w:right="459" w:firstLine="426"/>
        <w:spacing w:after="0" w:line="288" w:lineRule="auto"/>
        <w:tabs>
          <w:tab w:leader="none" w:pos="1237"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No Trust or Fund Created</w:t>
      </w:r>
      <w:r>
        <w:rPr>
          <w:rFonts w:ascii="Arial" w:cs="Arial" w:eastAsia="Arial" w:hAnsi="Arial"/>
          <w:sz w:val="16"/>
          <w:szCs w:val="16"/>
          <w:color w:val="auto"/>
        </w:rPr>
        <w:t>. Neither the Plan nor any Award shall create or be construed to create a trust or separate fund of any kind or a fiduciary relationship between the Company or any Affiliate,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-3106420</wp:posOffset>
            </wp:positionV>
            <wp:extent cx="2108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-2052320</wp:posOffset>
            </wp:positionV>
            <wp:extent cx="12299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5" w:name="page226"/>
    <w:bookmarkEnd w:id="225"/>
    <w:p>
      <w:pPr>
        <w:jc w:val="both"/>
        <w:ind w:left="460" w:right="459" w:firstLine="426"/>
        <w:spacing w:after="0" w:line="275" w:lineRule="auto"/>
        <w:tabs>
          <w:tab w:leader="none" w:pos="1255"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Reliance on Reports</w:t>
      </w:r>
      <w:r>
        <w:rPr>
          <w:rFonts w:ascii="Arial" w:cs="Arial" w:eastAsia="Arial" w:hAnsi="Arial"/>
          <w:sz w:val="17"/>
          <w:szCs w:val="17"/>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or service provider to the Company or the Committee or the Board, other than himself.</w:t>
      </w:r>
    </w:p>
    <w:p>
      <w:pPr>
        <w:spacing w:after="0" w:line="95" w:lineRule="exact"/>
        <w:rPr>
          <w:rFonts w:ascii="Arial" w:cs="Arial" w:eastAsia="Arial" w:hAnsi="Arial"/>
          <w:sz w:val="17"/>
          <w:szCs w:val="17"/>
          <w:color w:val="auto"/>
        </w:rPr>
      </w:pPr>
    </w:p>
    <w:p>
      <w:pPr>
        <w:jc w:val="both"/>
        <w:ind w:left="460" w:right="479" w:firstLine="426"/>
        <w:spacing w:after="0" w:line="263" w:lineRule="auto"/>
        <w:tabs>
          <w:tab w:leader="none" w:pos="127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Relationship to Other Benefits.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16" w:lineRule="exact"/>
        <w:rPr>
          <w:rFonts w:ascii="Arial" w:cs="Arial" w:eastAsia="Arial" w:hAnsi="Arial"/>
          <w:sz w:val="18"/>
          <w:szCs w:val="18"/>
          <w:color w:val="auto"/>
        </w:rPr>
      </w:pPr>
    </w:p>
    <w:p>
      <w:pPr>
        <w:jc w:val="both"/>
        <w:ind w:left="460" w:right="459" w:firstLine="426"/>
        <w:spacing w:after="0" w:line="263" w:lineRule="auto"/>
        <w:tabs>
          <w:tab w:leader="none" w:pos="127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Governing Law. The Plan shall be governed by and construed in accordance with the internal laws of the State of Delaware applicable to contracts made and performed wholly within the State of Delaware, without giving effect to the conflict of laws provisions thereof.</w:t>
      </w:r>
    </w:p>
    <w:p>
      <w:pPr>
        <w:spacing w:after="0" w:line="116" w:lineRule="exact"/>
        <w:rPr>
          <w:rFonts w:ascii="Arial" w:cs="Arial" w:eastAsia="Arial" w:hAnsi="Arial"/>
          <w:sz w:val="18"/>
          <w:szCs w:val="18"/>
          <w:color w:val="auto"/>
        </w:rPr>
      </w:pPr>
    </w:p>
    <w:p>
      <w:pPr>
        <w:jc w:val="both"/>
        <w:ind w:left="460" w:right="459" w:firstLine="426"/>
        <w:spacing w:after="0" w:line="272" w:lineRule="auto"/>
        <w:tabs>
          <w:tab w:leader="none" w:pos="1277"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96" w:lineRule="exact"/>
        <w:rPr>
          <w:rFonts w:ascii="Arial" w:cs="Arial" w:eastAsia="Arial" w:hAnsi="Arial"/>
          <w:sz w:val="17"/>
          <w:szCs w:val="17"/>
          <w:color w:val="auto"/>
        </w:rPr>
      </w:pPr>
    </w:p>
    <w:p>
      <w:pPr>
        <w:jc w:val="both"/>
        <w:ind w:left="460" w:right="479" w:firstLine="426"/>
        <w:spacing w:after="0" w:line="259" w:lineRule="auto"/>
        <w:tabs>
          <w:tab w:leader="none" w:pos="127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Obligations Binding on Successors. 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spacing w:after="0" w:line="119" w:lineRule="exact"/>
        <w:rPr>
          <w:rFonts w:ascii="Arial" w:cs="Arial" w:eastAsia="Arial" w:hAnsi="Arial"/>
          <w:sz w:val="18"/>
          <w:szCs w:val="18"/>
          <w:color w:val="auto"/>
        </w:rPr>
      </w:pPr>
    </w:p>
    <w:p>
      <w:pPr>
        <w:ind w:left="1240" w:hanging="354"/>
        <w:spacing w:after="0"/>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100" w:right="479" w:firstLine="200"/>
        <w:spacing w:after="0" w:line="296" w:lineRule="auto"/>
        <w:tabs>
          <w:tab w:leader="none" w:pos="177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all Awards made under the Plan are intended to be exempt from or, in the alternative, comply with Code Section 409A and the authoritative guidance thereunder, including the exceptions for stock rights and short-term deferrals. The Plan shall be construed and interpreted in accordance with such intent. Each payment under an Award shall be treated as a separate payment for purposes of Code Section 409A.</w:t>
      </w:r>
    </w:p>
    <w:p>
      <w:pPr>
        <w:spacing w:after="0" w:line="80" w:lineRule="exact"/>
        <w:rPr>
          <w:rFonts w:ascii="Arial" w:cs="Arial" w:eastAsia="Arial" w:hAnsi="Arial"/>
          <w:sz w:val="16"/>
          <w:szCs w:val="16"/>
          <w:color w:val="auto"/>
        </w:rPr>
      </w:pPr>
    </w:p>
    <w:p>
      <w:pPr>
        <w:jc w:val="both"/>
        <w:ind w:left="1100" w:right="459" w:firstLine="200"/>
        <w:spacing w:after="0" w:line="267" w:lineRule="auto"/>
        <w:tabs>
          <w:tab w:leader="none" w:pos="1788"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If a Participant is a “specified employee” (as such term is defined for purposes of Code Section 409A) at the time of his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 Control, then the definition of Change in Control shall be deemed modified, only to the extent necessary to avoid the imposition of any additional tax under Code Section 409A, to mean a “change in control event” as such term is defined for purposes of Code Section 409A.</w:t>
      </w:r>
    </w:p>
    <w:p>
      <w:pPr>
        <w:spacing w:after="0" w:line="123" w:lineRule="exact"/>
        <w:rPr>
          <w:rFonts w:ascii="Arial" w:cs="Arial" w:eastAsia="Arial" w:hAnsi="Arial"/>
          <w:sz w:val="17"/>
          <w:szCs w:val="17"/>
          <w:color w:val="auto"/>
        </w:rPr>
      </w:pPr>
    </w:p>
    <w:p>
      <w:pPr>
        <w:jc w:val="both"/>
        <w:ind w:left="1100" w:right="459" w:firstLine="200"/>
        <w:spacing w:after="0" w:line="296" w:lineRule="auto"/>
        <w:tabs>
          <w:tab w:leader="none" w:pos="179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Any adjustments made pursuant to Section 13 to Awards that are subject to Code Section 409A shall be made in compliance with the requirements of Code Section 409A, and any adjustments made pursuant to Section 13 to Awards that are not subject to Code Section 409A shall be made in such a manner as to ensure that after such adjustment, the Awards either (x) continue not to be subject to Code Section 409A or (y) comply with the requirements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-6728460</wp:posOffset>
            </wp:positionV>
            <wp:extent cx="15043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1504315"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-6223000</wp:posOffset>
            </wp:positionV>
            <wp:extent cx="7200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-4671060</wp:posOffset>
            </wp:positionV>
            <wp:extent cx="16027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6" w:name="page227"/>
    <w:bookmarkEnd w:id="226"/>
    <w:p>
      <w:pPr>
        <w:jc w:val="both"/>
        <w:ind w:left="460" w:right="459" w:firstLine="426"/>
        <w:spacing w:after="0" w:line="279" w:lineRule="auto"/>
        <w:tabs>
          <w:tab w:leader="none" w:pos="125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Expenses; Gender; Titles and Headings. 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90" w:lineRule="exact"/>
        <w:rPr>
          <w:rFonts w:ascii="Arial" w:cs="Arial" w:eastAsia="Arial" w:hAnsi="Arial"/>
          <w:sz w:val="17"/>
          <w:szCs w:val="17"/>
          <w:color w:val="auto"/>
        </w:rPr>
      </w:pPr>
    </w:p>
    <w:p>
      <w:pPr>
        <w:jc w:val="both"/>
        <w:ind w:left="460" w:right="459" w:firstLine="426"/>
        <w:spacing w:after="0" w:line="286" w:lineRule="auto"/>
        <w:tabs>
          <w:tab w:leader="none" w:pos="1237"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Notwithstanding the above, the Committee may require, as a condition to the grant of and/or the receipt of Common Stock or other securities under an Award, that the Participant execute lock-up, stockholder or other agreements, as it may determine in its sole and absolute discretion.</w:t>
      </w:r>
    </w:p>
    <w:p>
      <w:pPr>
        <w:spacing w:after="0" w:line="97" w:lineRule="exact"/>
        <w:rPr>
          <w:rFonts w:ascii="Arial" w:cs="Arial" w:eastAsia="Arial" w:hAnsi="Arial"/>
          <w:sz w:val="17"/>
          <w:szCs w:val="17"/>
          <w:color w:val="auto"/>
        </w:rPr>
      </w:pPr>
    </w:p>
    <w:p>
      <w:pPr>
        <w:ind w:left="460" w:right="479" w:firstLine="426"/>
        <w:spacing w:after="0" w:line="308" w:lineRule="auto"/>
        <w:tabs>
          <w:tab w:leader="none" w:pos="1277"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Participants shall be required to pay, to the extent required by Applicable Law, any amounts required to receive Common Stock or other securities under any Award made under the Plan.</w:t>
      </w:r>
    </w:p>
    <w:p>
      <w:pPr>
        <w:spacing w:after="0" w:line="78" w:lineRule="exact"/>
        <w:rPr>
          <w:rFonts w:ascii="Arial" w:cs="Arial" w:eastAsia="Arial" w:hAnsi="Arial"/>
          <w:sz w:val="17"/>
          <w:szCs w:val="17"/>
          <w:color w:val="auto"/>
        </w:rPr>
      </w:pPr>
    </w:p>
    <w:p>
      <w:pPr>
        <w:jc w:val="both"/>
        <w:ind w:left="460" w:right="459" w:firstLine="426"/>
        <w:spacing w:after="0" w:line="271" w:lineRule="auto"/>
        <w:tabs>
          <w:tab w:leader="none" w:pos="127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Erroneously Awarded Compensation. All Awards shall be subject (including on a retroactive basis) to (i) any clawback, forfeiture or similar incentive compensation recoupment policy established from time to time by the Company, including, without limitation, any such policy established to comply with the Dodd-Frank Wall Street Reform and Consumer Protection Act, (ii) Applicable Law (including, without limitation, Section 304 of the Sarbanes-Oxley Act and Section 954 of the Dodd-Frank Wall Street Reform and Consumer Protection Act), and/or (iii) the rules and regulations of the applicable securities exchange or inter-dealer quotation system on which the Common Stock or other securities are listed or quoted, and such requirements shall be deemed incorporated by reference into all outstanding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-2508885</wp:posOffset>
            </wp:positionV>
            <wp:extent cx="1798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1798320" cy="825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-1000125</wp:posOffset>
            </wp:positionV>
            <wp:extent cx="16922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7" w:name="page228"/>
    <w:bookmarkEnd w:id="227"/>
    <w:p>
      <w:pPr>
        <w:jc w:val="right"/>
        <w:ind w:right="459"/>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EMPLOYEE STOCK PURCHASE PLAN</w:t>
      </w:r>
    </w:p>
    <w:p>
      <w:pPr>
        <w:spacing w:after="0" w:line="158" w:lineRule="exact"/>
        <w:rPr>
          <w:sz w:val="20"/>
          <w:szCs w:val="20"/>
          <w:color w:val="auto"/>
        </w:rPr>
      </w:pPr>
    </w:p>
    <w:p>
      <w:pPr>
        <w:ind w:left="1080" w:hanging="626"/>
        <w:spacing w:after="0"/>
        <w:tabs>
          <w:tab w:leader="none" w:pos="108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the Plan; Effective Date; Duration.</w:t>
      </w:r>
    </w:p>
    <w:p>
      <w:pPr>
        <w:spacing w:after="0" w:line="162" w:lineRule="exact"/>
        <w:rPr>
          <w:sz w:val="20"/>
          <w:szCs w:val="20"/>
          <w:color w:val="auto"/>
        </w:rPr>
      </w:pPr>
    </w:p>
    <w:p>
      <w:pPr>
        <w:jc w:val="both"/>
        <w:ind w:left="460" w:right="459" w:firstLine="648"/>
        <w:spacing w:after="0" w:line="257" w:lineRule="auto"/>
        <w:rPr>
          <w:sz w:val="20"/>
          <w:szCs w:val="20"/>
          <w:color w:val="auto"/>
        </w:rPr>
      </w:pPr>
      <w:r>
        <w:rPr>
          <w:rFonts w:ascii="Arial" w:cs="Arial" w:eastAsia="Arial" w:hAnsi="Arial"/>
          <w:sz w:val="18"/>
          <w:szCs w:val="18"/>
          <w:color w:val="auto"/>
        </w:rPr>
        <w:t>1.1 Establishment of the Plan; Effective Date. Presto Automation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this 2022 Employee Stock Purchase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The Plan shall become effective on the Effective Date. The effectiveness of the Plan shall be subject to approval of the Plan by the stockholders of the Company within twelve months following the date the Plan is first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-582295</wp:posOffset>
            </wp:positionV>
            <wp:extent cx="19773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1977390" cy="8890"/>
                    </a:xfrm>
                    <a:prstGeom prst="rect">
                      <a:avLst/>
                    </a:prstGeom>
                    <a:noFill/>
                  </pic:spPr>
                </pic:pic>
              </a:graphicData>
            </a:graphic>
          </wp:anchor>
        </w:drawing>
      </w:r>
    </w:p>
    <w:p>
      <w:pPr>
        <w:spacing w:after="0" w:line="87" w:lineRule="exact"/>
        <w:rPr>
          <w:sz w:val="20"/>
          <w:szCs w:val="20"/>
          <w:color w:val="auto"/>
        </w:rPr>
      </w:pPr>
    </w:p>
    <w:p>
      <w:pPr>
        <w:jc w:val="both"/>
        <w:ind w:left="460" w:right="459" w:firstLine="648"/>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Duration of the Plan</w:t>
      </w:r>
      <w:r>
        <w:rPr>
          <w:rFonts w:ascii="Arial" w:cs="Arial" w:eastAsia="Arial" w:hAnsi="Arial"/>
          <w:sz w:val="17"/>
          <w:szCs w:val="17"/>
          <w:color w:val="auto"/>
        </w:rPr>
        <w:t>. The Plan shall become effective on the Effective Date and, unless terminated earlier pursuant to Section 20.8, shall continue until the tenth anniversary of the Effective Date.</w:t>
      </w:r>
    </w:p>
    <w:p>
      <w:pPr>
        <w:spacing w:after="0" w:line="75" w:lineRule="exact"/>
        <w:rPr>
          <w:sz w:val="20"/>
          <w:szCs w:val="20"/>
          <w:color w:val="auto"/>
        </w:rPr>
      </w:pPr>
    </w:p>
    <w:p>
      <w:pPr>
        <w:jc w:val="both"/>
        <w:ind w:left="460" w:right="459" w:hanging="6"/>
        <w:spacing w:after="0" w:line="303" w:lineRule="auto"/>
        <w:tabs>
          <w:tab w:leader="none" w:pos="1090"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Plan is intended to provide employees of the Company and its Participating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83" w:lineRule="exact"/>
        <w:rPr>
          <w:rFonts w:ascii="Arial" w:cs="Arial" w:eastAsia="Arial" w:hAnsi="Arial"/>
          <w:sz w:val="16"/>
          <w:szCs w:val="16"/>
          <w:b w:val="1"/>
          <w:bCs w:val="1"/>
          <w:color w:val="auto"/>
        </w:rPr>
      </w:pPr>
    </w:p>
    <w:p>
      <w:pPr>
        <w:ind w:left="1080" w:hanging="626"/>
        <w:spacing w:after="0"/>
        <w:tabs>
          <w:tab w:leader="none" w:pos="108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48"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as constituted from time to time.</w:t>
      </w:r>
    </w:p>
    <w:p>
      <w:pPr>
        <w:spacing w:after="0" w:line="103" w:lineRule="exact"/>
        <w:rPr>
          <w:sz w:val="20"/>
          <w:szCs w:val="20"/>
          <w:color w:val="auto"/>
        </w:rPr>
      </w:pPr>
    </w:p>
    <w:p>
      <w:pPr>
        <w:jc w:val="both"/>
        <w:ind w:left="460" w:right="479" w:firstLine="648"/>
        <w:spacing w:after="0" w:line="263" w:lineRule="auto"/>
        <w:rPr>
          <w:sz w:val="20"/>
          <w:szCs w:val="20"/>
          <w:color w:val="auto"/>
        </w:rPr>
      </w:pPr>
      <w:r>
        <w:rPr>
          <w:rFonts w:ascii="Arial" w:cs="Arial" w:eastAsia="Arial" w:hAnsi="Arial"/>
          <w:sz w:val="18"/>
          <w:szCs w:val="18"/>
          <w:color w:val="auto"/>
        </w:rPr>
        <w:t>3.2 “</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 reference to any regulations promulgated thereunder.</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committee appointed by the Board to administer the Plan.</w:t>
      </w:r>
    </w:p>
    <w:p>
      <w:pPr>
        <w:spacing w:after="0" w:line="144" w:lineRule="exact"/>
        <w:rPr>
          <w:sz w:val="20"/>
          <w:szCs w:val="20"/>
          <w:color w:val="auto"/>
        </w:rPr>
      </w:pPr>
    </w:p>
    <w:p>
      <w:pPr>
        <w:jc w:val="both"/>
        <w:ind w:left="460" w:right="459" w:firstLine="648"/>
        <w:spacing w:after="0" w:line="342" w:lineRule="auto"/>
        <w:rPr>
          <w:sz w:val="20"/>
          <w:szCs w:val="20"/>
          <w:color w:val="auto"/>
        </w:rPr>
      </w:pPr>
      <w:r>
        <w:rPr>
          <w:rFonts w:ascii="Arial" w:cs="Arial" w:eastAsia="Arial" w:hAnsi="Arial"/>
          <w:sz w:val="16"/>
          <w:szCs w:val="16"/>
          <w:color w:val="auto"/>
        </w:rPr>
        <w:t>3.4 “Common Stock” means the common stock of the Company, par value $0.0001 per share (and any stock or other securities into which such shares may be converted or into which they may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-212090</wp:posOffset>
            </wp:positionV>
            <wp:extent cx="7143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36"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Presto Automation Inc., a Delaware corporation, including any successor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thereto.</w:t>
      </w:r>
    </w:p>
    <w:p>
      <w:pPr>
        <w:spacing w:after="0" w:line="143" w:lineRule="exact"/>
        <w:rPr>
          <w:sz w:val="20"/>
          <w:szCs w:val="20"/>
          <w:color w:val="auto"/>
        </w:rPr>
      </w:pPr>
    </w:p>
    <w:p>
      <w:pPr>
        <w:jc w:val="both"/>
        <w:ind w:left="460" w:right="459" w:firstLine="648"/>
        <w:spacing w:after="0" w:line="271" w:lineRule="auto"/>
        <w:rPr>
          <w:sz w:val="20"/>
          <w:szCs w:val="20"/>
          <w:color w:val="auto"/>
        </w:rPr>
      </w:pPr>
      <w:r>
        <w:rPr>
          <w:rFonts w:ascii="Arial" w:cs="Arial" w:eastAsia="Arial" w:hAnsi="Arial"/>
          <w:sz w:val="17"/>
          <w:szCs w:val="17"/>
          <w:color w:val="auto"/>
        </w:rPr>
        <w:t>3.6 “</w:t>
      </w:r>
      <w:r>
        <w:rPr>
          <w:rFonts w:ascii="Arial" w:cs="Arial" w:eastAsia="Arial" w:hAnsi="Arial"/>
          <w:sz w:val="17"/>
          <w:szCs w:val="17"/>
          <w:u w:val="single" w:color="auto"/>
          <w:color w:val="auto"/>
        </w:rPr>
        <w:t>Compensation</w:t>
      </w:r>
      <w:r>
        <w:rPr>
          <w:rFonts w:ascii="Arial" w:cs="Arial" w:eastAsia="Arial" w:hAnsi="Arial"/>
          <w:sz w:val="17"/>
          <w:szCs w:val="17"/>
          <w:color w:val="auto"/>
        </w:rPr>
        <w:t>” means, unless otherwise determined by the Committee,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stock options or other equity-based awards.</w:t>
      </w:r>
    </w:p>
    <w:p>
      <w:pPr>
        <w:spacing w:after="0" w:line="97" w:lineRule="exact"/>
        <w:rPr>
          <w:sz w:val="20"/>
          <w:szCs w:val="20"/>
          <w:color w:val="auto"/>
        </w:rPr>
      </w:pPr>
    </w:p>
    <w:p>
      <w:pPr>
        <w:jc w:val="both"/>
        <w:ind w:left="460" w:right="479" w:firstLine="648"/>
        <w:spacing w:after="0" w:line="277" w:lineRule="auto"/>
        <w:rPr>
          <w:sz w:val="20"/>
          <w:szCs w:val="20"/>
          <w:color w:val="auto"/>
        </w:rPr>
      </w:pPr>
      <w:r>
        <w:rPr>
          <w:rFonts w:ascii="Arial" w:cs="Arial" w:eastAsia="Arial" w:hAnsi="Arial"/>
          <w:sz w:val="18"/>
          <w:szCs w:val="18"/>
          <w:color w:val="auto"/>
        </w:rPr>
        <w:t>3.7 “Corporate Transaction” means a merger, consolidation, acquisition of property or stock, separation, reorganization or other corporate event described in Section 424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-182245</wp:posOffset>
            </wp:positionV>
            <wp:extent cx="10464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83" w:lineRule="exact"/>
        <w:rPr>
          <w:sz w:val="20"/>
          <w:szCs w:val="20"/>
          <w:color w:val="auto"/>
        </w:rPr>
      </w:pPr>
    </w:p>
    <w:p>
      <w:pPr>
        <w:jc w:val="both"/>
        <w:ind w:left="460" w:right="459" w:firstLine="648"/>
        <w:spacing w:after="0" w:line="263" w:lineRule="auto"/>
        <w:rPr>
          <w:sz w:val="20"/>
          <w:szCs w:val="20"/>
          <w:color w:val="auto"/>
        </w:rPr>
      </w:pPr>
      <w:r>
        <w:rPr>
          <w:rFonts w:ascii="Arial" w:cs="Arial" w:eastAsia="Arial" w:hAnsi="Arial"/>
          <w:sz w:val="18"/>
          <w:szCs w:val="18"/>
          <w:color w:val="auto"/>
        </w:rPr>
        <w:t>3.8 “Designated Broker” means the financial services firm or other agent designated by the Company to maintain ESPP Share Accounts on behalf of Participants who have purchased shares of Common Stock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-311150</wp:posOffset>
            </wp:positionV>
            <wp:extent cx="8858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88582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3" w:lineRule="auto"/>
        <w:rPr>
          <w:sz w:val="20"/>
          <w:szCs w:val="20"/>
          <w:color w:val="auto"/>
        </w:rPr>
      </w:pPr>
      <w:r>
        <w:rPr>
          <w:rFonts w:ascii="Arial" w:cs="Arial" w:eastAsia="Arial" w:hAnsi="Arial"/>
          <w:sz w:val="18"/>
          <w:szCs w:val="18"/>
          <w:color w:val="auto"/>
        </w:rPr>
        <w:t>3.9 “Effective Date” means the date on which the transactions contemplated by the Merger Agreement are consummated, provided that the Board has adopted the Plan prior to or on such date, subject to approval of the Plan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-311150</wp:posOffset>
            </wp:positionV>
            <wp:extent cx="686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686435" cy="8890"/>
                    </a:xfrm>
                    <a:prstGeom prst="rect">
                      <a:avLst/>
                    </a:prstGeom>
                    <a:noFill/>
                  </pic:spPr>
                </pic:pic>
              </a:graphicData>
            </a:graphic>
          </wp:anchor>
        </w:drawing>
      </w:r>
    </w:p>
    <w:p>
      <w:pPr>
        <w:spacing w:after="0" w:line="83" w:lineRule="exact"/>
        <w:rPr>
          <w:sz w:val="20"/>
          <w:szCs w:val="20"/>
          <w:color w:val="auto"/>
        </w:rPr>
      </w:pPr>
    </w:p>
    <w:p>
      <w:pPr>
        <w:jc w:val="both"/>
        <w:ind w:left="460" w:right="459" w:firstLine="648"/>
        <w:spacing w:after="0" w:line="259" w:lineRule="auto"/>
        <w:rPr>
          <w:sz w:val="20"/>
          <w:szCs w:val="20"/>
          <w:color w:val="auto"/>
        </w:rPr>
      </w:pPr>
      <w:r>
        <w:rPr>
          <w:rFonts w:ascii="Arial" w:cs="Arial" w:eastAsia="Arial" w:hAnsi="Arial"/>
          <w:sz w:val="18"/>
          <w:szCs w:val="18"/>
          <w:color w:val="auto"/>
        </w:rPr>
        <w:t>3.10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8" w:name="page229"/>
    <w:bookmarkEnd w:id="228"/>
    <w:p>
      <w:pPr>
        <w:jc w:val="both"/>
        <w:ind w:left="460" w:right="459"/>
        <w:spacing w:after="0" w:line="255" w:lineRule="auto"/>
        <w:rPr>
          <w:sz w:val="20"/>
          <w:szCs w:val="20"/>
          <w:color w:val="auto"/>
        </w:rPr>
      </w:pPr>
      <w:r>
        <w:rPr>
          <w:rFonts w:ascii="Arial" w:cs="Arial" w:eastAsia="Arial" w:hAnsi="Arial"/>
          <w:sz w:val="18"/>
          <w:szCs w:val="18"/>
          <w:color w:val="auto"/>
        </w:rPr>
        <w:t>or other leave of absence approved by the Company or a Participating Subsidiary that meets the requirements of Treasury Regulation Section 1.421-1(h)(2). Where the period of leave exceeds three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11"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Eligible Employee</w:t>
      </w:r>
      <w:r>
        <w:rPr>
          <w:rFonts w:ascii="Arial" w:cs="Arial" w:eastAsia="Arial" w:hAnsi="Arial"/>
          <w:sz w:val="17"/>
          <w:szCs w:val="17"/>
          <w:color w:val="auto"/>
        </w:rPr>
        <w:t>” means an Employee who is customarily employed for at least twenty</w:t>
      </w:r>
    </w:p>
    <w:p>
      <w:pPr>
        <w:spacing w:after="0" w:line="23" w:lineRule="exact"/>
        <w:rPr>
          <w:sz w:val="20"/>
          <w:szCs w:val="20"/>
          <w:color w:val="auto"/>
        </w:rPr>
      </w:pPr>
    </w:p>
    <w:p>
      <w:pPr>
        <w:jc w:val="both"/>
        <w:ind w:left="460" w:right="459" w:hanging="6"/>
        <w:spacing w:after="0" w:line="253" w:lineRule="auto"/>
        <w:tabs>
          <w:tab w:leader="none" w:pos="84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hours per week and more than five months in any calendar year.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125" w:lineRule="exact"/>
        <w:rPr>
          <w:sz w:val="20"/>
          <w:szCs w:val="20"/>
          <w:color w:val="auto"/>
        </w:rPr>
      </w:pPr>
    </w:p>
    <w:p>
      <w:pPr>
        <w:jc w:val="both"/>
        <w:ind w:left="460" w:right="479" w:firstLine="648"/>
        <w:spacing w:after="0" w:line="263" w:lineRule="auto"/>
        <w:rPr>
          <w:sz w:val="20"/>
          <w:szCs w:val="20"/>
          <w:color w:val="auto"/>
        </w:rPr>
      </w:pPr>
      <w:r>
        <w:rPr>
          <w:rFonts w:ascii="Arial" w:cs="Arial" w:eastAsia="Arial" w:hAnsi="Arial"/>
          <w:sz w:val="18"/>
          <w:szCs w:val="18"/>
          <w:color w:val="auto"/>
        </w:rPr>
        <w:t>3.12 “Enrollment Form” means an agreement pursuant to which an Eligible Employee may elect to enroll in the Plan, to authorize a new level of payroll deductions, or to stop payroll deductions and withdraw from an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-311150</wp:posOffset>
            </wp:positionV>
            <wp:extent cx="7899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3.13 “</w:t>
      </w:r>
      <w:r>
        <w:rPr>
          <w:rFonts w:ascii="Arial" w:cs="Arial" w:eastAsia="Arial" w:hAnsi="Arial"/>
          <w:sz w:val="18"/>
          <w:szCs w:val="18"/>
          <w:u w:val="single" w:color="auto"/>
          <w:color w:val="auto"/>
        </w:rPr>
        <w:t>ESPP Share Account</w:t>
      </w:r>
      <w:r>
        <w:rPr>
          <w:rFonts w:ascii="Arial" w:cs="Arial" w:eastAsia="Arial" w:hAnsi="Arial"/>
          <w:sz w:val="18"/>
          <w:szCs w:val="18"/>
          <w:color w:val="auto"/>
        </w:rPr>
        <w:t>” means an account into which Common Stock purchased with accumulated payroll deductions at the end of an Offering Period are held on behalf of a Participant.</w:t>
      </w:r>
    </w:p>
    <w:p>
      <w:pPr>
        <w:spacing w:after="0" w:line="89"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“Exchange Act”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-10160</wp:posOffset>
            </wp:positionV>
            <wp:extent cx="643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38" w:lineRule="exact"/>
        <w:rPr>
          <w:sz w:val="20"/>
          <w:szCs w:val="20"/>
          <w:color w:val="auto"/>
        </w:rPr>
      </w:pPr>
    </w:p>
    <w:p>
      <w:pPr>
        <w:jc w:val="both"/>
        <w:ind w:left="460" w:right="479" w:firstLine="648"/>
        <w:spacing w:after="0" w:line="277" w:lineRule="auto"/>
        <w:rPr>
          <w:sz w:val="20"/>
          <w:szCs w:val="20"/>
          <w:color w:val="auto"/>
        </w:rPr>
      </w:pPr>
      <w:r>
        <w:rPr>
          <w:rFonts w:ascii="Arial" w:cs="Arial" w:eastAsia="Arial" w:hAnsi="Arial"/>
          <w:sz w:val="18"/>
          <w:szCs w:val="18"/>
          <w:color w:val="auto"/>
        </w:rPr>
        <w:t>3.15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the shares of Common Stock determined as follows:</w:t>
      </w:r>
    </w:p>
    <w:p>
      <w:pPr>
        <w:spacing w:after="0" w:line="103" w:lineRule="exact"/>
        <w:rPr>
          <w:sz w:val="20"/>
          <w:szCs w:val="20"/>
          <w:color w:val="auto"/>
        </w:rPr>
      </w:pPr>
    </w:p>
    <w:p>
      <w:pPr>
        <w:jc w:val="both"/>
        <w:ind w:left="1360" w:right="459" w:firstLine="642"/>
        <w:spacing w:after="0" w:line="257" w:lineRule="auto"/>
        <w:tabs>
          <w:tab w:leader="none" w:pos="261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the Fair Market Value shall be the closing price of a share (or if no sales were reported, the closing price on the date immediately preceding such date) as quoted on such exchange or system on the day of determination, as reported in The Wall Street Journal or such other source as the Committee deems reliable;</w:t>
      </w:r>
    </w:p>
    <w:p>
      <w:pPr>
        <w:spacing w:after="0" w:line="106" w:lineRule="exact"/>
        <w:rPr>
          <w:rFonts w:ascii="Arial" w:cs="Arial" w:eastAsia="Arial" w:hAnsi="Arial"/>
          <w:sz w:val="18"/>
          <w:szCs w:val="18"/>
          <w:color w:val="auto"/>
        </w:rPr>
      </w:pPr>
    </w:p>
    <w:p>
      <w:pPr>
        <w:jc w:val="both"/>
        <w:ind w:left="1360" w:right="459" w:firstLine="642"/>
        <w:spacing w:after="0" w:line="301" w:lineRule="auto"/>
        <w:tabs>
          <w:tab w:leader="none" w:pos="262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If the Common Stock is regularly quoted by a recognized securities dealer but selling prices are not reported, the Fair Market Value of a Common Share will be the mean between the high bid and low asked prices for the Common Stock on the day of determination, as reported in The Wall Street Journal or such other source as the Committee deems reliable; or</w:t>
      </w:r>
    </w:p>
    <w:p>
      <w:pPr>
        <w:spacing w:after="0" w:line="89" w:lineRule="exact"/>
        <w:rPr>
          <w:rFonts w:ascii="Arial" w:cs="Arial" w:eastAsia="Arial" w:hAnsi="Arial"/>
          <w:sz w:val="16"/>
          <w:szCs w:val="16"/>
          <w:color w:val="auto"/>
        </w:rPr>
      </w:pPr>
    </w:p>
    <w:p>
      <w:pPr>
        <w:jc w:val="both"/>
        <w:ind w:left="1360" w:right="459" w:firstLine="642"/>
        <w:spacing w:after="0" w:line="263" w:lineRule="auto"/>
        <w:tabs>
          <w:tab w:leader="none" w:pos="261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Fair Market Value shall be determined in good faith by the Committee and such determination shall be conclusive and binding on all persons.</w:t>
      </w:r>
    </w:p>
    <w:p>
      <w:pPr>
        <w:spacing w:after="0" w:line="116" w:lineRule="exact"/>
        <w:rPr>
          <w:sz w:val="20"/>
          <w:szCs w:val="20"/>
          <w:color w:val="auto"/>
        </w:rPr>
      </w:pPr>
    </w:p>
    <w:p>
      <w:pPr>
        <w:jc w:val="both"/>
        <w:ind w:left="460" w:right="459" w:firstLine="648"/>
        <w:spacing w:after="0" w:line="263" w:lineRule="auto"/>
        <w:rPr>
          <w:sz w:val="20"/>
          <w:szCs w:val="20"/>
          <w:color w:val="auto"/>
        </w:rPr>
      </w:pPr>
      <w:r>
        <w:rPr>
          <w:rFonts w:ascii="Arial" w:cs="Arial" w:eastAsia="Arial" w:hAnsi="Arial"/>
          <w:sz w:val="18"/>
          <w:szCs w:val="18"/>
          <w:color w:val="auto"/>
        </w:rPr>
        <w:t>3.16 “</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mean that certain Agreement and Plan of Merger, by and among Ventoux CCM Acquisition Corp., Ventoux Merger Sub Inc. and E La Carte, Inc., dated as of November 10, 2021 as amended from time to time.</w:t>
      </w:r>
    </w:p>
    <w:p>
      <w:pPr>
        <w:spacing w:after="0" w:line="103"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3.17 “Offering Date” means the first Trading Day of each Offering Period as designated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-182245</wp:posOffset>
            </wp:positionV>
            <wp:extent cx="643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83" w:lineRule="exact"/>
        <w:rPr>
          <w:sz w:val="20"/>
          <w:szCs w:val="20"/>
          <w:color w:val="auto"/>
        </w:rPr>
      </w:pPr>
    </w:p>
    <w:p>
      <w:pPr>
        <w:jc w:val="both"/>
        <w:ind w:left="460" w:right="479" w:firstLine="648"/>
        <w:spacing w:after="0" w:line="308" w:lineRule="auto"/>
        <w:rPr>
          <w:sz w:val="20"/>
          <w:szCs w:val="20"/>
          <w:color w:val="auto"/>
        </w:rPr>
      </w:pPr>
      <w:r>
        <w:rPr>
          <w:rFonts w:ascii="Arial" w:cs="Arial" w:eastAsia="Arial" w:hAnsi="Arial"/>
          <w:sz w:val="17"/>
          <w:szCs w:val="17"/>
          <w:color w:val="auto"/>
        </w:rPr>
        <w:t>3.18 “</w:t>
      </w:r>
      <w:r>
        <w:rPr>
          <w:rFonts w:ascii="Arial" w:cs="Arial" w:eastAsia="Arial" w:hAnsi="Arial"/>
          <w:sz w:val="17"/>
          <w:szCs w:val="17"/>
          <w:u w:val="single" w:color="auto"/>
          <w:color w:val="auto"/>
        </w:rPr>
        <w:t>Offering</w:t>
      </w:r>
      <w:r>
        <w:rPr>
          <w:rFonts w:ascii="Arial" w:cs="Arial" w:eastAsia="Arial" w:hAnsi="Arial"/>
          <w:sz w:val="17"/>
          <w:szCs w:val="17"/>
          <w:color w:val="auto"/>
        </w:rPr>
        <w:t>” or “</w:t>
      </w:r>
      <w:r>
        <w:rPr>
          <w:rFonts w:ascii="Arial" w:cs="Arial" w:eastAsia="Arial" w:hAnsi="Arial"/>
          <w:sz w:val="17"/>
          <w:szCs w:val="17"/>
          <w:u w:val="single" w:color="auto"/>
          <w:color w:val="auto"/>
        </w:rPr>
        <w:t>Offering Period</w:t>
      </w:r>
      <w:r>
        <w:rPr>
          <w:rFonts w:ascii="Arial" w:cs="Arial" w:eastAsia="Arial" w:hAnsi="Arial"/>
          <w:sz w:val="17"/>
          <w:szCs w:val="17"/>
          <w:color w:val="auto"/>
        </w:rPr>
        <w:t>” means a period with respect to which the right to purchase Common Stock may be granted under the Plan, as determined by the Committee pursuant to Section 6.</w:t>
      </w:r>
    </w:p>
    <w:p>
      <w:pPr>
        <w:spacing w:after="0" w:line="79"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who is actively participating in the Plan.</w:t>
      </w:r>
    </w:p>
    <w:p>
      <w:pPr>
        <w:spacing w:after="0" w:line="144" w:lineRule="exact"/>
        <w:rPr>
          <w:sz w:val="20"/>
          <w:szCs w:val="20"/>
          <w:color w:val="auto"/>
        </w:rPr>
      </w:pPr>
    </w:p>
    <w:p>
      <w:pPr>
        <w:jc w:val="both"/>
        <w:ind w:left="460" w:right="479" w:firstLine="648"/>
        <w:spacing w:after="0" w:line="263" w:lineRule="auto"/>
        <w:rPr>
          <w:sz w:val="20"/>
          <w:szCs w:val="20"/>
          <w:color w:val="auto"/>
        </w:rPr>
      </w:pPr>
      <w:r>
        <w:rPr>
          <w:rFonts w:ascii="Arial" w:cs="Arial" w:eastAsia="Arial" w:hAnsi="Arial"/>
          <w:sz w:val="18"/>
          <w:szCs w:val="18"/>
          <w:color w:val="auto"/>
        </w:rPr>
        <w:t>3.20 “Participating Subsidiaries” means the Subsidiaries that have been designated as eligible to participate in the Plan, and such other Subsidiaries that may be designated by the Committee from time to time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-311150</wp:posOffset>
            </wp:positionV>
            <wp:extent cx="11798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3.21 “</w:t>
      </w:r>
      <w:r>
        <w:rPr>
          <w:rFonts w:ascii="Arial" w:cs="Arial" w:eastAsia="Arial" w:hAnsi="Arial"/>
          <w:sz w:val="18"/>
          <w:szCs w:val="18"/>
          <w:u w:val="single" w:color="auto"/>
          <w:color w:val="auto"/>
        </w:rPr>
        <w:t>Plan</w:t>
      </w:r>
      <w:r>
        <w:rPr>
          <w:rFonts w:ascii="Arial" w:cs="Arial" w:eastAsia="Arial" w:hAnsi="Arial"/>
          <w:sz w:val="18"/>
          <w:szCs w:val="18"/>
          <w:color w:val="auto"/>
        </w:rPr>
        <w:t>” means this Presto Automation Inc. 2022 Employee Stock Purchase Plan, as set forth herein, and as amended from time to time.</w:t>
      </w:r>
    </w:p>
    <w:p>
      <w:pPr>
        <w:spacing w:after="0" w:line="103"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“Purchase Date” means the last Trading Day of each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-10160</wp:posOffset>
            </wp:positionV>
            <wp:extent cx="6565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656590" cy="8890"/>
                    </a:xfrm>
                    <a:prstGeom prst="rect">
                      <a:avLst/>
                    </a:prstGeom>
                    <a:noFill/>
                  </pic:spPr>
                </pic:pic>
              </a:graphicData>
            </a:graphic>
          </wp:anchor>
        </w:drawing>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9" w:name="page230"/>
    <w:bookmarkEnd w:id="229"/>
    <w:p>
      <w:pPr>
        <w:jc w:val="both"/>
        <w:ind w:left="460" w:right="459" w:firstLine="648"/>
        <w:spacing w:after="0" w:line="296" w:lineRule="auto"/>
        <w:rPr>
          <w:sz w:val="20"/>
          <w:szCs w:val="20"/>
          <w:color w:val="auto"/>
        </w:rPr>
      </w:pPr>
      <w:r>
        <w:rPr>
          <w:rFonts w:ascii="Arial" w:cs="Arial" w:eastAsia="Arial" w:hAnsi="Arial"/>
          <w:sz w:val="16"/>
          <w:szCs w:val="16"/>
          <w:color w:val="auto"/>
        </w:rPr>
        <w:t>3.23 “Purchase Price”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-599440</wp:posOffset>
            </wp:positionV>
            <wp:extent cx="6756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675640" cy="8890"/>
                    </a:xfrm>
                    <a:prstGeom prst="rect">
                      <a:avLst/>
                    </a:prstGeom>
                    <a:noFill/>
                  </pic:spPr>
                </pic:pic>
              </a:graphicData>
            </a:graphic>
          </wp:anchor>
        </w:drawing>
      </w:r>
    </w:p>
    <w:p>
      <w:pPr>
        <w:spacing w:after="0" w:line="60"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“Securities Act”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-10160</wp:posOffset>
            </wp:positionV>
            <wp:extent cx="643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38" w:lineRule="exact"/>
        <w:rPr>
          <w:sz w:val="20"/>
          <w:szCs w:val="20"/>
          <w:color w:val="auto"/>
        </w:rPr>
      </w:pPr>
    </w:p>
    <w:p>
      <w:pPr>
        <w:jc w:val="both"/>
        <w:ind w:left="460" w:right="459" w:firstLine="648"/>
        <w:spacing w:after="0" w:line="275" w:lineRule="auto"/>
        <w:rPr>
          <w:sz w:val="20"/>
          <w:szCs w:val="20"/>
          <w:color w:val="auto"/>
        </w:rPr>
      </w:pPr>
      <w:r>
        <w:rPr>
          <w:rFonts w:ascii="Arial" w:cs="Arial" w:eastAsia="Arial" w:hAnsi="Arial"/>
          <w:sz w:val="17"/>
          <w:szCs w:val="17"/>
          <w:color w:val="auto"/>
        </w:rPr>
        <w:t>3.25 “</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in which the Company owns, directly or indirectly, stock representing 50% or more of the combined voting power of all classes of stock entitled to vote, and any other business organization, regardless of form, in which the Company possesses, directly or indirectly, 50% or more of the total combined equity interests in such organization. In all cases, the determination of whether an entity is a Subsidiary shall be made in accordance with Section 424(f) of the Code.</w:t>
      </w:r>
    </w:p>
    <w:p>
      <w:pPr>
        <w:spacing w:after="0" w:line="109" w:lineRule="exact"/>
        <w:rPr>
          <w:sz w:val="20"/>
          <w:szCs w:val="20"/>
          <w:color w:val="auto"/>
        </w:rPr>
      </w:pPr>
    </w:p>
    <w:p>
      <w:pPr>
        <w:jc w:val="both"/>
        <w:ind w:left="460" w:right="459" w:firstLine="648"/>
        <w:spacing w:after="0" w:line="286" w:lineRule="auto"/>
        <w:rPr>
          <w:sz w:val="20"/>
          <w:szCs w:val="20"/>
          <w:color w:val="auto"/>
        </w:rPr>
      </w:pPr>
      <w:r>
        <w:rPr>
          <w:rFonts w:ascii="Arial" w:cs="Arial" w:eastAsia="Arial" w:hAnsi="Arial"/>
          <w:sz w:val="17"/>
          <w:szCs w:val="17"/>
          <w:color w:val="auto"/>
        </w:rPr>
        <w:t>3.26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80" w:lineRule="exact"/>
        <w:rPr>
          <w:sz w:val="20"/>
          <w:szCs w:val="20"/>
          <w:color w:val="auto"/>
        </w:rPr>
      </w:pPr>
    </w:p>
    <w:p>
      <w:pPr>
        <w:jc w:val="both"/>
        <w:ind w:left="460" w:right="459" w:hanging="6"/>
        <w:spacing w:after="0" w:line="270" w:lineRule="auto"/>
        <w:tabs>
          <w:tab w:leader="none" w:pos="1117"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shall be administered by the Committee which shall have the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 and interpret the Plan, prescribe, amend and rescind rules relating to the Plan’s administration and take any other actions necessary or desirable for the administration of the Plan including, without limitation, adopting rules, sub-plans, and/or procedures relating to the operation and administration of the Plan designed to comply with local laws, regulations or customs or to achieve tax, securities law or other objectives for eligible employees outside of the United States. Any sub-plans applicable to particular Participating Subsidiaries or locations may be designed to be outside the scope of Section 423 of the Code.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109" w:lineRule="exact"/>
        <w:rPr>
          <w:rFonts w:ascii="Arial" w:cs="Arial" w:eastAsia="Arial" w:hAnsi="Arial"/>
          <w:sz w:val="17"/>
          <w:szCs w:val="17"/>
          <w:b w:val="1"/>
          <w:bCs w:val="1"/>
          <w:color w:val="auto"/>
        </w:rPr>
      </w:pPr>
    </w:p>
    <w:p>
      <w:pPr>
        <w:ind w:left="1080" w:hanging="626"/>
        <w:spacing w:after="0"/>
        <w:tabs>
          <w:tab w:leader="none" w:pos="108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62" w:lineRule="exact"/>
        <w:rPr>
          <w:sz w:val="20"/>
          <w:szCs w:val="20"/>
          <w:color w:val="auto"/>
        </w:rPr>
      </w:pPr>
    </w:p>
    <w:p>
      <w:pPr>
        <w:jc w:val="both"/>
        <w:ind w:left="460" w:right="459"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06" w:lineRule="exact"/>
        <w:rPr>
          <w:sz w:val="20"/>
          <w:szCs w:val="20"/>
          <w:color w:val="auto"/>
        </w:rPr>
      </w:pPr>
    </w:p>
    <w:p>
      <w:pPr>
        <w:jc w:val="both"/>
        <w:ind w:left="460" w:right="459"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5% Stockholder</w:t>
      </w:r>
      <w:r>
        <w:rPr>
          <w:rFonts w:ascii="Arial" w:cs="Arial" w:eastAsia="Arial" w:hAnsi="Arial"/>
          <w:sz w:val="18"/>
          <w:szCs w:val="18"/>
          <w:color w:val="auto"/>
        </w:rPr>
        <w:t>. Notwithstanding any provision of the Plan to the contrary, no Eligible Employee shall be granted an option under the Plan if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w:t>
      </w:r>
    </w:p>
    <w:p>
      <w:pPr>
        <w:spacing w:after="0" w:line="125" w:lineRule="exact"/>
        <w:rPr>
          <w:sz w:val="20"/>
          <w:szCs w:val="20"/>
          <w:color w:val="auto"/>
        </w:rPr>
      </w:pPr>
    </w:p>
    <w:p>
      <w:pPr>
        <w:jc w:val="both"/>
        <w:ind w:left="460" w:right="459" w:firstLine="648"/>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$25,000 Limit</w:t>
      </w:r>
      <w:r>
        <w:rPr>
          <w:rFonts w:ascii="Arial" w:cs="Arial" w:eastAsia="Arial" w:hAnsi="Arial"/>
          <w:sz w:val="17"/>
          <w:szCs w:val="17"/>
          <w:color w:val="auto"/>
        </w:rPr>
        <w:t>. Notwithstanding any provision of the Plan to the contrary, no Eligible Employee shall be granted an option under the Plan if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 For purposes of this Section, the Fair Market Value shall be determined in each case as of the beginning of the Offering Period in which such Common Stock is purchased.</w:t>
      </w:r>
    </w:p>
    <w:p>
      <w:pPr>
        <w:spacing w:after="0" w:line="106" w:lineRule="exact"/>
        <w:rPr>
          <w:sz w:val="20"/>
          <w:szCs w:val="20"/>
          <w:color w:val="auto"/>
        </w:rPr>
      </w:pPr>
    </w:p>
    <w:p>
      <w:pPr>
        <w:ind w:left="1080" w:hanging="626"/>
        <w:spacing w:after="0"/>
        <w:tabs>
          <w:tab w:leader="none" w:pos="10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w:t>
      </w:r>
    </w:p>
    <w:p>
      <w:pPr>
        <w:spacing w:after="0" w:line="148" w:lineRule="exact"/>
        <w:rPr>
          <w:sz w:val="20"/>
          <w:szCs w:val="20"/>
          <w:color w:val="auto"/>
        </w:rPr>
      </w:pPr>
    </w:p>
    <w:p>
      <w:pPr>
        <w:jc w:val="both"/>
        <w:ind w:left="460" w:right="459"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Plan shall be implemented by a series of Offering Periods, each of which shall be six months in duration, with new Offering Periods commencing on or about January 1 and July 1 of each year (or such other times as determined by the Committee). The Committee shall have the authority to change the duration, frequency, start and end dates of Offering Periods,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Offering Period may exceed twenty-seven (27) months duration.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0" w:name="page231"/>
    <w:bookmarkEnd w:id="230"/>
    <w:p>
      <w:pPr>
        <w:jc w:val="both"/>
        <w:ind w:left="460" w:right="459"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Separate Offerings</w:t>
      </w:r>
      <w:r>
        <w:rPr>
          <w:rFonts w:ascii="Arial" w:cs="Arial" w:eastAsia="Arial" w:hAnsi="Arial"/>
          <w:sz w:val="18"/>
          <w:szCs w:val="18"/>
          <w:color w:val="auto"/>
        </w:rPr>
        <w:t xml:space="preserve">.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rights and privileges established with respect to a particular Offering are applied in an identical manner to all employees of every Participating Corporation whose employees are granted options under that particular offering.</w:t>
      </w:r>
    </w:p>
    <w:p>
      <w:pPr>
        <w:spacing w:after="0" w:line="107" w:lineRule="exact"/>
        <w:rPr>
          <w:sz w:val="20"/>
          <w:szCs w:val="20"/>
          <w:color w:val="auto"/>
        </w:rPr>
      </w:pPr>
    </w:p>
    <w:p>
      <w:pPr>
        <w:ind w:left="1080" w:hanging="626"/>
        <w:spacing w:after="0"/>
        <w:tabs>
          <w:tab w:leader="none" w:pos="10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62" w:lineRule="exact"/>
        <w:rPr>
          <w:sz w:val="20"/>
          <w:szCs w:val="20"/>
          <w:color w:val="auto"/>
        </w:rPr>
      </w:pPr>
    </w:p>
    <w:p>
      <w:pPr>
        <w:jc w:val="both"/>
        <w:ind w:left="460" w:right="459" w:firstLine="648"/>
        <w:spacing w:after="0" w:line="287" w:lineRule="auto"/>
        <w:rPr>
          <w:sz w:val="20"/>
          <w:szCs w:val="20"/>
          <w:color w:val="auto"/>
        </w:rPr>
      </w:pPr>
      <w:r>
        <w:rPr>
          <w:rFonts w:ascii="Arial" w:cs="Arial" w:eastAsia="Arial" w:hAnsi="Arial"/>
          <w:sz w:val="16"/>
          <w:szCs w:val="16"/>
          <w:color w:val="auto"/>
        </w:rPr>
        <w:t>7.1 Enrollment; Payroll Deductions.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 check in an amount equal to at least 1%, but not more than 15%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-1415415</wp:posOffset>
            </wp:positionV>
            <wp:extent cx="14535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84" w:lineRule="exact"/>
        <w:rPr>
          <w:sz w:val="20"/>
          <w:szCs w:val="20"/>
          <w:color w:val="auto"/>
        </w:rPr>
      </w:pPr>
    </w:p>
    <w:p>
      <w:pPr>
        <w:jc w:val="both"/>
        <w:ind w:left="460" w:right="459" w:firstLine="648"/>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Election Changes</w:t>
      </w:r>
      <w:r>
        <w:rPr>
          <w:rFonts w:ascii="Arial" w:cs="Arial" w:eastAsia="Arial" w:hAnsi="Arial"/>
          <w:sz w:val="17"/>
          <w:szCs w:val="17"/>
          <w:color w:val="auto"/>
        </w:rPr>
        <w:t>. During an Offering Period, a Participant may decrease or increase his or her rate of payroll deductions applicable to such Offering Period only once.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days (15) before the start of the next Offering Period.</w:t>
      </w:r>
    </w:p>
    <w:p>
      <w:pPr>
        <w:spacing w:after="0" w:line="97" w:lineRule="exact"/>
        <w:rPr>
          <w:sz w:val="20"/>
          <w:szCs w:val="20"/>
          <w:color w:val="auto"/>
        </w:rPr>
      </w:pPr>
    </w:p>
    <w:p>
      <w:pPr>
        <w:jc w:val="both"/>
        <w:ind w:left="460" w:right="479" w:firstLine="648"/>
        <w:spacing w:after="0" w:line="301" w:lineRule="auto"/>
        <w:rPr>
          <w:sz w:val="20"/>
          <w:szCs w:val="20"/>
          <w:color w:val="auto"/>
        </w:rPr>
      </w:pPr>
      <w:r>
        <w:rPr>
          <w:rFonts w:ascii="Arial" w:cs="Arial" w:eastAsia="Arial" w:hAnsi="Arial"/>
          <w:sz w:val="16"/>
          <w:szCs w:val="16"/>
          <w:color w:val="auto"/>
        </w:rPr>
        <w:t>7.3 Automatic Re-enrollment. The deduction rate selected in the Enrollment Form shall remain in effect for subsequent Offering Periods unless the Participant (a) submits a new Enrollment Form authorizing a new level of payroll deductions in accordance with Section 7.2, (b) withdraws from the Plan in accordance with Section 11, or (c) terminates employment or otherwise becomes ineligible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-464820</wp:posOffset>
            </wp:positionV>
            <wp:extent cx="11709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66" w:lineRule="exact"/>
        <w:rPr>
          <w:sz w:val="20"/>
          <w:szCs w:val="20"/>
          <w:color w:val="auto"/>
        </w:rPr>
      </w:pPr>
    </w:p>
    <w:p>
      <w:pPr>
        <w:jc w:val="both"/>
        <w:ind w:left="460" w:right="459" w:hanging="6"/>
        <w:spacing w:after="0" w:line="256" w:lineRule="auto"/>
        <w:tabs>
          <w:tab w:leader="none" w:pos="1117"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On each Offering Date, each Participant in the applicable Offering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granted an option to purchase, on the Purchase Date, a number of shares of Common Stock determined by dividing the Participant’s accumulated payroll deductions by the applicable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Participant purchase more than 5,000 shares of Common Stock during an Offering Period (subject to adjustment in accordance with Section 19 and the limitations set forth in Section 14 of the Plan).</w:t>
      </w:r>
    </w:p>
    <w:p>
      <w:pPr>
        <w:spacing w:after="0" w:line="119" w:lineRule="exact"/>
        <w:rPr>
          <w:rFonts w:ascii="Arial" w:cs="Arial" w:eastAsia="Arial" w:hAnsi="Arial"/>
          <w:sz w:val="18"/>
          <w:szCs w:val="18"/>
          <w:b w:val="1"/>
          <w:bCs w:val="1"/>
          <w:color w:val="auto"/>
        </w:rPr>
      </w:pPr>
    </w:p>
    <w:p>
      <w:pPr>
        <w:jc w:val="both"/>
        <w:ind w:left="460" w:right="459" w:hanging="6"/>
        <w:spacing w:after="0" w:line="292" w:lineRule="auto"/>
        <w:tabs>
          <w:tab w:leader="none" w:pos="1103"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Option/Purchase of Shares. </w:t>
      </w:r>
      <w:r>
        <w:rPr>
          <w:rFonts w:ascii="Arial" w:cs="Arial" w:eastAsia="Arial" w:hAnsi="Arial"/>
          <w:sz w:val="16"/>
          <w:szCs w:val="16"/>
          <w:color w:val="auto"/>
        </w:rPr>
        <w:t>A Participant’s option to purchase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11 or termination of employment in accordance with Section 12.</w:t>
      </w:r>
    </w:p>
    <w:p>
      <w:pPr>
        <w:spacing w:after="0" w:line="80" w:lineRule="exact"/>
        <w:rPr>
          <w:rFonts w:ascii="Arial" w:cs="Arial" w:eastAsia="Arial" w:hAnsi="Arial"/>
          <w:sz w:val="16"/>
          <w:szCs w:val="16"/>
          <w:b w:val="1"/>
          <w:bCs w:val="1"/>
          <w:color w:val="auto"/>
        </w:rPr>
      </w:pPr>
    </w:p>
    <w:p>
      <w:pPr>
        <w:jc w:val="both"/>
        <w:ind w:left="460" w:right="459" w:hanging="6"/>
        <w:spacing w:after="0" w:line="292" w:lineRule="auto"/>
        <w:tabs>
          <w:tab w:leader="none" w:pos="109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of Shares. </w:t>
      </w:r>
      <w:r>
        <w:rPr>
          <w:rFonts w:ascii="Arial" w:cs="Arial" w:eastAsia="Arial" w:hAnsi="Arial"/>
          <w:sz w:val="16"/>
          <w:szCs w:val="16"/>
          <w:color w:val="auto"/>
        </w:rPr>
        <w:t>As soon as reasonably practicable after each Purchase Date,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stockholder with respect to the shares of Common Stock subject to any option granted hereunder until such shares have been delivered pursuant to this Section 10.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1" w:name="page232"/>
    <w:bookmarkEnd w:id="231"/>
    <w:p>
      <w:pPr>
        <w:ind w:left="1080" w:hanging="626"/>
        <w:spacing w:after="0"/>
        <w:tabs>
          <w:tab w:leader="none" w:pos="10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48" w:lineRule="exact"/>
        <w:rPr>
          <w:sz w:val="20"/>
          <w:szCs w:val="20"/>
          <w:color w:val="auto"/>
        </w:rPr>
      </w:pPr>
    </w:p>
    <w:p>
      <w:pPr>
        <w:jc w:val="both"/>
        <w:ind w:left="460" w:right="479" w:firstLine="648"/>
        <w:spacing w:after="0" w:line="271" w:lineRule="auto"/>
        <w:rPr>
          <w:sz w:val="20"/>
          <w:szCs w:val="20"/>
          <w:color w:val="auto"/>
        </w:rPr>
      </w:pPr>
      <w:r>
        <w:rPr>
          <w:rFonts w:ascii="Arial" w:cs="Arial" w:eastAsia="Arial" w:hAnsi="Arial"/>
          <w:sz w:val="17"/>
          <w:szCs w:val="17"/>
          <w:color w:val="auto"/>
        </w:rPr>
        <w:t>11.1 Withdrawal Procedure. A Participant may withdraw from an Offering by submitting to the Company a revised Enrollment Form indicating his or her election to withdraw at least fifteen (15)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7.1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-1000125</wp:posOffset>
            </wp:positionV>
            <wp:extent cx="10433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91" w:lineRule="exact"/>
        <w:rPr>
          <w:sz w:val="20"/>
          <w:szCs w:val="20"/>
          <w:color w:val="auto"/>
        </w:rPr>
      </w:pPr>
    </w:p>
    <w:p>
      <w:pPr>
        <w:jc w:val="both"/>
        <w:ind w:left="460" w:right="479" w:firstLine="648"/>
        <w:spacing w:after="0" w:line="28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Effect on Succeeding Offering Periods</w:t>
      </w:r>
      <w:r>
        <w:rPr>
          <w:rFonts w:ascii="Arial" w:cs="Arial" w:eastAsia="Arial" w:hAnsi="Arial"/>
          <w:sz w:val="17"/>
          <w:szCs w:val="17"/>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94" w:lineRule="exact"/>
        <w:rPr>
          <w:sz w:val="20"/>
          <w:szCs w:val="20"/>
          <w:color w:val="auto"/>
        </w:rPr>
      </w:pPr>
    </w:p>
    <w:p>
      <w:pPr>
        <w:jc w:val="both"/>
        <w:ind w:left="460" w:right="459" w:hanging="6"/>
        <w:spacing w:after="0" w:line="268" w:lineRule="auto"/>
        <w:tabs>
          <w:tab w:leader="none" w:pos="109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Change in Employment Status. </w:t>
      </w:r>
      <w:r>
        <w:rPr>
          <w:rFonts w:ascii="Arial" w:cs="Arial" w:eastAsia="Arial" w:hAnsi="Arial"/>
          <w:sz w:val="17"/>
          <w:szCs w:val="17"/>
          <w:color w:val="auto"/>
        </w:rPr>
        <w:t>Termination of a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for any reason, including retirement, death, disability, or the failure of a Participant to remain an eligible employee of the Company or of a Participating Subsidiary, immediately terminates his or her participation in this Plan (except as required due to local legal requirements outside the United States). In such event, accumulated payroll deductions credited to the Participant’s notional account will be returned to Participant or, in the case of Participant’s death, to Participant’s designated or legal representative (as applicable),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Subsidiary in the case of sick leave, military leave, or any other leave of absence approved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leave is for a period of not more than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03" w:lineRule="exact"/>
        <w:rPr>
          <w:rFonts w:ascii="Arial" w:cs="Arial" w:eastAsia="Arial" w:hAnsi="Arial"/>
          <w:sz w:val="17"/>
          <w:szCs w:val="17"/>
          <w:b w:val="1"/>
          <w:bCs w:val="1"/>
          <w:color w:val="auto"/>
        </w:rPr>
      </w:pPr>
    </w:p>
    <w:p>
      <w:pPr>
        <w:ind w:left="460" w:right="459" w:hanging="6"/>
        <w:spacing w:after="0" w:line="282" w:lineRule="auto"/>
        <w:tabs>
          <w:tab w:leader="none" w:pos="109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or be payable with respect to the payroll deductions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the Plan.</w:t>
      </w:r>
    </w:p>
    <w:p>
      <w:pPr>
        <w:spacing w:after="0" w:line="94" w:lineRule="exact"/>
        <w:rPr>
          <w:rFonts w:ascii="Arial" w:cs="Arial" w:eastAsia="Arial" w:hAnsi="Arial"/>
          <w:sz w:val="18"/>
          <w:szCs w:val="18"/>
          <w:b w:val="1"/>
          <w:bCs w:val="1"/>
          <w:color w:val="auto"/>
        </w:rPr>
      </w:pPr>
    </w:p>
    <w:p>
      <w:pPr>
        <w:ind w:left="1080" w:hanging="626"/>
        <w:spacing w:after="0"/>
        <w:tabs>
          <w:tab w:leader="none" w:pos="10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Plan.</w:t>
      </w:r>
    </w:p>
    <w:p>
      <w:pPr>
        <w:spacing w:after="0" w:line="162" w:lineRule="exact"/>
        <w:rPr>
          <w:sz w:val="20"/>
          <w:szCs w:val="20"/>
          <w:color w:val="auto"/>
        </w:rPr>
      </w:pPr>
    </w:p>
    <w:p>
      <w:pPr>
        <w:jc w:val="both"/>
        <w:ind w:left="460" w:right="459" w:firstLine="648"/>
        <w:spacing w:after="0" w:line="269"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Number of Shares</w:t>
      </w:r>
      <w:r>
        <w:rPr>
          <w:rFonts w:ascii="Arial" w:cs="Arial" w:eastAsia="Arial" w:hAnsi="Arial"/>
          <w:sz w:val="17"/>
          <w:szCs w:val="17"/>
          <w:color w:val="auto"/>
        </w:rPr>
        <w:t xml:space="preserve">. A total of 2,308,700 shares of Common Stock have been reserved as authorized for the grant of options under the Plan. In addition, on each January 1 of each of 2023 through 2032,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7"/>
          <w:szCs w:val="17"/>
          <w:u w:val="single" w:color="auto"/>
          <w:color w:val="auto"/>
        </w:rPr>
        <w:t>provided</w:t>
      </w:r>
      <w:r>
        <w:rPr>
          <w:rFonts w:ascii="Arial" w:cs="Arial" w:eastAsia="Arial" w:hAnsi="Arial"/>
          <w:sz w:val="17"/>
          <w:szCs w:val="17"/>
          <w:color w:val="auto"/>
        </w:rPr>
        <w:t>, that the Board or the Committee may in its sole discretion reduce the amount of the increase in any particular year. Subject to Section 19, no more than 23,087,000 shares of Common Stock may be issued over the term of this Plan. The number of shares initially reserved for issuance under this Plan and the maximum number of shares that may be issued under this Plan shall be subject to adjustments effected in accordance with Section 19. The shares of Common Stock may be newly issued shares, treasury shares or shares acquired on the open market.</w:t>
      </w:r>
    </w:p>
    <w:p>
      <w:pPr>
        <w:spacing w:after="0" w:line="101" w:lineRule="exact"/>
        <w:rPr>
          <w:sz w:val="20"/>
          <w:szCs w:val="20"/>
          <w:color w:val="auto"/>
        </w:rPr>
      </w:pPr>
    </w:p>
    <w:p>
      <w:pPr>
        <w:jc w:val="both"/>
        <w:ind w:left="460" w:right="479" w:firstLine="648"/>
        <w:spacing w:after="0" w:line="289"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Over-subscribed Offerings</w:t>
      </w:r>
      <w:r>
        <w:rPr>
          <w:rFonts w:ascii="Arial" w:cs="Arial" w:eastAsia="Arial" w:hAnsi="Arial"/>
          <w:sz w:val="16"/>
          <w:szCs w:val="16"/>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jc w:val="both"/>
        <w:ind w:left="460" w:right="459" w:hanging="6"/>
        <w:spacing w:after="0" w:line="258" w:lineRule="auto"/>
        <w:tabs>
          <w:tab w:leader="none" w:pos="109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No payroll deductions credited to a Participant, nor any rights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or any rights to receive Common Stock hereunder may be assigned, transferred, pledged or otherwise disposed of in any way (other than by will, the laws of descent and distribution, or as provided in Section 18 hereof) by the Participant. Any attempt to assign, transfer, pledge or otherwise dispose of such rights or amounts shall be without effect.</w:t>
      </w:r>
    </w:p>
    <w:p>
      <w:pPr>
        <w:spacing w:after="0" w:line="102" w:lineRule="exact"/>
        <w:rPr>
          <w:rFonts w:ascii="Arial" w:cs="Arial" w:eastAsia="Arial" w:hAnsi="Arial"/>
          <w:sz w:val="18"/>
          <w:szCs w:val="18"/>
          <w:b w:val="1"/>
          <w:bCs w:val="1"/>
          <w:color w:val="auto"/>
        </w:rPr>
      </w:pPr>
    </w:p>
    <w:p>
      <w:pPr>
        <w:jc w:val="both"/>
        <w:ind w:left="460" w:right="479" w:hanging="6"/>
        <w:spacing w:after="0" w:line="266" w:lineRule="auto"/>
        <w:tabs>
          <w:tab w:leader="none" w:pos="109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Funds. </w:t>
      </w:r>
      <w:r>
        <w:rPr>
          <w:rFonts w:ascii="Arial" w:cs="Arial" w:eastAsia="Arial" w:hAnsi="Arial"/>
          <w:sz w:val="18"/>
          <w:szCs w:val="18"/>
          <w:color w:val="auto"/>
        </w:rPr>
        <w:t>All payroll deductions received or held by the Company under the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used by the Company for any corporate purpose to the extent permitted by applicable law, and the Company shall not be required to segregate such payroll deductions or contributions.</w:t>
      </w:r>
    </w:p>
    <w:p>
      <w:pPr>
        <w:spacing w:after="0" w:line="108" w:lineRule="exact"/>
        <w:rPr>
          <w:rFonts w:ascii="Arial" w:cs="Arial" w:eastAsia="Arial" w:hAnsi="Arial"/>
          <w:sz w:val="18"/>
          <w:szCs w:val="18"/>
          <w:b w:val="1"/>
          <w:bCs w:val="1"/>
          <w:color w:val="auto"/>
        </w:rPr>
      </w:pPr>
    </w:p>
    <w:p>
      <w:pPr>
        <w:jc w:val="both"/>
        <w:ind w:left="460" w:right="459" w:hanging="6"/>
        <w:spacing w:after="0" w:line="261" w:lineRule="auto"/>
        <w:tabs>
          <w:tab w:leader="none" w:pos="109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Statements. </w:t>
      </w:r>
      <w:r>
        <w:rPr>
          <w:rFonts w:ascii="Arial" w:cs="Arial" w:eastAsia="Arial" w:hAnsi="Arial"/>
          <w:sz w:val="18"/>
          <w:szCs w:val="18"/>
          <w:color w:val="auto"/>
        </w:rPr>
        <w:t>Participants will be provided with statements at least annually which shall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12" w:lineRule="exact"/>
        <w:rPr>
          <w:rFonts w:ascii="Arial" w:cs="Arial" w:eastAsia="Arial" w:hAnsi="Arial"/>
          <w:sz w:val="18"/>
          <w:szCs w:val="18"/>
          <w:b w:val="1"/>
          <w:bCs w:val="1"/>
          <w:color w:val="auto"/>
        </w:rPr>
      </w:pPr>
    </w:p>
    <w:p>
      <w:pPr>
        <w:jc w:val="both"/>
        <w:ind w:left="460" w:right="459" w:hanging="6"/>
        <w:spacing w:after="0" w:line="287" w:lineRule="auto"/>
        <w:tabs>
          <w:tab w:leader="none" w:pos="109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Designation of Beneficiary. </w:t>
      </w:r>
      <w:r>
        <w:rPr>
          <w:rFonts w:ascii="Arial" w:cs="Arial" w:eastAsia="Arial" w:hAnsi="Arial"/>
          <w:sz w:val="16"/>
          <w:szCs w:val="16"/>
          <w:color w:val="auto"/>
        </w:rPr>
        <w:t>A Participant may file, on forms supplied by the Committee,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designation of one or more persons as the beneficiary(ies) who shall be entitled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spouse or, if the Participant is unmarried at the time of death, his estate.</w:t>
      </w:r>
    </w:p>
    <w:p>
      <w:pPr>
        <w:spacing w:after="0" w:line="86" w:lineRule="exact"/>
        <w:rPr>
          <w:rFonts w:ascii="Arial" w:cs="Arial" w:eastAsia="Arial" w:hAnsi="Arial"/>
          <w:sz w:val="16"/>
          <w:szCs w:val="16"/>
          <w:b w:val="1"/>
          <w:bCs w:val="1"/>
          <w:color w:val="auto"/>
        </w:rPr>
      </w:pPr>
    </w:p>
    <w:p>
      <w:pPr>
        <w:ind w:left="460" w:right="1419" w:hanging="6"/>
        <w:spacing w:after="0" w:line="282" w:lineRule="auto"/>
        <w:tabs>
          <w:tab w:leader="none" w:pos="109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Dissolution or Liquidation; Corporate Transactions.</w:t>
      </w:r>
    </w:p>
    <w:p>
      <w:pPr>
        <w:spacing w:after="0" w:line="98" w:lineRule="exact"/>
        <w:rPr>
          <w:sz w:val="20"/>
          <w:szCs w:val="20"/>
          <w:color w:val="auto"/>
        </w:rPr>
      </w:pPr>
    </w:p>
    <w:p>
      <w:pPr>
        <w:jc w:val="both"/>
        <w:ind w:left="460" w:right="459" w:firstLine="648"/>
        <w:spacing w:after="0" w:line="253"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8 and Section 14.</w:t>
      </w:r>
    </w:p>
    <w:p>
      <w:pPr>
        <w:spacing w:after="0" w:line="129" w:lineRule="exact"/>
        <w:rPr>
          <w:sz w:val="20"/>
          <w:szCs w:val="20"/>
          <w:color w:val="auto"/>
        </w:rPr>
      </w:pPr>
    </w:p>
    <w:p>
      <w:pPr>
        <w:jc w:val="both"/>
        <w:ind w:left="460" w:right="459" w:firstLine="648"/>
        <w:spacing w:after="0" w:line="254" w:lineRule="auto"/>
        <w:rPr>
          <w:sz w:val="20"/>
          <w:szCs w:val="20"/>
          <w:color w:val="auto"/>
        </w:rPr>
      </w:pPr>
      <w:r>
        <w:rPr>
          <w:rFonts w:ascii="Arial" w:cs="Arial" w:eastAsia="Arial" w:hAnsi="Arial"/>
          <w:sz w:val="18"/>
          <w:szCs w:val="18"/>
          <w:color w:val="auto"/>
        </w:rPr>
        <w:t>19.2 Dissolution or Liquidation.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-991870</wp:posOffset>
            </wp:positionV>
            <wp:extent cx="12211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91" w:lineRule="exact"/>
        <w:rPr>
          <w:sz w:val="20"/>
          <w:szCs w:val="20"/>
          <w:color w:val="auto"/>
        </w:rPr>
      </w:pPr>
    </w:p>
    <w:p>
      <w:pPr>
        <w:jc w:val="both"/>
        <w:ind w:left="460" w:right="479" w:firstLine="648"/>
        <w:spacing w:after="0" w:line="290" w:lineRule="auto"/>
        <w:rPr>
          <w:sz w:val="20"/>
          <w:szCs w:val="20"/>
          <w:color w:val="auto"/>
        </w:rPr>
      </w:pPr>
      <w:r>
        <w:rPr>
          <w:rFonts w:ascii="Arial" w:cs="Arial" w:eastAsia="Arial" w:hAnsi="Arial"/>
          <w:sz w:val="16"/>
          <w:szCs w:val="16"/>
          <w:color w:val="auto"/>
        </w:rPr>
        <w:t>19.3 Corporate Transaction.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-1008380</wp:posOffset>
            </wp:positionV>
            <wp:extent cx="10293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1080" w:hanging="626"/>
        <w:spacing w:after="0"/>
        <w:tabs>
          <w:tab w:leader="none" w:pos="108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48" w:lineRule="exact"/>
        <w:rPr>
          <w:sz w:val="20"/>
          <w:szCs w:val="20"/>
          <w:color w:val="auto"/>
        </w:rPr>
      </w:pPr>
    </w:p>
    <w:p>
      <w:pPr>
        <w:jc w:val="both"/>
        <w:ind w:left="460" w:right="459" w:firstLine="648"/>
        <w:spacing w:after="0" w:line="263"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Equal Rights and Privileges</w:t>
      </w:r>
      <w:r>
        <w:rPr>
          <w:rFonts w:ascii="Arial" w:cs="Arial" w:eastAsia="Arial" w:hAnsi="Arial"/>
          <w:sz w:val="18"/>
          <w:szCs w:val="18"/>
          <w:color w:val="auto"/>
        </w:rPr>
        <w:t>. Notwithstanding any provision of the Plan to the contrary and in accordance with Section 423 of the Code, all Eligible Employees who are granted options under the Plan shall have the same rights and privileges.</w:t>
      </w:r>
    </w:p>
    <w:p>
      <w:pPr>
        <w:spacing w:after="0" w:line="116" w:lineRule="exact"/>
        <w:rPr>
          <w:sz w:val="20"/>
          <w:szCs w:val="20"/>
          <w:color w:val="auto"/>
        </w:rPr>
      </w:pPr>
    </w:p>
    <w:p>
      <w:pPr>
        <w:jc w:val="both"/>
        <w:ind w:left="460" w:right="479" w:firstLine="648"/>
        <w:spacing w:after="0" w:line="277" w:lineRule="auto"/>
        <w:rPr>
          <w:sz w:val="20"/>
          <w:szCs w:val="20"/>
          <w:color w:val="auto"/>
        </w:rPr>
      </w:pPr>
      <w:r>
        <w:rPr>
          <w:rFonts w:ascii="Arial" w:cs="Arial" w:eastAsia="Arial" w:hAnsi="Arial"/>
          <w:sz w:val="18"/>
          <w:szCs w:val="18"/>
          <w:color w:val="auto"/>
        </w:rPr>
        <w:t>20.2 No Right to Continued Service. Neither the Plan nor any compensation paid hereunder will confer on any Participant the right to continue as an Employee or in any other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-182245</wp:posOffset>
            </wp:positionV>
            <wp:extent cx="14579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3" w:lineRule="exact"/>
        <w:rPr>
          <w:sz w:val="20"/>
          <w:szCs w:val="20"/>
          <w:color w:val="auto"/>
        </w:rPr>
      </w:pPr>
    </w:p>
    <w:p>
      <w:pPr>
        <w:jc w:val="both"/>
        <w:ind w:left="460" w:right="459" w:firstLine="648"/>
        <w:spacing w:after="0" w:line="257"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A Participant will become a stockholder with respect to the shares of Common Stock that are purchased pursuant to options granted under the Plan when the shares are transferred to the Participant’s ESPP Share Account. A Participant will have no rights as a stockholder with respect to shares of Common Stock for which an election to participate in an Offering Period has been made until such Participant becomes a stockholder as provided above.</w:t>
      </w:r>
    </w:p>
    <w:p>
      <w:pPr>
        <w:spacing w:after="0" w:line="107"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Successors and Assigns. The Plan shall be binding on the Company and its successors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-10160</wp:posOffset>
            </wp:positionV>
            <wp:extent cx="11112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assigns.</w:t>
      </w:r>
    </w:p>
    <w:p>
      <w:pPr>
        <w:spacing w:after="0" w:line="143"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Entire Plan</w:t>
      </w:r>
      <w:r>
        <w:rPr>
          <w:rFonts w:ascii="Arial" w:cs="Arial" w:eastAsia="Arial" w:hAnsi="Arial"/>
          <w:sz w:val="18"/>
          <w:szCs w:val="18"/>
          <w:color w:val="auto"/>
        </w:rPr>
        <w:t>. This Plan constitutes the entire plan with respect to the subject matter hereof and supersedes all prior plans with respect to the subject matter hereof.</w:t>
      </w:r>
    </w:p>
    <w:p>
      <w:pPr>
        <w:spacing w:after="0" w:line="103" w:lineRule="exact"/>
        <w:rPr>
          <w:sz w:val="20"/>
          <w:szCs w:val="20"/>
          <w:color w:val="auto"/>
        </w:rPr>
      </w:pPr>
    </w:p>
    <w:p>
      <w:pPr>
        <w:jc w:val="both"/>
        <w:ind w:left="460" w:right="459" w:firstLine="648"/>
        <w:spacing w:after="0" w:line="255" w:lineRule="auto"/>
        <w:rPr>
          <w:sz w:val="20"/>
          <w:szCs w:val="20"/>
          <w:color w:val="auto"/>
        </w:rPr>
      </w:pPr>
      <w:r>
        <w:rPr>
          <w:rFonts w:ascii="Arial" w:cs="Arial" w:eastAsia="Arial" w:hAnsi="Arial"/>
          <w:sz w:val="18"/>
          <w:szCs w:val="18"/>
          <w:color w:val="auto"/>
        </w:rPr>
        <w:t>20.6 Compliance with Law.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-716915</wp:posOffset>
            </wp:positionV>
            <wp:extent cx="10325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91" w:lineRule="exact"/>
        <w:rPr>
          <w:sz w:val="20"/>
          <w:szCs w:val="20"/>
          <w:color w:val="auto"/>
        </w:rPr>
      </w:pPr>
    </w:p>
    <w:p>
      <w:pPr>
        <w:jc w:val="both"/>
        <w:ind w:left="460" w:right="459" w:firstLine="648"/>
        <w:spacing w:after="0" w:line="259"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Notice of Disqualifying Dispositions</w:t>
      </w:r>
      <w:r>
        <w:rPr>
          <w:rFonts w:ascii="Arial" w:cs="Arial" w:eastAsia="Arial" w:hAnsi="Arial"/>
          <w:sz w:val="18"/>
          <w:szCs w:val="18"/>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19" w:lineRule="exact"/>
        <w:rPr>
          <w:sz w:val="20"/>
          <w:szCs w:val="20"/>
          <w:color w:val="auto"/>
        </w:rPr>
      </w:pPr>
    </w:p>
    <w:p>
      <w:pPr>
        <w:jc w:val="both"/>
        <w:ind w:left="460" w:right="459" w:firstLine="648"/>
        <w:spacing w:after="0" w:line="271" w:lineRule="auto"/>
        <w:rPr>
          <w:sz w:val="20"/>
          <w:szCs w:val="20"/>
          <w:color w:val="auto"/>
        </w:rPr>
      </w:pPr>
      <w:r>
        <w:rPr>
          <w:rFonts w:ascii="Arial" w:cs="Arial" w:eastAsia="Arial" w:hAnsi="Arial"/>
          <w:sz w:val="17"/>
          <w:szCs w:val="17"/>
          <w:color w:val="auto"/>
        </w:rPr>
        <w:t>20.8 Amendment or Termination.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19).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-1000125</wp:posOffset>
            </wp:positionV>
            <wp:extent cx="12998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91" w:lineRule="exact"/>
        <w:rPr>
          <w:sz w:val="20"/>
          <w:szCs w:val="20"/>
          <w:color w:val="auto"/>
        </w:rPr>
      </w:pPr>
    </w:p>
    <w:p>
      <w:pPr>
        <w:jc w:val="both"/>
        <w:ind w:left="460" w:right="479" w:firstLine="648"/>
        <w:spacing w:after="0" w:line="308" w:lineRule="auto"/>
        <w:rPr>
          <w:sz w:val="20"/>
          <w:szCs w:val="20"/>
          <w:color w:val="auto"/>
        </w:rPr>
      </w:pPr>
      <w:r>
        <w:rPr>
          <w:rFonts w:ascii="Arial" w:cs="Arial" w:eastAsia="Arial" w:hAnsi="Arial"/>
          <w:sz w:val="17"/>
          <w:szCs w:val="17"/>
          <w:color w:val="auto"/>
        </w:rPr>
        <w:t>20.9 Applicable Law. The laws of the State of Delaware shall govern all questions concerning the construction, validity and interpretation of the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-197485</wp:posOffset>
            </wp:positionV>
            <wp:extent cx="7327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45" w:lineRule="exact"/>
        <w:rPr>
          <w:sz w:val="20"/>
          <w:szCs w:val="20"/>
          <w:color w:val="auto"/>
        </w:rPr>
      </w:pPr>
    </w:p>
    <w:p>
      <w:pPr>
        <w:jc w:val="both"/>
        <w:ind w:left="460" w:right="479" w:firstLine="648"/>
        <w:spacing w:after="0" w:line="263" w:lineRule="auto"/>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u w:val="single" w:color="auto"/>
          <w:color w:val="auto"/>
        </w:rPr>
        <w:t>Section 423</w:t>
      </w:r>
      <w:r>
        <w:rPr>
          <w:rFonts w:ascii="Arial" w:cs="Arial" w:eastAsia="Arial" w:hAnsi="Arial"/>
          <w:sz w:val="18"/>
          <w:szCs w:val="18"/>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116" w:lineRule="exact"/>
        <w:rPr>
          <w:sz w:val="20"/>
          <w:szCs w:val="20"/>
          <w:color w:val="auto"/>
        </w:rPr>
      </w:pPr>
    </w:p>
    <w:p>
      <w:pPr>
        <w:jc w:val="both"/>
        <w:ind w:left="460" w:right="479" w:firstLine="648"/>
        <w:spacing w:after="0" w:line="263" w:lineRule="auto"/>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u w:val="single" w:color="auto"/>
          <w:color w:val="auto"/>
        </w:rPr>
        <w:t>Withholding</w:t>
      </w:r>
      <w:r>
        <w:rPr>
          <w:rFonts w:ascii="Arial" w:cs="Arial" w:eastAsia="Arial" w:hAnsi="Arial"/>
          <w:sz w:val="18"/>
          <w:szCs w:val="18"/>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jc w:val="both"/>
        <w:ind w:left="460" w:right="459" w:firstLine="648"/>
        <w:spacing w:after="0" w:line="301" w:lineRule="auto"/>
        <w:rPr>
          <w:sz w:val="20"/>
          <w:szCs w:val="20"/>
          <w:color w:val="auto"/>
        </w:rPr>
      </w:pPr>
      <w:r>
        <w:rPr>
          <w:rFonts w:ascii="Arial" w:cs="Arial" w:eastAsia="Arial" w:hAnsi="Arial"/>
          <w:sz w:val="16"/>
          <w:szCs w:val="16"/>
          <w:color w:val="auto"/>
        </w:rPr>
        <w:t xml:space="preserve">20.12 </w:t>
      </w:r>
      <w:r>
        <w:rPr>
          <w:rFonts w:ascii="Arial" w:cs="Arial" w:eastAsia="Arial" w:hAnsi="Arial"/>
          <w:sz w:val="16"/>
          <w:szCs w:val="16"/>
          <w:u w:val="single" w:color="auto"/>
          <w:color w:val="auto"/>
        </w:rPr>
        <w:t>Use of Participant Funds</w:t>
      </w:r>
      <w:r>
        <w:rPr>
          <w:rFonts w:ascii="Arial" w:cs="Arial" w:eastAsia="Arial" w:hAnsi="Arial"/>
          <w:sz w:val="16"/>
          <w:szCs w:val="16"/>
          <w:color w:val="auto"/>
        </w:rPr>
        <w:t>. The Company may use all payroll deductions received or held by it under the Plan for any corporate purpose, and the Company will not be required to segregate payroll deductions (except to the extent required due to local legal requirements outside the United States). Until shares are issued, Participants will only have the rights of an unsecured creditor unless otherwise required under local law.</w:t>
      </w:r>
    </w:p>
    <w:p>
      <w:pPr>
        <w:spacing w:after="0" w:line="76" w:lineRule="exact"/>
        <w:rPr>
          <w:sz w:val="20"/>
          <w:szCs w:val="20"/>
          <w:color w:val="auto"/>
        </w:rPr>
      </w:pPr>
    </w:p>
    <w:p>
      <w:pPr>
        <w:jc w:val="both"/>
        <w:ind w:left="460" w:right="459" w:firstLine="648"/>
        <w:spacing w:after="0" w:line="263" w:lineRule="auto"/>
        <w:rPr>
          <w:sz w:val="20"/>
          <w:szCs w:val="20"/>
          <w:color w:val="auto"/>
        </w:rPr>
      </w:pPr>
      <w:r>
        <w:rPr>
          <w:rFonts w:ascii="Arial" w:cs="Arial" w:eastAsia="Arial" w:hAnsi="Arial"/>
          <w:sz w:val="18"/>
          <w:szCs w:val="18"/>
          <w:color w:val="auto"/>
        </w:rPr>
        <w:t xml:space="preserve">20.13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16" w:lineRule="exact"/>
        <w:rPr>
          <w:sz w:val="20"/>
          <w:szCs w:val="20"/>
          <w:color w:val="auto"/>
        </w:rPr>
      </w:pPr>
    </w:p>
    <w:p>
      <w:pPr>
        <w:jc w:val="both"/>
        <w:ind w:left="460" w:right="459" w:firstLine="648"/>
        <w:spacing w:after="0" w:line="277" w:lineRule="auto"/>
        <w:rPr>
          <w:sz w:val="20"/>
          <w:szCs w:val="20"/>
          <w:color w:val="auto"/>
        </w:rPr>
      </w:pPr>
      <w:r>
        <w:rPr>
          <w:rFonts w:ascii="Arial" w:cs="Arial" w:eastAsia="Arial" w:hAnsi="Arial"/>
          <w:sz w:val="18"/>
          <w:szCs w:val="18"/>
          <w:color w:val="auto"/>
        </w:rPr>
        <w:t xml:space="preserve">20.14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and shall not affect the meaning of any of the provisions of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One of the Largest Labor Automation Technology Providers for the Hospitality Industry, to Become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Publicly Traded Following Business Combination with Ventoux CCM Acquisition Corp.</w:t>
      </w:r>
    </w:p>
    <w:p>
      <w:pPr>
        <w:spacing w:after="0" w:line="211"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First Day of Trading Expected to be on September 22,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2022 04:10 PM Eastern Daylight Time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WIRE) </w:t>
      </w:r>
      <w:r>
        <w:rPr>
          <w:rFonts w:ascii="Arial" w:cs="Arial" w:eastAsia="Arial" w:hAnsi="Arial"/>
          <w:sz w:val="18"/>
          <w:szCs w:val="18"/>
          <w:color w:val="auto"/>
        </w:rPr>
        <w:t>– Presto Automation Inc. (“Presto” or the “Company”), one of the largest labor automation technology providers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hospitality industry, today announced that it completed its previously announced business combination with Ventoux CCM Acquisition Corp. (“Ventoux”), a publicly traded special purpose acquisition company, on September 21, 2022.</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company will operate as Presto Automation Inc. and its common stock and warrants are expected to begin trading under the symbols “PRST” and “PRSTW,” respectively, on the Nasdaq Stock Market beginning on September 22,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Presto offers a platform of comprehensive voice, vision, and touch solutions designed to increase staff productivity and improve the guest experience. Processing over $4 billion in transactions annually across almost 280k deployments, Presto Automation can help restaurants achieve over 250% labor productivity and 30% larger check sizes by utilizing their full technology suite. Cash proceeds from the business combination, including a strategic investment from Cleveland Avenue LLC and others, consisted of approximately $120 million to fund expansion and product development across Presto’s platform.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is an incredibly exciting time for Presto as we complete our business combination with Ventoux and become a public company,” said Raj Suri, Founder and CEO of Presto. “Our platform could not be more timely in today’s labor market, and with the capital raised by this transaction, I believe we are well positioned to capitalize on the trend towards labor automation. The white space for our products is only growing every day and we look forward to solving some of the industry’s most difficult challenges together with our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remain committed to Presto’s mission of solving the labor crisis in the hospitality industry and we are excited to continue to work closely with the Company as active members of the board,” said Ed Scheetz, CEO and Chairman of Ventoux. “Going forward as a team, we believe that we have the talent and resources necessary to succeed in the public markets and continue to build this impressive organization.”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Jefferies LLC acted as exclusive financial advisor and exclusive capital markets advisor to Presto, and White &amp; Case LLP acted as legal advisor to Presto. Chardan Capital Markets LLC and William Blair &amp; Company, L.L.C. acted as financial advisors to Ventoux. Woolery &amp; Co. PLLC and Dentons US LLP acted as legal advisors to Ventoux. William Blair &amp; Company, L.L.C., Truist Securities, Inc. and Chardan Capital Markets LLC acted as placement agents for the PIPE financing and as capital markets advisors, and Mayer Brown, LLP acted as legal advisor to the placement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Ventoux CCM Acquisition Corp.</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Ventoux was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VTAQ was co-sponsored by Ventoux Acquisition Holdings and an affiliate of Chardan Capital Markets LLC.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Presto overlays next-gen digital solutions onto the physical world. Our enterprise-grade voice, vision, and touch technologies help hospitality businesses thrive while delighting guests. With over 250,000 systems shipped, Presto is one of the largest labor automation technology providers in the industry. Founded at M.I.T. in 2008, Presto is headquartered in Silicon Valley, Calif. with customers including many of the top 20 restaurant chains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including capital raised in connection with the business combination,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8" w:lineRule="exact"/>
        <w:rPr>
          <w:sz w:val="20"/>
          <w:szCs w:val="20"/>
          <w:color w:val="auto"/>
        </w:rPr>
      </w:pPr>
    </w:p>
    <w:p>
      <w:pPr>
        <w:jc w:val="both"/>
        <w:ind w:firstLine="57"/>
        <w:spacing w:after="0" w:line="285" w:lineRule="auto"/>
        <w:rPr>
          <w:sz w:val="20"/>
          <w:szCs w:val="20"/>
          <w:color w:val="auto"/>
        </w:rPr>
      </w:pPr>
      <w:r>
        <w:rPr>
          <w:rFonts w:ascii="Arial" w:cs="Arial" w:eastAsia="Arial" w:hAnsi="Arial"/>
          <w:sz w:val="16"/>
          <w:szCs w:val="16"/>
          <w:color w:val="auto"/>
        </w:rPr>
        <w:t>In addition to factors previously disclosed or that will be disclosed in Ventoux’s or Presto’s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outcome of any legal proceedings that may be instituted against Ventoux, Presto or others following the announcement of the closing of the business combination and any definitive agreements with respect thereto; (2) the ability to meet stock exchange listing standards in connection with and following the consummation of the business combination; (3) the risk that the business combination disrupts current plans and operations of Presto as a result of the consummation of the proposed business combination; (4) the ability to recognize the anticipated benefits of the business combination, which may be affected by, among other things, competition, the ability of the Company to grow and manage growth profitably, grow its customer base, maintain relationships with customers and suppliers and retain its management and key employees; (5) the impact of the COVID-19 pandemic on the business of Presto (including the effects of the ongoing global supply chain shortage); (6) Presto’s limited operating history and history of net losses; (7) Presto’s customer concentration and reliance on a limited number of key technology providers and payment processors facilitating payments to and by Presto’s customers; (8) costs related to proposed business combination; (9) changes in applicable laws or regulations; (10) the possibility that Presto may be adversely affected by other economic, business, regulatory, and/or competitive factors; (11) Presto’s estimates of expenses and profitability; (12) the evolution of the markets in which Presto competes; (13) the ability of Presto to implement its strategic initiatives and continue to innovate its existing products; (14) the ability of Presto to adhere to legal requirements with respect to the protection of personal data and privacy laws; (15) cybersecurity risks, data loss and other breaches of Presto’s network security and the disclosure of personal information; (16) the risk of regulatory lawsuits or proceedings relating to Presto’s products or services.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Rajul Misra &amp; Brian Ruby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p>
      <w:pPr>
        <w:spacing w:after="0"/>
        <w:rPr>
          <w:sz w:val="20"/>
          <w:szCs w:val="20"/>
          <w:color w:val="auto"/>
        </w:rPr>
      </w:pPr>
      <w:r>
        <w:rPr>
          <w:rFonts w:ascii="Arial" w:cs="Arial" w:eastAsia="Arial" w:hAnsi="Arial"/>
          <w:sz w:val="18"/>
          <w:szCs w:val="18"/>
          <w:color w:val="auto"/>
        </w:rPr>
        <w:t>(650) 817-9012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Chris Whitcomb &amp; Ryan Gardella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w w:val="89"/>
              </w:rPr>
              <w:t>Exhibit 99.2</w:t>
            </w:r>
          </w:p>
        </w:tc>
      </w:tr>
      <w:tr>
        <w:trPr>
          <w:trHeight w:val="432"/>
        </w:trPr>
        <w:tc>
          <w:tcPr>
            <w:tcW w:w="10120" w:type="dxa"/>
            <w:vAlign w:val="bottom"/>
            <w:gridSpan w:val="7"/>
          </w:tcPr>
          <w:p>
            <w:pPr>
              <w:spacing w:after="0"/>
              <w:rPr>
                <w:sz w:val="20"/>
                <w:szCs w:val="20"/>
                <w:color w:val="auto"/>
              </w:rPr>
            </w:pPr>
            <w:r>
              <w:rPr>
                <w:rFonts w:ascii="Arial" w:cs="Arial" w:eastAsia="Arial" w:hAnsi="Arial"/>
                <w:sz w:val="18"/>
                <w:szCs w:val="18"/>
                <w:b w:val="1"/>
                <w:bCs w:val="1"/>
                <w:color w:val="auto"/>
              </w:rPr>
              <w:t>E LA CARTE, INC. (dba PRESTO)</w:t>
            </w:r>
          </w:p>
        </w:tc>
        <w:tc>
          <w:tcPr>
            <w:tcW w:w="1120" w:type="dxa"/>
            <w:vAlign w:val="bottom"/>
          </w:tcPr>
          <w:p>
            <w:pPr>
              <w:spacing w:after="0"/>
              <w:rPr>
                <w:sz w:val="24"/>
                <w:szCs w:val="24"/>
                <w:color w:val="auto"/>
              </w:rPr>
            </w:pPr>
          </w:p>
        </w:tc>
      </w:tr>
      <w:tr>
        <w:trPr>
          <w:trHeight w:val="250"/>
        </w:trPr>
        <w:tc>
          <w:tcPr>
            <w:tcW w:w="31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3"/>
        </w:trPr>
        <w:tc>
          <w:tcPr>
            <w:tcW w:w="1012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0000EE"/>
              </w:rPr>
              <w:t>Report of Independent Registered Public Accounting Firm</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F-2</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7"/>
          </w:tcPr>
          <w:p>
            <w:pPr>
              <w:spacing w:after="0"/>
              <w:rPr>
                <w:sz w:val="20"/>
                <w:szCs w:val="20"/>
                <w:color w:val="auto"/>
              </w:rPr>
            </w:pPr>
            <w:r>
              <w:rPr>
                <w:rFonts w:ascii="Arial" w:cs="Arial" w:eastAsia="Arial" w:hAnsi="Arial"/>
                <w:sz w:val="18"/>
                <w:szCs w:val="18"/>
                <w:color w:val="0000EE"/>
              </w:rPr>
              <w:t>Consolidated Balance Sheets as of June 30, 2022 and 2021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830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8"/>
                <w:szCs w:val="18"/>
                <w:color w:val="0000EE"/>
                <w:w w:val="89"/>
              </w:rPr>
              <w:t>Consolidated Statements of Operations and Comprehensive Loss for the fiscal years ended June 30, 2022 and 2021</w:t>
            </w:r>
          </w:p>
        </w:tc>
        <w:tc>
          <w:tcPr>
            <w:tcW w:w="18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120" w:type="dxa"/>
            <w:vAlign w:val="bottom"/>
            <w:gridSpan w:val="7"/>
          </w:tcPr>
          <w:p>
            <w:pPr>
              <w:spacing w:after="0"/>
              <w:rPr>
                <w:sz w:val="20"/>
                <w:szCs w:val="20"/>
                <w:color w:val="auto"/>
              </w:rPr>
            </w:pPr>
            <w:r>
              <w:rPr>
                <w:rFonts w:ascii="Arial" w:cs="Arial" w:eastAsia="Arial" w:hAnsi="Arial"/>
                <w:sz w:val="18"/>
                <w:szCs w:val="18"/>
                <w:color w:val="0000EE"/>
              </w:rPr>
              <w:t>Consolidated Statements of Stockholders’ Deficit for the fiscal years ended June 30, 2022 and 2021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0000EE"/>
              </w:rPr>
              <w:t>Consolidated Statements of Cash Flows for the fiscal years ended June 30, 2022 and 2021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16"/>
        </w:trPr>
        <w:tc>
          <w:tcPr>
            <w:tcW w:w="3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3320" w:type="dxa"/>
            <w:vAlign w:val="bottom"/>
            <w:tcBorders>
              <w:top w:val="single" w:sz="8" w:color="0000EE"/>
            </w:tcBorders>
            <w:gridSpan w:val="3"/>
          </w:tcPr>
          <w:p>
            <w:pPr>
              <w:spacing w:after="0"/>
              <w:rPr>
                <w:sz w:val="18"/>
                <w:szCs w:val="18"/>
                <w:color w:val="auto"/>
              </w:rPr>
            </w:pPr>
          </w:p>
        </w:tc>
        <w:tc>
          <w:tcPr>
            <w:tcW w:w="3640" w:type="dxa"/>
            <w:vAlign w:val="bottom"/>
            <w:tcBorders>
              <w:top w:val="single" w:sz="8" w:color="CCEEFF"/>
            </w:tcBorders>
            <w:gridSpan w:val="3"/>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La Carte, Inc. (dba Presto)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$353 and $902 as of June 30, 2022 and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costs,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8,443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14,554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54,187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costs,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5,765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30,536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6,215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obligations,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Term loans,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25,443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89,663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PPP loan,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146,609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55,489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Financing obligations,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PPP loan,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(Refer to Note 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Convertible preferred stock, $0.001 par value – 30,752,578 shares authorized as of June 30, 2022 and June 30, 2021;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28,343,420 shares issued and outstanding as of June 30 2022 and June 30, 2021 (liquidation preference of $46,908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as of June 30, 2022 and June 30,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$0.001 par value – 52,665,368 and 50,839,368 shares authorized and 6,196,257 and 5,132,354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as of June 30, 2022 and June 30, 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78,290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74,417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(200,783)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(122,459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30,536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70,259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Years Ended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19,074</w:t>
            </w: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10,298</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18,687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14,813</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8,998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impairment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2,033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28,864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16,778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14,985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9,847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25,566</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(20,528)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(5,434)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2,632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before (benefit) provision for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(56,544)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(49,779)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used in computing net loss per share attributable to common stockholders, basic and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5,325,122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5,074,018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Convertible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55"/>
        </w:trPr>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jc w:val="center"/>
              <w:ind w:right="1370"/>
              <w:spacing w:after="0"/>
              <w:rPr>
                <w:sz w:val="20"/>
                <w:szCs w:val="20"/>
                <w:color w:val="auto"/>
              </w:rPr>
            </w:pPr>
            <w:r>
              <w:rPr>
                <w:rFonts w:ascii="Arial" w:cs="Arial" w:eastAsia="Arial" w:hAnsi="Arial"/>
                <w:sz w:val="18"/>
                <w:szCs w:val="18"/>
                <w:color w:val="auto"/>
                <w:w w:val="88"/>
              </w:rPr>
              <w:t>Balance at June 30, 2020,</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28,343,420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5,034,446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Issuance of common stock upon exercise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of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97,908</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(49,802)</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gridSpan w:val="2"/>
            <w:shd w:val="clear" w:color="auto" w:fill="CCEEFF"/>
          </w:tcPr>
          <w:p>
            <w:pPr>
              <w:jc w:val="center"/>
              <w:ind w:right="1600"/>
              <w:spacing w:after="0"/>
              <w:rPr>
                <w:sz w:val="20"/>
                <w:szCs w:val="20"/>
                <w:color w:val="auto"/>
              </w:rPr>
            </w:pPr>
            <w:r>
              <w:rPr>
                <w:rFonts w:ascii="Arial" w:cs="Arial" w:eastAsia="Arial" w:hAnsi="Arial"/>
                <w:sz w:val="18"/>
                <w:szCs w:val="18"/>
                <w:color w:val="auto"/>
                <w:w w:val="89"/>
              </w:rPr>
              <w:t>Balance at June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28,343,420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5,132,354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(144,469)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Issuance of common stock upon exercise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of stock options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320,913</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Fair value of newly issued non-voting</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340"/>
              <w:spacing w:after="0"/>
              <w:rPr>
                <w:sz w:val="20"/>
                <w:szCs w:val="20"/>
                <w:color w:val="auto"/>
              </w:rPr>
            </w:pPr>
            <w:r>
              <w:rPr>
                <w:rFonts w:ascii="Arial" w:cs="Arial" w:eastAsia="Arial" w:hAnsi="Arial"/>
                <w:sz w:val="18"/>
                <w:szCs w:val="18"/>
                <w:color w:val="auto"/>
              </w:rPr>
              <w:t>common stock warrants (refer to Note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for</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CyborgOps acquisition (refer to Note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742,990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(56,314)</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(56,314)</w:t>
            </w:r>
          </w:p>
        </w:tc>
        <w:tc>
          <w:tcPr>
            <w:tcW w:w="0" w:type="dxa"/>
            <w:vAlign w:val="bottom"/>
          </w:tcPr>
          <w:p>
            <w:pPr>
              <w:spacing w:after="0"/>
              <w:rPr>
                <w:sz w:val="1"/>
                <w:szCs w:val="1"/>
                <w:color w:val="auto"/>
              </w:rPr>
            </w:pPr>
          </w:p>
        </w:tc>
      </w:tr>
      <w:tr>
        <w:trPr>
          <w:trHeight w:val="27"/>
        </w:trPr>
        <w:tc>
          <w:tcPr>
            <w:tcW w:w="3420" w:type="dxa"/>
            <w:vAlign w:val="bottom"/>
            <w:gridSpan w:val="2"/>
            <w:vMerge w:val="restart"/>
            <w:shd w:val="clear" w:color="auto" w:fill="CCEEFF"/>
          </w:tcPr>
          <w:p>
            <w:pPr>
              <w:jc w:val="center"/>
              <w:ind w:right="1600"/>
              <w:spacing w:after="0"/>
              <w:rPr>
                <w:sz w:val="20"/>
                <w:szCs w:val="20"/>
                <w:color w:val="auto"/>
              </w:rPr>
            </w:pPr>
            <w:r>
              <w:rPr>
                <w:rFonts w:ascii="Arial" w:cs="Arial" w:eastAsia="Arial" w:hAnsi="Arial"/>
                <w:sz w:val="18"/>
                <w:szCs w:val="18"/>
                <w:color w:val="auto"/>
                <w:w w:val="89"/>
              </w:rPr>
              <w:t>Balance at June 30, 2022</w:t>
            </w: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420" w:type="dxa"/>
            <w:vAlign w:val="bottom"/>
            <w:gridSpan w:val="2"/>
            <w:vMerge w:val="continue"/>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28,343,420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6,196,257</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(200,783</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w w:val="99"/>
              </w:rPr>
              <w:t>Year Ended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(56,314)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liability classified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18,932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18,915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11,361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Vendor financing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(6,792)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(14,854)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(47,299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(23,772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relating to capitalized software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CyborgOps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exercise of common stock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term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convertible promissory notes and embedded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43,666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term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PPP loans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financing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deferred transaction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(33,892)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32,722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36,909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3,854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June 2021 Note and related accrued interest, with issuance of February 2022 Note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20,663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Forgiveness of 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Common stock issued in CyborgOps acquisition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 CyborgOps acquisition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Deferred transaction costs recorded in accounts payable and accrued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4,188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3"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E LA CARTE,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(dba PRESTO)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660" w:right="6640" w:hanging="652"/>
        <w:spacing w:after="0" w:line="503" w:lineRule="auto"/>
        <w:tabs>
          <w:tab w:leader="none" w:pos="19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Business and Significant Accounting Policies </w:t>
      </w:r>
      <w:r>
        <w:rPr>
          <w:rFonts w:ascii="Arial" w:cs="Arial" w:eastAsia="Arial" w:hAnsi="Arial"/>
          <w:sz w:val="18"/>
          <w:szCs w:val="18"/>
          <w:b w:val="1"/>
          <w:bCs w:val="1"/>
          <w:i w:val="1"/>
          <w:iCs w:val="1"/>
          <w:color w:val="auto"/>
        </w:rPr>
        <w:t>Description of Business</w:t>
      </w:r>
    </w:p>
    <w:p>
      <w:pPr>
        <w:jc w:val="both"/>
        <w:ind w:firstLine="648"/>
        <w:spacing w:after="0" w:line="311" w:lineRule="auto"/>
        <w:rPr>
          <w:sz w:val="20"/>
          <w:szCs w:val="20"/>
          <w:color w:val="auto"/>
        </w:rPr>
      </w:pPr>
      <w:r>
        <w:rPr>
          <w:rFonts w:ascii="Arial" w:cs="Arial" w:eastAsia="Arial" w:hAnsi="Arial"/>
          <w:sz w:val="16"/>
          <w:szCs w:val="16"/>
          <w:color w:val="auto"/>
        </w:rPr>
        <w:t>E la Carte, Inc.(formerly, KHR Technologies, Inc.) was incorporated in the State of Delaware in October 2008. In 2018, E la Carte, Inc. together with its subsidiary (the “</w:t>
      </w:r>
      <w:r>
        <w:rPr>
          <w:rFonts w:ascii="Arial" w:cs="Arial" w:eastAsia="Arial" w:hAnsi="Arial"/>
          <w:sz w:val="16"/>
          <w:szCs w:val="16"/>
          <w:b w:val="1"/>
          <w:bCs w:val="1"/>
          <w:color w:val="auto"/>
        </w:rPr>
        <w:t>Company</w:t>
      </w:r>
      <w:r>
        <w:rPr>
          <w:rFonts w:ascii="Arial" w:cs="Arial" w:eastAsia="Arial" w:hAnsi="Arial"/>
          <w:sz w:val="16"/>
          <w:szCs w:val="16"/>
          <w:color w:val="auto"/>
        </w:rPr>
        <w:t>”) adopted “Presto” as its trade name or doing business as (“</w:t>
      </w:r>
      <w:r>
        <w:rPr>
          <w:rFonts w:ascii="Arial" w:cs="Arial" w:eastAsia="Arial" w:hAnsi="Arial"/>
          <w:sz w:val="16"/>
          <w:szCs w:val="16"/>
          <w:b w:val="1"/>
          <w:bCs w:val="1"/>
          <w:color w:val="auto"/>
        </w:rPr>
        <w:t>dba</w:t>
      </w:r>
      <w:r>
        <w:rPr>
          <w:rFonts w:ascii="Arial" w:cs="Arial" w:eastAsia="Arial" w:hAnsi="Arial"/>
          <w:sz w:val="16"/>
          <w:szCs w:val="16"/>
          <w:color w:val="auto"/>
        </w:rPr>
        <w:t>”) name. In February 2019, the Company formed Presto Technology, Inc. as a wholly owned subsidiary located in Ontario, Canada. The Company is headquartered in Redwood City, California.</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fiscal year ends on June 30. References to fiscal 2022, for example, refer to the fiscal year ended June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88"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Refer to Note 18 for further details.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ind w:left="66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8"/>
          <w:szCs w:val="18"/>
          <w:b w:val="1"/>
          <w:bCs w:val="1"/>
          <w:color w:val="auto"/>
        </w:rPr>
        <w:t>COVID-19</w:t>
      </w:r>
      <w:r>
        <w:rPr>
          <w:rFonts w:ascii="Arial" w:cs="Arial" w:eastAsia="Arial" w:hAnsi="Arial"/>
          <w:sz w:val="18"/>
          <w:szCs w:val="18"/>
          <w:color w:val="auto"/>
        </w:rPr>
        <w:t>”) on the restaurant industry.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8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Arial" w:cs="Arial" w:eastAsia="Arial" w:hAnsi="Arial"/>
          <w:sz w:val="17"/>
          <w:szCs w:val="17"/>
          <w:b w:val="1"/>
          <w:bCs w:val="1"/>
          <w:color w:val="auto"/>
        </w:rPr>
        <w:t>PPP</w:t>
      </w:r>
      <w:r>
        <w:rPr>
          <w:rFonts w:ascii="Arial" w:cs="Arial" w:eastAsia="Arial" w:hAnsi="Arial"/>
          <w:sz w:val="17"/>
          <w:szCs w:val="17"/>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and 2021, the Company’s principal sources of liquidity were cash and cash equivalents of $3,017 and $36,909, respectively, which were held for working capital purposes.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Arial" w:cs="Arial" w:eastAsia="Arial" w:hAnsi="Arial"/>
          <w:sz w:val="17"/>
          <w:szCs w:val="17"/>
          <w:b w:val="1"/>
          <w:bCs w:val="1"/>
          <w:color w:val="auto"/>
        </w:rPr>
        <w:t>deSPA</w:t>
      </w:r>
      <w:r>
        <w:rPr>
          <w:rFonts w:ascii="Arial" w:cs="Arial" w:eastAsia="Arial" w:hAnsi="Arial"/>
          <w:sz w:val="17"/>
          <w:szCs w:val="17"/>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years ended June 30:</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86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4"/>
                <w:szCs w:val="2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7"/>
        </w:trPr>
        <w:tc>
          <w:tcPr>
            <w:tcW w:w="8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0"/>
        </w:trPr>
        <w:tc>
          <w:tcPr>
            <w:tcW w:w="8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418"/>
        </w:trPr>
        <w:tc>
          <w:tcPr>
            <w:tcW w:w="8780" w:type="dxa"/>
            <w:vAlign w:val="bottom"/>
            <w:gridSpan w:val="2"/>
          </w:tcPr>
          <w:p>
            <w:pPr>
              <w:ind w:left="660"/>
              <w:spacing w:after="0"/>
              <w:rPr>
                <w:sz w:val="20"/>
                <w:szCs w:val="20"/>
                <w:color w:val="auto"/>
              </w:rPr>
            </w:pPr>
            <w:r>
              <w:rPr>
                <w:rFonts w:ascii="Arial" w:cs="Arial" w:eastAsia="Arial" w:hAnsi="Arial"/>
                <w:sz w:val="18"/>
                <w:szCs w:val="18"/>
                <w:color w:val="auto"/>
                <w:w w:val="91"/>
              </w:rPr>
              <w:t>The following customers accounted for more than 10% of accounts receivable during the years ended June 30:</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29"/>
        </w:trPr>
        <w:tc>
          <w:tcPr>
            <w:tcW w:w="860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Customers with a dash accounted for less than 10% of accounts receivable at period end.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ind w:left="6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61" w:lineRule="exact"/>
        <w:rPr>
          <w:sz w:val="20"/>
          <w:szCs w:val="20"/>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financial instruments purchased with original maturities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2021, cash and cash equivalents consists solely of cash held in financial institutions.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xml:space="preserve">”)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its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648"/>
        <w:spacing w:after="0" w:line="263" w:lineRule="auto"/>
        <w:rPr>
          <w:sz w:val="20"/>
          <w:szCs w:val="20"/>
          <w:color w:val="auto"/>
        </w:rPr>
      </w:pPr>
      <w:r>
        <w:rPr>
          <w:rFonts w:ascii="Arial" w:cs="Arial" w:eastAsia="Arial" w:hAnsi="Arial"/>
          <w:sz w:val="18"/>
          <w:szCs w:val="18"/>
          <w:color w:val="auto"/>
        </w:rPr>
        <w:t>During the years ended June 30, 2022 and 2021, the Company derived its revenues from two revenue streams: (1) sales and leases of the Presto Touch product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1" w:lineRule="exact"/>
        <w:rPr>
          <w:sz w:val="20"/>
          <w:szCs w:val="20"/>
          <w:color w:val="auto"/>
        </w:rPr>
      </w:pPr>
    </w:p>
    <w:p>
      <w:pPr>
        <w:jc w:val="both"/>
        <w:ind w:left="980" w:hanging="324"/>
        <w:spacing w:after="0" w:line="274" w:lineRule="auto"/>
        <w:tabs>
          <w:tab w:leader="none" w:pos="9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 the Company enters into a master sales agreement (“</w:t>
      </w:r>
      <w:r>
        <w:rPr>
          <w:rFonts w:ascii="Arial" w:cs="Arial" w:eastAsia="Arial" w:hAnsi="Arial"/>
          <w:sz w:val="17"/>
          <w:szCs w:val="17"/>
          <w:b w:val="1"/>
          <w:bCs w:val="1"/>
          <w:color w:val="auto"/>
        </w:rPr>
        <w:t>MSA</w:t>
      </w:r>
      <w:r>
        <w:rPr>
          <w:rFonts w:ascii="Arial" w:cs="Arial" w:eastAsia="Arial" w:hAnsi="Arial"/>
          <w:sz w:val="17"/>
          <w:szCs w:val="17"/>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77"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6" w:lineRule="exact"/>
        <w:rPr>
          <w:rFonts w:ascii="Arial" w:cs="Arial" w:eastAsia="Arial" w:hAnsi="Arial"/>
          <w:sz w:val="16"/>
          <w:szCs w:val="16"/>
          <w:color w:val="auto"/>
        </w:rPr>
      </w:pPr>
    </w:p>
    <w:p>
      <w:pPr>
        <w:jc w:val="both"/>
        <w:ind w:left="980" w:right="20"/>
        <w:spacing w:after="0" w:line="263" w:lineRule="auto"/>
        <w:rPr>
          <w:rFonts w:ascii="Arial" w:cs="Arial" w:eastAsia="Arial" w:hAnsi="Arial"/>
          <w:sz w:val="16"/>
          <w:szCs w:val="16"/>
          <w:color w:val="auto"/>
        </w:rPr>
      </w:pPr>
      <w:r>
        <w:rPr>
          <w:rFonts w:ascii="Arial" w:cs="Arial" w:eastAsia="Arial" w:hAnsi="Arial"/>
          <w:sz w:val="18"/>
          <w:szCs w:val="18"/>
          <w:color w:val="auto"/>
        </w:rPr>
        <w:t>The Company identified the following performance obligations: for the MSAs and license agreements, 1) sales or leases of hardware, software-as-a-service (“</w:t>
      </w:r>
      <w:r>
        <w:rPr>
          <w:rFonts w:ascii="Arial" w:cs="Arial" w:eastAsia="Arial" w:hAnsi="Arial"/>
          <w:sz w:val="18"/>
          <w:szCs w:val="18"/>
          <w:b w:val="1"/>
          <w:bCs w:val="1"/>
          <w:color w:val="auto"/>
        </w:rPr>
        <w:t>Saas</w:t>
      </w:r>
      <w:r>
        <w:rPr>
          <w:rFonts w:ascii="Arial" w:cs="Arial" w:eastAsia="Arial" w:hAnsi="Arial"/>
          <w:sz w:val="18"/>
          <w:szCs w:val="18"/>
          <w:color w:val="auto"/>
        </w:rPr>
        <w:t>”) and maintenance as one combined performance obligation (“</w:t>
      </w:r>
      <w:r>
        <w:rPr>
          <w:rFonts w:ascii="Arial" w:cs="Arial" w:eastAsia="Arial" w:hAnsi="Arial"/>
          <w:sz w:val="18"/>
          <w:szCs w:val="18"/>
          <w:b w:val="1"/>
          <w:bCs w:val="1"/>
          <w:color w:val="auto"/>
        </w:rPr>
        <w:t>Presto Touch</w:t>
      </w:r>
      <w:r>
        <w:rPr>
          <w:rFonts w:ascii="Arial" w:cs="Arial" w:eastAsia="Arial" w:hAnsi="Arial"/>
          <w:sz w:val="18"/>
          <w:szCs w:val="18"/>
          <w:color w:val="auto"/>
        </w:rPr>
        <w:t>”) and for gaming agreements, 2) premium content, or gaming. Professional services were insignificant during fiscal years 2022 and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left="980"/>
        <w:spacing w:after="0" w:line="263" w:lineRule="auto"/>
        <w:rPr>
          <w:sz w:val="20"/>
          <w:szCs w:val="20"/>
          <w:color w:val="auto"/>
        </w:rPr>
      </w:pPr>
      <w:r>
        <w:rPr>
          <w:rFonts w:ascii="Arial" w:cs="Arial" w:eastAsia="Arial" w:hAnsi="Arial"/>
          <w:sz w:val="18"/>
          <w:szCs w:val="18"/>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77" w:lineRule="exact"/>
        <w:rPr>
          <w:sz w:val="20"/>
          <w:szCs w:val="20"/>
          <w:color w:val="auto"/>
        </w:rPr>
      </w:pPr>
    </w:p>
    <w:p>
      <w:pPr>
        <w:jc w:val="both"/>
        <w:ind w:left="980" w:hanging="324"/>
        <w:spacing w:after="0" w:line="255"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9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Incremental costs incurred to obtain a contract were immaterial during the years ended June 30,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 and Deferred Costs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Cost of 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Cost of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Impairment Cost of 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the year ended June 30, 2022 and 2021 include $582 and $3,342, respectively, in losses on infrequent product repairs (refer to “</w:t>
      </w:r>
      <w:r>
        <w:rPr>
          <w:rFonts w:ascii="Arial" w:cs="Arial" w:eastAsia="Arial" w:hAnsi="Arial"/>
          <w:sz w:val="16"/>
          <w:szCs w:val="16"/>
          <w:i w:val="1"/>
          <w:iCs w:val="1"/>
          <w:color w:val="auto"/>
        </w:rPr>
        <w:t>Impact of COVID-19</w:t>
      </w:r>
      <w:r>
        <w:rPr>
          <w:rFonts w:ascii="Arial" w:cs="Arial" w:eastAsia="Arial" w:hAnsi="Arial"/>
          <w:sz w:val="16"/>
          <w:szCs w:val="16"/>
          <w:color w:val="auto"/>
        </w:rPr>
        <w:t>”). These damages were caused by customers’ use of commercial disinfectant solutions as a precautionary protocol in response to COVID-19, which caused damage to the devices and required significant repairs or replacement.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6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 accounts for leases in accordance with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Shipping and handling costs are classified as a component of cost of revenue. Fees charged to customers for shipping and handling are recorded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648"/>
        <w:spacing w:after="0" w:line="301" w:lineRule="auto"/>
        <w:rPr>
          <w:sz w:val="20"/>
          <w:szCs w:val="20"/>
          <w:color w:val="auto"/>
        </w:rPr>
      </w:pPr>
      <w:r>
        <w:rPr>
          <w:rFonts w:ascii="Arial" w:cs="Arial" w:eastAsia="Arial" w:hAnsi="Arial"/>
          <w:sz w:val="16"/>
          <w:szCs w:val="16"/>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records interest and penalties related to income tax matters in income tax expense. As of June 30, 2022 and 2021, the Company has no accrued interest and penalties related to uncertain tax positions.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calculates basic net loss per share by dividing net loss attributable to common stockholders by the weighted-average number of ordinary shares outstanding during the period. Net loss attributable to common stockholders is net loss minus convertible preferred stock dividends declared, of which there were none during the periods presented. The Company applies the two-class method to calculate basic net loss per share for the Company’s common stock and non-voting common stock. The net loss attributable to 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common shares outstanding used to calculate both basic and diluted net loss per share attributable to common stockholders is the same for the years presented.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6"/>
          <w:szCs w:val="16"/>
          <w:b w:val="1"/>
          <w:bCs w:val="1"/>
          <w:color w:val="auto"/>
        </w:rPr>
        <w:t>CODM</w:t>
      </w:r>
      <w:r>
        <w:rPr>
          <w:rFonts w:ascii="Arial" w:cs="Arial" w:eastAsia="Arial" w:hAnsi="Arial"/>
          <w:sz w:val="16"/>
          <w:szCs w:val="16"/>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1" w:lineRule="exact"/>
        <w:rPr>
          <w:sz w:val="20"/>
          <w:szCs w:val="20"/>
          <w:color w:val="auto"/>
        </w:rPr>
      </w:pPr>
    </w:p>
    <w:p>
      <w:pPr>
        <w:jc w:val="both"/>
        <w:ind w:firstLine="8"/>
        <w:spacing w:after="0" w:line="287" w:lineRule="auto"/>
        <w:tabs>
          <w:tab w:leader="none" w:pos="26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no longer qualifies as an emerging growth company. The Company may choose to early adopt any new or revised accounting standards whenever such early adoption is permitted for nonpublic companies. In August 2018, the FASB issued ASU No. 2018-15, </w:t>
      </w:r>
      <w:r>
        <w:rPr>
          <w:rFonts w:ascii="Arial" w:cs="Arial" w:eastAsia="Arial" w:hAnsi="Arial"/>
          <w:sz w:val="16"/>
          <w:szCs w:val="16"/>
          <w:i w:val="1"/>
          <w:iCs w:val="1"/>
          <w:color w:val="auto"/>
        </w:rPr>
        <w:t>Intangibles — Goodwill and Other — Internal-Use Software (Subtopic 350-40): Customer’s Accounting for Implementation Costs Incurred in a Cloud Computing Arrangement that is a Service Contract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jc w:val="both"/>
        <w:ind w:firstLine="648"/>
        <w:spacing w:after="0" w:line="263" w:lineRule="auto"/>
        <w:rPr>
          <w:sz w:val="20"/>
          <w:szCs w:val="20"/>
          <w:color w:val="auto"/>
        </w:rPr>
      </w:pPr>
      <w:r>
        <w:rPr>
          <w:rFonts w:ascii="Arial" w:cs="Arial" w:eastAsia="Arial" w:hAnsi="Arial"/>
          <w:sz w:val="18"/>
          <w:szCs w:val="18"/>
          <w:color w:val="auto"/>
        </w:rPr>
        <w:t xml:space="preserve">In March 2020, the FASB issued ASU 2020-03, </w:t>
      </w:r>
      <w:r>
        <w:rPr>
          <w:rFonts w:ascii="Arial" w:cs="Arial" w:eastAsia="Arial" w:hAnsi="Arial"/>
          <w:sz w:val="18"/>
          <w:szCs w:val="18"/>
          <w:i w:val="1"/>
          <w:iCs w:val="1"/>
          <w:color w:val="auto"/>
        </w:rPr>
        <w:t>Codification Improvements to Financial Instruments,</w:t>
      </w:r>
      <w:r>
        <w:rPr>
          <w:rFonts w:ascii="Arial" w:cs="Arial" w:eastAsia="Arial" w:hAnsi="Arial"/>
          <w:sz w:val="18"/>
          <w:szCs w:val="18"/>
          <w:color w:val="auto"/>
        </w:rPr>
        <w:t xml:space="preserve"> 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 (Topic 326)</w:t>
      </w:r>
      <w:r>
        <w:rPr>
          <w:rFonts w:ascii="Arial" w:cs="Arial" w:eastAsia="Arial" w:hAnsi="Arial"/>
          <w:sz w:val="17"/>
          <w:szCs w:val="17"/>
          <w:color w:val="auto"/>
        </w:rPr>
        <w:t>, which requires an entity to utilize a new impairment model known as the current expected credit loss (CECL) model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 (Topic 842)</w:t>
      </w:r>
      <w:r>
        <w:rPr>
          <w:rFonts w:ascii="Arial" w:cs="Arial" w:eastAsia="Arial" w:hAnsi="Arial"/>
          <w:sz w:val="16"/>
          <w:szCs w:val="16"/>
          <w:color w:val="auto"/>
        </w:rPr>
        <w:t xml:space="preserve">, which supersedes the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simplifies the accounting for income taxes by eliminating some exceptions 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w:t>
      </w:r>
      <w:r>
        <w:rPr>
          <w:rFonts w:ascii="Arial" w:cs="Arial" w:eastAsia="Arial" w:hAnsi="Arial"/>
          <w:sz w:val="17"/>
          <w:szCs w:val="17"/>
          <w:color w:val="auto"/>
        </w:rPr>
        <w:t>which simplifies the accounting for convertible debt and convertible preferred stock by removing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March 2020 with an update in January 2021, the FASB issued ASU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and ASU 2021-01,</w:t>
      </w:r>
      <w:r>
        <w:rPr>
          <w:rFonts w:ascii="Arial" w:cs="Arial" w:eastAsia="Arial" w:hAnsi="Arial"/>
          <w:sz w:val="16"/>
          <w:szCs w:val="16"/>
          <w:i w:val="1"/>
          <w:iCs w:val="1"/>
          <w:color w:val="auto"/>
        </w:rPr>
        <w:t xml:space="preserve"> Reference Rate Reform (Topic 848), </w:t>
      </w:r>
      <w:r>
        <w:rPr>
          <w:rFonts w:ascii="Arial" w:cs="Arial" w:eastAsia="Arial" w:hAnsi="Arial"/>
          <w:sz w:val="16"/>
          <w:szCs w:val="16"/>
          <w:color w:val="auto"/>
        </w:rPr>
        <w:t>which provides optional expedients and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applying current U.S. GAAP to contracts, hedging relationships, and other transactions affected by the discontinuation of the London Interbank Offered Rate (“</w:t>
      </w:r>
      <w:r>
        <w:rPr>
          <w:rFonts w:ascii="Arial" w:cs="Arial" w:eastAsia="Arial" w:hAnsi="Arial"/>
          <w:sz w:val="16"/>
          <w:szCs w:val="16"/>
          <w:b w:val="1"/>
          <w:bCs w:val="1"/>
          <w:color w:val="auto"/>
        </w:rPr>
        <w:t>LIBOR</w:t>
      </w:r>
      <w:r>
        <w:rPr>
          <w:rFonts w:ascii="Arial" w:cs="Arial" w:eastAsia="Arial" w:hAnsi="Arial"/>
          <w:sz w:val="16"/>
          <w:szCs w:val="16"/>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both"/>
        <w:ind w:firstLine="648"/>
        <w:spacing w:after="0" w:line="279"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w:t>
      </w:r>
      <w:r>
        <w:rPr>
          <w:rFonts w:ascii="Arial" w:cs="Arial" w:eastAsia="Arial" w:hAnsi="Arial"/>
          <w:sz w:val="17"/>
          <w:szCs w:val="17"/>
          <w:color w:val="auto"/>
        </w:rPr>
        <w:t>which requires an acquirer to recognize and measure contract assets and contract liabilities acquired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jc w:val="right"/>
        <w:ind w:right="398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beginning of year – June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 recognized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end of period –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Deferred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Revenue</w:t>
      </w:r>
    </w:p>
    <w:p>
      <w:pPr>
        <w:spacing w:after="0" w:line="22" w:lineRule="exact"/>
        <w:rPr>
          <w:sz w:val="20"/>
          <w:szCs w:val="20"/>
          <w:color w:val="auto"/>
        </w:rPr>
      </w:pPr>
    </w:p>
    <w:p>
      <w:pPr>
        <w:ind w:left="620" w:hanging="615"/>
        <w:spacing w:after="0"/>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38,013</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2,999</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(15,389)</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25,623</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4,481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(19,335)</w:t>
      </w:r>
    </w:p>
    <w:p>
      <w:pPr>
        <w:spacing w:after="0" w:line="62" w:lineRule="exact"/>
        <w:rPr>
          <w:sz w:val="20"/>
          <w:szCs w:val="20"/>
          <w:color w:val="auto"/>
        </w:rPr>
      </w:pPr>
    </w:p>
    <w:p>
      <w:pPr>
        <w:ind w:left="620" w:hanging="615"/>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10,769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8" w:right="339" w:bottom="1440" w:gutter="0" w:footer="0" w:header="0"/>
          <w:type w:val="continuous"/>
        </w:sectPr>
      </w:pPr>
    </w:p>
    <w:p>
      <w:pPr>
        <w:spacing w:after="0" w:line="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55" w:name="page256"/>
    <w:bookmarkEnd w:id="255"/>
    <w:p>
      <w:pPr>
        <w:jc w:val="both"/>
        <w:ind w:firstLine="648"/>
        <w:spacing w:after="0" w:line="268" w:lineRule="auto"/>
        <w:rPr>
          <w:sz w:val="20"/>
          <w:szCs w:val="20"/>
          <w:color w:val="auto"/>
        </w:rPr>
      </w:pPr>
      <w:r>
        <w:rPr>
          <w:rFonts w:ascii="Arial" w:cs="Arial" w:eastAsia="Arial" w:hAnsi="Arial"/>
          <w:sz w:val="17"/>
          <w:szCs w:val="17"/>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500,000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single country other than the United States represented 10% or more of the Company’s revenue during the years ended June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June 30, 2022 and 2021, $2,316 and $3,540 of revenue were from leasing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Fair value accounting is applied for all financial assets and liabilities that are recognized or disclosed at fair value in the financial statements on a recurring basis.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summary of all financial instruments measured at fair value on a recurring basis as of June 30, 2022 and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 and embedded warrants</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62,581</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ind w:firstLine="648"/>
        <w:spacing w:after="0" w:line="254" w:lineRule="auto"/>
        <w:rPr>
          <w:sz w:val="20"/>
          <w:szCs w:val="20"/>
          <w:color w:val="auto"/>
        </w:rPr>
      </w:pPr>
      <w:r>
        <w:rPr>
          <w:rFonts w:ascii="Arial" w:cs="Arial" w:eastAsia="Arial" w:hAnsi="Arial"/>
          <w:sz w:val="18"/>
          <w:szCs w:val="18"/>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20" w:type="dxa"/>
            <w:vAlign w:val="bottom"/>
          </w:tcPr>
          <w:p>
            <w:pPr>
              <w:spacing w:after="0"/>
              <w:rPr>
                <w:sz w:val="17"/>
                <w:szCs w:val="17"/>
                <w:color w:val="auto"/>
              </w:rPr>
            </w:pPr>
          </w:p>
        </w:tc>
        <w:tc>
          <w:tcPr>
            <w:tcW w:w="13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Next</w:t>
            </w:r>
          </w:p>
        </w:tc>
        <w:tc>
          <w:tcPr>
            <w:tcW w:w="1380" w:type="dxa"/>
            <w:vAlign w:val="bottom"/>
            <w:gridSpan w:val="4"/>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Next</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Financing -</w:t>
            </w: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Financing -</w:t>
            </w: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gridSpan w:val="4"/>
          </w:tcPr>
          <w:p>
            <w:pPr>
              <w:ind w:left="220"/>
              <w:spacing w:after="0"/>
              <w:rPr>
                <w:sz w:val="20"/>
                <w:szCs w:val="20"/>
                <w:color w:val="auto"/>
              </w:rPr>
            </w:pPr>
            <w:r>
              <w:rPr>
                <w:rFonts w:ascii="Arial" w:cs="Arial" w:eastAsia="Arial" w:hAnsi="Arial"/>
                <w:sz w:val="18"/>
                <w:szCs w:val="18"/>
                <w:b w:val="1"/>
                <w:bCs w:val="1"/>
                <w:color w:val="auto"/>
              </w:rPr>
              <w:t>Maturity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Private</w:t>
            </w:r>
          </w:p>
        </w:tc>
        <w:tc>
          <w:tcPr>
            <w:tcW w:w="28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Public</w:t>
            </w:r>
          </w:p>
        </w:tc>
        <w:tc>
          <w:tcPr>
            <w:tcW w:w="28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3"/>
              </w:rPr>
              <w:t>Control</w:t>
            </w:r>
          </w:p>
        </w:tc>
        <w:tc>
          <w:tcPr>
            <w:tcW w:w="26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Date</w:t>
            </w:r>
          </w:p>
        </w:tc>
        <w:tc>
          <w:tcPr>
            <w:tcW w:w="26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Default</w:t>
            </w:r>
          </w:p>
        </w:tc>
        <w:tc>
          <w:tcPr>
            <w:tcW w:w="100" w:type="dxa"/>
            <w:vAlign w:val="bottom"/>
            <w:tcBorders>
              <w:bottom w:val="single" w:sz="8" w:color="CCEEFF"/>
            </w:tcBorders>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20" w:type="dxa"/>
            <w:vAlign w:val="bottom"/>
            <w:gridSpan w:val="3"/>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453"/>
        </w:trPr>
        <w:tc>
          <w:tcPr>
            <w:tcW w:w="4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440"/>
              <w:spacing w:after="0"/>
              <w:rPr>
                <w:sz w:val="20"/>
                <w:szCs w:val="20"/>
                <w:color w:val="auto"/>
              </w:rPr>
            </w:pPr>
            <w:r>
              <w:rPr>
                <w:rFonts w:ascii="Arial" w:cs="Arial" w:eastAsia="Arial" w:hAnsi="Arial"/>
                <w:sz w:val="18"/>
                <w:szCs w:val="18"/>
                <w:b w:val="1"/>
                <w:bCs w:val="1"/>
                <w:color w:val="auto"/>
              </w:rPr>
              <w:t>As of June 30, 2021</w:t>
            </w: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4"/>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Next</w:t>
            </w:r>
          </w:p>
        </w:tc>
        <w:tc>
          <w:tcPr>
            <w:tcW w:w="1360" w:type="dxa"/>
            <w:vAlign w:val="bottom"/>
            <w:gridSpan w:val="4"/>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Next</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Financing –</w:t>
            </w:r>
          </w:p>
        </w:tc>
        <w:tc>
          <w:tcPr>
            <w:tcW w:w="13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Financing –</w:t>
            </w:r>
          </w:p>
        </w:tc>
        <w:tc>
          <w:tcPr>
            <w:tcW w:w="1380" w:type="dxa"/>
            <w:vAlign w:val="bottom"/>
            <w:gridSpan w:val="4"/>
          </w:tcPr>
          <w:p>
            <w:pPr>
              <w:ind w:left="160"/>
              <w:spacing w:after="0"/>
              <w:rPr>
                <w:sz w:val="20"/>
                <w:szCs w:val="20"/>
                <w:color w:val="auto"/>
              </w:rPr>
            </w:pPr>
            <w:r>
              <w:rPr>
                <w:rFonts w:ascii="Arial" w:cs="Arial" w:eastAsia="Arial" w:hAnsi="Arial"/>
                <w:sz w:val="18"/>
                <w:szCs w:val="18"/>
                <w:b w:val="1"/>
                <w:bCs w:val="1"/>
                <w:color w:val="auto"/>
              </w:rPr>
              <w:t>Maturity</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Private</w:t>
            </w:r>
          </w:p>
        </w:tc>
        <w:tc>
          <w:tcPr>
            <w:tcW w:w="28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Public</w:t>
            </w:r>
          </w:p>
        </w:tc>
        <w:tc>
          <w:tcPr>
            <w:tcW w:w="2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Date</w:t>
            </w:r>
          </w:p>
        </w:tc>
        <w:tc>
          <w:tcPr>
            <w:tcW w:w="28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Default</w:t>
            </w:r>
          </w:p>
        </w:tc>
        <w:tc>
          <w:tcPr>
            <w:tcW w:w="160" w:type="dxa"/>
            <w:vAlign w:val="bottom"/>
            <w:tcBorders>
              <w:bottom w:val="single" w:sz="8" w:color="CCEEFF"/>
            </w:tcBorders>
            <w:gridSpan w:val="2"/>
          </w:tcPr>
          <w:p>
            <w:pPr>
              <w:spacing w:after="0"/>
              <w:rPr>
                <w:sz w:val="20"/>
                <w:szCs w:val="20"/>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firstLine="648"/>
        <w:spacing w:after="0" w:line="277" w:lineRule="auto"/>
        <w:rPr>
          <w:sz w:val="20"/>
          <w:szCs w:val="20"/>
          <w:color w:val="auto"/>
        </w:rPr>
      </w:pPr>
      <w:r>
        <w:rPr>
          <w:rFonts w:ascii="Arial" w:cs="Arial" w:eastAsia="Arial" w:hAnsi="Arial"/>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51,816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37,847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43,666</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18,915</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Level 3 warrant liabilities and Level 3 convertible promissory notes and embedded warrants for the years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Convertible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Promissory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Notes and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Embedded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Warrant</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Liabilities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43,666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 liabilities and convertible promissory notes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 liabilities and convertible promissory notes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18,932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648"/>
        <w:spacing w:after="0" w:line="296" w:lineRule="auto"/>
        <w:rPr>
          <w:sz w:val="20"/>
          <w:szCs w:val="20"/>
          <w:color w:val="auto"/>
        </w:rPr>
      </w:pPr>
      <w:r>
        <w:rPr>
          <w:rFonts w:ascii="Arial" w:cs="Arial" w:eastAsia="Arial" w:hAnsi="Arial"/>
          <w:sz w:val="16"/>
          <w:szCs w:val="16"/>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 The fair value was calculated using a discounted cash flow model determined using “Level 3” inputs, due to the lack of relevant observable market data over fair value inputs.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ectPr>
          <w:pgSz w:w="11900" w:h="16838" w:orient="portrait"/>
          <w:cols w:equalWidth="0" w:num="1">
            <w:col w:w="11240"/>
          </w:cols>
          <w:pgMar w:left="320" w:top="908"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allowance for doubtful accounts is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Allowance for doubtful accounts, beginning of year –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end of period –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 end of period – June 30, 2022</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00" w:hanging="835"/>
        <w:spacing w:after="0"/>
        <w:tabs>
          <w:tab w:leader="none" w:pos="1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251</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651</w:t>
      </w:r>
    </w:p>
    <w:p>
      <w:pPr>
        <w:spacing w:after="0" w:line="9"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902</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265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(476)</w:t>
      </w:r>
    </w:p>
    <w:p>
      <w:pPr>
        <w:spacing w:after="0" w:line="62" w:lineRule="exact"/>
        <w:rPr>
          <w:sz w:val="20"/>
          <w:szCs w:val="20"/>
          <w:color w:val="auto"/>
        </w:rPr>
      </w:pPr>
    </w:p>
    <w:p>
      <w:pPr>
        <w:ind w:left="1500" w:hanging="835"/>
        <w:spacing w:after="0"/>
        <w:tabs>
          <w:tab w:leader="none" w:pos="1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14605</wp:posOffset>
            </wp:positionV>
            <wp:extent cx="70294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40640</wp:posOffset>
            </wp:positionV>
            <wp:extent cx="70294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w:t>
      </w:r>
    </w:p>
    <w:p>
      <w:pPr>
        <w:spacing w:after="0" w:line="27" w:lineRule="exact"/>
        <w:rPr>
          <w:sz w:val="20"/>
          <w:szCs w:val="20"/>
          <w:color w:val="auto"/>
        </w:rPr>
      </w:pPr>
    </w:p>
    <w:p>
      <w:pPr>
        <w:sectPr>
          <w:pgSz w:w="11900" w:h="16838" w:orient="portrait"/>
          <w:cols w:equalWidth="0" w:num="2">
            <w:col w:w="8640" w:space="720"/>
            <w:col w:w="18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869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869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54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Prepaid insurance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40" w:lineRule="exact"/>
        <w:rPr>
          <w:sz w:val="20"/>
          <w:szCs w:val="20"/>
          <w:color w:val="auto"/>
        </w:rPr>
      </w:pPr>
    </w:p>
    <w:p>
      <w:pPr>
        <w:spacing w:after="0"/>
        <w:tabs>
          <w:tab w:leader="none" w:pos="840" w:val="left"/>
          <w:tab w:leader="none" w:pos="13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351</w:t>
        <w:tab/>
        <w:t>$</w:t>
      </w:r>
      <w:r>
        <w:rPr>
          <w:sz w:val="20"/>
          <w:szCs w:val="20"/>
          <w:color w:val="auto"/>
        </w:rPr>
        <w:tab/>
      </w:r>
      <w:r>
        <w:rPr>
          <w:rFonts w:ascii="Arial" w:cs="Arial" w:eastAsia="Arial" w:hAnsi="Arial"/>
          <w:sz w:val="16"/>
          <w:szCs w:val="16"/>
          <w:color w:val="auto"/>
        </w:rPr>
        <w:t>82</w:t>
      </w:r>
    </w:p>
    <w:p>
      <w:pPr>
        <w:spacing w:after="0" w:line="23" w:lineRule="exact"/>
        <w:rPr>
          <w:sz w:val="20"/>
          <w:szCs w:val="20"/>
          <w:color w:val="auto"/>
        </w:rPr>
      </w:pPr>
    </w:p>
    <w:p>
      <w:pPr>
        <w:ind w:left="2040" w:hanging="1181"/>
        <w:spacing w:after="0"/>
        <w:tabs>
          <w:tab w:leader="none" w:pos="20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1,387</w:t>
      </w:r>
    </w:p>
    <w:p>
      <w:pPr>
        <w:spacing w:after="0" w:line="32" w:lineRule="exact"/>
        <w:rPr>
          <w:rFonts w:ascii="Arial" w:cs="Arial" w:eastAsia="Arial" w:hAnsi="Arial"/>
          <w:sz w:val="16"/>
          <w:szCs w:val="16"/>
          <w:color w:val="auto"/>
        </w:rPr>
      </w:pPr>
    </w:p>
    <w:p>
      <w:pPr>
        <w:ind w:left="2280" w:hanging="1331"/>
        <w:spacing w:after="0"/>
        <w:tabs>
          <w:tab w:leader="none" w:pos="22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42</w:t>
      </w:r>
    </w:p>
    <w:p>
      <w:pPr>
        <w:spacing w:after="0" w:line="85" w:lineRule="exact"/>
        <w:rPr>
          <w:sz w:val="20"/>
          <w:szCs w:val="20"/>
          <w:color w:val="auto"/>
        </w:rPr>
      </w:pPr>
    </w:p>
    <w:p>
      <w:pPr>
        <w:spacing w:after="0"/>
        <w:tabs>
          <w:tab w:leader="none" w:pos="840" w:val="left"/>
          <w:tab w:leader="none" w:pos="1320" w:val="left"/>
          <w:tab w:leader="none" w:pos="2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707</w:t>
        <w:tab/>
        <w:t>$</w:t>
      </w:r>
      <w:r>
        <w:rPr>
          <w:sz w:val="20"/>
          <w:szCs w:val="20"/>
          <w:color w:val="auto"/>
        </w:rPr>
        <w:tab/>
      </w:r>
      <w:r>
        <w:rPr>
          <w:rFonts w:ascii="Arial" w:cs="Arial" w:eastAsia="Arial" w:hAnsi="Arial"/>
          <w:sz w:val="15"/>
          <w:szCs w:val="15"/>
          <w:color w:val="auto"/>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431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8" w:right="339" w:bottom="1440" w:gutter="0" w:footer="0" w:header="0"/>
          <w:type w:val="continuous"/>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59" w:name="page260"/>
    <w:bookmarkEnd w:id="259"/>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Property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tcPr>
          <w:p>
            <w:pPr>
              <w:ind w:left="660"/>
              <w:spacing w:after="0"/>
              <w:rPr>
                <w:sz w:val="20"/>
                <w:szCs w:val="20"/>
                <w:color w:val="auto"/>
              </w:rPr>
            </w:pPr>
            <w:r>
              <w:rPr>
                <w:rFonts w:ascii="Arial" w:cs="Arial" w:eastAsia="Arial" w:hAnsi="Arial"/>
                <w:sz w:val="18"/>
                <w:szCs w:val="18"/>
                <w:color w:val="auto"/>
              </w:rPr>
              <w:t>The useful life of property and equipment, net consisted of the following:</w:t>
            </w:r>
          </w:p>
        </w:tc>
        <w:tc>
          <w:tcPr>
            <w:tcW w:w="1700" w:type="dxa"/>
            <w:vAlign w:val="bottom"/>
          </w:tcPr>
          <w:p>
            <w:pPr>
              <w:spacing w:after="0"/>
              <w:rPr>
                <w:sz w:val="20"/>
                <w:szCs w:val="20"/>
                <w:color w:val="auto"/>
              </w:rPr>
            </w:pPr>
          </w:p>
        </w:tc>
      </w:tr>
      <w:tr>
        <w:trPr>
          <w:trHeight w:val="453"/>
        </w:trPr>
        <w:tc>
          <w:tcPr>
            <w:tcW w:w="95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Computer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02"/>
        </w:trPr>
        <w:tc>
          <w:tcPr>
            <w:tcW w:w="95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r>
      <w:tr>
        <w:trPr>
          <w:trHeight w:val="216"/>
        </w:trPr>
        <w:tc>
          <w:tcPr>
            <w:tcW w:w="95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useful life or remaining</w:t>
            </w:r>
          </w:p>
        </w:tc>
      </w:tr>
      <w:tr>
        <w:trPr>
          <w:trHeight w:val="230"/>
        </w:trPr>
        <w:tc>
          <w:tcPr>
            <w:tcW w:w="95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lease term</w:t>
            </w: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Liabilities</w:t>
            </w:r>
          </w:p>
        </w:tc>
        <w:tc>
          <w:tcPr>
            <w:tcW w:w="1700" w:type="dxa"/>
            <w:vAlign w:val="bottom"/>
          </w:tcPr>
          <w:p>
            <w:pPr>
              <w:spacing w:after="0"/>
              <w:rPr>
                <w:sz w:val="24"/>
                <w:szCs w:val="24"/>
                <w:color w:val="auto"/>
              </w:rPr>
            </w:pP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17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4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Repair cost reserve (Refer to Note 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COVID-19 deferred compensation and deferred payroll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sales tax</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7,256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Intangible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Intangible assets,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4,586</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Total future amortization expense for intangible assets was estimated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Financing Obligations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financing obligations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Vendor financing facility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Receivable financing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5,911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 facility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financing obligations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18,535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financing obligations,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financing obligations, noncurrent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Vendor financing facility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18%-26%. As of June 30, 2022 and 2021, the Company had an outstanding principal balance of $0 and $6,792,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84" w:lineRule="exact"/>
        <w:rPr>
          <w:sz w:val="20"/>
          <w:szCs w:val="20"/>
          <w:color w:val="auto"/>
        </w:rPr>
      </w:pPr>
    </w:p>
    <w:p>
      <w:pPr>
        <w:ind w:right="20" w:firstLine="432"/>
        <w:spacing w:after="0" w:line="275" w:lineRule="auto"/>
        <w:rPr>
          <w:sz w:val="20"/>
          <w:szCs w:val="20"/>
          <w:color w:val="auto"/>
        </w:rPr>
      </w:pPr>
      <w:r>
        <w:rPr>
          <w:rFonts w:ascii="Arial" w:cs="Arial" w:eastAsia="Arial" w:hAnsi="Arial"/>
          <w:sz w:val="17"/>
          <w:szCs w:val="17"/>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Debt Arrangements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outstanding debt, net of debt discounts,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Term loans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117,106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81,191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(115,106)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debt, noncurrent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68,738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2021 Notes</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July 2020 Notes — </w:t>
      </w:r>
      <w:r>
        <w:rPr>
          <w:rFonts w:ascii="Arial" w:cs="Arial" w:eastAsia="Arial" w:hAnsi="Arial"/>
          <w:sz w:val="17"/>
          <w:szCs w:val="17"/>
          <w:color w:val="auto"/>
        </w:rPr>
        <w:t>In July 2020 the Company issued convertible promissory notes (the “July 2020 Notes”) in the amount of $5,500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interest rate of 5%. The July 2020 Notes mature at the earlier of (a) 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Q3 2021 Notes </w:t>
      </w:r>
      <w:r>
        <w:rPr>
          <w:rFonts w:ascii="Arial" w:cs="Arial" w:eastAsia="Arial" w:hAnsi="Arial"/>
          <w:sz w:val="16"/>
          <w:szCs w:val="16"/>
          <w:color w:val="auto"/>
        </w:rPr>
        <w:t>— During January 2021 through March 2021 the Company issued convertible promissory notes (the “Q3 2021 Notes”)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June 2021 Notes </w:t>
      </w:r>
      <w:r>
        <w:rPr>
          <w:rFonts w:ascii="Arial" w:cs="Arial" w:eastAsia="Arial" w:hAnsi="Arial"/>
          <w:sz w:val="16"/>
          <w:szCs w:val="16"/>
          <w:color w:val="auto"/>
        </w:rPr>
        <w:t>— In June 2021, the Company issued convertible promissory notes (the “June 2021 Notes”) in the total amount of $20,000 with</w:t>
      </w:r>
      <w:r>
        <w:rPr>
          <w:rFonts w:ascii="Arial" w:cs="Arial" w:eastAsia="Arial" w:hAnsi="Arial"/>
          <w:sz w:val="16"/>
          <w:szCs w:val="16"/>
          <w:b w:val="1"/>
          <w:bCs w:val="1"/>
          <w:color w:val="auto"/>
        </w:rPr>
        <w:t xml:space="preserve"> </w:t>
      </w:r>
      <w:r>
        <w:rPr>
          <w:rFonts w:ascii="Arial" w:cs="Arial" w:eastAsia="Arial" w:hAnsi="Arial"/>
          <w:sz w:val="16"/>
          <w:szCs w:val="16"/>
          <w:color w:val="auto"/>
        </w:rPr>
        <w:t>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3" w:lineRule="exact"/>
        <w:rPr>
          <w:sz w:val="20"/>
          <w:szCs w:val="20"/>
          <w:color w:val="auto"/>
        </w:rPr>
      </w:pPr>
    </w:p>
    <w:p>
      <w:pPr>
        <w:ind w:firstLine="8"/>
        <w:spacing w:after="0" w:line="260" w:lineRule="auto"/>
        <w:tabs>
          <w:tab w:leader="none" w:pos="2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July 2021 Notes </w:t>
      </w:r>
      <w:r>
        <w:rPr>
          <w:rFonts w:ascii="Arial" w:cs="Arial" w:eastAsia="Arial" w:hAnsi="Arial"/>
          <w:sz w:val="16"/>
          <w:szCs w:val="16"/>
          <w:color w:val="auto"/>
        </w:rPr>
        <w:t>— In July 2021, the Company issued convertible promissory notes (the “July 2021 Notes”) in the total amount of $500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3" w:lineRule="exact"/>
        <w:rPr>
          <w:sz w:val="20"/>
          <w:szCs w:val="20"/>
          <w:color w:val="auto"/>
        </w:rPr>
      </w:pPr>
    </w:p>
    <w:p>
      <w:pPr>
        <w:ind w:firstLine="8"/>
        <w:spacing w:after="0" w:line="260" w:lineRule="auto"/>
        <w:tabs>
          <w:tab w:leader="none" w:pos="27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quotient obtained by dividing (a) $600,000 by (b) the Fully Diluted Capitalization as of immediately prior to the closing of the next financing or public liquidity event.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February 2022 Note – </w:t>
      </w:r>
      <w:r>
        <w:rPr>
          <w:rFonts w:ascii="Arial" w:cs="Arial" w:eastAsia="Arial" w:hAnsi="Arial"/>
          <w:sz w:val="16"/>
          <w:szCs w:val="16"/>
          <w:color w:val="auto"/>
        </w:rPr>
        <w:t>In February 2022, the Company issued a convertible promissory note (“February 2022 Note”) in the amount of $25,663</w:t>
      </w:r>
      <w:r>
        <w:rPr>
          <w:rFonts w:ascii="Arial" w:cs="Arial" w:eastAsia="Arial" w:hAnsi="Arial"/>
          <w:sz w:val="16"/>
          <w:szCs w:val="16"/>
          <w:b w:val="1"/>
          <w:bCs w:val="1"/>
          <w:color w:val="auto"/>
        </w:rPr>
        <w:t xml:space="preserve"> </w:t>
      </w:r>
      <w:r>
        <w:rPr>
          <w:rFonts w:ascii="Arial" w:cs="Arial" w:eastAsia="Arial" w:hAnsi="Arial"/>
          <w:sz w:val="16"/>
          <w:szCs w:val="16"/>
          <w:color w:val="auto"/>
        </w:rPr>
        <w:t>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w:t>
      </w:r>
    </w:p>
    <w:p>
      <w:pPr>
        <w:spacing w:after="0" w:line="3" w:lineRule="exact"/>
        <w:rPr>
          <w:sz w:val="20"/>
          <w:szCs w:val="20"/>
          <w:color w:val="auto"/>
        </w:rPr>
      </w:pPr>
    </w:p>
    <w:p>
      <w:pPr>
        <w:jc w:val="both"/>
        <w:ind w:firstLine="8"/>
        <w:spacing w:after="0" w:line="255" w:lineRule="auto"/>
        <w:tabs>
          <w:tab w:leader="none" w:pos="22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May 2022 Notes – </w:t>
      </w:r>
      <w:r>
        <w:rPr>
          <w:rFonts w:ascii="Arial" w:cs="Arial" w:eastAsia="Arial" w:hAnsi="Arial"/>
          <w:sz w:val="16"/>
          <w:szCs w:val="16"/>
          <w:color w:val="auto"/>
        </w:rPr>
        <w:t>In May 2022, the Company issued convertible promissory notes (“May 2022 Notes”) in the amount of $2,650 with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648"/>
        <w:spacing w:after="0" w:line="271" w:lineRule="auto"/>
        <w:rPr>
          <w:sz w:val="20"/>
          <w:szCs w:val="20"/>
          <w:color w:val="auto"/>
        </w:rPr>
      </w:pPr>
      <w:r>
        <w:rPr>
          <w:rFonts w:ascii="Arial" w:cs="Arial" w:eastAsia="Arial" w:hAnsi="Arial"/>
          <w:sz w:val="17"/>
          <w:szCs w:val="17"/>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Refer to Note 11 for further details. As of June 30, 2022, the Company had an outstanding gross balance of $12,679 on the Lago Loan and an unamortized debt discount of $1,665.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April 2020, the Company obtained a PPP loan for $2,599 through the SBA. In March 2021, a second PPP 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ind w:left="660"/>
              <w:spacing w:after="0"/>
              <w:rPr>
                <w:sz w:val="20"/>
                <w:szCs w:val="20"/>
                <w:color w:val="auto"/>
              </w:rPr>
            </w:pPr>
            <w:r>
              <w:rPr>
                <w:rFonts w:ascii="Arial" w:cs="Arial" w:eastAsia="Arial" w:hAnsi="Arial"/>
                <w:sz w:val="18"/>
                <w:szCs w:val="18"/>
                <w:color w:val="auto"/>
              </w:rPr>
              <w:t>As of June 30, 2022, future principal payments on debt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80,079</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9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future payments on debt obligations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ind w:left="660" w:right="8500" w:hanging="652"/>
        <w:spacing w:after="0" w:line="566" w:lineRule="auto"/>
        <w:tabs>
          <w:tab w:leader="none" w:pos="192"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firstLine="648"/>
        <w:spacing w:after="0" w:line="277" w:lineRule="auto"/>
        <w:rPr>
          <w:sz w:val="20"/>
          <w:szCs w:val="20"/>
          <w:color w:val="auto"/>
        </w:rPr>
      </w:pPr>
      <w:r>
        <w:rPr>
          <w:rFonts w:ascii="Arial" w:cs="Arial" w:eastAsia="Arial" w:hAnsi="Arial"/>
          <w:sz w:val="18"/>
          <w:szCs w:val="18"/>
          <w:color w:val="auto"/>
        </w:rPr>
        <w:t>The Company’s operating lease portfolio currently consists of office space leases. The Company leases its office headquarters under a non-cancellable operating lease expiring in January 2025.</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payments related to operating leases as of June 30, 2022,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Leases</w:t>
      </w:r>
    </w:p>
    <w:p>
      <w:pPr>
        <w:spacing w:after="0" w:line="22" w:lineRule="exact"/>
        <w:rPr>
          <w:sz w:val="20"/>
          <w:szCs w:val="20"/>
          <w:color w:val="auto"/>
        </w:rPr>
      </w:pPr>
    </w:p>
    <w:p>
      <w:pPr>
        <w:ind w:left="840" w:hanging="835"/>
        <w:spacing w:after="0"/>
        <w:tabs>
          <w:tab w:leader="none" w:pos="8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273</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218</w:t>
      </w:r>
    </w:p>
    <w:p>
      <w:pPr>
        <w:spacing w:after="0" w:line="32"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127</w:t>
      </w:r>
    </w:p>
    <w:p>
      <w:pPr>
        <w:spacing w:after="0" w:line="85" w:lineRule="exact"/>
        <w:rPr>
          <w:sz w:val="20"/>
          <w:szCs w:val="20"/>
          <w:color w:val="auto"/>
        </w:rPr>
      </w:pPr>
    </w:p>
    <w:p>
      <w:pPr>
        <w:ind w:left="840" w:hanging="835"/>
        <w:spacing w:after="0"/>
        <w:tabs>
          <w:tab w:leader="none" w:pos="8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294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70294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rent expense in the statements of operations, totaled $413 and $208 for the years ended June 30, 2022, and 2021,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67" w:name="page268"/>
    <w:bookmarkEnd w:id="267"/>
    <w:p>
      <w:pPr>
        <w:jc w:val="both"/>
        <w:ind w:firstLine="648"/>
        <w:spacing w:after="0" w:line="259" w:lineRule="auto"/>
        <w:rPr>
          <w:sz w:val="20"/>
          <w:szCs w:val="20"/>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on Infrequent Product Repairs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fiscal years 2022 and 2021, the Company experienced an increase in hardware returned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72" w:lineRule="exact"/>
        <w:rPr>
          <w:sz w:val="20"/>
          <w:szCs w:val="20"/>
          <w:color w:val="auto"/>
        </w:rPr>
      </w:pPr>
    </w:p>
    <w:p>
      <w:pPr>
        <w:ind w:left="660" w:right="8520" w:hanging="652"/>
        <w:spacing w:after="0" w:line="603" w:lineRule="auto"/>
        <w:tabs>
          <w:tab w:leader="none" w:pos="282"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Deficit </w:t>
      </w:r>
      <w:r>
        <w:rPr>
          <w:rFonts w:ascii="Arial" w:cs="Arial" w:eastAsia="Arial" w:hAnsi="Arial"/>
          <w:sz w:val="15"/>
          <w:szCs w:val="15"/>
          <w:b w:val="1"/>
          <w:bCs w:val="1"/>
          <w:i w:val="1"/>
          <w:iCs w:val="1"/>
          <w:color w:val="auto"/>
        </w:rPr>
        <w:t>Convertible Preferred Stock</w:t>
      </w:r>
    </w:p>
    <w:p>
      <w:pPr>
        <w:spacing w:after="0" w:line="1"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A summary of the preferred stock outstanding and other related information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8"/>
                <w:szCs w:val="18"/>
                <w:b w:val="1"/>
                <w:bCs w:val="1"/>
                <w:color w:val="auto"/>
              </w:rPr>
              <w:t>June 30, 2022 and 2021</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Original</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Stock Issuable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Issue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Liquidation</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Upon</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Authorized</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Preference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Conversion</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0.3017</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AA-1</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9.3597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1,131,190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1,024,349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9,588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1,024,349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AA-2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3.3215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B</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0.9959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10,364,829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10,364,829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10,322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10,364,829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0.6711</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4,619,282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4,619,282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4,619,282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Series C</w:t>
            </w:r>
          </w:p>
        </w:tc>
        <w:tc>
          <w:tcPr>
            <w:tcW w:w="16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6.6080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3,026,634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1,513,316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1,513,316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5.2864</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2,030,761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2,030,761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2,030,761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30,752,578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28,343,420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46,908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28,343,420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Series A convertible preferred stock, Series B convertible preferred stock, Series B-1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are payable only when, and if, declared by the Board of Directors and are non-cumulative.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and 2021, no dividends have been declared or paid by the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event (as defined in the restated certificate of incorporation), whether voluntary or</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jc w:val="both"/>
        <w:ind w:firstLine="648"/>
        <w:spacing w:after="0" w:line="254" w:lineRule="auto"/>
        <w:rPr>
          <w:sz w:val="20"/>
          <w:szCs w:val="20"/>
          <w:color w:val="auto"/>
        </w:rPr>
      </w:pPr>
      <w:r>
        <w:rPr>
          <w:rFonts w:ascii="Arial" w:cs="Arial" w:eastAsia="Arial" w:hAnsi="Arial"/>
          <w:sz w:val="18"/>
          <w:szCs w:val="18"/>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original issue price is $6.6080, $5.2864, $0.9959, $0.6711, $0.3017, $9.3597, and $3.3215 per share on Series C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Series C-1 convertible preferred stock, Series B convertible preferred stock, Series B-1 convertible preferred stock, Series A convertible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AA-1 convertible preferred stock and Series AA-2 convertible preferred stock, respectively.</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Each share of a series of convertible preferred stock are convertible, into common stock at the option of the holder,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0" w:name="page271"/>
    <w:bookmarkEnd w:id="270"/>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 shares of common stock into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convertible preferred stock are convertible. Holders of convertible preferred stock vote together with the holders of common stock as a single class on an as-converted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authorized to issue two classes of common stock: 52,000,000 shares of common stock and 665,368 shares of non-voting common stock as of June 30, 2022, and 50,674,000 shares of common stock and 165,368 shares of non-voting common stock as of June 30, 2021, each with a par value of $0.001 per share. As of June 30, 2022, the Company has 6,030,889 shares of common stock outstanding and 165,368 shares of non-voting common stock outstanding. As of June 30, 2021, the Company has 4,966,986 shares of common stock, and 165,368 shares of non-voting common stock outstanding.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3,479,687</w:t>
            </w:r>
          </w:p>
        </w:tc>
        <w:tc>
          <w:tcPr>
            <w:tcW w:w="1140" w:type="dxa"/>
            <w:vAlign w:val="bottom"/>
          </w:tcPr>
          <w:p>
            <w:pPr>
              <w:jc w:val="right"/>
              <w:spacing w:after="0"/>
              <w:rPr>
                <w:sz w:val="20"/>
                <w:szCs w:val="20"/>
                <w:color w:val="auto"/>
              </w:rPr>
            </w:pPr>
            <w:r>
              <w:rPr>
                <w:rFonts w:ascii="Arial" w:cs="Arial" w:eastAsia="Arial" w:hAnsi="Arial"/>
                <w:sz w:val="18"/>
                <w:szCs w:val="18"/>
                <w:color w:val="auto"/>
              </w:rPr>
              <w:t>3,845,428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non-voting common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1,772,548</w:t>
            </w:r>
          </w:p>
        </w:tc>
        <w:tc>
          <w:tcPr>
            <w:tcW w:w="1140" w:type="dxa"/>
            <w:vAlign w:val="bottom"/>
          </w:tcPr>
          <w:p>
            <w:pPr>
              <w:jc w:val="right"/>
              <w:spacing w:after="0"/>
              <w:rPr>
                <w:sz w:val="20"/>
                <w:szCs w:val="20"/>
                <w:color w:val="auto"/>
              </w:rPr>
            </w:pPr>
            <w:r>
              <w:rPr>
                <w:rFonts w:ascii="Arial" w:cs="Arial" w:eastAsia="Arial" w:hAnsi="Arial"/>
                <w:sz w:val="18"/>
                <w:szCs w:val="18"/>
                <w:color w:val="auto"/>
              </w:rPr>
              <w:t>1,518,693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7,195,737</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4,259,508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 and RSUs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14,282,957</w:t>
            </w:r>
          </w:p>
        </w:tc>
        <w:tc>
          <w:tcPr>
            <w:tcW w:w="1140" w:type="dxa"/>
            <w:vAlign w:val="bottom"/>
          </w:tcPr>
          <w:p>
            <w:pPr>
              <w:jc w:val="right"/>
              <w:spacing w:after="0"/>
              <w:rPr>
                <w:sz w:val="20"/>
                <w:szCs w:val="20"/>
                <w:color w:val="auto"/>
              </w:rPr>
            </w:pPr>
            <w:r>
              <w:rPr>
                <w:rFonts w:ascii="Arial" w:cs="Arial" w:eastAsia="Arial" w:hAnsi="Arial"/>
                <w:sz w:val="18"/>
                <w:szCs w:val="18"/>
                <w:color w:val="auto"/>
              </w:rPr>
              <w:t>14,920,447</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 available for future grants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1,083,594</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767,017</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56,657,943</w:t>
            </w:r>
          </w:p>
        </w:tc>
        <w:tc>
          <w:tcPr>
            <w:tcW w:w="1140" w:type="dxa"/>
            <w:vAlign w:val="bottom"/>
          </w:tcPr>
          <w:p>
            <w:pPr>
              <w:jc w:val="right"/>
              <w:spacing w:after="0"/>
              <w:rPr>
                <w:sz w:val="20"/>
                <w:szCs w:val="20"/>
                <w:color w:val="auto"/>
              </w:rPr>
            </w:pPr>
            <w:r>
              <w:rPr>
                <w:rFonts w:ascii="Arial" w:cs="Arial" w:eastAsia="Arial" w:hAnsi="Arial"/>
                <w:sz w:val="18"/>
                <w:szCs w:val="18"/>
                <w:color w:val="auto"/>
              </w:rPr>
              <w:t>53,654,513</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9" w:lineRule="auto"/>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Shares reserved for common stock upon settlement of convertible notes into preferred shares and conversion of such preferred shares into common shares assumes that the notes are settled into preferred shares under the next financing scenario and are converted into common shares on a one for one basis. The ultimate number of shares to be issued is dependent on the Company’s fully diluted capitalization at the time of conversion and the occurrence of a next financing event or a change in control prior to maturity.</w:t>
      </w:r>
    </w:p>
    <w:p>
      <w:pPr>
        <w:spacing w:after="0" w:line="186"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Shares reserved for common stock upon settlement of warrants to purchase common stock that are embedded with the convertible notes assumes the warrants are settled into common shares under the next financing scenario. The ultimate number of shares to be issued is dependent on the Company’s fully diluted capitalization at the time of conversion and the occurrence of a next financing event or a change in control prior to maturity.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inception, the Company has issued warrants to purchase convertible preferred and common stock in conjunction with various debt financings.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i w:val="1"/>
                <w:iCs w:val="1"/>
                <w:color w:val="auto"/>
              </w:rPr>
              <w:t>Convertible Preferred Stock Warrants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160" w:type="dxa"/>
            <w:vAlign w:val="bottom"/>
            <w:gridSpan w:val="6"/>
          </w:tcPr>
          <w:p>
            <w:pPr>
              <w:ind w:left="660"/>
              <w:spacing w:after="0"/>
              <w:rPr>
                <w:sz w:val="20"/>
                <w:szCs w:val="20"/>
                <w:color w:val="auto"/>
              </w:rPr>
            </w:pPr>
            <w:r>
              <w:rPr>
                <w:rFonts w:ascii="Arial" w:cs="Arial" w:eastAsia="Arial" w:hAnsi="Arial"/>
                <w:sz w:val="18"/>
                <w:szCs w:val="18"/>
                <w:color w:val="auto"/>
                <w:w w:val="92"/>
              </w:rPr>
              <w:t>The following tables represents the warrants on convertible preferred stock outstanding:</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As of June 30, 2022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Expiration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Term</w:t>
            </w:r>
          </w:p>
        </w:tc>
        <w:tc>
          <w:tcPr>
            <w:tcW w:w="12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Classification</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71,553</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AA-1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106,841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497,183</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224,909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C</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34,050</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363,894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3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March 2032</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253,855</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Liability</w:t>
            </w: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1,772,548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As of June 30, 2021</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Term</w:t>
            </w:r>
          </w:p>
        </w:tc>
        <w:tc>
          <w:tcPr>
            <w:tcW w:w="122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Classification</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71,553</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AA-1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106,841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497,183</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224,909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Series C</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34,050</w:t>
            </w:r>
          </w:p>
        </w:tc>
        <w:tc>
          <w:tcPr>
            <w:tcW w:w="18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C-1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363,894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1,518,693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line="277" w:lineRule="auto"/>
        <w:tabs>
          <w:tab w:leader="none" w:pos="3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and one year after the effective date of a registration statement for an initial public offering.</w:t>
      </w:r>
    </w:p>
    <w:p>
      <w:pPr>
        <w:spacing w:after="0" w:line="197" w:lineRule="exact"/>
        <w:rPr>
          <w:rFonts w:ascii="Arial" w:cs="Arial" w:eastAsia="Arial" w:hAnsi="Arial"/>
          <w:sz w:val="18"/>
          <w:szCs w:val="18"/>
          <w:color w:val="auto"/>
        </w:rPr>
      </w:pPr>
    </w:p>
    <w:p>
      <w:pPr>
        <w:ind w:left="660" w:hanging="652"/>
        <w:spacing w:after="0" w:line="263" w:lineRule="auto"/>
        <w:tabs>
          <w:tab w:leader="none" w:pos="3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ind w:left="660"/>
              <w:spacing w:after="0"/>
              <w:rPr>
                <w:sz w:val="20"/>
                <w:szCs w:val="20"/>
                <w:color w:val="auto"/>
              </w:rPr>
            </w:pPr>
            <w:r>
              <w:rPr>
                <w:rFonts w:ascii="Arial" w:cs="Arial" w:eastAsia="Arial" w:hAnsi="Arial"/>
                <w:sz w:val="18"/>
                <w:szCs w:val="18"/>
                <w:i w:val="1"/>
                <w:iCs w:val="1"/>
                <w:color w:val="auto"/>
              </w:rPr>
              <w:t>Common Stock and Non-Voting Common Stock Warrants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60" w:type="dxa"/>
            <w:vAlign w:val="bottom"/>
            <w:gridSpan w:val="4"/>
          </w:tcPr>
          <w:p>
            <w:pPr>
              <w:ind w:left="660"/>
              <w:spacing w:after="0"/>
              <w:rPr>
                <w:sz w:val="20"/>
                <w:szCs w:val="20"/>
                <w:color w:val="auto"/>
              </w:rPr>
            </w:pPr>
            <w:r>
              <w:rPr>
                <w:rFonts w:ascii="Arial" w:cs="Arial" w:eastAsia="Arial" w:hAnsi="Arial"/>
                <w:sz w:val="18"/>
                <w:szCs w:val="18"/>
                <w:color w:val="auto"/>
                <w:w w:val="90"/>
              </w:rPr>
              <w:t>The following tables represents the warrants on common stock outstanding:</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8"/>
              </w:rPr>
              <w:t>As of June 30, 2022</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7"/>
                <w:szCs w:val="17"/>
                <w:color w:val="auto"/>
              </w:rPr>
            </w:pPr>
          </w:p>
        </w:tc>
        <w:tc>
          <w:tcPr>
            <w:tcW w:w="1460" w:type="dxa"/>
            <w:vAlign w:val="bottom"/>
            <w:gridSpan w:val="4"/>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Term</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(years)</w:t>
            </w:r>
          </w:p>
        </w:tc>
        <w:tc>
          <w:tcPr>
            <w:tcW w:w="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51,407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104,284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3,179,551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360"/>
              <w:spacing w:after="0"/>
              <w:rPr>
                <w:sz w:val="20"/>
                <w:szCs w:val="20"/>
                <w:color w:val="auto"/>
              </w:rPr>
            </w:pPr>
            <w:r>
              <w:rPr>
                <w:rFonts w:ascii="Arial" w:cs="Arial" w:eastAsia="Arial" w:hAnsi="Arial"/>
                <w:sz w:val="18"/>
                <w:szCs w:val="18"/>
                <w:color w:val="auto"/>
              </w:rPr>
              <w:t>[D]</w:t>
            </w:r>
          </w:p>
        </w:tc>
        <w:tc>
          <w:tcPr>
            <w:tcW w:w="20" w:type="dxa"/>
            <w:vAlign w:val="bottom"/>
          </w:tcPr>
          <w:p>
            <w:pPr>
              <w:spacing w:after="0"/>
              <w:rPr>
                <w:sz w:val="18"/>
                <w:szCs w:val="18"/>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Non-voting Common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4620" w:type="dxa"/>
            <w:vAlign w:val="bottom"/>
          </w:tcPr>
          <w:p>
            <w:pPr>
              <w:jc w:val="center"/>
              <w:ind w:right="3810"/>
              <w:spacing w:after="0"/>
              <w:rPr>
                <w:sz w:val="20"/>
                <w:szCs w:val="20"/>
                <w:color w:val="auto"/>
              </w:rPr>
            </w:pPr>
            <w:r>
              <w:rPr>
                <w:rFonts w:ascii="Arial" w:cs="Arial" w:eastAsia="Arial" w:hAnsi="Arial"/>
                <w:sz w:val="18"/>
                <w:szCs w:val="18"/>
                <w:color w:val="auto"/>
                <w:w w:val="89"/>
              </w:rPr>
              <w:t>Total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4,046,911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8"/>
              </w:rPr>
              <w:t>As of June 30, 2021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7"/>
                <w:szCs w:val="17"/>
                <w:color w:val="auto"/>
              </w:rPr>
            </w:pPr>
          </w:p>
        </w:tc>
        <w:tc>
          <w:tcPr>
            <w:tcW w:w="1460" w:type="dxa"/>
            <w:vAlign w:val="bottom"/>
            <w:gridSpan w:val="4"/>
          </w:tcPr>
          <w:p>
            <w:pPr>
              <w:ind w:left="120"/>
              <w:spacing w:after="0" w:line="198" w:lineRule="exact"/>
              <w:rPr>
                <w:sz w:val="20"/>
                <w:szCs w:val="20"/>
                <w:color w:val="auto"/>
              </w:rPr>
            </w:pPr>
            <w:r>
              <w:rPr>
                <w:rFonts w:ascii="Arial" w:cs="Arial" w:eastAsia="Arial" w:hAnsi="Arial"/>
                <w:sz w:val="18"/>
                <w:szCs w:val="18"/>
                <w:b w:val="1"/>
                <w:bCs w:val="1"/>
                <w:color w:val="auto"/>
              </w:rPr>
              <w:t>Number of</w:t>
            </w:r>
          </w:p>
        </w:tc>
        <w:tc>
          <w:tcPr>
            <w:tcW w:w="10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Term</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Classification</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5"/>
              </w:rPr>
              <w:t>Equity</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51,407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20,563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March 2026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104,284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175,288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9"/>
        </w:trPr>
        <w:tc>
          <w:tcPr>
            <w:tcW w:w="4620" w:type="dxa"/>
            <w:vAlign w:val="bottom"/>
          </w:tcPr>
          <w:p>
            <w:pPr>
              <w:jc w:val="center"/>
              <w:ind w:right="3850"/>
              <w:spacing w:after="0"/>
              <w:rPr>
                <w:sz w:val="20"/>
                <w:szCs w:val="20"/>
                <w:color w:val="auto"/>
              </w:rPr>
            </w:pPr>
            <w:r>
              <w:rPr>
                <w:rFonts w:ascii="Arial" w:cs="Arial" w:eastAsia="Arial" w:hAnsi="Arial"/>
                <w:sz w:val="18"/>
                <w:szCs w:val="18"/>
                <w:color w:val="auto"/>
                <w:w w:val="93"/>
              </w:rPr>
              <w:t>Common</w:t>
            </w:r>
          </w:p>
        </w:tc>
        <w:tc>
          <w:tcPr>
            <w:tcW w:w="1240" w:type="dxa"/>
            <w:vAlign w:val="bottom"/>
          </w:tcPr>
          <w:p>
            <w:pPr>
              <w:jc w:val="center"/>
              <w:spacing w:after="0"/>
              <w:rPr>
                <w:sz w:val="20"/>
                <w:szCs w:val="20"/>
                <w:color w:val="auto"/>
              </w:rPr>
            </w:pPr>
            <w:r>
              <w:rPr>
                <w:rFonts w:ascii="Arial" w:cs="Arial" w:eastAsia="Arial" w:hAnsi="Arial"/>
                <w:sz w:val="18"/>
                <w:szCs w:val="18"/>
                <w:color w:val="auto"/>
              </w:rPr>
              <w:t>[D]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3,478,068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ind w:left="360"/>
              <w:spacing w:after="0"/>
              <w:rPr>
                <w:sz w:val="20"/>
                <w:szCs w:val="20"/>
                <w:color w:val="auto"/>
              </w:rPr>
            </w:pPr>
            <w:r>
              <w:rPr>
                <w:rFonts w:ascii="Arial" w:cs="Arial" w:eastAsia="Arial" w:hAnsi="Arial"/>
                <w:sz w:val="18"/>
                <w:szCs w:val="18"/>
                <w:color w:val="auto"/>
              </w:rPr>
              <w:t>[D]</w:t>
            </w:r>
          </w:p>
        </w:tc>
        <w:tc>
          <w:tcPr>
            <w:tcW w:w="20" w:type="dxa"/>
            <w:vAlign w:val="bottom"/>
          </w:tcPr>
          <w:p>
            <w:pPr>
              <w:spacing w:after="0"/>
              <w:rPr>
                <w:sz w:val="19"/>
                <w:szCs w:val="19"/>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jc w:val="center"/>
              <w:ind w:right="3810"/>
              <w:spacing w:after="0"/>
              <w:rPr>
                <w:sz w:val="20"/>
                <w:szCs w:val="20"/>
                <w:color w:val="auto"/>
              </w:rPr>
            </w:pPr>
            <w:r>
              <w:rPr>
                <w:rFonts w:ascii="Arial" w:cs="Arial" w:eastAsia="Arial" w:hAnsi="Arial"/>
                <w:sz w:val="18"/>
                <w:szCs w:val="18"/>
                <w:color w:val="auto"/>
                <w:w w:val="89"/>
              </w:rPr>
              <w:t>Total</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3,845,428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line="277" w:lineRule="auto"/>
        <w:tabs>
          <w:tab w:leader="none" w:pos="3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Warrants expire at the greater of 7 years from the issuance date or 5 years from the effective date of a registration statement for an initial public offering.</w:t>
      </w:r>
    </w:p>
    <w:p>
      <w:pPr>
        <w:spacing w:after="0" w:line="197"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spacing w:after="0" w:line="197" w:lineRule="exact"/>
        <w:rPr>
          <w:rFonts w:ascii="Arial" w:cs="Arial" w:eastAsia="Arial" w:hAnsi="Arial"/>
          <w:sz w:val="18"/>
          <w:szCs w:val="18"/>
          <w:color w:val="auto"/>
        </w:rPr>
      </w:pPr>
    </w:p>
    <w:p>
      <w:pPr>
        <w:ind w:left="660" w:hanging="652"/>
        <w:spacing w:after="0" w:line="271" w:lineRule="auto"/>
        <w:tabs>
          <w:tab w:leader="none" w:pos="33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Warrants were issued in October 2021 and are exercisable contingent on rollouts of the Company’s products and services to the warrant holder. Number of shares represents the maximum number of shares to be issued to the warrant holder of 500,000, of which 397,500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On November 7, 2018, the Company adopted a new equity incentive plan (“</w:t>
      </w:r>
      <w:r>
        <w:rPr>
          <w:rFonts w:ascii="Arial" w:cs="Arial" w:eastAsia="Arial" w:hAnsi="Arial"/>
          <w:sz w:val="18"/>
          <w:szCs w:val="18"/>
          <w:b w:val="1"/>
          <w:bCs w:val="1"/>
          <w:color w:val="auto"/>
        </w:rPr>
        <w:t>2018 Plan</w:t>
      </w:r>
      <w:r>
        <w:rPr>
          <w:rFonts w:ascii="Arial" w:cs="Arial" w:eastAsia="Arial" w:hAnsi="Arial"/>
          <w:sz w:val="18"/>
          <w:szCs w:val="18"/>
          <w:color w:val="auto"/>
        </w:rPr>
        <w:t>”) which replaced the 2008 Stock Incentive Plan (“</w:t>
      </w:r>
      <w:r>
        <w:rPr>
          <w:rFonts w:ascii="Arial" w:cs="Arial" w:eastAsia="Arial" w:hAnsi="Arial"/>
          <w:sz w:val="18"/>
          <w:szCs w:val="18"/>
          <w:b w:val="1"/>
          <w:bCs w:val="1"/>
          <w:color w:val="auto"/>
        </w:rPr>
        <w:t>2008</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or “</w:t>
      </w:r>
      <w:r>
        <w:rPr>
          <w:rFonts w:ascii="Arial" w:cs="Arial" w:eastAsia="Arial" w:hAnsi="Arial"/>
          <w:sz w:val="18"/>
          <w:szCs w:val="18"/>
          <w:b w:val="1"/>
          <w:bCs w:val="1"/>
          <w:color w:val="auto"/>
        </w:rPr>
        <w:t>Prior Plan</w:t>
      </w:r>
      <w:r>
        <w:rPr>
          <w:rFonts w:ascii="Arial" w:cs="Arial" w:eastAsia="Arial" w:hAnsi="Arial"/>
          <w:sz w:val="18"/>
          <w:szCs w:val="18"/>
          <w:color w:val="auto"/>
        </w:rPr>
        <w:t>”). As of June 30, 2022 and 2021, the number of shares of common stock reserved for issuance under the 2018 Plan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1,083,594 and 767,017,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648"/>
        <w:spacing w:after="0" w:line="275" w:lineRule="auto"/>
        <w:rPr>
          <w:sz w:val="20"/>
          <w:szCs w:val="20"/>
          <w:color w:val="auto"/>
        </w:rPr>
      </w:pPr>
      <w:r>
        <w:rPr>
          <w:rFonts w:ascii="Arial" w:cs="Arial" w:eastAsia="Arial" w:hAnsi="Arial"/>
          <w:sz w:val="17"/>
          <w:szCs w:val="17"/>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fiscal year 2022, the Company granted 445,000 RSUs to its employees and consultants that contain a service-based vesting condition and a performance-based vesting condition, with a weighted average grant date fair value of $6.46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the fiscal year 2021, the Company granted 741,740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370,870 of the options and in connection with a public liquidity event for 370,870 of the options. A financing event occurred as of June 30, 2021 that satisfied the performance-based vesting condition for 370,870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 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and RSUs are forfeited and all vested options must be exercised within a 90-day period the 2018 Plan and within a 30-day period under the 2008 Plan or they are forfeited.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summary of the equity incentive plan option activity for the year ended June 30, 2022 is shown collectively for the 2018 Plan and the 2008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Available for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767,017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14,920,447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(396,939)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396,939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(320,913)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180"/>
              <w:spacing w:after="0"/>
              <w:rPr>
                <w:sz w:val="20"/>
                <w:szCs w:val="20"/>
                <w:color w:val="auto"/>
              </w:rPr>
            </w:pPr>
            <w:r>
              <w:rPr>
                <w:rFonts w:ascii="Arial" w:cs="Arial" w:eastAsia="Arial" w:hAnsi="Arial"/>
                <w:sz w:val="18"/>
                <w:szCs w:val="18"/>
                <w:color w:val="auto"/>
              </w:rPr>
              <w:t>Forfeited and expired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1,151,182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(1,151,182)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0.81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1,521,260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13,845,291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0.59</w:t>
            </w: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6.66</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Vested and expected to vest at June 30, 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13,479,421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94,561</w:t>
            </w: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10,044,314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73,459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options vested and expected to vest excludes 370,870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$3.32 and $0.96, respectively.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ind w:left="660"/>
        <w:spacing w:after="0"/>
        <w:rPr>
          <w:sz w:val="20"/>
          <w:szCs w:val="20"/>
          <w:color w:val="auto"/>
        </w:rPr>
      </w:pPr>
      <w:r>
        <w:rPr>
          <w:rFonts w:ascii="Arial" w:cs="Arial" w:eastAsia="Arial" w:hAnsi="Arial"/>
          <w:sz w:val="18"/>
          <w:szCs w:val="18"/>
          <w:color w:val="auto"/>
        </w:rPr>
        <w:t>The following is a summary of the equity incentive plan RSU activity for the year ended June 30, 2022 for the 2018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Awards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2021</w:t>
            </w: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8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(12,334)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8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line="20" w:lineRule="exact"/>
              <w:rPr>
                <w:sz w:val="1"/>
                <w:szCs w:val="1"/>
                <w:color w:val="auto"/>
              </w:rPr>
            </w:pPr>
          </w:p>
        </w:tc>
      </w:tr>
      <w:tr>
        <w:trPr>
          <w:trHeight w:val="250"/>
        </w:trPr>
        <w:tc>
          <w:tcPr>
            <w:tcW w:w="8660" w:type="dxa"/>
            <w:vAlign w:val="bottom"/>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432,666</w:t>
            </w:r>
          </w:p>
        </w:tc>
        <w:tc>
          <w:tcPr>
            <w:tcW w:w="200" w:type="dxa"/>
            <w:vAlign w:val="bottom"/>
            <w:gridSpan w:val="2"/>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Assumptions used in Estimating Option Fair Value and Stock-Based Compensation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jc w:val="both"/>
        <w:ind w:left="980" w:hanging="324"/>
        <w:spacing w:after="0" w:line="263"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 published interest rates of U.S. Treasury zero-coupon issues with maturities that approximate the expected term. The dividend yield assumption is zero as the Company has no history of, nor plans to distribute, dividend payments.</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 </w:t>
      </w:r>
      <w:r>
        <w:rPr>
          <w:rFonts w:ascii="Arial" w:cs="Arial" w:eastAsia="Arial" w:hAnsi="Arial"/>
          <w:sz w:val="16"/>
          <w:szCs w:val="16"/>
          <w:color w:val="auto"/>
        </w:rPr>
        <w:t>The expected term of the options is based on the average period the stock options are expected to remain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 </w:t>
      </w:r>
      <w:r>
        <w:rPr>
          <w:rFonts w:ascii="Arial" w:cs="Arial" w:eastAsia="Arial" w:hAnsi="Arial"/>
          <w:sz w:val="18"/>
          <w:szCs w:val="18"/>
          <w:color w:val="auto"/>
        </w:rPr>
        <w:t>The expected stock price volatility for the Company’s stock was determined by examining the historical volatilities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peers as the Company did not have any trading history of its common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 of, nor plans to distribute,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 Ended 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1.25%</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Expected term (years)</w:t>
            </w: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6.51</w:t>
            </w: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 6.51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46.15%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47.74%</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600"/>
              <w:spacing w:after="0"/>
              <w:rPr>
                <w:sz w:val="20"/>
                <w:szCs w:val="20"/>
                <w:color w:val="auto"/>
              </w:rPr>
            </w:pPr>
            <w:r>
              <w:rPr>
                <w:rFonts w:ascii="Arial" w:cs="Arial" w:eastAsia="Arial" w:hAnsi="Arial"/>
                <w:sz w:val="18"/>
                <w:szCs w:val="18"/>
                <w:color w:val="auto"/>
              </w:rPr>
              <w:t>—%</w:t>
            </w:r>
          </w:p>
        </w:tc>
      </w:tr>
      <w:tr>
        <w:trPr>
          <w:trHeight w:val="418"/>
        </w:trPr>
        <w:tc>
          <w:tcPr>
            <w:tcW w:w="9720" w:type="dxa"/>
            <w:vAlign w:val="bottom"/>
            <w:gridSpan w:val="4"/>
          </w:tcPr>
          <w:p>
            <w:pPr>
              <w:ind w:left="440"/>
              <w:spacing w:after="0"/>
              <w:rPr>
                <w:sz w:val="20"/>
                <w:szCs w:val="20"/>
                <w:color w:val="auto"/>
              </w:rPr>
            </w:pPr>
            <w:r>
              <w:rPr>
                <w:rFonts w:ascii="Arial" w:cs="Arial" w:eastAsia="Arial" w:hAnsi="Arial"/>
                <w:sz w:val="18"/>
                <w:szCs w:val="18"/>
                <w:color w:val="auto"/>
                <w:w w:val="94"/>
              </w:rPr>
              <w:t>Stock-based compensation expense, excluding stock-based compensation in capitalized software, by function is as follows:</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 Ended June 30,</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Stock-based compensation allocated to cost of goods sold was not material for the fiscal years ended June 30, 2022 and 2021. The weighted-average grant date fair value of options vested during the years ended June 30, 2022 and 2021 was $0.85 and $0.38,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acquisition of CyborgOps (see Note 15), the Company issued 587,264 shares of common stock to former employees of CyborOps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7.09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Company is subject to U.S. federal, state, and local corporate income taxes.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components of loss before taxes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Income tax (benefit) provision was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International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2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   $</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r>
      <w:tr>
        <w:trPr>
          <w:trHeight w:val="229"/>
        </w:trPr>
        <w:tc>
          <w:tcPr>
            <w:tcW w:w="66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79"/>
              </w:rPr>
              <w:t>23</w:t>
            </w:r>
          </w:p>
        </w:tc>
      </w:tr>
      <w:tr>
        <w:trPr>
          <w:trHeight w:val="237"/>
        </w:trPr>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r>
      <w:tr>
        <w:trPr>
          <w:trHeight w:val="250"/>
        </w:trPr>
        <w:tc>
          <w:tcPr>
            <w:tcW w:w="660" w:type="dxa"/>
            <w:vAlign w:val="bottom"/>
          </w:tcPr>
          <w:p>
            <w:pPr>
              <w:spacing w:after="0"/>
              <w:rPr>
                <w:sz w:val="21"/>
                <w:szCs w:val="21"/>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79"/>
              </w:rPr>
              <w:t>23</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320" w:hanging="1535"/>
        <w:spacing w:after="0"/>
        <w:tabs>
          <w:tab w:leader="none" w:pos="23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320" w:hanging="1445"/>
        <w:spacing w:after="0"/>
        <w:tabs>
          <w:tab w:leader="none" w:pos="2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t>
      </w:r>
    </w:p>
    <w:p>
      <w:pPr>
        <w:spacing w:after="0" w:line="27" w:lineRule="exact"/>
        <w:rPr>
          <w:sz w:val="20"/>
          <w:szCs w:val="20"/>
          <w:color w:val="auto"/>
        </w:rPr>
      </w:pPr>
    </w:p>
    <w:p>
      <w:pPr>
        <w:sectPr>
          <w:pgSz w:w="11900" w:h="16838" w:orient="portrait"/>
          <w:cols w:equalWidth="0" w:num="2">
            <w:col w:w="7920" w:space="720"/>
            <w:col w:w="260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deferred tax (benefit) provision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(247</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(0.0 5)%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0" w:type="dxa"/>
            <w:vAlign w:val="bottom"/>
            <w:gridSpan w:val="3"/>
          </w:tcPr>
          <w:p>
            <w:pPr>
              <w:ind w:left="660"/>
              <w:spacing w:after="0"/>
              <w:rPr>
                <w:sz w:val="20"/>
                <w:szCs w:val="20"/>
                <w:color w:val="auto"/>
              </w:rPr>
            </w:pPr>
            <w:r>
              <w:rPr>
                <w:rFonts w:ascii="Arial" w:cs="Arial" w:eastAsia="Arial" w:hAnsi="Arial"/>
                <w:sz w:val="18"/>
                <w:szCs w:val="18"/>
                <w:color w:val="auto"/>
                <w:w w:val="92"/>
              </w:rPr>
              <w:t>The Company’s effective income tax rate reconciliation is composed of the following for the periods presented:</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State tax net of federal benefit</w:t>
            </w:r>
          </w:p>
        </w:tc>
        <w:tc>
          <w:tcPr>
            <w:tcW w:w="160" w:type="dxa"/>
            <w:vAlign w:val="bottom"/>
          </w:tcPr>
          <w:p>
            <w:pPr>
              <w:spacing w:after="0"/>
              <w:rPr>
                <w:sz w:val="18"/>
                <w:szCs w:val="18"/>
                <w:color w:val="auto"/>
              </w:rPr>
            </w:pP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9"/>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7"/>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76" w:name="page277"/>
    <w:bookmarkEnd w:id="276"/>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components of net deferred tax assets are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31,038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 limitation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38,877</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29,555</w:t>
            </w:r>
          </w:p>
        </w:tc>
        <w:tc>
          <w:tcPr>
            <w:tcW w:w="10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(38,750)</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(29,555)</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7"/>
          <w:szCs w:val="17"/>
          <w:b w:val="1"/>
          <w:bCs w:val="1"/>
          <w:color w:val="auto"/>
        </w:rPr>
        <w:t>NOL</w:t>
      </w:r>
      <w:r>
        <w:rPr>
          <w:rFonts w:ascii="Arial" w:cs="Arial" w:eastAsia="Arial" w:hAnsi="Arial"/>
          <w:sz w:val="17"/>
          <w:szCs w:val="17"/>
          <w:color w:val="auto"/>
        </w:rPr>
        <w:t>”) and tax credits carryforwards, the Company will need to generate sufficient future taxable income in each respective jurisdiction.</w:t>
      </w:r>
    </w:p>
    <w:p>
      <w:pPr>
        <w:sectPr>
          <w:pgSz w:w="11900" w:h="16838" w:orient="portrait"/>
          <w:cols w:equalWidth="0" w:num="1">
            <w:col w:w="11240"/>
          </w:cols>
          <w:pgMar w:left="320" w:top="908" w:right="33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the activity related to valuation allowances on deferred tax assets: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as of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to existing valuation allowances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as of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r>
      <w:tr>
        <w:trPr>
          <w:trHeight w:val="202"/>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29,555</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22,272</w:t>
            </w:r>
          </w:p>
        </w:tc>
        <w:tc>
          <w:tcPr>
            <w:tcW w:w="20" w:type="dxa"/>
            <w:vAlign w:val="bottom"/>
          </w:tcPr>
          <w:p>
            <w:pPr>
              <w:spacing w:after="0"/>
              <w:rPr>
                <w:sz w:val="17"/>
                <w:szCs w:val="17"/>
                <w:color w:val="auto"/>
              </w:rPr>
            </w:pPr>
          </w:p>
        </w:tc>
      </w:t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9,195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7,283</w:t>
            </w:r>
          </w:p>
        </w:tc>
        <w:tc>
          <w:tcPr>
            <w:tcW w:w="2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38,750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29,555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8" w:right="339" w:bottom="1440" w:gutter="0" w:footer="0" w:header="0"/>
          <w:type w:val="continuous"/>
        </w:sectPr>
      </w:pPr>
    </w:p>
    <w:p>
      <w:pPr>
        <w:spacing w:after="0" w:line="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related to prior period tax positions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related to current year tax positions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77" w:name="page278"/>
    <w:bookmarkEnd w:id="277"/>
    <w:p>
      <w:pPr>
        <w:jc w:val="both"/>
        <w:ind w:firstLine="648"/>
        <w:spacing w:after="0" w:line="286" w:lineRule="auto"/>
        <w:rPr>
          <w:sz w:val="20"/>
          <w:szCs w:val="20"/>
          <w:color w:val="auto"/>
        </w:rPr>
      </w:pPr>
      <w:r>
        <w:rPr>
          <w:rFonts w:ascii="Arial" w:cs="Arial" w:eastAsia="Arial" w:hAnsi="Arial"/>
          <w:sz w:val="17"/>
          <w:szCs w:val="17"/>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18"/>
                <w:szCs w:val="18"/>
                <w:b w:val="1"/>
                <w:bCs w:val="1"/>
                <w:color w:val="auto"/>
              </w:rPr>
              <w:t>Years Ended June 30,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Voting</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Non-Voting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Voting</w:t>
            </w: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Non-Voting</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(54,565)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(1,623)</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shares used in computing net loss per share attributable to</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5,159,754</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165,368</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4,908,650</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165,368</w:t>
            </w:r>
          </w:p>
        </w:tc>
        <w:tc>
          <w:tcPr>
            <w:tcW w:w="80" w:type="dxa"/>
            <w:vAlign w:val="bottom"/>
            <w:shd w:val="clear" w:color="auto" w:fill="CCEEFF"/>
          </w:tcPr>
          <w:p>
            <w:pPr>
              <w:spacing w:after="0"/>
              <w:rPr>
                <w:sz w:val="22"/>
                <w:szCs w:val="22"/>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net loss per share are the same for each class of common stock because they are entitled to the same liquidation and dividend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5"/>
          </w:tcPr>
          <w:p>
            <w:pPr>
              <w:ind w:left="42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28,343,420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options and RSUs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14,282,957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14,920,447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1,772,548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7,195,737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4,259,508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3,479,687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3,845,428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Non-voting common stock 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vesting - CyborgOps (see Note 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587,264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potential shares of common stock excluded from the computation of diluted net loss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56,161,613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52,887,496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stock options and RSUs include 803,536 and 370,870 of service-based and performance-based awards as of June 30, 2022 and 2021,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15. CyborgOps Acquisition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742,990 shares of the Company’s common stock valued at $7.09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Of the $6,795 total consideration, $2,209 was accounted for as consideration transferred, consisting of $155 in cash paid upon closing, $950 deferred cash consideration and $1,104 of stock consideration, representing the conveyance to the former stockholders of 155,726 Company shares valued at $7.09 per share. On the acquisition dated, the remaining 587,264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certain convertible promissory notes and embedded warrants with entities in which a member of the Company’s board of directors is an officer of the entity and has a financial interest in the entity (“</w:t>
      </w:r>
      <w:r>
        <w:rPr>
          <w:rFonts w:ascii="Arial" w:cs="Arial" w:eastAsia="Arial" w:hAnsi="Arial"/>
          <w:sz w:val="18"/>
          <w:szCs w:val="18"/>
          <w:b w:val="1"/>
          <w:bCs w:val="1"/>
          <w:color w:val="auto"/>
        </w:rPr>
        <w:t>affiliated entities</w:t>
      </w:r>
      <w:r>
        <w:rPr>
          <w:rFonts w:ascii="Arial" w:cs="Arial" w:eastAsia="Arial" w:hAnsi="Arial"/>
          <w:sz w:val="18"/>
          <w:szCs w:val="18"/>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t>18. Subsequent Events pertaining to the Merger Agreement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Ventoux issued an aggregate of 7,143,687 shares of New Presto common stock to certain investors for aggregate proceeds of $55,500 to New Presto (the “Equity PIPE Investment”).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and Convertible Note Subscription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21, 2022, in connection with the consummation of the Business Combination, New Presto entered into a Credit Agreement (the “Credit Agreement”) with the Surviving Corporation, Metropolitan Partners Group Administration, LLC (“Metropolitan”), with extended term loans having an aggregate original principal amount of $55,000 (the “Metropolitan Term Loans”).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0" w:name="page281"/>
    <w:bookmarkEnd w:id="280"/>
    <w:p>
      <w:pPr>
        <w:jc w:val="both"/>
        <w:ind w:firstLine="648"/>
        <w:spacing w:after="0" w:line="257" w:lineRule="auto"/>
        <w:rPr>
          <w:sz w:val="20"/>
          <w:szCs w:val="20"/>
          <w:color w:val="auto"/>
        </w:rPr>
      </w:pPr>
      <w:r>
        <w:rPr>
          <w:rFonts w:ascii="Arial" w:cs="Arial" w:eastAsia="Arial" w:hAnsi="Arial"/>
          <w:sz w:val="18"/>
          <w:szCs w:val="18"/>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Subscription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Warrant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Arial" w:cs="Arial" w:eastAsia="Arial" w:hAnsi="Arial"/>
          <w:sz w:val="18"/>
          <w:szCs w:val="18"/>
          <w:u w:val="single" w:color="auto"/>
          <w:color w:val="auto"/>
        </w:rPr>
        <w:t>Amended and Restated Warrant Agreement</w:t>
      </w:r>
      <w:r>
        <w:rPr>
          <w:rFonts w:ascii="Arial" w:cs="Arial" w:eastAsia="Arial" w:hAnsi="Arial"/>
          <w:sz w:val="18"/>
          <w:szCs w:val="18"/>
          <w:color w:val="auto"/>
        </w:rPr>
        <w:t>”) with Continental, to reflect the issuance of the Metropolitan Warrants, to reflect the transfer of 500,000 Private Warrants (the “</w:t>
      </w:r>
      <w:r>
        <w:rPr>
          <w:rFonts w:ascii="Arial" w:cs="Arial" w:eastAsia="Arial" w:hAnsi="Arial"/>
          <w:sz w:val="18"/>
          <w:szCs w:val="18"/>
          <w:u w:val="single" w:color="auto"/>
          <w:color w:val="auto"/>
        </w:rPr>
        <w:t>Silver Rock Warrants</w:t>
      </w:r>
      <w:r>
        <w:rPr>
          <w:rFonts w:ascii="Arial" w:cs="Arial" w:eastAsia="Arial" w:hAnsi="Arial"/>
          <w:sz w:val="18"/>
          <w:szCs w:val="18"/>
          <w:color w:val="auto"/>
        </w:rPr>
        <w:t>”) to affiliates of Silver Rock Capital Partners LP (“</w:t>
      </w:r>
      <w:r>
        <w:rPr>
          <w:rFonts w:ascii="Arial" w:cs="Arial" w:eastAsia="Arial" w:hAnsi="Arial"/>
          <w:sz w:val="18"/>
          <w:szCs w:val="18"/>
          <w:u w:val="single" w:color="auto"/>
          <w:color w:val="auto"/>
        </w:rPr>
        <w:t>Silver Rock</w:t>
      </w:r>
      <w:r>
        <w:rPr>
          <w:rFonts w:ascii="Arial" w:cs="Arial" w:eastAsia="Arial" w:hAnsi="Arial"/>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 Administrative Services Agreement and the Placement Agency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21, 2022, in connection with the Closing, Ventoux and Chardan Capital Markets, LLC (“</w:t>
      </w:r>
      <w:r>
        <w:rPr>
          <w:rFonts w:ascii="Arial" w:cs="Arial" w:eastAsia="Arial" w:hAnsi="Arial"/>
          <w:sz w:val="18"/>
          <w:szCs w:val="18"/>
          <w:u w:val="single" w:color="auto"/>
          <w:color w:val="auto"/>
        </w:rPr>
        <w:t>Chardan</w:t>
      </w:r>
      <w:r>
        <w:rPr>
          <w:rFonts w:ascii="Arial" w:cs="Arial" w:eastAsia="Arial" w:hAnsi="Arial"/>
          <w:sz w:val="18"/>
          <w:szCs w:val="18"/>
          <w:color w:val="auto"/>
        </w:rPr>
        <w:t>”) waived certain obligations of New Presto to Chardan in connection with the following agreements: (i) 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Subsequent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evaluated subsequent events after the balance sheet date through September 27, 2022 the date the financial statements were available to be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2022, the Company amended its July 2020 Notes to extend the maturity date to the earlier of (a) August 31, 2022, or (b)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July 2022, the Company received forgiveness of the second PPP loan of approximately $2,000.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648"/>
        <w:spacing w:after="0" w:line="286" w:lineRule="auto"/>
        <w:rPr>
          <w:sz w:val="20"/>
          <w:szCs w:val="20"/>
          <w:color w:val="auto"/>
        </w:rPr>
      </w:pPr>
      <w:r>
        <w:rPr>
          <w:rFonts w:ascii="Arial" w:cs="Arial" w:eastAsia="Arial" w:hAnsi="Arial"/>
          <w:sz w:val="17"/>
          <w:szCs w:val="17"/>
          <w:color w:val="auto"/>
        </w:rPr>
        <w:t>On August 4, 2022, the Company amended the Lago Loan to, among other things, increase the borrowings under the facility by $5,250 and issue approximately 209,044 additional warrants to purchase Series C preferred stock at an exercise price of $6.61 with a maturity date in March 2032. The additional borrowings mature on March 11, 2023 and carry the same interest terms as the original Lago Loan.</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September 15, 2022, the Company issued 164,521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16, 2022, the Company granted 1,477,870 RSUs to a member of its board of directors, a related party to the Company. The RSUs fully vested upon the closing of the Business Combination.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18, 2022, the Company rolled forward the receivable financing facility, enabling the Company to continue its quarterly borrowings for a minimum of a rolling twelve-months.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21, 2022, immediately prior to the closing of the Business Combination, the following occurred:</w:t>
      </w:r>
    </w:p>
    <w:p>
      <w:pPr>
        <w:spacing w:after="0" w:line="225" w:lineRule="exact"/>
        <w:rPr>
          <w:sz w:val="20"/>
          <w:szCs w:val="20"/>
          <w:color w:val="auto"/>
        </w:rPr>
      </w:pPr>
    </w:p>
    <w:p>
      <w:pPr>
        <w:ind w:left="980" w:hanging="324"/>
        <w:spacing w:after="0" w:line="27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Company’s convertible preferred stock outstanding was automatically converted into 28,343,420 shares of the Company’s common stock immediately prior to the closing of the Business Combination.</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Company’s convertible promissory notes and embedded warrants, including the July 2020 Notes, the Q3 2021 Notes, the July 2021 Notes, the February 2022 Note, and the May 2022 Notes, were converted into an aggregate of 10,060,158 shares of the Company’s common stock immediately prior to the closing of the Business Combination.</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Warrants to purchase 175,288 shares of common stock were net exercised for 168,758 shares of common stock.</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21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21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pre-paid the outstanding balance of its Horizon Loan for a total of $17,005, including principal, accrued interest, an end of term fee, and prepayment fees.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paid the outstanding balance, including principal and accrued interest, of its promissory note issued as part of the CyborgOps acquisition for a total of $1,451.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unaudited pro forma condensed combined balance sheet of Presto and VTAQ as of June 30, 2022 and the unaudited pro forma condensed combined statements of operations of Presto and VTAQ for the year ended June 30, 2022 have been prepared in accordance with Article 11 of Regulation S-X as amended by the final rule, Release No. 33-10786 “Amendments to Financial Disclosures about Acquired and Disposed Businesses” and presents the combination of the financial information of VTAQ and Presto after giving effect to the Business Combination and related transactions, as described in the accompanying notes.</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unaudited pro forma condensed combined balance sheet of New Presto as of June 30, 2022 and the unaudited pro forma condensed combined statements of operations of New Presto for the year ended June 30, 2022 present the combination of the historical financial information of VTAQ and the historical financial information of Presto on a pro forma basis after giving effect to the Business Combination and related transactions, summarized below:</w:t>
      </w:r>
    </w:p>
    <w:p>
      <w:pPr>
        <w:spacing w:after="0" w:line="149" w:lineRule="exact"/>
        <w:rPr>
          <w:sz w:val="20"/>
          <w:szCs w:val="20"/>
          <w:color w:val="auto"/>
        </w:rPr>
      </w:pPr>
    </w:p>
    <w:p>
      <w:pPr>
        <w:ind w:left="660" w:hanging="328"/>
        <w:spacing w:after="0"/>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PIPE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Credit Agreement;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holders of Presto preferred stock having exchanged their preferred shares of Presto for common shares of the combined entity utilizing the conversion ratio stipulated in Presto’s Certificate of Incorporation, which is $0.3017, $9.3597, $3.3215, $0.9959, $0.6711, $6.6080, and $5.2864 for Series A, Series AA-1, Series AA-2, Series B, Series B-1, Series C, and Series C-1, respectively;</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holders of Presto convertible promissory notes having converted such notes into the right to receive common stock of Presto, and concurrently the warrants associated with such notes, as applicable, were cancelled;</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following the conversion of Presto preferred shares and Presto convertible promissory notes into Presto common stock, all the Presto common stockholders having exchanged their common shares into shares of New Presto using the Exchange Ratio as of June 30, 2022 of approximately 0.8444 shares of New Presto common stock for each share of Presto common stock (the “Exchange Ratio”). The holders of Presto common stock also received the contingent right to receive their proportionate share of the Earnout Shares;</w:t>
      </w:r>
    </w:p>
    <w:p>
      <w:pPr>
        <w:spacing w:after="0" w:line="171"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Presto vested and unvested stock option awards having automatically converted into vested and unvested stock options of the combined entity using the Exchange Ratio and also having received the contingent right to receive their proportionate share of the Earnout Shares;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Presto vested and unvested RSUs having automatically converted into vested and unvested RSUs of the combined entity using the Exchange Ratio and also received the contingent right to receive their proportionate share of the Earnout Shares;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 outstanding warrants to purchase shares of Presto being assumed and converted into a newly issued warrant exercisable for common stock of the combined entity using the Exchange Ratio, with the warrant holders receiving the contingent right to receive their proportionate share of the Earnout Shares.</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balance sheet as of June 30, 2022 gives pro forma effect to the Business Combination and related transactions as if they were completed on June 30, 2022. The unaudited pro forma condensed combined statements of operations for the year ended June 30, 2022 gives pro forma effect to the Business Combination and related transactions as if they had occurred on July 1, 2021.</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unaudited pro forma condensed combined financial information is based on and should be read in conjunction with the unaudited condensed consolidated interim financial statements of VTAQ for the six months ended June 30, 2022, the audited consolidated financial statements of VTAQ for the fiscal year ended December 31, 2021, and the audited consolidated financial statements of Presto for the fiscal year ended June 30, 2022, as well as the disclosures contained in the sections entitled “</w:t>
      </w:r>
      <w:r>
        <w:rPr>
          <w:rFonts w:ascii="Arial" w:cs="Arial" w:eastAsia="Arial" w:hAnsi="Arial"/>
          <w:sz w:val="17"/>
          <w:szCs w:val="17"/>
          <w:i w:val="1"/>
          <w:iCs w:val="1"/>
          <w:color w:val="auto"/>
        </w:rPr>
        <w:t>Management’s Discussion and Analysis of Financial Condition and Results of Operations of VTAQ</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 Financial Condition and Results of Operations of Presto</w:t>
      </w:r>
      <w:r>
        <w:rPr>
          <w:rFonts w:ascii="Arial" w:cs="Arial" w:eastAsia="Arial" w:hAnsi="Arial"/>
          <w:sz w:val="17"/>
          <w:szCs w:val="17"/>
          <w:color w:val="auto"/>
        </w:rPr>
        <w:t>”.</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pro forma condensed combined financial statements have been presented for illustrative purposes only and are not necessarily indicative of the financial condition or results of operations that would have been had the Business Combination and related transactions occurred on the dates indicated. Further, the unaudited pro forma condensed combined financial information also may not be useful in predicting the future financial condition and results of operations of New Presto.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3" w:name="page284"/>
    <w:bookmarkEnd w:id="283"/>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30, 2022</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Presto Pro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Presto</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right"/>
              <w:ind w:right="541"/>
              <w:spacing w:after="0"/>
              <w:rPr>
                <w:sz w:val="20"/>
                <w:szCs w:val="20"/>
                <w:color w:val="auto"/>
              </w:rPr>
            </w:pPr>
            <w:r>
              <w:rPr>
                <w:rFonts w:ascii="Arial" w:cs="Arial" w:eastAsia="Arial" w:hAnsi="Arial"/>
                <w:sz w:val="18"/>
                <w:szCs w:val="18"/>
                <w:b w:val="1"/>
                <w:bCs w:val="1"/>
                <w:color w:val="auto"/>
              </w:rPr>
              <w:t>VTAQ Pro</w:t>
            </w:r>
          </w:p>
        </w:tc>
        <w:tc>
          <w:tcPr>
            <w:tcW w:w="7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VTAQ</w:t>
            </w:r>
          </w:p>
        </w:tc>
        <w:tc>
          <w:tcPr>
            <w:tcW w:w="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Pro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Presto</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Forma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Pro</w:t>
            </w: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VTAQ</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01"/>
              <w:spacing w:after="0"/>
              <w:rPr>
                <w:sz w:val="20"/>
                <w:szCs w:val="20"/>
                <w:color w:val="auto"/>
              </w:rPr>
            </w:pPr>
            <w:r>
              <w:rPr>
                <w:rFonts w:ascii="Arial" w:cs="Arial" w:eastAsia="Arial" w:hAnsi="Arial"/>
                <w:sz w:val="18"/>
                <w:szCs w:val="18"/>
                <w:b w:val="1"/>
                <w:bCs w:val="1"/>
                <w:color w:val="auto"/>
              </w:rPr>
              <w:t>Forma</w:t>
            </w:r>
          </w:p>
        </w:tc>
        <w:tc>
          <w:tcPr>
            <w:tcW w:w="100" w:type="dxa"/>
            <w:vAlign w:val="bottom"/>
          </w:tcPr>
          <w:p>
            <w:pPr>
              <w:spacing w:after="0"/>
              <w:rPr>
                <w:sz w:val="18"/>
                <w:szCs w:val="18"/>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(Pro</w:t>
            </w:r>
          </w:p>
        </w:tc>
        <w:tc>
          <w:tcPr>
            <w:tcW w:w="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Accounting</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Forma</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(Historical)</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Forma</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9"/>
              </w:rPr>
              <w:t>(Historical)</w:t>
            </w: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rPr>
              <w:t>Adjustments</w:t>
            </w:r>
          </w:p>
        </w:tc>
        <w:tc>
          <w:tcPr>
            <w:tcW w:w="7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Forma)</w:t>
            </w:r>
          </w:p>
        </w:tc>
        <w:tc>
          <w:tcPr>
            <w:tcW w:w="116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Adjustments</w:t>
            </w:r>
          </w:p>
        </w:tc>
        <w:tc>
          <w:tcPr>
            <w:tcW w:w="900" w:type="dxa"/>
            <w:vAlign w:val="bottom"/>
          </w:tcPr>
          <w:p>
            <w:pPr>
              <w:spacing w:after="0"/>
              <w:rPr>
                <w:sz w:val="20"/>
                <w:szCs w:val="20"/>
                <w:color w:val="auto"/>
              </w:rPr>
            </w:pPr>
          </w:p>
        </w:tc>
        <w:tc>
          <w:tcPr>
            <w:tcW w:w="92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Combined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66,050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3(a)</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69,473</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Accounts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1,518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8,443</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8,443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and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2"/>
            <w:vMerge w:val="continue"/>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171"/>
        </w:trPr>
        <w:tc>
          <w:tcPr>
            <w:tcW w:w="13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Total current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14,554</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14,554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66,050</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81,080</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current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transaction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5,765</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5,765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(5,765)</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equipment, net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w w:val="94"/>
              </w:rPr>
              <w:t>Intangible assets,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4,226</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4,226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Investments held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Trust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(9,528</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Account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12,832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8"/>
                <w:szCs w:val="18"/>
                <w:color w:val="auto"/>
              </w:rPr>
              <w:t>(3,304)  (1)</w:t>
            </w:r>
          </w:p>
        </w:tc>
        <w:tc>
          <w:tcPr>
            <w:tcW w:w="1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9,528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3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60"/>
              <w:spacing w:after="0" w:line="81" w:lineRule="exact"/>
              <w:rPr>
                <w:sz w:val="20"/>
                <w:szCs w:val="20"/>
                <w:color w:val="auto"/>
              </w:rPr>
            </w:pPr>
            <w:r>
              <w:rPr>
                <w:rFonts w:ascii="Arial" w:cs="Arial" w:eastAsia="Arial" w:hAnsi="Arial"/>
                <w:sz w:val="9"/>
                <w:szCs w:val="9"/>
                <w:color w:val="auto"/>
              </w:rPr>
              <w:t>)</w:t>
            </w:r>
          </w:p>
        </w:tc>
        <w:tc>
          <w:tcPr>
            <w:tcW w:w="90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vMerge w:val="restart"/>
          </w:tcPr>
          <w:p>
            <w:pPr>
              <w:jc w:val="right"/>
              <w:ind w:right="4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340" w:type="dxa"/>
            <w:vAlign w:val="bottom"/>
            <w:vMerge w:val="continue"/>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30,536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13,308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(3,304</w:t>
            </w:r>
          </w:p>
        </w:tc>
        <w:tc>
          <w:tcPr>
            <w:tcW w:w="54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10,004</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50,757</w:t>
            </w:r>
          </w:p>
        </w:tc>
        <w:tc>
          <w:tcPr>
            <w:tcW w:w="90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91,297</w:t>
            </w:r>
          </w:p>
        </w:tc>
        <w:tc>
          <w:tcPr>
            <w:tcW w:w="0" w:type="dxa"/>
            <w:vAlign w:val="bottom"/>
          </w:tcPr>
          <w:p>
            <w:pPr>
              <w:spacing w:after="0"/>
              <w:rPr>
                <w:sz w:val="1"/>
                <w:szCs w:val="1"/>
                <w:color w:val="auto"/>
              </w:rPr>
            </w:pPr>
          </w:p>
        </w:tc>
      </w:tr>
      <w:tr>
        <w:trPr>
          <w:trHeight w:val="157"/>
        </w:trPr>
        <w:tc>
          <w:tcPr>
            <w:tcW w:w="134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Liabilities and</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stockholders’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Accounts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5,916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(3,202)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Accrued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8,840</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8,840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Term loans,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25,443</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Convertible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promissory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notes, current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89,663</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(89,663)</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10,532</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2"/>
            <w:vMerge w:val="continue"/>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171"/>
        </w:trPr>
        <w:tc>
          <w:tcPr>
            <w:tcW w:w="13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Total current</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146,609</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(89,663)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56,946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(28,664)</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30,192</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Term</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54,210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54,210</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Related party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PPP loan, net of</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current portion</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Earnout liability</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3,845</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4,149</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6,208</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237</w:t>
            </w:r>
          </w:p>
        </w:tc>
        <w:tc>
          <w:tcPr>
            <w:tcW w:w="140" w:type="dxa"/>
            <w:vAlign w:val="bottom"/>
          </w:tcPr>
          <w:p>
            <w:pPr>
              <w:spacing w:after="0"/>
              <w:rPr>
                <w:sz w:val="17"/>
                <w:szCs w:val="17"/>
                <w:color w:val="auto"/>
              </w:rPr>
            </w:pPr>
          </w:p>
        </w:tc>
        <w:tc>
          <w:tcPr>
            <w:tcW w:w="10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237</w:t>
            </w:r>
          </w:p>
        </w:tc>
        <w:tc>
          <w:tcPr>
            <w:tcW w:w="9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61"/>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w w:val="94"/>
              </w:rPr>
              <w:t>revenue, net of</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w w:val="98"/>
              </w:rPr>
              <w:t>current portion</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05" w:orient="portrait"/>
          <w:cols w:equalWidth="0" w:num="1">
            <w:col w:w="11240"/>
          </w:cols>
          <w:pgMar w:left="320" w:top="823" w:right="339" w:bottom="0" w:gutter="0" w:footer="0" w:header="0"/>
        </w:sectPr>
      </w:pPr>
    </w:p>
    <w:bookmarkStart w:id="284" w:name="page285"/>
    <w:bookmarkEnd w:id="2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1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152,995</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(89,663)</w:t>
            </w:r>
          </w:p>
        </w:tc>
        <w:tc>
          <w:tcPr>
            <w:tcW w:w="6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28,791</w:t>
            </w: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96,692</w:t>
            </w:r>
          </w:p>
        </w:tc>
        <w:tc>
          <w:tcPr>
            <w:tcW w:w="0" w:type="dxa"/>
            <w:vAlign w:val="bottom"/>
          </w:tcPr>
          <w:p>
            <w:pPr>
              <w:spacing w:after="0"/>
              <w:rPr>
                <w:sz w:val="1"/>
                <w:szCs w:val="1"/>
                <w:color w:val="auto"/>
              </w:rPr>
            </w:pPr>
          </w:p>
        </w:tc>
      </w:tr>
      <w:tr>
        <w:trPr>
          <w:trHeight w:val="175"/>
        </w:trPr>
        <w:tc>
          <w:tcPr>
            <w:tcW w:w="13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Common stock</w:t>
            </w: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subject to</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color w:val="auto"/>
              </w:rPr>
              <w:t>possible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12,808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(3,304)  (1)</w:t>
            </w:r>
          </w:p>
        </w:tc>
        <w:tc>
          <w:tcPr>
            <w:tcW w:w="660" w:type="dxa"/>
            <w:vAlign w:val="bottom"/>
          </w:tcPr>
          <w:p>
            <w:pPr>
              <w:jc w:val="right"/>
              <w:spacing w:after="0"/>
              <w:rPr>
                <w:sz w:val="20"/>
                <w:szCs w:val="20"/>
                <w:color w:val="auto"/>
              </w:rPr>
            </w:pPr>
            <w:r>
              <w:rPr>
                <w:rFonts w:ascii="Arial" w:cs="Arial" w:eastAsia="Arial" w:hAnsi="Arial"/>
                <w:sz w:val="18"/>
                <w:szCs w:val="18"/>
                <w:color w:val="auto"/>
              </w:rPr>
              <w:t>9,504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(9,504)</w:t>
            </w: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0"/>
              </w:rPr>
              <w:t>(8)</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Stockholder’s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Presto preferred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tcPr>
          <w:p>
            <w:pPr>
              <w:ind w:left="18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Combined entity</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common stock</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(12)</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(6)(11)</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paid-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capital</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84,754</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64,921</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3(c)</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227,965</w:t>
            </w:r>
          </w:p>
        </w:tc>
        <w:tc>
          <w:tcPr>
            <w:tcW w:w="0" w:type="dxa"/>
            <w:vAlign w:val="bottom"/>
          </w:tcPr>
          <w:p>
            <w:pPr>
              <w:spacing w:after="0"/>
              <w:rPr>
                <w:sz w:val="1"/>
                <w:szCs w:val="1"/>
                <w:color w:val="auto"/>
              </w:rPr>
            </w:pP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(33,412)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180"/>
              <w:spacing w:after="0" w:line="203" w:lineRule="exact"/>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(200,783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7"/>
                <w:szCs w:val="17"/>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4,899</w:t>
            </w:r>
          </w:p>
        </w:tc>
        <w:tc>
          <w:tcPr>
            <w:tcW w:w="620" w:type="dxa"/>
            <w:vAlign w:val="bottom"/>
          </w:tcPr>
          <w:p>
            <w:pPr>
              <w:jc w:val="center"/>
              <w:spacing w:after="0" w:line="203" w:lineRule="exact"/>
              <w:rPr>
                <w:sz w:val="20"/>
                <w:szCs w:val="20"/>
                <w:color w:val="auto"/>
              </w:rPr>
            </w:pPr>
            <w:r>
              <w:rPr>
                <w:rFonts w:ascii="Arial" w:cs="Arial" w:eastAsia="Arial" w:hAnsi="Arial"/>
                <w:sz w:val="18"/>
                <w:szCs w:val="18"/>
                <w:color w:val="auto"/>
                <w:w w:val="92"/>
              </w:rPr>
              <w:t>(6), (7)</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(195,884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7"/>
                <w:szCs w:val="17"/>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center"/>
              <w:ind w:right="280"/>
              <w:spacing w:after="0" w:line="203" w:lineRule="exact"/>
              <w:rPr>
                <w:sz w:val="20"/>
                <w:szCs w:val="20"/>
                <w:color w:val="auto"/>
              </w:rPr>
            </w:pPr>
            <w:r>
              <w:rPr>
                <w:rFonts w:ascii="Arial" w:cs="Arial" w:eastAsia="Arial" w:hAnsi="Arial"/>
                <w:sz w:val="18"/>
                <w:szCs w:val="18"/>
                <w:color w:val="auto"/>
                <w:w w:val="93"/>
              </w:rPr>
              <w:t>3(d)</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(233,365)</w:t>
            </w:r>
          </w:p>
        </w:tc>
        <w:tc>
          <w:tcPr>
            <w:tcW w:w="0" w:type="dxa"/>
            <w:vAlign w:val="bottom"/>
          </w:tcPr>
          <w:p>
            <w:pPr>
              <w:spacing w:after="0"/>
              <w:rPr>
                <w:sz w:val="1"/>
                <w:szCs w:val="1"/>
                <w:color w:val="auto"/>
              </w:rPr>
            </w:pPr>
          </w:p>
        </w:tc>
      </w:tr>
      <w:tr>
        <w:trPr>
          <w:trHeight w:val="48"/>
        </w:trPr>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3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stockholders’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31,470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(122,459</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89,663</w:t>
            </w: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(32,796</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vMerge w:val="continue"/>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171"/>
        </w:trPr>
        <w:tc>
          <w:tcPr>
            <w:tcW w:w="134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w w:val="97"/>
              </w:rPr>
              <w:t>stockholders’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(deficit)</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30,536</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8"/>
              </w:rPr>
              <w:t>$  30,536</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13,308</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(3,304)</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1"/>
              </w:rPr>
              <w:t>$ 10,004</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50,757</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91,297</w:t>
            </w:r>
          </w:p>
        </w:tc>
        <w:tc>
          <w:tcPr>
            <w:tcW w:w="0" w:type="dxa"/>
            <w:vAlign w:val="bottom"/>
          </w:tcPr>
          <w:p>
            <w:pPr>
              <w:spacing w:after="0"/>
              <w:rPr>
                <w:sz w:val="1"/>
                <w:szCs w:val="1"/>
                <w:color w:val="auto"/>
              </w:rPr>
            </w:pPr>
          </w:p>
        </w:tc>
      </w:tr>
      <w:tr>
        <w:trPr>
          <w:trHeight w:val="214"/>
        </w:trPr>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JUNE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7"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70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Presto Pro</w:t>
            </w:r>
          </w:p>
        </w:tc>
        <w:tc>
          <w:tcPr>
            <w:tcW w:w="1380" w:type="dxa"/>
            <w:vAlign w:val="bottom"/>
          </w:tcPr>
          <w:p>
            <w:pPr>
              <w:jc w:val="center"/>
              <w:ind w:left="250"/>
              <w:spacing w:after="0"/>
              <w:rPr>
                <w:sz w:val="20"/>
                <w:szCs w:val="20"/>
                <w:color w:val="auto"/>
              </w:rPr>
            </w:pPr>
            <w:r>
              <w:rPr>
                <w:rFonts w:ascii="Arial" w:cs="Arial" w:eastAsia="Arial" w:hAnsi="Arial"/>
                <w:sz w:val="18"/>
                <w:szCs w:val="18"/>
                <w:b w:val="1"/>
                <w:bCs w:val="1"/>
                <w:color w:val="auto"/>
                <w:w w:val="85"/>
              </w:rPr>
              <w:t>Presto</w:t>
            </w:r>
          </w:p>
        </w:tc>
        <w:tc>
          <w:tcPr>
            <w:tcW w:w="1260" w:type="dxa"/>
            <w:vAlign w:val="bottom"/>
          </w:tcPr>
          <w:p>
            <w:pPr>
              <w:spacing w:after="0"/>
              <w:rPr>
                <w:sz w:val="18"/>
                <w:szCs w:val="18"/>
                <w:color w:val="auto"/>
              </w:rPr>
            </w:pPr>
          </w:p>
        </w:tc>
        <w:tc>
          <w:tcPr>
            <w:tcW w:w="182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Transaction</w:t>
            </w:r>
          </w:p>
        </w:tc>
        <w:tc>
          <w:tcPr>
            <w:tcW w:w="1540" w:type="dxa"/>
            <w:vAlign w:val="bottom"/>
          </w:tcPr>
          <w:p>
            <w:pPr>
              <w:spacing w:after="0"/>
              <w:rPr>
                <w:sz w:val="18"/>
                <w:szCs w:val="18"/>
                <w:color w:val="auto"/>
              </w:rPr>
            </w:pPr>
          </w:p>
        </w:tc>
      </w:tr>
      <w:tr>
        <w:trPr>
          <w:trHeight w:val="216"/>
        </w:trPr>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Presto</w:t>
            </w:r>
          </w:p>
        </w:tc>
        <w:tc>
          <w:tcPr>
            <w:tcW w:w="1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Forma</w:t>
            </w:r>
          </w:p>
        </w:tc>
        <w:tc>
          <w:tcPr>
            <w:tcW w:w="138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(Pro</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VTAQ</w:t>
            </w:r>
          </w:p>
        </w:tc>
        <w:tc>
          <w:tcPr>
            <w:tcW w:w="1820" w:type="dxa"/>
            <w:vAlign w:val="bottom"/>
          </w:tcPr>
          <w:p>
            <w:pPr>
              <w:jc w:val="center"/>
              <w:ind w:right="490"/>
              <w:spacing w:after="0"/>
              <w:rPr>
                <w:sz w:val="20"/>
                <w:szCs w:val="20"/>
                <w:color w:val="auto"/>
              </w:rPr>
            </w:pPr>
            <w:r>
              <w:rPr>
                <w:rFonts w:ascii="Arial" w:cs="Arial" w:eastAsia="Arial" w:hAnsi="Arial"/>
                <w:sz w:val="18"/>
                <w:szCs w:val="18"/>
                <w:b w:val="1"/>
                <w:bCs w:val="1"/>
                <w:color w:val="auto"/>
                <w:w w:val="88"/>
              </w:rPr>
              <w:t>Accounting</w:t>
            </w:r>
          </w:p>
        </w:tc>
        <w:tc>
          <w:tcPr>
            <w:tcW w:w="1540" w:type="dxa"/>
            <w:vAlign w:val="bottom"/>
          </w:tcPr>
          <w:p>
            <w:pPr>
              <w:ind w:left="700"/>
              <w:spacing w:after="0"/>
              <w:rPr>
                <w:sz w:val="20"/>
                <w:szCs w:val="20"/>
                <w:color w:val="auto"/>
              </w:rPr>
            </w:pPr>
            <w:r>
              <w:rPr>
                <w:rFonts w:ascii="Arial" w:cs="Arial" w:eastAsia="Arial" w:hAnsi="Arial"/>
                <w:sz w:val="18"/>
                <w:szCs w:val="18"/>
                <w:b w:val="1"/>
                <w:bCs w:val="1"/>
                <w:color w:val="auto"/>
                <w:w w:val="91"/>
              </w:rPr>
              <w:t>Pro Forma</w:t>
            </w:r>
          </w:p>
        </w:tc>
      </w:tr>
      <w:tr>
        <w:trPr>
          <w:trHeight w:val="234"/>
        </w:trPr>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(Historical)</w:t>
            </w:r>
          </w:p>
        </w:tc>
        <w:tc>
          <w:tcPr>
            <w:tcW w:w="170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Adjustments</w:t>
            </w:r>
          </w:p>
        </w:tc>
        <w:tc>
          <w:tcPr>
            <w:tcW w:w="138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Forma)</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(Historical)</w:t>
            </w:r>
          </w:p>
        </w:tc>
        <w:tc>
          <w:tcPr>
            <w:tcW w:w="182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Adjustments</w:t>
            </w:r>
          </w:p>
        </w:tc>
        <w:tc>
          <w:tcPr>
            <w:tcW w:w="1540" w:type="dxa"/>
            <w:vAlign w:val="bottom"/>
          </w:tcPr>
          <w:p>
            <w:pPr>
              <w:ind w:left="720"/>
              <w:spacing w:after="0"/>
              <w:rPr>
                <w:sz w:val="20"/>
                <w:szCs w:val="20"/>
                <w:color w:val="auto"/>
              </w:rPr>
            </w:pPr>
            <w:r>
              <w:rPr>
                <w:rFonts w:ascii="Arial" w:cs="Arial" w:eastAsia="Arial" w:hAnsi="Arial"/>
                <w:sz w:val="18"/>
                <w:szCs w:val="18"/>
                <w:b w:val="1"/>
                <w:bCs w:val="1"/>
                <w:color w:val="auto"/>
                <w:w w:val="90"/>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tcPr>
          <w:p>
            <w:pPr>
              <w:spacing w:after="0" w:line="189" w:lineRule="exact"/>
              <w:rPr>
                <w:sz w:val="20"/>
                <w:szCs w:val="20"/>
                <w:color w:val="auto"/>
              </w:rPr>
            </w:pPr>
            <w:r>
              <w:rPr>
                <w:rFonts w:ascii="Arial" w:cs="Arial" w:eastAsia="Arial" w:hAnsi="Arial"/>
                <w:sz w:val="18"/>
                <w:szCs w:val="18"/>
                <w:color w:val="auto"/>
              </w:rPr>
              <w:t>Revenue, net</w:t>
            </w:r>
          </w:p>
        </w:tc>
        <w:tc>
          <w:tcPr>
            <w:tcW w:w="220" w:type="dxa"/>
            <w:vAlign w:val="bottom"/>
            <w:gridSpan w:val="2"/>
          </w:tcPr>
          <w:p>
            <w:pPr>
              <w:jc w:val="right"/>
              <w:ind w:right="7"/>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line="189" w:lineRule="exact"/>
              <w:rPr>
                <w:sz w:val="20"/>
                <w:szCs w:val="20"/>
                <w:color w:val="auto"/>
              </w:rPr>
            </w:pPr>
            <w:r>
              <w:rPr>
                <w:rFonts w:ascii="Arial" w:cs="Arial" w:eastAsia="Arial" w:hAnsi="Arial"/>
                <w:sz w:val="18"/>
                <w:szCs w:val="18"/>
                <w:color w:val="auto"/>
              </w:rPr>
              <w:t>30,351</w:t>
            </w: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29,718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633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16,778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Sales and marketing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6,640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9,847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Loss on infrequent product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582</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180"/>
              <w:spacing w:after="0"/>
              <w:rPr>
                <w:sz w:val="20"/>
                <w:szCs w:val="20"/>
                <w:color w:val="auto"/>
              </w:rPr>
            </w:pPr>
            <w:r>
              <w:rPr>
                <w:rFonts w:ascii="Arial" w:cs="Arial" w:eastAsia="Arial" w:hAnsi="Arial"/>
                <w:sz w:val="18"/>
                <w:szCs w:val="18"/>
                <w:color w:val="auto"/>
              </w:rPr>
              <w:t>repairs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line="189" w:lineRule="exact"/>
              <w:rPr>
                <w:sz w:val="20"/>
                <w:szCs w:val="20"/>
                <w:color w:val="auto"/>
              </w:rPr>
            </w:pPr>
            <w:r>
              <w:rPr>
                <w:rFonts w:ascii="Arial" w:cs="Arial" w:eastAsia="Arial" w:hAnsi="Arial"/>
                <w:sz w:val="18"/>
                <w:szCs w:val="18"/>
                <w:color w:val="auto"/>
              </w:rPr>
              <w:t>Gain (loss) on change in fair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value of warrants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w w:val="92"/>
              </w:rPr>
              <w:t>convertible promissory notes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(20,528)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18,932</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2,632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(5,434)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Loss before income taxes</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(56,544)</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15,555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w w:val="98"/>
              </w:rPr>
              <w:t>Provision (benefit) for income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(230)</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180"/>
              <w:spacing w:after="0"/>
              <w:rPr>
                <w:sz w:val="20"/>
                <w:szCs w:val="20"/>
                <w:color w:val="auto"/>
              </w:rPr>
            </w:pPr>
            <w:r>
              <w:rPr>
                <w:rFonts w:ascii="Arial" w:cs="Arial" w:eastAsia="Arial" w:hAnsi="Arial"/>
                <w:sz w:val="18"/>
                <w:szCs w:val="18"/>
                <w:color w:val="auto"/>
              </w:rPr>
              <w:t>taxes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(56,314)</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15,555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outstanding, basic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5,325,122</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w w:val="99"/>
              </w:rPr>
              <w:t>Basic and diluted net income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(10.58)</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30,351</w:t>
            </w:r>
          </w:p>
        </w:tc>
        <w:tc>
          <w:tcPr>
            <w:tcW w:w="14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1"/>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30,351</w:t>
            </w:r>
          </w:p>
        </w:tc>
        <w:tc>
          <w:tcPr>
            <w:tcW w:w="60" w:type="dxa"/>
            <w:vAlign w:val="bottom"/>
          </w:tcPr>
          <w:p>
            <w:pPr>
              <w:spacing w:after="0"/>
              <w:rPr>
                <w:sz w:val="16"/>
                <w:szCs w:val="16"/>
                <w:color w:val="auto"/>
              </w:rPr>
            </w:pPr>
          </w:p>
        </w:tc>
      </w:tr>
      <w:tr>
        <w:trPr>
          <w:trHeight w:val="216"/>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29,718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29,718</w:t>
            </w:r>
          </w:p>
        </w:tc>
        <w:tc>
          <w:tcPr>
            <w:tcW w:w="60" w:type="dxa"/>
            <w:vAlign w:val="bottom"/>
          </w:tcPr>
          <w:p>
            <w:pPr>
              <w:spacing w:after="0"/>
              <w:rPr>
                <w:sz w:val="18"/>
                <w:szCs w:val="18"/>
                <w:color w:val="auto"/>
              </w:rPr>
            </w:pPr>
          </w:p>
        </w:tc>
      </w:tr>
      <w:tr>
        <w:trPr>
          <w:trHeight w:val="216"/>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8"/>
                <w:szCs w:val="18"/>
                <w:color w:val="auto"/>
              </w:rPr>
            </w:pPr>
          </w:p>
        </w:tc>
      </w:tr>
      <w:tr>
        <w:trPr>
          <w:trHeight w:val="216"/>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16,778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7,861</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2"/>
              </w:rPr>
              <w:t>(4)(13)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24,639</w:t>
            </w:r>
          </w:p>
        </w:tc>
        <w:tc>
          <w:tcPr>
            <w:tcW w:w="60" w:type="dxa"/>
            <w:vAlign w:val="bottom"/>
          </w:tcPr>
          <w:p>
            <w:pPr>
              <w:spacing w:after="0"/>
              <w:rPr>
                <w:sz w:val="18"/>
                <w:szCs w:val="18"/>
                <w:color w:val="auto"/>
              </w:rPr>
            </w:pPr>
          </w:p>
        </w:tc>
      </w:tr>
      <w:tr>
        <w:trPr>
          <w:trHeight w:val="216"/>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6,640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2,897</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9,537</w:t>
            </w:r>
          </w:p>
        </w:tc>
        <w:tc>
          <w:tcPr>
            <w:tcW w:w="60" w:type="dxa"/>
            <w:vAlign w:val="bottom"/>
          </w:tcPr>
          <w:p>
            <w:pPr>
              <w:spacing w:after="0"/>
              <w:rPr>
                <w:sz w:val="18"/>
                <w:szCs w:val="18"/>
                <w:color w:val="auto"/>
              </w:rPr>
            </w:pPr>
          </w:p>
        </w:tc>
      </w:tr>
      <w:tr>
        <w:trPr>
          <w:trHeight w:val="230"/>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9,847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2,338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17,824</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4"/>
              </w:rPr>
              <w:t>(4)(5)(13)(14)</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30,009</w:t>
            </w:r>
          </w:p>
        </w:tc>
        <w:tc>
          <w:tcPr>
            <w:tcW w:w="60" w:type="dxa"/>
            <w:vAlign w:val="bottom"/>
          </w:tcPr>
          <w:p>
            <w:pPr>
              <w:spacing w:after="0"/>
              <w:rPr>
                <w:sz w:val="20"/>
                <w:szCs w:val="20"/>
                <w:color w:val="auto"/>
              </w:rPr>
            </w:pPr>
          </w:p>
        </w:tc>
      </w:tr>
      <w:tr>
        <w:trPr>
          <w:trHeight w:val="425"/>
        </w:trPr>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24"/>
                <w:szCs w:val="24"/>
                <w:color w:val="auto"/>
              </w:rPr>
            </w:pPr>
          </w:p>
        </w:tc>
      </w:tr>
      <w:tr>
        <w:trPr>
          <w:trHeight w:val="223"/>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28,582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64,767</w:t>
            </w:r>
          </w:p>
        </w:tc>
        <w:tc>
          <w:tcPr>
            <w:tcW w:w="60" w:type="dxa"/>
            <w:vAlign w:val="bottom"/>
          </w:tcPr>
          <w:p>
            <w:pPr>
              <w:spacing w:after="0"/>
              <w:rPr>
                <w:sz w:val="19"/>
                <w:szCs w:val="19"/>
                <w:color w:val="auto"/>
              </w:rPr>
            </w:pP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20"/>
        </w:trPr>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(4,349)</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(15)</w:t>
            </w: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(4,009)</w:t>
            </w:r>
          </w:p>
        </w:tc>
      </w:tr>
      <w:tr>
        <w:trPr>
          <w:trHeight w:val="216"/>
        </w:trPr>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(4)(5)</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(8,787)</w:t>
            </w:r>
          </w:p>
        </w:tc>
      </w:tr>
      <w:tr>
        <w:trPr>
          <w:trHeight w:val="237"/>
        </w:trPr>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(5,434)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(6,064)</w:t>
            </w: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3"/>
              </w:rPr>
              <w:t>(18)</w:t>
            </w: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(11,498)</w:t>
            </w:r>
          </w:p>
        </w:tc>
      </w:tr>
      <w:tr>
        <w:trPr>
          <w:trHeight w:val="230"/>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(47,229)</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(88.428)</w:t>
            </w:r>
          </w:p>
        </w:tc>
        <w:tc>
          <w:tcPr>
            <w:tcW w:w="60" w:type="dxa"/>
            <w:vAlign w:val="bottom"/>
          </w:tcPr>
          <w:p>
            <w:pPr>
              <w:spacing w:after="0"/>
              <w:rPr>
                <w:sz w:val="20"/>
                <w:szCs w:val="20"/>
                <w:color w:val="auto"/>
              </w:rPr>
            </w:pPr>
          </w:p>
        </w:tc>
      </w:tr>
      <w:tr>
        <w:trPr>
          <w:trHeight w:val="411"/>
        </w:trPr>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(47,229)</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(88,198)</w:t>
            </w:r>
          </w:p>
        </w:tc>
        <w:tc>
          <w:tcPr>
            <w:tcW w:w="60" w:type="dxa"/>
            <w:vAlign w:val="bottom"/>
          </w:tcPr>
          <w:p>
            <w:pPr>
              <w:spacing w:after="0"/>
              <w:rPr>
                <w:sz w:val="20"/>
                <w:szCs w:val="20"/>
                <w:color w:val="auto"/>
              </w:rPr>
            </w:pPr>
          </w:p>
        </w:tc>
      </w:tr>
      <w:tr>
        <w:trPr>
          <w:trHeight w:val="634"/>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w w:val="90"/>
              </w:rPr>
              <w:t>21,562,500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51,308,910</w:t>
            </w:r>
          </w:p>
        </w:tc>
        <w:tc>
          <w:tcPr>
            <w:tcW w:w="6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-3076575</wp:posOffset>
            </wp:positionV>
            <wp:extent cx="713232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-2802890</wp:posOffset>
            </wp:positionV>
            <wp:extent cx="71323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-2527935</wp:posOffset>
            </wp:positionV>
            <wp:extent cx="7132320" cy="274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-2099310</wp:posOffset>
            </wp:positionV>
            <wp:extent cx="7132320"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-1533525</wp:posOffset>
            </wp:positionV>
            <wp:extent cx="71323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-1250950</wp:posOffset>
            </wp:positionV>
            <wp:extent cx="7132320" cy="146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-831215</wp:posOffset>
            </wp:positionV>
            <wp:extent cx="7132320" cy="146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-273685</wp:posOffset>
            </wp:positionV>
            <wp:extent cx="7132320" cy="2743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380"/>
            <w:col w:w="57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86" w:name="page287"/>
    <w:bookmarkEnd w:id="286"/>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Business Combination (in thousands, except share and per share data)</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10, 2021, Ventoux CCM Acquisition Corp. (“</w:t>
      </w:r>
      <w:r>
        <w:rPr>
          <w:rFonts w:ascii="Arial" w:cs="Arial" w:eastAsia="Arial" w:hAnsi="Arial"/>
          <w:sz w:val="16"/>
          <w:szCs w:val="16"/>
          <w:u w:val="single" w:color="auto"/>
          <w:color w:val="auto"/>
        </w:rPr>
        <w:t>VTAQ</w:t>
      </w:r>
      <w:r>
        <w:rPr>
          <w:rFonts w:ascii="Arial" w:cs="Arial" w:eastAsia="Arial" w:hAnsi="Arial"/>
          <w:sz w:val="16"/>
          <w:szCs w:val="16"/>
          <w:color w:val="auto"/>
        </w:rPr>
        <w:t>”) and its subsidiaries, and E La Carte, Inc. (“Presto”) entered into an Agreement and Plan of Merger, as amended on April 1, 2022 and July 25, 2022 (the “Merger Agreement”), which, among other transactions, was consummated on September 21, 2022. In connection with the closing of the Business Combination, VTAQ changed its name to “Presto Automation Inc.” (also referred to herein as “New Presto”). Subject to the terms and conditions set forth in the Merger Agreement, VTAQ agreed to pay (1) Presto stockholders aggregate consideration of 52,500,000 shares or $525.0 million based on an assumed stock price of $10 per share of Common Stock of New Presto, or the Exchange Ratio for each share of Presto Common Stock and (2) up to 15,000,000 of EarnOut Shares, as contingent consideration.</w:t>
      </w:r>
    </w:p>
    <w:p>
      <w:pPr>
        <w:spacing w:after="0" w:line="16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Immediately prior to the effective time of the Merger (the “Effective Time”), VTAQ issued an aggregate of 7,143,687 shares of New Presto Common Stock to certain investors (the “Equity PIPE Investors”) for aggregate proceeds of $55.5 million to New Presto (the “Equity PIPE Investment”). In connection with the Equity PIPE Investment, Ventoux Acquisition Holdings LLC and Chardan International Investments, LLC (together, the “Sponsors”) transferred an aggregate of 456,296 shares of VTAQ Common Stock to certain of the Equity PIPE Investors. The Equity PIPE Investment included a $50.0 million investment from an entity affiliated with Cleveland Avenue, LLC (“Cleveland Avenue”). The investment by Cleveland Avenue takes into account</w:t>
      </w:r>
    </w:p>
    <w:p>
      <w:pPr>
        <w:spacing w:after="0" w:line="2" w:lineRule="exact"/>
        <w:rPr>
          <w:sz w:val="20"/>
          <w:szCs w:val="20"/>
          <w:color w:val="auto"/>
        </w:rPr>
      </w:pPr>
    </w:p>
    <w:p>
      <w:pPr>
        <w:jc w:val="both"/>
        <w:ind w:firstLine="8"/>
        <w:spacing w:after="0" w:line="253" w:lineRule="auto"/>
        <w:tabs>
          <w:tab w:leader="none" w:pos="21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subscription of 6,593,687 shares of New Presto Common Stock for an aggregate purchase price of $50 million and (ii) the transfer of 406,313 shares of VTAQ Common Stock by the Sponsors to Cleveland Avenue for nominal consideration. As a result, at the closing of the Business Combination, the exercise price of VTAQ’s public warrants was reduced from $11.50 per share to $8.21 per share pursuant to the terms of VTAQ’s warrant agreement, dated as of December 23, 2020 (the “Existing Warrant Agreement”).</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the closing of the Business Combination, pursuant to the Amended and Restated Sponsor Support Agreement, dated as of July 25, 2022, between the Sponsors, certain directors, executive officers, and affiliates of the Sponsors (“Insiders”), VTAQ, and Legacy Presto (the “Sponsor Support Agreement”), the Sponsors and Insiders (and any permitted transferees of the Sponsors and Insiders pursuant to the terms of the Sponsor Support Agreement) (i) subjected an aggregate of 444,500 shares of VTAQ Common Stock held by them to earnout, which shares will be forfeited if certain price-based vesting conditions are not met during the five-year period following the Closing, (ii) subjected all of the shares of VTAQ Common Stock held by them to an 18-month lock-up, (iii) forfeited an aggregate of 550,000 of their VTAQ warrants (the “Private Warrants”), and (iv) waived any adjustment to the exercise price of the Private Warrants held by them pursuant to the Existing Warrant Agreement.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21, 2022, in connection with the consummation of the Business Combination:</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New Presto entered into a Credit Agreement (the “Credit Agreement”) with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The Term Loans were borrowed in full at closing. Amounts outstanding under the Credit Agreement will incur interest at the rate of 15% per annum. The Term Loans mature on March 21, 2025. In connection with the Term Loans, New Presto also agreed to issue the Lenders under the Term Loans 1,500,000 New Presto Warrants, and the Sponsors agreed to transfer the Lenders an aggregate of 600,000 founder shares. The New Presto Warrants have substantially similar terms to the Sponsors’ warrants.</w:t>
      </w:r>
    </w:p>
    <w:p>
      <w:pPr>
        <w:spacing w:after="0" w:line="194"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VTAQ entered into an Amended and Restated Warrant Agreement (“Amended and Restated Warrant Agreement”)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New Presto Common Stock at an exercise price of $11.50 per share.</w:t>
      </w:r>
    </w:p>
    <w:p>
      <w:pPr>
        <w:spacing w:after="0" w:line="157"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VTAQ and Chardan Capital Markets, LLC (“</w:t>
      </w:r>
      <w:r>
        <w:rPr>
          <w:rFonts w:ascii="Arial" w:cs="Arial" w:eastAsia="Arial" w:hAnsi="Arial"/>
          <w:sz w:val="18"/>
          <w:szCs w:val="18"/>
          <w:u w:val="single" w:color="auto"/>
          <w:color w:val="auto"/>
        </w:rPr>
        <w:t>Chardan</w:t>
      </w:r>
      <w:r>
        <w:rPr>
          <w:rFonts w:ascii="Arial" w:cs="Arial" w:eastAsia="Arial" w:hAnsi="Arial"/>
          <w:sz w:val="18"/>
          <w:szCs w:val="18"/>
          <w:color w:val="auto"/>
        </w:rPr>
        <w:t>”) waived certain obligations of New Presto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 dated August 9, 2021, by and between VTAQ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92"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VTAQ, Legacy Presto and affiliates of Silver Rock agreed to terminate that certain Amended and Restated Convertible Note Subscription Agreement, dated July 25, 2022 (the “Convertible Note Subscription Agreement”), pursuant to a Termination Agreement by and among VTAQ, Legacy Presto and Silver Rock (the “Termination Agreement”). Pursuant to the Termination Agreement, Silver Rock agreed to terminate the Convertible Note Subscription Agreement in exchange for 400,000 shares of common stock of Legacy Presto which were converted into 322,868 shares of New Presto Common Stock pursuant to the terms of the Merger Agreement, 500,000 warrants held by the Sponsors (which will continue to be entitled to registration rights pursuant to the Registration Right Agreement) and the payment of certain expenses of Silver Rock.</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At the Effective Time of the Merger:</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share of Presto Series A preferred stock, Series AA-1 preferred stock, Series AA-2 preferred stock, Series B preferred stock, Series B-1 preferred stock, Series C preferred stock and Series C-1 preferred stock issued and outstanding immediately prior to the Effective Time automatically converted into a share of Presto Common Stock;</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all Presto Warrants then outstanding and not exercised pursuant to its terms were assumed and converted into a warrant to purchase a number of shares of New Prestocommon stock, and providing for a contingent right to receive the applicable pro rata portion of EarnOut shares. Each exchanged warrant is exercisable for New Presto Common Stock equal to the product of the number of shares of Presto Common Stock issuable immediately prior to the Business Combination and the Exchange Ratio at an exercise price per share equal to the exercise price per share of the warrant immediately prior to the Business Combination divided by the Exchange Ratio;</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holders of Presto convertible promissory notes converted such notes into the right to receive common stock of Presto, and concurrently the warrants associated with such notes, as applicable, were cancelled;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following the preferred stock and convertible note conversions, each share of Presto Common Stock that was issued and outstanding immediately prior to the Effective Time converted into the right to receive the number of shares of Common Stock of New Presto equal to the Exchange Ratio.</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conversion of 3,256,204 Founder Shares into 3,256,204 shares of Common Stock of New Presto in connection with the Business Combination in accordance with terms of the Merger Agreement;</w:t>
      </w:r>
    </w:p>
    <w:p>
      <w:pPr>
        <w:spacing w:after="0" w:line="170"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prior to the Effective Time, each outstanding Presto Option, whether vested or unvested, was assumed and converted into a vested or unvested option, respectively (a “Company Option”) with respect to a number of shares of Common Stock of New Presto equal to the number of shares of Presto Common Stock subject to such Presto Options immediately prior to the Effective Time multiplied by the Exchange Ratio, and rounded down to the nearest whole share and at an exercise price per share of Common Stock of New Presto equal to the exercise price per share of Presto Common Stock subject to such Presto Option divided by the Exchange Ratio, and rounded up to the nearest whole cent; provided that the exercise price and the number of shares of Common Stock of New Presto subject to the Company Option shall be determined in a manner consistent with the requirements of Section 409A of the Code;</w:t>
      </w:r>
    </w:p>
    <w:p>
      <w:pPr>
        <w:spacing w:after="0" w:line="177"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prior to Effective Time, each outstanding Presto RSU, whether vested or unvested, was assumed and converted into a vested or unvested RSU, respectively (a “Company RSU”) with respect to a number of shares of Common Stock of New Presto equal to the number of shares of Presto Common Stock subject to such Presto RSU immediately prior to the Effective Time multiplied by the Exchange Ratio, and rounded down to the nearest whole share and at an exercise price per share of Common Stock of New Presto equal to the exercise price per share of Presto Common Stock subject to such Presto RSU divided by the Exchange Ratio, and rounded up to the nearest whole cent;</w:t>
      </w:r>
    </w:p>
    <w:p>
      <w:pPr>
        <w:spacing w:after="0" w:line="17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at any time from and after the Closing until the third anniversary of the Closing the closing share price of the Common Stock of New Presto is greater than $12.50 over any twenty (20) trading days within any 30 trading day period (the “First Trading Price Threshold”), a total of 7,500,000 newly issued Earnout Shares will be payable to Presto stock and equity award holders as of immediately prior to the Effective Time based on the proportion of each such Presto Common Stock holder’s shares of Presto Common Stock relative to the aggregate of all shares of Presto Common Stock held by all such Presto Stockholders in the aggregate;</w:t>
      </w:r>
    </w:p>
    <w:p>
      <w:pPr>
        <w:spacing w:after="0" w:line="17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at any time from and after the Closing until the fifth anniversary of the Closing the closing share price of the Common Stock of New Presto is greater than $15.00 over any twenty (20) trading days within any 30 trading day period (the “Second Trading Price Threshold”), a total of 7,500,000 newly issued Earnout Shares will be payable to Presto stock and equity award holders as of immediately prior to the Effective Time based on the proportion of each such Presto Common Stock and Presto Restricted Stock Award holder’s shares of Presto Common Stock relative to the aggregate of all shares of Presto Common Stock held by such Presto Stockholders in the aggregate;</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Option Earnout Shares payable to holders of unvested Exchanged Options shall be subject to terms and conditions that are substantially similar to those that applied to the award of such Company Option immediately prior to the Effective Time;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Warrant Earnout Shares payable to holders of Exchanged Warrants shall be subject to terms and conditions that are substantially similar to those that applied to the award of such Company Warrant immediately prior to the Effective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0"/>
        </w:trPr>
        <w:tc>
          <w:tcPr>
            <w:tcW w:w="10020" w:type="dxa"/>
            <w:vAlign w:val="bottom"/>
            <w:gridSpan w:val="3"/>
          </w:tcPr>
          <w:p>
            <w:pPr>
              <w:ind w:left="660"/>
              <w:spacing w:after="0"/>
              <w:rPr>
                <w:sz w:val="20"/>
                <w:szCs w:val="20"/>
                <w:color w:val="auto"/>
              </w:rPr>
            </w:pPr>
            <w:r>
              <w:rPr>
                <w:rFonts w:ascii="Arial" w:cs="Arial" w:eastAsia="Arial" w:hAnsi="Arial"/>
                <w:sz w:val="18"/>
                <w:szCs w:val="18"/>
                <w:color w:val="auto"/>
              </w:rPr>
              <w:t>The following summarizes consideration: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9900" w:type="dxa"/>
            <w:vAlign w:val="bottom"/>
            <w:tcBorders>
              <w:top w:val="single" w:sz="8" w:color="auto"/>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Shares transferred at closing</w:t>
            </w:r>
            <w:r>
              <w:rPr>
                <w:rFonts w:ascii="Arial" w:cs="Arial" w:eastAsia="Arial" w:hAnsi="Arial"/>
                <w:sz w:val="29"/>
                <w:szCs w:val="29"/>
                <w:color w:val="auto"/>
                <w:vertAlign w:val="superscript"/>
              </w:rPr>
              <w:t>(1)(2)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w:t>
            </w:r>
          </w:p>
        </w:tc>
      </w:tr>
      <w:tr>
        <w:trPr>
          <w:trHeight w:val="237"/>
        </w:trPr>
        <w:tc>
          <w:tcPr>
            <w:tcW w:w="10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Value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0"/>
                <w:szCs w:val="20"/>
                <w:color w:val="auto"/>
              </w:rPr>
            </w:pPr>
          </w:p>
        </w:tc>
      </w:tr>
      <w:tr>
        <w:trPr>
          <w:trHeight w:val="263"/>
        </w:trPr>
        <w:tc>
          <w:tcPr>
            <w:tcW w:w="100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223"/>
        </w:trPr>
        <w:tc>
          <w:tcPr>
            <w:tcW w:w="2820" w:type="dxa"/>
            <w:vAlign w:val="bottom"/>
            <w:tcBorders>
              <w:top w:val="single" w:sz="8" w:color="CCEEFF"/>
              <w:bottom w:val="single" w:sz="8" w:color="auto"/>
            </w:tcBorders>
          </w:tcPr>
          <w:p>
            <w:pPr>
              <w:spacing w:after="0"/>
              <w:rPr>
                <w:sz w:val="19"/>
                <w:szCs w:val="19"/>
                <w:color w:val="auto"/>
              </w:rPr>
            </w:pPr>
          </w:p>
        </w:tc>
        <w:tc>
          <w:tcPr>
            <w:tcW w:w="7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215" w:lineRule="exact"/>
        <w:rPr>
          <w:sz w:val="20"/>
          <w:szCs w:val="20"/>
          <w:color w:val="auto"/>
        </w:rPr>
      </w:pPr>
    </w:p>
    <w:p>
      <w:pPr>
        <w:jc w:val="both"/>
        <w:ind w:left="340" w:hanging="332"/>
        <w:spacing w:after="0" w:line="253"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Based on June 30, 2022, amount represents the number of shares transferred to Presto Equity Holders using the Exchange Ratio upon consummation of the Business Combination include (i) 29.4 million shares of Common Stock of New Presto, (ii) 10.1 million shares of Common Stock of New Presto issued for Presto Common Stock issued for net exercised warrants, unexercised warrants and convertible notes, at the Effective Time; and (iii) 13.0 million shares of Common Stock of New Presto issued as vested and unvested options for Presto options; and excludes 15.0 million Earnout Shares as the trading price thresholds have not been met</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number of New Presto shares presently transferred to Presto Equity Holders upon consummation of the Business Combination.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Share consideration is calculated using a $10 reference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adjusted to include transaction accounting adjustments, which reflect the application of the accounting required by U.S. GAAP, linking the effects of the Business Combination, described above, to the VTAQ and Presto historical financial statements.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assuming the following methods of accounting in accordance with U.S. GAAP. Notwithstanding the legal form of the Business Combination pursuant to the Merger Agreement, the Business Combination will be accounted for as a reverse recapitalization in accordance with U.S. GAAP. Under this method of accounting, VTAQ is treated as the acquired company and Presto is treated as the acquirer for financial statement reporting purposes. Presto has been determined to be the accounting acquirer based on evaluation of the following facts and circumstances:</w:t>
      </w:r>
    </w:p>
    <w:p>
      <w:pPr>
        <w:spacing w:after="0" w:line="188" w:lineRule="exact"/>
        <w:rPr>
          <w:sz w:val="20"/>
          <w:szCs w:val="20"/>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pre-combination stockholders of Presto hold a majority of the voting rights in New Presto;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Presto has the ability to appoint the board of directors and the management of New Presto;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Senior management of Presto comprise the senior management of New Presto;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operations of Presto comprise the ongoing operations of New Presto.</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for accounting purposes, the consolidated financial statements of New Presto represent a continuation of the consolidated financial statements of Presto with the acquisition being treated as the equivalent of Presto issuing stock for the net assets of VTAQ, accompanied by a recapitalization. The net assets of VTAQ are stated at historical cost, with no goodwill or other intangible assets recorded.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30"/>
        </w:trPr>
        <w:tc>
          <w:tcPr>
            <w:tcW w:w="862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the pro forma common stock shares outstanding at June 30, 2022: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820" w:type="dxa"/>
            <w:vAlign w:val="bottom"/>
            <w:tcBorders>
              <w:bottom w:val="single" w:sz="8" w:color="CCEEFF"/>
            </w:tcBorders>
          </w:tcPr>
          <w:p>
            <w:pPr>
              <w:spacing w:after="0"/>
              <w:rPr>
                <w:sz w:val="24"/>
                <w:szCs w:val="24"/>
                <w:color w:val="auto"/>
              </w:rPr>
            </w:pPr>
          </w:p>
        </w:tc>
        <w:tc>
          <w:tcPr>
            <w:tcW w:w="58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Ownership %</w:t>
            </w:r>
          </w:p>
        </w:tc>
        <w:tc>
          <w:tcPr>
            <w:tcW w:w="180" w:type="dxa"/>
            <w:vAlign w:val="bottom"/>
            <w:tcBorders>
              <w:bottom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Presto Stockholders</w:t>
            </w:r>
            <w:r>
              <w:rPr>
                <w:rFonts w:ascii="Arial" w:cs="Arial" w:eastAsia="Arial" w:hAnsi="Arial"/>
                <w:sz w:val="28"/>
                <w:szCs w:val="28"/>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37,444,082</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57"/>
        </w:trPr>
        <w:tc>
          <w:tcPr>
            <w:tcW w:w="8620" w:type="dxa"/>
            <w:vAlign w:val="bottom"/>
            <w:gridSpan w:val="2"/>
          </w:tcPr>
          <w:p>
            <w:pPr>
              <w:spacing w:after="0" w:line="256" w:lineRule="exact"/>
              <w:rPr>
                <w:sz w:val="20"/>
                <w:szCs w:val="20"/>
                <w:color w:val="auto"/>
              </w:rPr>
            </w:pPr>
            <w:r>
              <w:rPr>
                <w:rFonts w:ascii="Arial" w:cs="Arial" w:eastAsia="Arial" w:hAnsi="Arial"/>
                <w:sz w:val="18"/>
                <w:szCs w:val="18"/>
                <w:color w:val="auto"/>
              </w:rPr>
              <w:t>VTAQ Sponsors and Initial Stockholders</w:t>
            </w:r>
            <w:r>
              <w:rPr>
                <w:rFonts w:ascii="Arial" w:cs="Arial" w:eastAsia="Arial" w:hAnsi="Arial"/>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3,256,204</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VTAQ Public Stockholders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931,141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VTAQ Rightholders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862,500</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PIPE Investors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7,599,983</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Credit Agreement Investors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Advisor Investors</w:t>
            </w:r>
            <w:r>
              <w:rPr>
                <w:rFonts w:ascii="Arial" w:cs="Arial" w:eastAsia="Arial" w:hAnsi="Arial"/>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615,000</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37"/>
        </w:trPr>
        <w:tc>
          <w:tcPr>
            <w:tcW w:w="8620" w:type="dxa"/>
            <w:vAlign w:val="bottom"/>
            <w:gridSpan w:val="2"/>
            <w:vMerge w:val="continue"/>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51,308,910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5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340" w:hanging="332"/>
        <w:spacing w:after="0" w:line="269" w:lineRule="auto"/>
        <w:tabs>
          <w:tab w:leader="none" w:pos="3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number of outstanding shares held by Presto Equity Holders excludes 15,000,000 Earnout Shares. The Earnout Shares would further increase the ownership percentages of Presto Equity Holders in Common Stock of New Presto and would dilute the ownership of all stockholders of VTAQ Common Stock, as further discussed below. The number also excludes Presto stock options and warrants not exercised as these are exchanged into options and warrants of the new combined entity and are not representative of outstanding shares;</w:t>
      </w:r>
    </w:p>
    <w:p>
      <w:pPr>
        <w:spacing w:after="0" w:line="1" w:lineRule="exact"/>
        <w:rPr>
          <w:rFonts w:ascii="Arial" w:cs="Arial" w:eastAsia="Arial" w:hAnsi="Arial"/>
          <w:sz w:val="17"/>
          <w:szCs w:val="17"/>
          <w:color w:val="auto"/>
        </w:rPr>
      </w:pPr>
    </w:p>
    <w:p>
      <w:pPr>
        <w:ind w:left="340" w:right="20" w:hanging="332"/>
        <w:spacing w:after="0" w:line="250" w:lineRule="auto"/>
        <w:tabs>
          <w:tab w:leader="none" w:pos="3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Amount represents the Founder Shares allocable to the VTAQ Sponsors and Initial Stockholders at closing. In conjunction with the Equity PIPE Investment and Debt PIPE Investment, certain Founders Shares were transferred by the Sponsors to the investing party.</w:t>
      </w:r>
    </w:p>
    <w:p>
      <w:pPr>
        <w:ind w:left="340" w:right="20" w:hanging="332"/>
        <w:spacing w:after="0" w:line="260" w:lineRule="auto"/>
        <w:tabs>
          <w:tab w:leader="none" w:pos="3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Amount represents 260,000 shares of New Presto used to pay $2.6 million of transaction expenses of Legacy Presto and 355,000 shares of New Presto used to pay $3.6 million of transaction expenses of VTAQ.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Shares payable to Shareholders, Option holders and Warrant holders of legacy Presto</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consummation of the Business Combination, holders of Presto capital stock, immediately prior to consummation of the Business Combination have the contingent right to receive Earnout Shares. The aggregate number of Earnout Shares is 15,000,000 shares of Common Stock of New Presto. The Earnout Shares may be issued following the Business Combination, as follows:</w:t>
      </w:r>
    </w:p>
    <w:p>
      <w:pPr>
        <w:spacing w:after="0" w:line="184" w:lineRule="exact"/>
        <w:rPr>
          <w:sz w:val="20"/>
          <w:szCs w:val="20"/>
          <w:color w:val="auto"/>
        </w:rPr>
      </w:pPr>
    </w:p>
    <w:p>
      <w:pPr>
        <w:jc w:val="both"/>
        <w:ind w:firstLine="332"/>
        <w:spacing w:after="0" w:line="263" w:lineRule="auto"/>
        <w:tabs>
          <w:tab w:leader="none" w:pos="53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7,500,000 shares of Common Stock of New Presto if the closing share price of a share of Common Stock of New Presto is equal to or exceeds $12.50 for 20 trading days in any 30 consecutive trading day period at any time during the period beginning on the first anniversary of the closing and ending on the fourth anniversary of the closing, and</w:t>
      </w:r>
    </w:p>
    <w:p>
      <w:pPr>
        <w:spacing w:after="0" w:line="184" w:lineRule="exact"/>
        <w:rPr>
          <w:sz w:val="20"/>
          <w:szCs w:val="20"/>
          <w:color w:val="auto"/>
        </w:rPr>
      </w:pPr>
    </w:p>
    <w:p>
      <w:pPr>
        <w:jc w:val="both"/>
        <w:ind w:firstLine="332"/>
        <w:spacing w:after="0" w:line="263" w:lineRule="auto"/>
        <w:tabs>
          <w:tab w:leader="none" w:pos="59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7,500,000 shares of Common Stock of New Presto if the closing share price of a share of Common Stock of New Presto is equal to or exceeds $15.00 for 20 trading days in any 30 consecutive trading day period at any time during the period beginning on the first anniversary of the closing and ending on the fifth anniversary of the closing.</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preliminarily concluded that the Earnout Shares issuable to holders of Presto capital stock are accounted for as equity-linked instruments under ASC 815-40, and that the Earnout Shares issuable to holders of Presto capital stock subject to stock options are accounted for as share-based compensation under ASC 718.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subject to vesting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the Closing, 444,500 Founders Shares (the “Unvested Founders Shares”) will be subject to vesting and forfeiture provisions: (i) the first 25% of such Unvested Founder Shares owned by the Sponsors shall vest at such time as a $12.00 Stock Price Level is achieved on or before the date that is five years after the Closing Date, (ii) the next 25% of such Unvested Founder Shares owned by the Sponsors shall vest at such time as a $15.00 Stock Price Level is achieved on or before the date that is five years after the Closing Date., (iii) the next 25% of such Unvested Founder Shares owned by the Sponsors shall vest at such time as a $20.00 Stock Price Level is achieved on or before the date that is five years after the Closing Date and (iv) the remaining 25% of such Unvested Founder Shares owned by the Sponsors shall vest at such time as a $25.00 Stock Price Level is achieved on or before the date that is five years after the Closing Date. If the applicable Stock Price Level is not achieved on or prior to the date that is five years after the Closing Date, the applicable Unvested Founder Shares shall not vest and shall be automatically forfeited and cancelled for no consideration. Notwithstanding the foregoing, in the event of a change of control, any Unvested Founder Shares shall automatically vest.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0" w:name="page291"/>
    <w:bookmarkEnd w:id="290"/>
    <w:p>
      <w:pPr>
        <w:jc w:val="both"/>
        <w:ind w:firstLine="324"/>
        <w:spacing w:after="0" w:line="259" w:lineRule="auto"/>
        <w:rPr>
          <w:sz w:val="20"/>
          <w:szCs w:val="20"/>
          <w:color w:val="auto"/>
        </w:rPr>
      </w:pPr>
      <w:r>
        <w:rPr>
          <w:rFonts w:ascii="Arial" w:cs="Arial" w:eastAsia="Arial" w:hAnsi="Arial"/>
          <w:sz w:val="18"/>
          <w:szCs w:val="18"/>
          <w:color w:val="auto"/>
        </w:rPr>
        <w:t>“Stock Price Level” will be considered achieved only when the volume weighted average price of VTAQ’s Common Stock quoted on the NASDAQ is greater than or equal to the applicable threshold for any 40 Trading Days within any 60 trading day period. The Stock Price Levels will be equitably adjusted for any stock dividend, subdivision, reclassification, recapitalization, split, combination or exchange of shares, or any similar event affecting VTAQ’s Common Stock after the date of the Merger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preliminarily concluded that the Founder Shares are accounted for as equity-linked instruments under ASC 815-40, and that such instruments are liability classified.</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unaudited pro forma condensed combined consolidated financial information does not reflect the income tax effects of the pro forma adjustments which are based on the statutory rate in effect for the historical periods presented. Management believes this unaudited pro forma condensed combined consolidated financial information to not be meaningful given New Presto has incurred significant losses during the historical periods presented.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Presto, VTAQ and Other Transaction Accounting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the Unaudited Pro Forma Condensed Combined Balance Sheet as of June 30, 2022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Presto pro forma adjustments included in the unaudited pro forma condensed combined balance sheet as of June 30, 2022 are as follows (amounts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ind w:left="340"/>
              <w:spacing w:after="0"/>
              <w:rPr>
                <w:sz w:val="20"/>
                <w:szCs w:val="20"/>
                <w:color w:val="auto"/>
              </w:rPr>
            </w:pPr>
            <w:r>
              <w:rPr>
                <w:rFonts w:ascii="Arial" w:cs="Arial" w:eastAsia="Arial" w:hAnsi="Arial"/>
                <w:sz w:val="18"/>
                <w:szCs w:val="18"/>
                <w:color w:val="auto"/>
              </w:rPr>
              <w:t>3(a) Represents Transaction Accounting Adjustments to the cash and cash equivalents balance: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Transaction</w:t>
            </w:r>
          </w:p>
        </w:tc>
      </w:tr>
      <w:tr>
        <w:trPr>
          <w:trHeight w:val="216"/>
        </w:trPr>
        <w:tc>
          <w:tcPr>
            <w:tcW w:w="8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Accounting</w:t>
            </w:r>
          </w:p>
        </w:tc>
      </w:tr>
      <w:tr>
        <w:trPr>
          <w:trHeight w:val="241"/>
        </w:trPr>
        <w:tc>
          <w:tcPr>
            <w:tcW w:w="8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20"/>
                <w:szCs w:val="20"/>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r>
      <w:tr>
        <w:trPr>
          <w:trHeight w:val="216"/>
        </w:trPr>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VTAQ investments held in Trust Account</w:t>
            </w:r>
          </w:p>
        </w:tc>
        <w:tc>
          <w:tcPr>
            <w:tcW w:w="1240" w:type="dxa"/>
            <w:vAlign w:val="bottom"/>
            <w:tcBorders>
              <w:top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PIPE Financing</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55,500</w:t>
            </w: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54,375</w:t>
            </w:r>
          </w:p>
        </w:tc>
        <w:tc>
          <w:tcPr>
            <w:tcW w:w="8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Repayment of Presto indebtedness and related fees</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(36,417)</w:t>
            </w:r>
          </w:p>
        </w:tc>
      </w:tr>
      <w:tr>
        <w:trPr>
          <w:trHeight w:val="25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 of transaction costs</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(16,936)</w:t>
            </w:r>
          </w:p>
        </w:tc>
      </w:tr>
      <w:tr>
        <w:trPr>
          <w:trHeight w:val="237"/>
        </w:trPr>
        <w:tc>
          <w:tcPr>
            <w:tcW w:w="8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transaction accounting adjustments to cash and cash equivalents</w:t>
            </w:r>
          </w:p>
        </w:tc>
        <w:tc>
          <w:tcPr>
            <w:tcW w:w="12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66,050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Represents the reclassification of the remaining investments held in the Trust Account to cash and cash equivalents that became available following the Business Combination, based on the amounts held in the Trust Account as of June 30, 2022, of $12.8 million, as adjusted for redemptions requested on September 14, 2022 of $3.3 million, which is the same date the Business Combination was approved by the VTAQ stockholders.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Represents the proceeds from private placements with various investors as follows: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sale of 550,000 shares of Common Stock of New Presto, for an aggregate purchase price of $5.5 million.</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The sale of 6,593,687 shares of Common Stock of New Presto to Cleveland Avenue, for an aggregate purchase price of $50.0 million, including the transfer of 406,313 shares of VTAQ Common Stock by the Sponsors to Cleveland Avenue for nominal consideration.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ind w:left="660" w:right="40" w:hanging="328"/>
        <w:spacing w:after="0" w:line="308" w:lineRule="auto"/>
        <w:tabs>
          <w:tab w:leader="none" w:pos="66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Represents $54.4 million in cash received upon entering into the Credit Agreement, such amount being the fully drawn term loan of $55.0 million, net of $0.6 million debt issuance costs and a non-cash charge of $0.2 million of debt discounts associated with warrants.</w:t>
      </w:r>
    </w:p>
    <w:p>
      <w:pPr>
        <w:spacing w:after="0" w:line="146"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Upon closing of the Business Combination and receipt of funds from the Trust, PIPE Financing and Credit Agreement, certain existing indebtedness of Presto was repaid totaling $34.5 million in cash payments, resulting in the removal of principal and accrued interest of $25.5 million, recognition of $7.5 million of expenses in the pro forma condensed combined statement of operations during the year ended June 30, 2022, related to interest costs, debt discount write offs and certain prepayment penalties which the Company has concluded will be accounted for as a debt extinguishment. Included within the $34.5 million of cash payments is $1.4 million, which is reflected as compensation expense associated with certain promissory notes related to Presto’s acquisition of Cyborg Ops, that vested upon the Business Combination. Further certain bonus amounts related to Cyborg Ops also fully vested upon the Business Combination resulting in an accrual of $0.6 million and an equal offsetting increase to accumulated deficit. Finally certain existing indebtedness of VTAQ was also repaid totaling $1.9 million.</w:t>
      </w:r>
    </w:p>
    <w:p>
      <w:pPr>
        <w:spacing w:after="0" w:line="165" w:lineRule="exact"/>
        <w:rPr>
          <w:rFonts w:ascii="Arial" w:cs="Arial" w:eastAsia="Arial" w:hAnsi="Arial"/>
          <w:sz w:val="16"/>
          <w:szCs w:val="16"/>
          <w:color w:val="auto"/>
        </w:rPr>
      </w:pPr>
    </w:p>
    <w:p>
      <w:pPr>
        <w:ind w:left="660" w:hanging="328"/>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Represents payment of transaction costs incurred as follows:</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$6.6 million decrease to cash for merger related costs for legal, financial advisory and other professional fees related to consummating the Business Combination and a $1.0 million decrease to cash for certain other non-merger accounting fees of $1.0 million paid at Closing. Further reflects increase to accruals of $0.5 million for further transaction cost unpaid but incurred. Finally, Presto accrued certain merger costs in the amount of $2.6 million, which at close were paid in 260,000 shares of New Presto common stock, resulting in an equal and offsetting effects to additional paid-in capital.</w:t>
      </w:r>
    </w:p>
    <w:p>
      <w:pPr>
        <w:spacing w:after="0" w:line="187" w:lineRule="exact"/>
        <w:rPr>
          <w:rFonts w:ascii="Arial" w:cs="Arial" w:eastAsia="Arial" w:hAnsi="Arial"/>
          <w:sz w:val="18"/>
          <w:szCs w:val="18"/>
          <w:color w:val="auto"/>
        </w:rPr>
      </w:pPr>
    </w:p>
    <w:p>
      <w:pPr>
        <w:jc w:val="both"/>
        <w:ind w:left="980" w:right="20"/>
        <w:spacing w:after="0" w:line="263" w:lineRule="auto"/>
        <w:rPr>
          <w:rFonts w:ascii="Arial" w:cs="Arial" w:eastAsia="Arial" w:hAnsi="Arial"/>
          <w:sz w:val="18"/>
          <w:szCs w:val="18"/>
          <w:color w:val="auto"/>
        </w:rPr>
      </w:pPr>
      <w:r>
        <w:rPr>
          <w:rFonts w:ascii="Arial" w:cs="Arial" w:eastAsia="Arial" w:hAnsi="Arial"/>
          <w:sz w:val="18"/>
          <w:szCs w:val="18"/>
          <w:color w:val="auto"/>
        </w:rPr>
        <w:t>As of June 30, 2022, the historical Presto financial statements reflect the incurrence of $5.8 million of deferred transaction costs, of which $3.2 million and $1.0 million were unpaid in accounts payable and accrued expenses, respectively. With the $6.6 million cash payment and the $2.6 million stock payment, such unpaid amounts were satisfied</w:t>
      </w:r>
    </w:p>
    <w:p>
      <w:pPr>
        <w:spacing w:after="0" w:line="183" w:lineRule="exact"/>
        <w:rPr>
          <w:rFonts w:ascii="Arial" w:cs="Arial" w:eastAsia="Arial" w:hAnsi="Arial"/>
          <w:sz w:val="18"/>
          <w:szCs w:val="18"/>
          <w:color w:val="auto"/>
        </w:rPr>
      </w:pPr>
    </w:p>
    <w:p>
      <w:pPr>
        <w:jc w:val="both"/>
        <w:ind w:left="980"/>
        <w:spacing w:after="0" w:line="257" w:lineRule="auto"/>
        <w:rPr>
          <w:rFonts w:ascii="Arial" w:cs="Arial" w:eastAsia="Arial" w:hAnsi="Arial"/>
          <w:sz w:val="18"/>
          <w:szCs w:val="18"/>
          <w:color w:val="auto"/>
        </w:rPr>
      </w:pPr>
      <w:r>
        <w:rPr>
          <w:rFonts w:ascii="Arial" w:cs="Arial" w:eastAsia="Arial" w:hAnsi="Arial"/>
          <w:sz w:val="18"/>
          <w:szCs w:val="18"/>
          <w:color w:val="auto"/>
        </w:rPr>
        <w:t>In total, $9.7 million in merger costs have been allocated in the pro forma condensed combined balance sheet to additional paid in capital in the amount of $8.9 million and $0.8 million of such costs were ascribed to liability classified instruments based on the relative fair values of equity-classified and liability-classified instruments issued in conjunction with the Business Combination and accordingly reflected in accumulated deficit. The $1.0 million of nonmerger related costs have been incurred which has been expensed and accordingly reflected in accumulated deficit.</w:t>
      </w:r>
    </w:p>
    <w:p>
      <w:pPr>
        <w:spacing w:after="0" w:line="187"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$8.3 million costs paid in cash and $3.6 million paid in stock at closing. The total of $11.9 million incurred by VTAQ associated with the Business Combination relating to banking, legal fees and other fees related to consummating the Business Combination. Such costs will be incurred and expensed in the statement of operations of historical VTAQ prior to the Business Combination and accordingly have been reflected as a reduction to cash, an increase to additional paid-in capital and a corresponding entry to VTAQ accumulated deficit of $11.9 million.</w:t>
      </w:r>
    </w:p>
    <w:p>
      <w:pPr>
        <w:sectPr>
          <w:pgSz w:w="11900" w:h="16838" w:orient="portrait"/>
          <w:cols w:equalWidth="0" w:num="1">
            <w:col w:w="11240"/>
          </w:cols>
          <w:pgMar w:left="320" w:top="908" w:right="339" w:bottom="1440" w:gutter="0" w:footer="0" w:header="0"/>
        </w:sectPr>
      </w:pP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3(b) The following table represents the impact on Presto’s pro forma adjustments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Presto convertible notes conversion to Presto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 Paid to Silver Rock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Presto pro forma adjustments to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jc w:val="center"/>
        <w:ind w:left="-381"/>
        <w:spacing w:after="0"/>
        <w:rPr>
          <w:sz w:val="20"/>
          <w:szCs w:val="20"/>
          <w:color w:val="auto"/>
        </w:rPr>
      </w:pPr>
      <w:r>
        <w:rPr>
          <w:rFonts w:ascii="Arial" w:cs="Arial" w:eastAsia="Arial" w:hAnsi="Arial"/>
          <w:sz w:val="18"/>
          <w:szCs w:val="18"/>
          <w:b w:val="1"/>
          <w:bCs w:val="1"/>
          <w:color w:val="auto"/>
        </w:rPr>
        <w:t>Presto Pro</w:t>
      </w:r>
    </w:p>
    <w:p>
      <w:pPr>
        <w:spacing w:after="0" w:line="27" w:lineRule="exact"/>
        <w:rPr>
          <w:sz w:val="20"/>
          <w:szCs w:val="20"/>
          <w:color w:val="auto"/>
        </w:rPr>
      </w:pPr>
    </w:p>
    <w:p>
      <w:pPr>
        <w:jc w:val="center"/>
        <w:ind w:left="-381"/>
        <w:spacing w:after="0"/>
        <w:rPr>
          <w:sz w:val="20"/>
          <w:szCs w:val="20"/>
          <w:color w:val="auto"/>
        </w:rPr>
      </w:pPr>
      <w:r>
        <w:rPr>
          <w:rFonts w:ascii="Arial" w:cs="Arial" w:eastAsia="Arial" w:hAnsi="Arial"/>
          <w:sz w:val="18"/>
          <w:szCs w:val="18"/>
          <w:b w:val="1"/>
          <w:bCs w:val="1"/>
          <w:color w:val="auto"/>
        </w:rPr>
        <w:t>Forma</w:t>
      </w:r>
    </w:p>
    <w:p>
      <w:pPr>
        <w:spacing w:after="0" w:line="9" w:lineRule="exact"/>
        <w:rPr>
          <w:sz w:val="20"/>
          <w:szCs w:val="20"/>
          <w:color w:val="auto"/>
        </w:rPr>
      </w:pPr>
    </w:p>
    <w:p>
      <w:pPr>
        <w:jc w:val="center"/>
        <w:ind w:left="-381"/>
        <w:spacing w:after="0"/>
        <w:rPr>
          <w:sz w:val="20"/>
          <w:szCs w:val="20"/>
          <w:color w:val="auto"/>
        </w:rPr>
      </w:pPr>
      <w:r>
        <w:rPr>
          <w:rFonts w:ascii="Arial" w:cs="Arial" w:eastAsia="Arial" w:hAnsi="Arial"/>
          <w:sz w:val="18"/>
          <w:szCs w:val="18"/>
          <w:b w:val="1"/>
          <w:bCs w:val="1"/>
          <w:u w:val="single" w:color="auto"/>
          <w:color w:val="auto"/>
        </w:rPr>
        <w:t>Adjustments</w:t>
      </w:r>
    </w:p>
    <w:p>
      <w:pPr>
        <w:spacing w:after="0" w:line="22" w:lineRule="exact"/>
        <w:rPr>
          <w:sz w:val="20"/>
          <w:szCs w:val="20"/>
          <w:color w:val="auto"/>
        </w:rPr>
      </w:pPr>
    </w:p>
    <w:p>
      <w:pPr>
        <w:ind w:left="1442" w:hanging="1442"/>
        <w:spacing w:after="0"/>
        <w:tabs>
          <w:tab w:leader="none" w:pos="144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81,376</w:t>
      </w:r>
    </w:p>
    <w:p>
      <w:pPr>
        <w:spacing w:after="0" w:line="46" w:lineRule="exact"/>
        <w:rPr>
          <w:sz w:val="20"/>
          <w:szCs w:val="20"/>
          <w:color w:val="auto"/>
        </w:rPr>
      </w:pPr>
    </w:p>
    <w:p>
      <w:pPr>
        <w:ind w:left="2"/>
        <w:spacing w:after="0"/>
        <w:tabs>
          <w:tab w:leader="none" w:pos="1502" w:val="left"/>
        </w:tabs>
        <w:rPr>
          <w:sz w:val="20"/>
          <w:szCs w:val="20"/>
          <w:color w:val="auto"/>
        </w:rPr>
      </w:pPr>
      <w:r>
        <w:rPr>
          <w:rFonts w:ascii="Arial" w:cs="Arial" w:eastAsia="Arial" w:hAnsi="Arial"/>
          <w:sz w:val="16"/>
          <w:szCs w:val="16"/>
          <w:color w:val="auto"/>
        </w:rPr>
        <w:t>(7)</w:t>
      </w:r>
      <w:r>
        <w:rPr>
          <w:sz w:val="20"/>
          <w:szCs w:val="20"/>
          <w:color w:val="auto"/>
        </w:rPr>
        <w:tab/>
      </w:r>
      <w:r>
        <w:rPr>
          <w:rFonts w:ascii="Arial" w:cs="Arial" w:eastAsia="Arial" w:hAnsi="Arial"/>
          <w:sz w:val="16"/>
          <w:szCs w:val="16"/>
          <w:color w:val="auto"/>
        </w:rPr>
        <w:t>3,378</w:t>
      </w:r>
    </w:p>
    <w:p>
      <w:pPr>
        <w:spacing w:after="0" w:line="85" w:lineRule="exact"/>
        <w:rPr>
          <w:sz w:val="20"/>
          <w:szCs w:val="20"/>
          <w:color w:val="auto"/>
        </w:rPr>
      </w:pPr>
    </w:p>
    <w:p>
      <w:pPr>
        <w:ind w:left="1442" w:hanging="615"/>
        <w:spacing w:after="0"/>
        <w:tabs>
          <w:tab w:leader="none" w:pos="144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84,754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55245</wp:posOffset>
            </wp:positionV>
            <wp:extent cx="70294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78" w:space="720"/>
            <w:col w:w="2042"/>
          </w:cols>
          <w:pgMar w:left="320" w:top="908" w:right="339" w:bottom="1440" w:gutter="0" w:footer="0" w:header="0"/>
          <w:type w:val="continuous"/>
        </w:sectPr>
      </w:pPr>
    </w:p>
    <w:p>
      <w:pPr>
        <w:spacing w:after="0" w:line="116" w:lineRule="exact"/>
        <w:rPr>
          <w:sz w:val="20"/>
          <w:szCs w:val="20"/>
          <w:color w:val="auto"/>
        </w:rPr>
      </w:pPr>
    </w:p>
    <w:p>
      <w:pPr>
        <w:jc w:val="both"/>
        <w:ind w:left="660" w:hanging="328"/>
        <w:spacing w:after="0" w:line="301" w:lineRule="auto"/>
        <w:tabs>
          <w:tab w:leader="none" w:pos="6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Represents the fair value and recognition of the adjustment upon extinguishment of the debt of the Presto convertible notes converted to 8,137,686 shares of the combined entity common stock as a result of the Business Combination. The unaudited pro forma condensed combined balance sheet reflects the increase of $81.4 million to additional paid-in capital, with a corresponding increase to Presto Common Stock of $10 thousand, a decrease to convertible promissory notes, current, of $89.7 million and an increase to accumulated deficit of $8.3 million.</w:t>
      </w:r>
    </w:p>
    <w:p>
      <w:pPr>
        <w:spacing w:after="0" w:line="157"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Represents the value of Presto shares issued pursuant to the termination of the Convertible Note Subscription Agreement with Silver Rock. Pursuant to the Termination Agreement, Silver Rock agreed to terminate the Convertible Note Subscription Agreement in exchange for 400,000 shares of common stock of Legacy Presto which as of June 30, 2022, would converted into 337,744 shares of New Presto Common Stock pursuant to the terms of the Merger Agreement. Amount, recorded was based on such New Presto shares valued at the $10 stock price for New Presto, which when giving effect to the conversion ratio, results in an increase to Legacy Presto additional paid-in capital of $3.4 million and offset to Legacy Presto accumulated deficit of $3.4 million. Further such amount is reflected as an item of other loss in the condensed combined statement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92" w:name="page293"/>
    <w:bookmarkEnd w:id="292"/>
    <w:tbl>
      <w:tblPr>
        <w:tblLayout w:type="fixed"/>
        <w:tblInd w:w="0" w:type="dxa"/>
        <w:tblCellMar>
          <w:top w:w="0" w:type="dxa"/>
          <w:left w:w="0" w:type="dxa"/>
          <w:bottom w:w="0" w:type="dxa"/>
          <w:right w:w="0" w:type="dxa"/>
        </w:tblCellMar>
      </w:tblPr>
      <w:tr>
        <w:trPr>
          <w:trHeight w:val="230"/>
        </w:trPr>
        <w:tc>
          <w:tcPr>
            <w:tcW w:w="8780" w:type="dxa"/>
            <w:vAlign w:val="bottom"/>
          </w:tcPr>
          <w:p>
            <w:pPr>
              <w:ind w:left="340"/>
              <w:spacing w:after="0"/>
              <w:rPr>
                <w:sz w:val="20"/>
                <w:szCs w:val="20"/>
                <w:color w:val="auto"/>
              </w:rPr>
            </w:pPr>
            <w:r>
              <w:rPr>
                <w:rFonts w:ascii="Arial" w:cs="Arial" w:eastAsia="Arial" w:hAnsi="Arial"/>
                <w:sz w:val="18"/>
                <w:szCs w:val="18"/>
                <w:color w:val="auto"/>
              </w:rPr>
              <w:t>3(c)  The following table represents the impact of the Business Combination on additional paid-in capital:</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Transaction</w:t>
            </w:r>
          </w:p>
        </w:tc>
      </w:tr>
      <w:tr>
        <w:trPr>
          <w:trHeight w:val="216"/>
        </w:trPr>
        <w:tc>
          <w:tcPr>
            <w:tcW w:w="8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Accounting</w:t>
            </w:r>
          </w:p>
        </w:tc>
      </w:tr>
      <w:tr>
        <w:trPr>
          <w:trHeight w:val="241"/>
        </w:trPr>
        <w:tc>
          <w:tcPr>
            <w:tcW w:w="8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r>
      <w:tr>
        <w:trPr>
          <w:trHeight w:val="216"/>
        </w:trPr>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PIPE Financing</w:t>
            </w:r>
          </w:p>
        </w:tc>
        <w:tc>
          <w:tcPr>
            <w:tcW w:w="1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Presto transaction costs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(8,907)</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Ventoux transaction costs paid in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Reclassification of VTAQ’s redeemable shares to VTAQ 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9,504</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Founder’s Shares subject to vesting</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Elimination of historical VTAQ accumulated deficit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(15,975)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of Presto Common Stock into VTAQ Common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Option earn-out cumulative expense</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21,830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Performance award cumulative expense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37"/>
        </w:trPr>
        <w:tc>
          <w:tcPr>
            <w:tcW w:w="8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earn-out cumulative expense</w:t>
            </w: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(15)</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tcPr>
          <w:p>
            <w:pPr>
              <w:spacing w:after="0"/>
              <w:rPr>
                <w:sz w:val="20"/>
                <w:szCs w:val="20"/>
                <w:color w:val="auto"/>
              </w:rPr>
            </w:pPr>
          </w:p>
        </w:tc>
      </w:tr>
      <w:tr>
        <w:trPr>
          <w:trHeight w:val="25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transaction accounting adjustments to additional paid-in capital</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64,921</w:t>
            </w:r>
          </w:p>
        </w:tc>
      </w:tr>
      <w:tr>
        <w:trPr>
          <w:trHeight w:val="21"/>
        </w:trPr>
        <w:tc>
          <w:tcPr>
            <w:tcW w:w="8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1" w:lineRule="auto"/>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Represents the reclassification of $9.5 million of VTAQ public shares subject to possible redemption from mezzanine equity to permanent equity. The unaudited pro forma condensed balance sheet reflects the reclassification with a corresponding increase of $9.5 million to additional paid in-capital. Adjustment occurs subsequent to the redemptions of $3.3 million described in transaction accounting adjustment (2) as described above.</w:t>
      </w:r>
    </w:p>
    <w:p>
      <w:pPr>
        <w:spacing w:after="0" w:line="1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Represents the reclassification of Founder shares which, as discussed in Note 2, become subject to vesting conditions upon consummation of the Business Combination. Such Founders Shares are determined to be liabilities pursuant to ASC 815-40 and accordingly and adjustment has been made on the condensed combined balance sheet to reclassify the shares from additional paid-in capital to a earnout liability with such amount being recognized at fair value.</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Represents the elimination of VTAQ’s historical accumulated deficit after recording the transaction cost to be incurred by VTAQ as described in adjustment (6) above. The corresponding adjustment to additional paid-in capital, in connection with the reverse recapitalization.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Represents the recapitalization of Presto Common Stock into Combined Entity Common Stock, after giving effect to the Presto preferred stock conversion and the Presto convertible note conversion.</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Represents the conversion of Presto Preferred Stock into Presto Common Stock pursuant to section 4.1 of Presto’s Amended and Restated Articles of Incorporation prior to the closing of the Business Combination, as stipulated by the Merger Agreement. The unaudited pro forma condensed combined balance sheet reflects the conversion with a corresponding increase of $28 thousand to Presto Common Stock.</w:t>
      </w:r>
    </w:p>
    <w:p>
      <w:pPr>
        <w:spacing w:after="0" w:line="165"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Reflects the stock-based compensation expense upon modification (change in vesting condition for the awards to include a de-SPAC transaction and earn-out shares), resulting in recognition of adjustments of $7.3 million, $2.9 million and $15.2 million in research and development, sales and marketing, and general and administrative expenses, respectively in the pro forma condensed combined statement of operations. These adjustments include expense to be recognized during the twelve months after the consummation of the Business Combination of $0.9 million, $0.7 million, and $1.9 million in research and development, sales and marketing, and general and administrative expenses, respectively in the pro forma condensed combined statement of operations. The unaudited pro forma condensed combined balance sheet reflects the cumulative expense recognized at June 30, 2022 of $21.8 million as an increase to additional paid-in capital with a corresponding increase to accumulated deficit.</w:t>
      </w:r>
    </w:p>
    <w:p>
      <w:pPr>
        <w:spacing w:after="0" w:line="166"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Reflects the incremental stock-based compensation expense upon satisfaction of a liquidity event vesting condition dependent on the de-SPAC transaction granted to a holder of 741,740 Presto options resulting in expense of $0.2 million during the year ended June 30, 2022, in the pro forma condensed combined statement of operations. The unaudited pro forma condensed combined balance sheet reflects the cumulative expense recognized at June 30, 2022 of $0.1 million as an increase to additional paid-in capital with a corresponding increase in accumulated deficit.</w:t>
      </w:r>
    </w:p>
    <w:p>
      <w:pPr>
        <w:spacing w:after="0" w:line="15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Reflects the warrant expense upon modification to include the earn-out shares, resulting in recognition of adjustments of $4.3 million in the pro forma condensed combined statement of operations for the year ended June 30, 2022. The unaudited pro forma condensed combined balance sheet reflects an increase to additional paid-in capital of $3.1 million and an increase to warrant liabilities of $1.2 million, with the corresponding increase in accumulated deficit of $4.2 million.</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Represents the fair value of the 550,000 Private Placement Warrants that were cancelled in connection with the private placement to be consummated concurrently with the closing of the Business Combination. The unaudited pro forma condensed combined balance sheet reflects the decrease of $0.1 million to accumulated deficit and a corresponding decrease to warrant liabilities.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0"/>
        </w:trPr>
        <w:tc>
          <w:tcPr>
            <w:tcW w:w="8780" w:type="dxa"/>
            <w:vAlign w:val="bottom"/>
          </w:tcPr>
          <w:p>
            <w:pPr>
              <w:ind w:left="440"/>
              <w:spacing w:after="0"/>
              <w:rPr>
                <w:sz w:val="20"/>
                <w:szCs w:val="20"/>
                <w:color w:val="auto"/>
              </w:rPr>
            </w:pPr>
            <w:r>
              <w:rPr>
                <w:rFonts w:ascii="Arial" w:cs="Arial" w:eastAsia="Arial" w:hAnsi="Arial"/>
                <w:sz w:val="18"/>
                <w:szCs w:val="18"/>
                <w:color w:val="auto"/>
              </w:rPr>
              <w:t>3(d) Represents pro forma adjustments to accumulated deficit balance to reflect the following:</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Transaction</w:t>
            </w:r>
          </w:p>
        </w:tc>
      </w:tr>
      <w:tr>
        <w:trPr>
          <w:trHeight w:val="216"/>
        </w:trPr>
        <w:tc>
          <w:tcPr>
            <w:tcW w:w="8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8"/>
              </w:rPr>
              <w:t>Accounting</w:t>
            </w:r>
          </w:p>
        </w:tc>
      </w:tr>
      <w:tr>
        <w:trPr>
          <w:trHeight w:val="241"/>
        </w:trPr>
        <w:tc>
          <w:tcPr>
            <w:tcW w:w="87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20"/>
                <w:szCs w:val="20"/>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Adjustments)</w:t>
            </w:r>
          </w:p>
        </w:tc>
      </w:tr>
      <w:tr>
        <w:trPr>
          <w:trHeight w:val="216"/>
        </w:trPr>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Presto transaction costs and non transaction costs</w:t>
            </w:r>
          </w:p>
        </w:tc>
        <w:tc>
          <w:tcPr>
            <w:tcW w:w="1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VTAQ transaction costs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(11,906)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VTAQ’s historical accumulated deficit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15,975</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Option earn-out cumulative expense</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(21,830)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Performance award cumulative expense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Warrant earn-out cumulative expense</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(4,349)</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VTAQ Private Placement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Compensation upon closing of Business Combination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Compensation upon repayment of indebtedness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37"/>
        </w:trPr>
        <w:tc>
          <w:tcPr>
            <w:tcW w:w="8780" w:type="dxa"/>
            <w:vAlign w:val="bottom"/>
          </w:tcPr>
          <w:p>
            <w:pPr>
              <w:spacing w:after="0"/>
              <w:rPr>
                <w:sz w:val="20"/>
                <w:szCs w:val="20"/>
                <w:color w:val="auto"/>
              </w:rPr>
            </w:pPr>
            <w:r>
              <w:rPr>
                <w:rFonts w:ascii="Arial" w:cs="Arial" w:eastAsia="Arial" w:hAnsi="Arial"/>
                <w:sz w:val="18"/>
                <w:szCs w:val="18"/>
                <w:color w:val="auto"/>
              </w:rPr>
              <w:t>Loss on extinguishment of Presto indebtedness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(7,484)</w:t>
            </w:r>
          </w:p>
        </w:tc>
      </w:tr>
      <w:tr>
        <w:trPr>
          <w:trHeight w:val="250"/>
        </w:trPr>
        <w:tc>
          <w:tcPr>
            <w:tcW w:w="8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transaction accounting adjustments to accumulated deficit</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the Unaudited Pro Forma Condensed Combined Statements of Operations for year ended June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adjustments set forth in adjustments (4), (5), (7), (13), (14) and (15) above, the transaction accounting adjustments included in the unaudited pro forma condensed combined statements of operations for year ended June 30, 2022 are as follows:</w:t>
      </w:r>
    </w:p>
    <w:p>
      <w:pPr>
        <w:spacing w:after="0" w:line="170" w:lineRule="exact"/>
        <w:rPr>
          <w:sz w:val="20"/>
          <w:szCs w:val="20"/>
          <w:color w:val="auto"/>
        </w:rPr>
      </w:pPr>
    </w:p>
    <w:p>
      <w:pPr>
        <w:ind w:left="660" w:hanging="328"/>
        <w:spacing w:after="0" w:line="308" w:lineRule="auto"/>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Reflects the removal of the loss on fair value effects of the Presto convertible notes that converted upon the closing of the Business Combination in the amount of $18.9 million in the pro forma condensed combined statement of operations for the year ended June 30, 2022.</w:t>
      </w:r>
    </w:p>
    <w:p>
      <w:pPr>
        <w:spacing w:after="0" w:line="146"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Represents the recognition of interest expense related to the $55.0 million credit facility consummated concurrently with the closing of the Business Combination in the amount of $9.0 million for the year ended June 30, 2022. Interest expense is reflective of 15% per annum interest, the amortization of debt issuance costs and debt discounts and other interest costs. This is partially offset by the removal of interest expense of $2.9 million related to the Presto indebtedness in term loans, current on the pro forma condensed combined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Business Combination, assuming the shares were outstanding since July 1, 2021. As the Business Combination and related transactions are being reflected as if they had occurred at the beginning of the period presented, the calculation of weighted average shares outstanding for basic and diluted net loss per share assumes that the shares issuable relating to the Business Combination have been outstanding for the entire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2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June 30, 2022</w:t>
            </w:r>
          </w:p>
        </w:tc>
      </w:tr>
      <w:tr>
        <w:trPr>
          <w:trHeight w:val="198"/>
        </w:trPr>
        <w:tc>
          <w:tcPr>
            <w:tcW w:w="28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gridSpan w:val="2"/>
          </w:tcPr>
          <w:p>
            <w:pPr>
              <w:spacing w:after="0"/>
              <w:rPr>
                <w:sz w:val="17"/>
                <w:szCs w:val="17"/>
                <w:color w:val="auto"/>
              </w:rPr>
            </w:pPr>
          </w:p>
        </w:tc>
      </w:tr>
      <w:tr>
        <w:trPr>
          <w:trHeight w:val="241"/>
        </w:trPr>
        <w:tc>
          <w:tcPr>
            <w:tcW w:w="28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6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3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51,308,910</w:t>
            </w:r>
          </w:p>
        </w:tc>
        <w:tc>
          <w:tcPr>
            <w:tcW w:w="80" w:type="dxa"/>
            <w:vAlign w:val="bottom"/>
          </w:tcPr>
          <w:p>
            <w:pPr>
              <w:spacing w:after="0"/>
              <w:rPr>
                <w:sz w:val="18"/>
                <w:szCs w:val="18"/>
                <w:color w:val="auto"/>
              </w:rPr>
            </w:pPr>
          </w:p>
        </w:tc>
      </w:tr>
      <w:tr>
        <w:trPr>
          <w:trHeight w:val="256"/>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29"/>
                <w:szCs w:val="29"/>
                <w:color w:val="auto"/>
                <w:vertAlign w:val="superscript"/>
              </w:rPr>
              <w:t>(1)</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Presto existing stockholders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37,444,082</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VTAQ Sponsors and Initial Stockholders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3,256,204</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VTAQ Public shareholders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931,141</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VTAQ Rightholders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862,500</w:t>
            </w:r>
          </w:p>
        </w:tc>
        <w:tc>
          <w:tcPr>
            <w:tcW w:w="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PIPE Investors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7,599,983</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Credit Agreement Investors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49"/>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Advisor Investors</w:t>
            </w:r>
          </w:p>
        </w:tc>
        <w:tc>
          <w:tcPr>
            <w:tcW w:w="3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51,308,910</w:t>
            </w:r>
          </w:p>
        </w:tc>
        <w:tc>
          <w:tcPr>
            <w:tcW w:w="80" w:type="dxa"/>
            <w:vAlign w:val="bottom"/>
          </w:tcPr>
          <w:p>
            <w:pPr>
              <w:spacing w:after="0"/>
              <w:rPr>
                <w:sz w:val="20"/>
                <w:szCs w:val="20"/>
                <w:color w:val="auto"/>
              </w:rPr>
            </w:pPr>
          </w:p>
        </w:tc>
      </w:tr>
      <w:tr>
        <w:trPr>
          <w:trHeight w:val="20"/>
        </w:trPr>
        <w:tc>
          <w:tcPr>
            <w:tcW w:w="2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3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340" w:hanging="332"/>
        <w:spacing w:after="0" w:line="277" w:lineRule="auto"/>
        <w:tabs>
          <w:tab w:leader="none" w:pos="3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per share pro forma net loss per share excludes the impact of outstanding and unexercised VTAQ public and Private Placement Warrants, options, and Earnout Shares as the inclusion of these would have been anti-dilutive.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 OF PRESTO</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Defined terms included below that are not otherwise defined herein have the same meaning as terms defined and included in our final prospectus and definitive proxy statement, dated as of August 12, 2022 (the “Proxy Statement/Prospectus”).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in conjunction with the “Business” section of the Proxy Statement/Prospectus and Legacy Presto’s (“Presto” or the “Company”) audited consolidated financial statements of Legacy Presto as of June 30, 2022 and 2021 and the Year Ended June 30, 2022 and 2021 included in Exhibit 99.2 to the accompanying Current Report on Form 8-K and other information included in the Proxy Statement/Prospectus. This discussion contains forward-looking statements that involve risks and uncertainties. Presto’s actual results could differ materially from such forward-looking statements. Factors that could cause or contribute to those differences include, but are not limited to, those identified below and those discussed in the sections titled “Risk Factors” and “Cautionary Statement Regarding Forward-Looking Statements” included in the Proxy Statement/Prospectus. Additionally, Presto’s historical results are not necessarily indicative of the results that may be expected in any future period. Amounts are presented in U.S. dollars.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or “our” refers to E La Carte, Inc. (“Legacy Presto”) and its subsidiaries prior to the consummation of the Business Combination and New Presto following the consummation of the Business Combination.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or MD&amp;A, describes principal factors affecting the results of our operations, financial condition and liquidity, as well as our critical accounting policies and estimates that require significant judgment and thus have the most significant potential impact on our Consolidated Financial Statements. Our MD&amp;A is organized as follows:</w:t>
      </w:r>
    </w:p>
    <w:p>
      <w:pPr>
        <w:spacing w:after="0" w:line="165" w:lineRule="exact"/>
        <w:rPr>
          <w:sz w:val="20"/>
          <w:szCs w:val="20"/>
          <w:color w:val="auto"/>
        </w:rPr>
      </w:pPr>
    </w:p>
    <w:p>
      <w:pPr>
        <w:ind w:left="980" w:hanging="324"/>
        <w:spacing w:after="0"/>
        <w:tabs>
          <w:tab w:leader="none" w:pos="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Overview. This section provides a general description of our business, recent developments, and key business metrics.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Results of Operations. This section provides an overview and analysis of our financial results for the fiscal year ended June 30, 2022 compared to the fiscal year ended June 30, 2021.</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Liquidity and Capital Resources. This section provides an analysis of our liquidity and changes in cash flows, as well as a discussion of available borrowings and contractual commitments.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Critical Accounting Policies and Estimates. This section discusses accounting policies and estimates that require us to exercise subjective or complex judgments in their application. We believe these accounting policies and estimates are important to understanding the assumptions and judgments incorporated in our reported financial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5" w:name="page296"/>
    <w:bookmarkEnd w:id="295"/>
    <w:p>
      <w:pPr>
        <w:jc w:val="both"/>
        <w:ind w:firstLine="648"/>
        <w:spacing w:after="0" w:line="311" w:lineRule="auto"/>
        <w:rPr>
          <w:sz w:val="20"/>
          <w:szCs w:val="20"/>
          <w:color w:val="auto"/>
        </w:rPr>
      </w:pPr>
      <w:r>
        <w:rPr>
          <w:rFonts w:ascii="Arial" w:cs="Arial" w:eastAsia="Arial" w:hAnsi="Arial"/>
          <w:sz w:val="16"/>
          <w:szCs w:val="16"/>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Process automation is a long-term priority for all physical businesses. As a result, restaurants need reliable and scalable products and technology that easily integrates with old, legacy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Presto Touch product has accounted for the majority of our historical revenue. However, we expect an increasing mix of our future revenue to come from our Vision and Voice products.</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Upon the Closing, VTAQ was renamed “Presto Automation Inc.” and the VTAQ Common Stock and the Public Warrants will continue to be listed on Nasdaq and trade under the ticker symbols “PRST” and “PRSTW,” respectively.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Business Combination will be accounted for as a reverse recapitalization in accordance with GAAP. Under the guidance in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VTAQ, who is the legal acquirer, will be treated as the “acquired” company for financial reporting purposes and Presto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the accounting acquirer. This determination was primarily based on Presto expecting to have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will be treated as the equivalent of a capital transaction in which Presto is issuing stock for the net assets of VTAQ. The net assets of VTAQ will be stated at historical cost, with no goodwill or other intangible assets recorded. Operations prior to the Business Combination will be those of Presto.</w:t>
      </w:r>
    </w:p>
    <w:p>
      <w:pPr>
        <w:spacing w:after="0" w:line="192"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most significant changes in Presto’s future reported financial position and results are expected to be a net increase in cash (as compared to our Consolidated Balance Sheet as of June 30, 2022) in excess of $60.0 million. In addition, there were significant changes to Presto’s indebtedness, including repayment of certain obligations, conversion of outstanding convertible promissory notes, and the issuance of $55.0 million in senior debt. Further, increases in our cash amount are reflective of $55.5 million of equity investments in New Presto.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 to the Business Combination, New Presto is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Presto experienced three impacts from the initial onset of COVID-19 that resulted in significant charges to the statement of operations:</w:t>
      </w:r>
    </w:p>
    <w:p>
      <w:pPr>
        <w:spacing w:after="0" w:line="237" w:lineRule="exact"/>
        <w:rPr>
          <w:sz w:val="20"/>
          <w:szCs w:val="20"/>
          <w:color w:val="auto"/>
        </w:rPr>
      </w:pPr>
    </w:p>
    <w:p>
      <w:pPr>
        <w:jc w:val="both"/>
        <w:ind w:left="980" w:hanging="324"/>
        <w:spacing w:after="0" w:line="273" w:lineRule="auto"/>
        <w:tabs>
          <w:tab w:leader="none" w:pos="980"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Impairment of Returned Leased Tablets</w:t>
      </w:r>
      <w:r>
        <w:rPr>
          <w:rFonts w:ascii="Arial" w:cs="Arial" w:eastAsia="Arial" w:hAnsi="Arial"/>
          <w:sz w:val="17"/>
          <w:szCs w:val="17"/>
          <w:color w:val="auto"/>
        </w:rPr>
        <w:t>. During fiscal year 2022 and the third and fourth quarters of fiscal year 2021, Presto experienced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terminations by certain franchisees of one of Presto’s primary enterprise customer relationships. Under such contracts, the franchisees leased the equipment from Presto and upon termination were required to return the used equipment to Presto. Upon return, such equipment was determined to not be recoverable in future leasing relationships; accordingly, Presto incurred an impairment loss during such periods. Presto acknowledges that such impairment charges may occur in the future if additional franchisee terminations occur, and Presto does not consider these to be non-recurring, infrequent and unusual business costs.</w:t>
      </w:r>
    </w:p>
    <w:p>
      <w:pPr>
        <w:spacing w:after="0" w:line="177" w:lineRule="exact"/>
        <w:rPr>
          <w:rFonts w:ascii="Arial" w:cs="Arial" w:eastAsia="Arial" w:hAnsi="Arial"/>
          <w:sz w:val="17"/>
          <w:szCs w:val="17"/>
          <w:color w:val="auto"/>
        </w:rPr>
      </w:pPr>
    </w:p>
    <w:p>
      <w:pPr>
        <w:jc w:val="both"/>
        <w:ind w:left="980" w:hanging="324"/>
        <w:spacing w:after="0" w:line="285" w:lineRule="auto"/>
        <w:tabs>
          <w:tab w:leader="none" w:pos="980" w:val="left"/>
        </w:tabs>
        <w:numPr>
          <w:ilvl w:val="0"/>
          <w:numId w:val="288"/>
        </w:numPr>
        <w:rPr>
          <w:rFonts w:ascii="Arial" w:cs="Arial" w:eastAsia="Arial" w:hAnsi="Arial"/>
          <w:sz w:val="16"/>
          <w:szCs w:val="16"/>
          <w:color w:val="auto"/>
        </w:rPr>
      </w:pPr>
      <w:r>
        <w:rPr>
          <w:rFonts w:ascii="Arial" w:cs="Arial" w:eastAsia="Arial" w:hAnsi="Arial"/>
          <w:sz w:val="16"/>
          <w:szCs w:val="16"/>
          <w:i w:val="1"/>
          <w:iCs w:val="1"/>
          <w:color w:val="auto"/>
        </w:rPr>
        <w:t>Loss on Infrequent Product Repairs</w:t>
      </w:r>
      <w:r>
        <w:rPr>
          <w:rFonts w:ascii="Arial" w:cs="Arial" w:eastAsia="Arial" w:hAnsi="Arial"/>
          <w:sz w:val="16"/>
          <w:szCs w:val="16"/>
          <w:color w:val="auto"/>
        </w:rPr>
        <w:t>. Social distancing practices resulted in customers implementing a range of extreme cleaning protocols</w:t>
      </w:r>
      <w:r>
        <w:rPr>
          <w:rFonts w:ascii="Arial" w:cs="Arial" w:eastAsia="Arial" w:hAnsi="Arial"/>
          <w:sz w:val="16"/>
          <w:szCs w:val="16"/>
          <w:i w:val="1"/>
          <w:iCs w:val="1"/>
          <w:color w:val="auto"/>
        </w:rPr>
        <w:t xml:space="preserve"> </w:t>
      </w:r>
      <w:r>
        <w:rPr>
          <w:rFonts w:ascii="Arial" w:cs="Arial" w:eastAsia="Arial" w:hAnsi="Arial"/>
          <w:sz w:val="16"/>
          <w:szCs w:val="16"/>
          <w:color w:val="auto"/>
        </w:rPr>
        <w:t>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Specifically, in the fiscal year ended June 30, 2022 and 2021, the volume of repair charges Presto experienced were higher than usual due to a liquid ingress issue resulting from COVID-19 related actions by its customers. In order to prevent disruption to customers’ businesses, Presto incurred $0.6 million and $3.3 million of loss on infrequent product repairs related to this issue, in the fiscal year ended June 30, 2022 and 2021, respectively, which are presented as separate line items on Presto’s consolidated statement of operations and comprehensive loss.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73"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288"/>
        </w:numPr>
        <w:rPr>
          <w:rFonts w:ascii="Arial" w:cs="Arial" w:eastAsia="Arial" w:hAnsi="Arial"/>
          <w:sz w:val="17"/>
          <w:szCs w:val="17"/>
          <w:color w:val="auto"/>
        </w:rPr>
      </w:pPr>
      <w:r>
        <w:rPr>
          <w:rFonts w:ascii="Arial" w:cs="Arial" w:eastAsia="Arial" w:hAnsi="Arial"/>
          <w:sz w:val="17"/>
          <w:szCs w:val="17"/>
          <w:i w:val="1"/>
          <w:iCs w:val="1"/>
          <w:color w:val="auto"/>
        </w:rPr>
        <w:t>Hardware Repair Expenses Related to COVID-19</w:t>
      </w:r>
      <w:r>
        <w:rPr>
          <w:rFonts w:ascii="Arial" w:cs="Arial" w:eastAsia="Arial" w:hAnsi="Arial"/>
          <w:sz w:val="17"/>
          <w:szCs w:val="17"/>
          <w:color w:val="auto"/>
        </w:rPr>
        <w:t>. As a result of COVID-19, Presto incurred higher than usual repair expenses for one-time,</w:t>
      </w:r>
      <w:r>
        <w:rPr>
          <w:rFonts w:ascii="Arial" w:cs="Arial" w:eastAsia="Arial" w:hAnsi="Arial"/>
          <w:sz w:val="17"/>
          <w:szCs w:val="17"/>
          <w:i w:val="1"/>
          <w:iCs w:val="1"/>
          <w:color w:val="auto"/>
        </w:rPr>
        <w:t xml:space="preserve"> </w:t>
      </w:r>
      <w:r>
        <w:rPr>
          <w:rFonts w:ascii="Arial" w:cs="Arial" w:eastAsia="Arial" w:hAnsi="Arial"/>
          <w:sz w:val="17"/>
          <w:szCs w:val="17"/>
          <w:color w:val="auto"/>
        </w:rPr>
        <w:t>infrequent product repairs that were not covered by Presto’s third-party manufacturer, who typically covers the costs. The increase in expenses was a result of a higher volume of repair requests due to customer issues arising from COVID-19 related complications and a desire on the part of customers to have Presto reboot and re-certify equipment coming out of COVID-19.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both"/>
        <w:ind w:firstLine="648"/>
        <w:spacing w:after="0" w:line="293" w:lineRule="auto"/>
        <w:rPr>
          <w:sz w:val="20"/>
          <w:szCs w:val="20"/>
          <w:color w:val="auto"/>
        </w:rPr>
      </w:pPr>
      <w:r>
        <w:rPr>
          <w:rFonts w:ascii="Arial" w:cs="Arial" w:eastAsia="Arial" w:hAnsi="Arial"/>
          <w:sz w:val="16"/>
          <w:szCs w:val="16"/>
          <w:color w:val="auto"/>
        </w:rPr>
        <w:t>Over the course of 2022,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Presto has taken several actions to mitigate the effects of the COVID-19 pandemic on its operations and franchisees. In April 2020, Presto received a loan of approximately $2.6 million under the U.S. Small Business Administration (“</w:t>
      </w:r>
      <w:r>
        <w:rPr>
          <w:rFonts w:ascii="Arial" w:cs="Arial" w:eastAsia="Arial" w:hAnsi="Arial"/>
          <w:sz w:val="18"/>
          <w:szCs w:val="18"/>
          <w:b w:val="1"/>
          <w:bCs w:val="1"/>
          <w:color w:val="auto"/>
        </w:rPr>
        <w:t>SBA</w:t>
      </w:r>
      <w:r>
        <w:rPr>
          <w:rFonts w:ascii="Arial" w:cs="Arial" w:eastAsia="Arial" w:hAnsi="Arial"/>
          <w:sz w:val="18"/>
          <w:szCs w:val="18"/>
          <w:color w:val="auto"/>
        </w:rPr>
        <w:t>”)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years ended June 30, 2022 and 2021, we derived our revenues from two revenue streams: (1) sales and leases of the Presto Touch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4" w:lineRule="exact"/>
        <w:rPr>
          <w:sz w:val="20"/>
          <w:szCs w:val="20"/>
          <w:color w:val="auto"/>
        </w:rPr>
      </w:pPr>
    </w:p>
    <w:p>
      <w:pPr>
        <w:jc w:val="both"/>
        <w:ind w:left="980" w:hanging="324"/>
        <w:spacing w:after="0" w:line="257"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 xml:space="preserve">Platform Revenue: </w:t>
      </w:r>
      <w:r>
        <w:rPr>
          <w:rFonts w:ascii="Arial" w:cs="Arial" w:eastAsia="Arial" w:hAnsi="Arial"/>
          <w:sz w:val="18"/>
          <w:szCs w:val="18"/>
          <w:color w:val="auto"/>
        </w:rPr>
        <w:t>the platform revenue stream is generated from fees charged to customers for access to our Presto Touch product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our newly launched Voice and Vision products were not material during the fiscal years ended June 30, 2022 and 2021.</w:t>
      </w:r>
    </w:p>
    <w:p>
      <w:pPr>
        <w:spacing w:after="0" w:line="187" w:lineRule="exact"/>
        <w:rPr>
          <w:rFonts w:ascii="Arial" w:cs="Arial" w:eastAsia="Arial" w:hAnsi="Arial"/>
          <w:sz w:val="18"/>
          <w:szCs w:val="18"/>
          <w:color w:val="auto"/>
        </w:rPr>
      </w:pPr>
    </w:p>
    <w:p>
      <w:pPr>
        <w:jc w:val="both"/>
        <w:ind w:left="980"/>
        <w:spacing w:after="0" w:line="263" w:lineRule="auto"/>
        <w:rPr>
          <w:rFonts w:ascii="Arial" w:cs="Arial" w:eastAsia="Arial" w:hAnsi="Arial"/>
          <w:sz w:val="18"/>
          <w:szCs w:val="18"/>
          <w:color w:val="auto"/>
        </w:rPr>
      </w:pPr>
      <w:r>
        <w:rPr>
          <w:rFonts w:ascii="Arial" w:cs="Arial" w:eastAsia="Arial" w:hAnsi="Arial"/>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consolidated statements of operations and comprehensive loss.</w:t>
      </w:r>
    </w:p>
    <w:p>
      <w:pPr>
        <w:spacing w:after="0" w:line="18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transaction revenue consists of a single performance obligation recognized at a point in time when the content is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jc w:val="both"/>
        <w:ind w:firstLine="648"/>
        <w:spacing w:after="0" w:line="259" w:lineRule="auto"/>
        <w:rPr>
          <w:sz w:val="20"/>
          <w:szCs w:val="20"/>
          <w:color w:val="auto"/>
        </w:rPr>
      </w:pPr>
      <w:r>
        <w:rPr>
          <w:rFonts w:ascii="Arial" w:cs="Arial" w:eastAsia="Arial" w:hAnsi="Arial"/>
          <w:sz w:val="18"/>
          <w:szCs w:val="18"/>
          <w:color w:val="auto"/>
        </w:rPr>
        <w:t>We have historically incurred operating losses and negative cash flows from operating activities. We expect to continue to incur operating losses until the first quarter of calendar year 2024 and negative cash flows from operating activities until the third quarter of calendar year 2023, as we work to expand our customer base and the number of locations in which our products are used, increase sales of our Voice and Vision products, increase our platform revenues and maintain our relationships with current customers.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ability to achieve profitability and positive cash flows from operating activities will depend primarily on our ability to increase revenues due to the following factors:</w:t>
      </w:r>
    </w:p>
    <w:p>
      <w:pPr>
        <w:spacing w:after="0" w:line="170" w:lineRule="exact"/>
        <w:rPr>
          <w:sz w:val="20"/>
          <w:szCs w:val="20"/>
          <w:color w:val="auto"/>
        </w:rPr>
      </w:pPr>
    </w:p>
    <w:p>
      <w:pPr>
        <w:jc w:val="both"/>
        <w:ind w:left="980" w:hanging="324"/>
        <w:spacing w:after="0" w:line="290" w:lineRule="auto"/>
        <w:tabs>
          <w:tab w:leader="none" w:pos="980"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Attracting New Customers and Expanding Locations in which Our Products are Used</w:t>
      </w:r>
      <w:r>
        <w:rPr>
          <w:rFonts w:ascii="Arial" w:cs="Arial" w:eastAsia="Arial" w:hAnsi="Arial"/>
          <w:sz w:val="16"/>
          <w:szCs w:val="16"/>
          <w:color w:val="auto"/>
        </w:rPr>
        <w:t>. Our future growth depends on our ability to attract</w:t>
      </w:r>
      <w:r>
        <w:rPr>
          <w:rFonts w:ascii="Arial" w:cs="Arial" w:eastAsia="Arial" w:hAnsi="Arial"/>
          <w:sz w:val="16"/>
          <w:szCs w:val="16"/>
          <w:i w:val="1"/>
          <w:iCs w:val="1"/>
          <w:color w:val="auto"/>
        </w:rPr>
        <w:t xml:space="preserve"> </w:t>
      </w:r>
      <w:r>
        <w:rPr>
          <w:rFonts w:ascii="Arial" w:cs="Arial" w:eastAsia="Arial" w:hAnsi="Arial"/>
          <w:sz w:val="16"/>
          <w:szCs w:val="16"/>
          <w:color w:val="auto"/>
        </w:rPr>
        <w:t>new customers and expand the locations across which our current and new customers use our products. For calendar years 2022 and 2023, we expect the majority of our new customer growth and new customer location expansion to come from sales of our Voice and Vision products. In an effort to attract new customers and expand our locations served, since the first calendar quarter of 2022, we have signed and are now starting to roll out our Presto Touch, Voice and Vision products across three enterprise customers and approximately 10 pilot customers. Many of these pilot customers have more than a thousand locations each. These customers are testing all three of our products in live locations. Our goal is to convert these pilot customers into broader customer relationships in order to meet our forecast of achieving positive cash flow by the fourth quarter of calendar year 2023 and operating profit by the second quarter of calendar year 2024.</w:t>
      </w:r>
    </w:p>
    <w:p>
      <w:pPr>
        <w:spacing w:after="0" w:line="165" w:lineRule="exact"/>
        <w:rPr>
          <w:rFonts w:ascii="Arial" w:cs="Arial" w:eastAsia="Arial" w:hAnsi="Arial"/>
          <w:sz w:val="16"/>
          <w:szCs w:val="16"/>
          <w:color w:val="auto"/>
        </w:rPr>
      </w:pPr>
    </w:p>
    <w:p>
      <w:pPr>
        <w:jc w:val="both"/>
        <w:ind w:left="980" w:hanging="324"/>
        <w:spacing w:after="0" w:line="254"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Increasing Voice and Vision Product Sales</w:t>
      </w:r>
      <w:r>
        <w:rPr>
          <w:rFonts w:ascii="Arial" w:cs="Arial" w:eastAsia="Arial" w:hAnsi="Arial"/>
          <w:sz w:val="18"/>
          <w:szCs w:val="18"/>
          <w:color w:val="auto"/>
        </w:rPr>
        <w:t>. Since the first calendar quarter of 2022, we have experienced increased demand for our Voice</w:t>
      </w:r>
      <w:r>
        <w:rPr>
          <w:rFonts w:ascii="Arial" w:cs="Arial" w:eastAsia="Arial" w:hAnsi="Arial"/>
          <w:sz w:val="18"/>
          <w:szCs w:val="18"/>
          <w:i w:val="1"/>
          <w:iCs w:val="1"/>
          <w:color w:val="auto"/>
        </w:rPr>
        <w:t xml:space="preserve"> </w:t>
      </w:r>
      <w:r>
        <w:rPr>
          <w:rFonts w:ascii="Arial" w:cs="Arial" w:eastAsia="Arial" w:hAnsi="Arial"/>
          <w:sz w:val="18"/>
          <w:szCs w:val="18"/>
          <w:color w:val="auto"/>
        </w:rPr>
        <w:t>and Vision products with respect to quick service restaurants, especially from chain enterprises with drive-throughs. This accelerated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Voice and Vision products to capture new customers in order to meet our forecast of achieving positive cash flow by the fourth quarter of calendar year 2023 and operating profit by the first quarter of calendar year 2024.</w:t>
      </w:r>
    </w:p>
    <w:p>
      <w:pPr>
        <w:spacing w:after="0" w:line="191"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Increase Platform Revenues</w:t>
      </w:r>
      <w:r>
        <w:rPr>
          <w:rFonts w:ascii="Arial" w:cs="Arial" w:eastAsia="Arial" w:hAnsi="Arial"/>
          <w:sz w:val="16"/>
          <w:szCs w:val="16"/>
          <w:color w:val="auto"/>
        </w:rPr>
        <w:t>. As described above, we generate revenue through two main revenue streams: (i) platform revenue and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We believe our overall growth will be largely driven by platform revenue growth, which we expect to have higher margins than transaction revenues. Platform revenue growth will in turn be driven by an increase in sales of our Voice and Vision products.</w:t>
      </w:r>
    </w:p>
    <w:p>
      <w:pPr>
        <w:spacing w:after="0" w:line="148"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 xml:space="preserve">Maintain Relationships with Current Customers. </w:t>
      </w:r>
      <w:r>
        <w:rPr>
          <w:rFonts w:ascii="Arial" w:cs="Arial" w:eastAsia="Arial" w:hAnsi="Arial"/>
          <w:sz w:val="18"/>
          <w:szCs w:val="18"/>
          <w:color w:val="auto"/>
        </w:rPr>
        <w:t>In order to help foster robust contract renewals, our account management and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proxy statement/prospectus.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9" w:name="page300"/>
    <w:bookmarkEnd w:id="299"/>
    <w:p>
      <w:pPr>
        <w:jc w:val="both"/>
        <w:ind w:firstLine="648"/>
        <w:spacing w:after="0" w:line="257" w:lineRule="auto"/>
        <w:rPr>
          <w:sz w:val="20"/>
          <w:szCs w:val="20"/>
          <w:color w:val="auto"/>
        </w:rPr>
      </w:pPr>
      <w:r>
        <w:rPr>
          <w:rFonts w:ascii="Arial" w:cs="Arial" w:eastAsia="Arial" w:hAnsi="Arial"/>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Adjusted Gross Profit is calculated as gross profit adjusted to add back depreciation and hardware repair expenses related to COVID.</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 Ended June 30,</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repair expenses related to COVID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Adjusted Gross Profit includes impairment of returned lease tablets of $0.6 million and $3.0 million for the fiscal year ended June 30, 2022 and the fiscal year ended June 30,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EBITDA is defined as net loss, adjusted to exclude interest, other income (expense), net, income taxes, depreciation and amortization expense, stock-based compensation expense, fair value adjustments on warrant liabilities and convertible promissory notes, and hardware repair expenses related to COVID and COVID-related expenses due to damage from liquid ingress.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0" w:name="page301"/>
    <w:bookmarkEnd w:id="300"/>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Year Ended June 30,</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4,664</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(2,632)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2,907</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1,909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20,528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 repair expense related to COVID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(16,043</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Adjusted EBITDA includes impairment of returned lease tablets of $0.6 million and $3.0 million for the fiscal year ended June 30, 2022 and the year ended June 30, 2021, respectively.</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one primary key performance indicator to evaluate our operational and financial performance: net revenue retention.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 For the fiscal year ended June 30, 2022, our net revenue retention was 102% while for the fiscal year ended June 30, 2021, it was 137%. Having digested expansion within our current customer base by the middle of 2021 which fueled the prior year net revenue retention metric, during the fiscal year ended June 30, 2022, we either signed or expanded three new named logos, entering into a new “land” cycle of growth. As these new customers start to rollout and expand their location counts, we expect net revenue retention to increase in fiscal year 2022.</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of our Customers’ Revenue Growth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Additional Products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Locations Per Customer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New Locations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Development of New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experience seasonality in our financial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from two main sources that are further described below: (1) platform revenue and (2) transaction revenue.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Platform revenue is generated from fees charged to customers for access to Presto Touch product and is recognized ratably. Revenue generated from Voice and Vision products was not material for the fiscal years ended June 30, 2022 and 2021.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Vision and Voice products. Shipping/freight costs consist of all costs to transport equipment to customers. Installation costs include the labor cost to install the hardware in each restaurant. Other costs include the amortization of capitalized software and product support costs.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6"/>
          <w:szCs w:val="16"/>
          <w:b w:val="1"/>
          <w:bCs w:val="1"/>
          <w:color w:val="auto"/>
        </w:rPr>
        <w:t>RMA</w:t>
      </w:r>
      <w:r>
        <w:rPr>
          <w:rFonts w:ascii="Arial" w:cs="Arial" w:eastAsia="Arial" w:hAnsi="Arial"/>
          <w:sz w:val="16"/>
          <w:szCs w:val="16"/>
          <w:color w:val="auto"/>
        </w:rPr>
        <w:t>”) process as of the reporting period, which get charged to platform cost of revenue. Our hardware repair expense was higher in the fiscal year ended June 30, 2022 and fiscal year ended 2021 due to COVID-related volume, whereby customers sent back tablets either simply to be checked or reset, or for cosmetic reasons or minor repairs.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revenue share agreement range on average between 70% and 90% of premium content revenue by customer logo.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firstLine="648"/>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employee-related costs associated with maintenance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 customers and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primarily of expenses related to facilities, finance,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personnel and systems. General and administrative expenses also include costs related to fees paid for certain professional services, including legal, tax and accounting services and bad debt expenses.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Loss on infrequent product repairs expenses consist primarily of charges incurred in connection with hardware returned for repair or replacement using an RMA. While we have incurred RMA charges in the past, in the fiscal years ended June 30, 2022 and the fiscal year ended June 30,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standard warranty that we provide covers regular wear and tear and does not cover any damage caused by mishandling of the product. However, given the nature of issues, in order to prevent disruption to our customers’ businesses, we incurred approximately $0.6 million and $3.3 million of repair and replacement expenses related to this issue during the fiscal years ended June 30, 2022 and 2021.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Convertible Promissory Notes and Embedded Warrants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(expense), net consists of income of $2.6 million due to the forgiveness of our PPP loan in the fiscal years ended June 30, 2022 and the loss on debt extinguishment of one of our term loans in the fiscal years ended June 30, 2021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primarily consists of interest incurred on our financing obligations, convertible promissory notes and outstanding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Fiscal years Ended June 30,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fiscal years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Fiscal years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20,053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19,274</w:t>
            </w: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10,298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10,638</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18,687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14,813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8,998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8,497</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2,033</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5,554</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29,718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28,864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14,985</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6,640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2,895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4,344</w:t>
            </w:r>
          </w:p>
        </w:tc>
      </w:tr>
      <w:tr>
        <w:trPr>
          <w:trHeight w:val="237"/>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3,342</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(33,214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(24,518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(5,434)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(4,664)</w:t>
            </w: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2,632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(25,261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(benefit)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23</w:t>
            </w:r>
          </w:p>
        </w:tc>
      </w:tr>
      <w:tr>
        <w:trPr>
          <w:trHeight w:val="25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50"/>
        </w:trPr>
        <w:tc>
          <w:tcPr>
            <w:tcW w:w="59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revenue increased 1% to $30.4 million for the fiscal years ended June 30, 2022, as compared to $29.9 million for the fiscal years ended June 30, 2021.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Platform revenue increased 4% to $20.1 million for the fiscal years ended June 30, 2022, as compared to $19.3 million for the fiscal years ended June 30, 2021. The increase was attributable to growth in our existing Presto Touch customers, partially offset by a contract termination by certain franchisees of one of our primary enterprise customer relationships whereby some of their smaller franchisees were impacted by repeat waves of COVID-19 and had to close down or heavily cut costs in 2021.</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Transaction revenue decreased 3% to $10.3 million for the fiscal years ended June 30, 2022, as compared to $10.6 million for the fiscal years ended June 30, 2021. This is due to contract terminations by certain franchisees of one of our primary enterprise customer relationships whereby some of its smaller franchisees were impacted by repeat waves of COVID-19 and had to close down or heavily cut costs beginning late fiscal year 2021 and through fiscal year 2022. Refer to the section below entitled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for further details on customer concentration.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648"/>
        <w:spacing w:after="0" w:line="254" w:lineRule="auto"/>
        <w:rPr>
          <w:sz w:val="20"/>
          <w:szCs w:val="20"/>
          <w:color w:val="auto"/>
        </w:rPr>
      </w:pPr>
      <w:r>
        <w:rPr>
          <w:rFonts w:ascii="Arial" w:cs="Arial" w:eastAsia="Arial" w:hAnsi="Arial"/>
          <w:sz w:val="18"/>
          <w:szCs w:val="18"/>
          <w:color w:val="auto"/>
        </w:rPr>
        <w:t>At present, the substantial majority of our revenue is generated from our three largest customers (including, as applicable, the franchisees of such restaurants aggregated as a single customer for reporting purposes), which in the fiscal years ended June 30, 2022 and 2021, generated an aggregate of approximately, 93% of our revenue. The successful renewal of our agreements with those customers is critical to our near-term results of operations and is dependent on product execution, key customer relationships, and in part, the health of the franchisees of our customers that have a predominantly franchised model. Although we experienced customer relationship cancellations with the enterprise and certain associated franchisees under our third largest customer, the most significant franchisee relationships are still in business or have renewed with us. Each of these agreements requires a renewal in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8,998</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3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(3,521)</w:t>
            </w: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costs of revenue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28,864</w:t>
            </w:r>
          </w:p>
        </w:tc>
        <w:tc>
          <w:tcPr>
            <w:tcW w:w="2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revenue increased 3% to $29.7 million for the fiscal years ended June 30, 2022, as compared to $28.9 million for the fiscal years ended June 30, 2021.</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platform cost of revenue increased 26% to $18.7 million for the fiscal years ended June 30, 2022, as compared to $14.8 million for the fiscal years ended June 30, 2021. The $3.9 million increase was primarily attributable to increases in refurbished shipments in inventory costs during the fiscal years ended June 30, 2021 as a result of the COVID-19 pandemic.</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transaction cost of revenue increased 6% to $9.0 million for the fiscal years ended June 30, 2022, as compared to $8.5 million for the fiscal years ended June 30, 2021. The $0.5 million increase was primarily attributable to an expanded base of revenues from customers that had a lower transaction revenue share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Depreciation and Impairment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depreciation and impairment cost of revenue decreased 63% to $2.0 million for the fiscal years ended June 30, 2022, as compared to $5.6 million for the fiscal years ended June 30, 2021. The $3.5 million decrease was primarily attributable to the return of leased tablets beginning in January of 2021 through the end of fiscal year ended June 30, 2021 and throughout the fiscal year ended June 30, 2022, which resulted in an impairment charge of $0.6 million and $3.0 million during the fiscal years ended June 30, 2022 and 2021, respectively, and the leased tablets were not redeployed. Accordingly, depreciation of tablets in use declined from $2.6 million during the fiscal year ended June 30, 2021 to $1.4 million during the fiscal year ended June 30, 2022, due to a lower amount of tablets in use and being depreciated.</w:t>
      </w:r>
    </w:p>
    <w:p>
      <w:pPr>
        <w:sectPr>
          <w:pgSz w:w="11900" w:h="16838" w:orient="portrait"/>
          <w:cols w:equalWidth="0" w:num="1">
            <w:col w:w="11240"/>
          </w:cols>
          <w:pgMar w:left="320" w:top="908" w:right="3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Loss on infrequent product repairs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20" w:type="dxa"/>
            <w:vAlign w:val="bottom"/>
            <w:gridSpan w:val="5"/>
          </w:tcPr>
          <w:p>
            <w:pPr>
              <w:ind w:left="26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16,778</w:t>
            </w:r>
          </w:p>
        </w:tc>
        <w:tc>
          <w:tcPr>
            <w:tcW w:w="2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14,985</w:t>
            </w:r>
          </w:p>
        </w:tc>
        <w:tc>
          <w:tcPr>
            <w:tcW w:w="2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1,793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3,745</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9,847</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5,503</w:t>
            </w:r>
          </w:p>
        </w:tc>
        <w:tc>
          <w:tcPr>
            <w:tcW w:w="3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(2,760)</w:t>
            </w:r>
          </w:p>
        </w:tc>
        <w:tc>
          <w:tcPr>
            <w:tcW w:w="3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25,566</w:t>
            </w:r>
          </w:p>
        </w:tc>
        <w:tc>
          <w:tcPr>
            <w:tcW w:w="22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8,281</w:t>
            </w:r>
          </w:p>
        </w:tc>
        <w:tc>
          <w:tcPr>
            <w:tcW w:w="3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908" w:right="339" w:bottom="1440" w:gutter="0" w:footer="0" w:header="0"/>
          <w:type w:val="continuous"/>
        </w:sectPr>
      </w:pPr>
    </w:p>
    <w:p>
      <w:pPr>
        <w:spacing w:after="0" w:line="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Operating expenses increased by 32% to $33.8 million for the fiscal years ended June 30, 2022, as compared to $25.6 million for the fiscal years ended June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07" w:name="page308"/>
    <w:bookmarkEnd w:id="307"/>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increased 12% to $16.8 million for the fiscal years ended June 30, 2022, as compared to $15.0 million for the fiscal years ended June 30, 2021. The increase resulted primarily from an increase in outside services expense, employee-related costs and overhead allocation during the fiscal years ended June 30, 2021 due to a reduction in headcount and a reduction in travel-related expenses driven by changes in our operations, all as a result of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129% to $6.6 million for the fiscal years ended June 30, 2022, as compared to $2.9 million for the fiscal years ended June 30, 2021. The increase resulted primarily from an increased focus on sales, marketing and customer success fueled by headcount expansion in the fiscal year ended June 30, 2022. During the fiscal year ended June 30, 2021 there was a temporary reduction in employee-related costs and overhead allocation due to a reduction in headcount and a reduction in travel-related expenses driven by changes in our operations, all as a result of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expenses increased 127% to $9.8 million for the fiscal years ended June 30, 2022, as compared to $4.3 million for the fiscal years ended June 30, 2021. The increase resulted primarily from an increase in headcount in the fiscal years ended June 30, 2022, as well as an increase in legal expense, accounting services expense and temporary services expenses that did not meet the criteria to be classified as deferred transaction costs as the company was in the midst of pursuing a de-SPAC transaction, partially offset by a decrease in bad debt expense related to recoveries for previously written off accounts receivable. The increase also resulted from a temporary reduction in employee-related costs and overhead allocation during the fiscal years ended June 30, 2021 due to a reduction in headcount and a reduction in travel-related expenses driven by changes in our operations, all as a result of the COVID-19 pandemic.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 on infrequent product repairs decreased 83% to $0.6 million for the fiscal years ended June 30, 2022, as compared to $3.3 million for the fiscal years ended June 30, 2021, respectively, as a result of a decrease in the repair and replacement expenses related to damage caused to hardware caused by our customers’ use of extremely strong commercial disinfectant solutions to clean the hardware devices as a mandatory precaution protocol due to COVID-19 in the fiscal years ended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fiscal years ended June 30, 2022, the loss on change in fair value of warrants and convertible promissory notes increased 3% to $20.5 million, as compared to $20.0 million in the fiscal years ended June 30, 2021. This change was primarily driven by the remeasurement of our convertible promissory notes, which we account for under the fair value option and accordingly remeasure to fair value at each balance sheet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8" w:name="page309"/>
    <w:bookmarkEnd w:id="308"/>
    <w:p>
      <w:pPr>
        <w:jc w:val="both"/>
        <w:ind w:firstLine="648"/>
        <w:spacing w:after="0" w:line="257" w:lineRule="auto"/>
        <w:rPr>
          <w:sz w:val="20"/>
          <w:szCs w:val="20"/>
          <w:color w:val="auto"/>
        </w:rPr>
      </w:pPr>
      <w:r>
        <w:rPr>
          <w:rFonts w:ascii="Arial" w:cs="Arial" w:eastAsia="Arial" w:hAnsi="Arial"/>
          <w:sz w:val="18"/>
          <w:szCs w:val="18"/>
          <w:color w:val="auto"/>
        </w:rPr>
        <w:t>As of June 30, 2022, the Company had convertible notes with a carrying amount of $51.8 million, which were remeasured to a fair value of $89.6 million. As of June 30, 2021, we had convertible notes with a carrying amount of $43.7 million, which were remeasured to a fair value of $62.6 million. The primary factor affecting the change in fair value of the notes was that a higher probability was assigned to conversion upon a next financing in a public liquidity event for the fiscal years ended June 30, 2022. Further, the change was also driven by an increase in the volume of notes outstanding as compared to June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(expense), net increased to a $2.6 million gain for the fiscal years ended June 30, 2022, as compared to a $0.6 million loss for the fiscal years ended June 30, 2021. The increase was due to the forgiveness of one of our PPP loans during the fiscal years ended June 30, 2022 and a loss on debt extinguishment of one of our term loans in the fiscal years ended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increased 17% to $5.4 million for the fiscal years ended June 30, 2022, as compared to $4.7 million for the fiscal years ended June 30, 2021. The increase was due to the Company having more interest bearing debt outstanding during fiscal year ended June 30, 2022 as compared to the fiscal year ended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(Benefit) Provision for Income Taxes</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0"/>
              </w:rPr>
              <w:t>Fiscal Year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398"/>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(Benefit) provision for income taxes was a benefit of $0.2 million in the fiscal years ended June 30, 2022, as compared to a provision of $23 thousand in the fiscal years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and June 30, 2021, our principal sources of liquidity were cash and cash equivalents of $3.0 million and $36.9 million, respectively, which were held for working capital purposes.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we have financed our operations primarily through income from operations, financing transactions such as the issuance of convertible promissory notes and loans, and sales of convertible preferred stock. We have incurred recurring losses since our inception, including net losses of $56.3 million and $49.8 million for the fiscal years ended June 30, 2022 and the fiscal year ended June 30, 2021, respectively. As of June 30, 2022, we had an accumulated deficit of $200.7 million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9" w:name="page310"/>
    <w:bookmarkEnd w:id="309"/>
    <w:p>
      <w:pPr>
        <w:jc w:val="both"/>
        <w:ind w:firstLine="648"/>
        <w:spacing w:after="0" w:line="301" w:lineRule="auto"/>
        <w:rPr>
          <w:sz w:val="20"/>
          <w:szCs w:val="20"/>
          <w:color w:val="auto"/>
        </w:rPr>
      </w:pPr>
      <w:r>
        <w:rPr>
          <w:rFonts w:ascii="Arial" w:cs="Arial" w:eastAsia="Arial" w:hAnsi="Arial"/>
          <w:sz w:val="16"/>
          <w:szCs w:val="16"/>
          <w:color w:val="auto"/>
        </w:rPr>
        <w:t>We expect that the cash received from the Business Combination will support a significant portion of our cash needs in the next twelve months. Such cash needs include repaying financing obligations and other general corporate costs, as well funding to support the continued expansion of the business. While we experienced significant net cash inflows from the Business Combination, we believe additional financing sources may be needed in shorter term, as well as longer term. However, there can be no assurance that we can obtain these funds on acceptable terms or at all.</w:t>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anticipate future capital needs and accordingly the needs for additional funding raises substantial doubt about our ability to continue as a going concern. Our future capital requirements will depend on many factors, including the revenue growth rate, renewal activity, the success of future product development and capital investment required, and the timing and extent of spending to support further sales and marketing and research and development efforts. In addition, we expect to incur additional costs as a result of operating as a public company.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Fiscal Years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(2,213)</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(546)</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15,620</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57,040</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32,722</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fiscal years ended June 30, 2022, net cash used in operating activities was $47.3 million. This consisted of our net loss of $56.3 million and a net use of cash from changes in operating assets and liabilities of $14.3 million partially offset by adjustments for non-cash charges of $23.3 million. The net use of cash from changes in operating assets and liabilities primarily relate to decreases in deferred revenue of $14.9 million, vendor financing facility of $6.8 million, accounts payable of $3.3 million and accrued liabilities of $3.6 million, partially offset by decreases in deferred costs of $11.4 million and decreases in inventories of $2.5 million. The non-cash adjustments primarily relate to change in fair value of convertible promissory notes of $18.9 million, change in fair value of our liability-classified warrants of $1.6 million, depreciation, amortization and impairment of $2.4 million, stock-based compensation expense of $1.9 million and amortization of debt discounts of $1.2 million partially offset by forgiveness of one of our PPP loans of $2.6 million.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fiscal years ended June 30, 2021, net cash used in operating activities was $23.8 million. This consisted of our net loss of $49.8 million and a net use of cash from changes in operating assets and liabilities of $1.4 million, partially offset by adjustments for non-cash charges of $27.4 million. The net use of cash from changes in operating assets and liabilities primarily relate to decreases in deferred revenue of $12.4 million and accounts payable of $1.2 million, partially offset by decreases in deferred costs of $8.1 million, increases in accrued liabilities of $2.2 million and decreases in inventories of $1.4 million. The non-cash adjustments primarily relate to changes in the fair value of convertible promissory notes of $18.9 million, amortization of debt discounts of $1.2 million and depreciation, amortization and impairment of $5.9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fiscal year ended June 30, 2021, cash used in investing activities was $0.5 million which primarily consisted of cash outflows for capitalized software of $0.5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fiscal year ended June 30, 2022, cash provided by financing activities was $15.6 million, which consisted primarily of proceeds from term loans of $12.6 million and from the issuance of convertible promissory notes of $8.2 million, partially offset by principal payments of financing obligations of $2.4 million, payment of debt issuance costs of $1.3 million, and payment of deferred transactions costs of $1.6 million.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fiscal year ended June 30, 2021, cash provided by financing activities was $57.0 million, which consisted primarily of proceeds from the issuance of convertible promissory notes of $43.7 million, from the issuance of term loans of $15.0 million, from the issuance of financing obligations of $6.2 million and from PPP loans of $2.0 million, partially offset by repayment of term loans of $6.2 million, principal payments of financing obligations of $2.4 million and payment of debt issuance costs of $1.2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Financing Obligations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As of June 30, 2022 and 2021, the Company’s financing obligations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Vendor financing facility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Receivable financing facility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5,911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financing facility</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2,929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financing obligations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8,840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18,535</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financing obligations, current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Total financing obligations, non-current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2,772</w:t>
            </w:r>
          </w:p>
        </w:tc>
        <w:tc>
          <w:tcPr>
            <w:tcW w:w="80" w:type="dxa"/>
            <w:vAlign w:val="bottom"/>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Financing Facility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interest-bearing vendor financing arrangement used to finance certain inventory purchases. The arrangement extends the repayment terms of normal invoices beyond the original due date and as such is classified outside of accounts payable on our consolidated balance sheet. Through the agreement, payments are made over the course of an 18-month term, with the unpaid balance bearing interest at a rate of 18%-26%. As of June 30, 2021 we had an outstanding principal balance of $6.8 million. As of June 30, 2022 we had no financial obligations related to the vendor financing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15, 2021, November 16, 2021, February 22, 2022 and May 31, 2022, in accordance with the terms of the receivable financing facility, we rolled forward the receivable financing facility, enabling us to continue our quarterly borrowings for a minimum of twelve-months. Subject to the approval of the financier, we expect to continue rolling forward the receivable financing facility. We intend to repay the borrowings under this receivable financing facility using the proceeds that we receive in connection with the closing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1" w:name="page312"/>
    <w:bookmarkEnd w:id="311"/>
    <w:p>
      <w:pPr>
        <w:jc w:val="both"/>
        <w:ind w:firstLine="648"/>
        <w:spacing w:after="0" w:line="301" w:lineRule="auto"/>
        <w:rPr>
          <w:sz w:val="20"/>
          <w:szCs w:val="20"/>
          <w:color w:val="auto"/>
        </w:rPr>
      </w:pPr>
      <w:r>
        <w:rPr>
          <w:rFonts w:ascii="Arial" w:cs="Arial" w:eastAsia="Arial" w:hAnsi="Arial"/>
          <w:sz w:val="16"/>
          <w:szCs w:val="16"/>
          <w:color w:val="auto"/>
        </w:rPr>
        <w:t>In fiscal year 2022, we postponed payments on certain arrangements with third party financiers. As of the filing date of this report, we postponed the required monthly payments from April 2022 through September 2022. Non-payment under the arrangements permits the financiers to declare the amounts owed under the arrangement due and payable and exercise their right to secure the tablets under lease. Although we intend to repay, we reclassified all of our obligations under these arrangements that are in default short-term within financing obligations, current as of June 30,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660"/>
              <w:spacing w:after="0"/>
              <w:rPr>
                <w:sz w:val="20"/>
                <w:szCs w:val="20"/>
                <w:color w:val="auto"/>
              </w:rPr>
            </w:pPr>
            <w:r>
              <w:rPr>
                <w:rFonts w:ascii="Arial" w:cs="Arial" w:eastAsia="Arial" w:hAnsi="Arial"/>
                <w:sz w:val="18"/>
                <w:szCs w:val="18"/>
                <w:color w:val="auto"/>
                <w:w w:val="99"/>
              </w:rPr>
              <w:t>As of June 30, 2022 and 2021, our outstanding debt, net of debt discounts,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PPP Loans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117,106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81,191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(115,106)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debt, noncurrent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68,738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July 2020 Notes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2020, we issued convertible promissory notes (the “</w:t>
      </w:r>
      <w:r>
        <w:rPr>
          <w:rFonts w:ascii="Arial" w:cs="Arial" w:eastAsia="Arial" w:hAnsi="Arial"/>
          <w:sz w:val="17"/>
          <w:szCs w:val="17"/>
          <w:b w:val="1"/>
          <w:bCs w:val="1"/>
          <w:color w:val="auto"/>
        </w:rPr>
        <w:t>July 2020 Notes</w:t>
      </w:r>
      <w:r>
        <w:rPr>
          <w:rFonts w:ascii="Arial" w:cs="Arial" w:eastAsia="Arial" w:hAnsi="Arial"/>
          <w:sz w:val="17"/>
          <w:szCs w:val="17"/>
          <w:color w:val="auto"/>
        </w:rPr>
        <w:t>”) in the amount of $5.5 million with an annual interest rate of 5%. The July 2020 Notes mature at the earlier of (a) 18 months from the note issuance date or (b) an event of default. If the July 2020 Notes have not converted prior to maturity, then at maturity the outstanding principal and accrued interest shall be automatically converted into shares of common stock based on a per-share conversion price equal to (a) $310.0 million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we issue shares of Conversion Stock in the Next Financing or (ii) the quotient obtained by dividing (a) $310.0 million by (b) the Fully Diluted Capitalization as of immediately prior to the closing of the Next Financing.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 million by (b) the Fully Diluted Capitalization as of immediately prior to the closing of the public liquidity event. In November 2021, we amended our July 2020 Notes to remove the note holders option to elect repayment in cash at maturity. In January 2022, we amended our July 2020 Notes to extend the maturity date to the earlier of (a) March 31, 2022 or (b) an event of default.</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Concurrent with the issuance of the July 2020 Notes, we issued warrants to purchase common stock at an exercise price of $0.01 which expire in July 2025. The warrants were determined to not be freestanding financial instruments and are embedded in the convertible notes.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2" w:name="page313"/>
    <w:bookmarkEnd w:id="312"/>
    <w:p>
      <w:pPr>
        <w:ind w:left="660"/>
        <w:spacing w:after="0"/>
        <w:rPr>
          <w:sz w:val="20"/>
          <w:szCs w:val="20"/>
          <w:color w:val="auto"/>
        </w:rPr>
      </w:pPr>
      <w:r>
        <w:rPr>
          <w:rFonts w:ascii="Arial" w:cs="Arial" w:eastAsia="Arial" w:hAnsi="Arial"/>
          <w:sz w:val="18"/>
          <w:szCs w:val="18"/>
          <w:b w:val="1"/>
          <w:bCs w:val="1"/>
          <w:color w:val="auto"/>
        </w:rPr>
        <w:t>Third Quarter 2021 Notes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January 2021 through March 2021 we issued convertible promissory notes (the “</w:t>
      </w:r>
      <w:r>
        <w:rPr>
          <w:rFonts w:ascii="Arial" w:cs="Arial" w:eastAsia="Arial" w:hAnsi="Arial"/>
          <w:sz w:val="16"/>
          <w:szCs w:val="16"/>
          <w:b w:val="1"/>
          <w:bCs w:val="1"/>
          <w:color w:val="auto"/>
        </w:rPr>
        <w:t>Q3 2021 Notes</w:t>
      </w:r>
      <w:r>
        <w:rPr>
          <w:rFonts w:ascii="Arial" w:cs="Arial" w:eastAsia="Arial" w:hAnsi="Arial"/>
          <w:sz w:val="16"/>
          <w:szCs w:val="16"/>
          <w:color w:val="auto"/>
        </w:rPr>
        <w:t>”) in the amount of $18.2 million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Presto (with terms substantially similar to our Series C Preferred Stock, including a pari passu liquidation preference with our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financing of private preferred stock, the entire outstanding principal and accrued interest shall automatically be cancelled and converted into that number of shares of private preferred stock sold in such next financing as obtained by dividing (a) the entire principal and accrued interest balance by the conversion price. The conversion price being 85% of the lowest per-share selling price at which we issue shares of private preferred stock to new-money investors in the next financing. Upon a change in control or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we issue shares of Conversion Stock to new-money investors in the Next Financing.</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 with the issuance of the Q3 2021 Notes, we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June 2021 Notes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June 2021, we issued convertible promissory notes (the “</w:t>
      </w:r>
      <w:r>
        <w:rPr>
          <w:rFonts w:ascii="Arial" w:cs="Arial" w:eastAsia="Arial" w:hAnsi="Arial"/>
          <w:sz w:val="16"/>
          <w:szCs w:val="16"/>
          <w:b w:val="1"/>
          <w:bCs w:val="1"/>
          <w:color w:val="auto"/>
        </w:rPr>
        <w:t>June 2021 Notes</w:t>
      </w:r>
      <w:r>
        <w:rPr>
          <w:rFonts w:ascii="Arial" w:cs="Arial" w:eastAsia="Arial" w:hAnsi="Arial"/>
          <w:sz w:val="16"/>
          <w:szCs w:val="16"/>
          <w:color w:val="auto"/>
        </w:rPr>
        <w:t>”) in the total amount of $20.0 million with an annual interest rate of 5%. The June 2021 Notes were set to mature at the earlier of (a) 20 months from the note issuance date or (b) an event of default. If the notes had not converted prior to maturity, then at maturity the outstanding principal and accrued interest would have been automatically converted into senior preferred stock of the Company based on a per share conversion price equal to the quotient obtained by dividing (a) $600.0 million by (b) the Fully Diluted Capitalization as of immediately prior to the closing of the Maturity Date. Prior to maturity and upon the closing of a qualified next financing of private preferred stock, the entire outstanding principal and accrued interest would have been automatically been cancelled and converted, or in the case of a nonqualified financing at the option of the holder would have been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 million by (b) the Fully Diluted Capitalization as of immediately prior to the closing of the next financing or public liquidity event The June 2021 Notes were settled with the issuance of the February 2022 Note.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July 2021 Notes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July 2021, we issued convertible promissory notes (the “</w:t>
      </w:r>
      <w:r>
        <w:rPr>
          <w:rFonts w:ascii="Arial" w:cs="Arial" w:eastAsia="Arial" w:hAnsi="Arial"/>
          <w:sz w:val="16"/>
          <w:szCs w:val="16"/>
          <w:b w:val="1"/>
          <w:bCs w:val="1"/>
          <w:color w:val="auto"/>
        </w:rPr>
        <w:t>July 2021 Notes</w:t>
      </w:r>
      <w:r>
        <w:rPr>
          <w:rFonts w:ascii="Arial" w:cs="Arial" w:eastAsia="Arial" w:hAnsi="Arial"/>
          <w:sz w:val="16"/>
          <w:szCs w:val="16"/>
          <w:color w:val="auto"/>
        </w:rPr>
        <w:t>”) in the total amount of $0.5 million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 million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 million by (b) the Fully Diluted Capitalization as of immediately prior to the closing of the next financing or public liquidity event.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ind w:left="660"/>
        <w:spacing w:after="0"/>
        <w:rPr>
          <w:sz w:val="20"/>
          <w:szCs w:val="20"/>
          <w:color w:val="auto"/>
        </w:rPr>
      </w:pPr>
      <w:r>
        <w:rPr>
          <w:rFonts w:ascii="Arial" w:cs="Arial" w:eastAsia="Arial" w:hAnsi="Arial"/>
          <w:sz w:val="18"/>
          <w:szCs w:val="18"/>
          <w:b w:val="1"/>
          <w:bCs w:val="1"/>
          <w:color w:val="auto"/>
        </w:rPr>
        <w:t>February 2022 Notes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February 2022, we issued a convertible promissory note (the “</w:t>
      </w:r>
      <w:r>
        <w:rPr>
          <w:rFonts w:ascii="Arial" w:cs="Arial" w:eastAsia="Arial" w:hAnsi="Arial"/>
          <w:sz w:val="16"/>
          <w:szCs w:val="16"/>
          <w:b w:val="1"/>
          <w:bCs w:val="1"/>
          <w:color w:val="auto"/>
        </w:rPr>
        <w:t>February 2022 Note</w:t>
      </w:r>
      <w:r>
        <w:rPr>
          <w:rFonts w:ascii="Arial" w:cs="Arial" w:eastAsia="Arial" w:hAnsi="Arial"/>
          <w:sz w:val="16"/>
          <w:szCs w:val="16"/>
          <w:color w:val="auto"/>
        </w:rPr>
        <w:t>”) in the amount of $25.7 million with an annual interest rate of 5%. The February 2022 Notes settled indebtedness of $20.7 million, which includes accrued interest, related to the June 2021 Note and included $5.0 million of cash proceeds. The February 2022 Notes mature at the earlier of (a) December 20, 2022 or (b) an event of default. If the February 2022 Notes have not converted prior to maturity, then at maturity the outstanding principal and accrued interest shall be automatically converted into senior preferred stock of the Company based on a per share conversion price equal to the quotient obtained by dividing (a) $535.0 million by (b) the Fully Diluted Capitalization as of immediately prior to the closing of the Maturity Date. Prior to maturity and upon the closing of a qualified next financing of private preferred stock,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(b) the conversion price. The conversion price being the lower of (i) 85% of the lowest per-share selling price at which the Company issues shares of preferred stock to new-money investors in such financing or</w:t>
      </w:r>
    </w:p>
    <w:p>
      <w:pPr>
        <w:spacing w:after="0" w:line="1" w:lineRule="exact"/>
        <w:rPr>
          <w:sz w:val="20"/>
          <w:szCs w:val="20"/>
          <w:color w:val="auto"/>
        </w:rPr>
      </w:pPr>
    </w:p>
    <w:p>
      <w:pPr>
        <w:ind w:firstLine="8"/>
        <w:spacing w:after="0" w:line="260" w:lineRule="auto"/>
        <w:tabs>
          <w:tab w:leader="none" w:pos="27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quotient obtained by dividing (a) $535.0 million by (b) the Fully Diluted Capitalization as of immediately prior to the closing of the next financing or public liquidity event.</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May 2022 Notes – </w:t>
      </w:r>
      <w:r>
        <w:rPr>
          <w:rFonts w:ascii="Arial" w:cs="Arial" w:eastAsia="Arial" w:hAnsi="Arial"/>
          <w:sz w:val="16"/>
          <w:szCs w:val="16"/>
          <w:color w:val="auto"/>
        </w:rPr>
        <w:t>In May 2022, the Company issued convertible promissory notes (“May 2022 Notes”) in the amount of $2.7 million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 million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3" w:lineRule="exact"/>
        <w:rPr>
          <w:sz w:val="20"/>
          <w:szCs w:val="20"/>
          <w:color w:val="auto"/>
        </w:rPr>
      </w:pPr>
    </w:p>
    <w:p>
      <w:pPr>
        <w:ind w:firstLine="8"/>
        <w:spacing w:after="0" w:line="260" w:lineRule="auto"/>
        <w:tabs>
          <w:tab w:leader="none" w:pos="27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quotient obtained by dividing (a) $535.0 million by (b) the Fully Diluted Capitalization as of immediately prior to the closing of the next financing or public liquidity event.</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concluded that the convertible promissory notes were eligible to apply the fair value option under ASC 825, accordingly we elected to account for the convertible notes at fair value and to report interest costs as a component of the fair value measurement during each reporting period. At June 30, 2022, and June 30, 2021, the remeasured value of the convertible promissory notes was $89.7 million and $62.6 million, respectively, and we recorded a loss on remeasurement of $18.9 million and $18.9 million during the fiscal years ended June 30, 2022 and the fiscal year ended June 30, 2021.</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convertible promissory notes and embedded warrants, including the July 2020 Notes, the Q3 2021 Notes, the July 2021 Notes, the February 2022 Note, and the May 2022 Notes, were converted into an aggregate of 10,060,158 shares of our common stock immediately prior to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Horizon Loan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4, 2021, the Company entered into a loan agreement (the “Horizon Loan”) with Horizon Technology Finance Corporation (“Horizon”),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4" w:name="page315"/>
    <w:bookmarkEnd w:id="314"/>
    <w:p>
      <w:pPr>
        <w:jc w:val="both"/>
        <w:ind w:firstLine="648"/>
        <w:spacing w:after="0" w:line="308" w:lineRule="auto"/>
        <w:rPr>
          <w:sz w:val="20"/>
          <w:szCs w:val="20"/>
          <w:color w:val="auto"/>
        </w:rPr>
      </w:pPr>
      <w:r>
        <w:rPr>
          <w:rFonts w:ascii="Arial" w:cs="Arial" w:eastAsia="Arial" w:hAnsi="Arial"/>
          <w:sz w:val="17"/>
          <w:szCs w:val="17"/>
          <w:color w:val="auto"/>
        </w:rPr>
        <w:t>As of June 30, 2022, the Company was in compliance with the loan covenants. As of June 30, 2022 and June 30, 2021, the Company had an outstanding gross balance of $15.0 million on the Horizon loan, and an unamortized debt discount of $0.6 million and $1.0 million, respectively.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Lago Loans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Refer to Note 11 for further details. As of June 30, 2022, the Company had an outstanding gross balance of $12.7 million on the Lago Loan and an unamortized debt discount of $1.7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Should the loans be forgiven, the forgiven loan balance will be recognized as income at that time. During the fiscal years ended June 30, 2022, we received forgiveness for the first PPP loan of $2.6 million and recognized as Other income (expense), net during the fiscal years ended June 30, 2022. No collateral or personal guarantees were required for the loan. These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6"/>
          <w:szCs w:val="16"/>
          <w:i w:val="1"/>
          <w:iCs w:val="1"/>
          <w:color w:val="auto"/>
        </w:rPr>
        <w:t>Debt</w:t>
      </w:r>
      <w:r>
        <w:rPr>
          <w:rFonts w:ascii="Arial" w:cs="Arial" w:eastAsia="Arial" w:hAnsi="Arial"/>
          <w:sz w:val="16"/>
          <w:szCs w:val="16"/>
          <w:color w:val="auto"/>
        </w:rPr>
        <w:t>. In July 2022, we were granted forgiveness of the second loan in an amount of approximately $2.0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2022 and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These estimates and assumptions affect the reported amounts of assets, liabilities, revenues, expenses and disclosures. Our most significant estimates and judgments are related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 liabilities and impairment of property and equipment.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our audited consolidated financial statements included elsewhere in this proxy statement/prospectus.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fiscal years ended June 30, 2022 and 2021, we derived our revenues from two revenue streams: (1) sales and leases of the Presto Touch product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platform revenue stream is generated from fees charged to customers for access to our Presto Touch products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our newly launched Voice and Vision products were not material during the fiscal year ended June 30, 2022 and 2021.We also maintain arrangements with a certain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1" w:lineRule="exact"/>
        <w:rPr>
          <w:sz w:val="20"/>
          <w:szCs w:val="20"/>
          <w:color w:val="auto"/>
        </w:rPr>
      </w:pPr>
    </w:p>
    <w:p>
      <w:pPr>
        <w:jc w:val="both"/>
        <w:ind w:left="980" w:hanging="324"/>
        <w:spacing w:after="0" w:line="256" w:lineRule="auto"/>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We enter into a master sales agreement (“</w:t>
      </w:r>
      <w:r>
        <w:rPr>
          <w:rFonts w:ascii="Arial" w:cs="Arial" w:eastAsia="Arial" w:hAnsi="Arial"/>
          <w:sz w:val="18"/>
          <w:szCs w:val="18"/>
          <w:b w:val="1"/>
          <w:bCs w:val="1"/>
          <w:color w:val="auto"/>
        </w:rPr>
        <w:t>MSA</w:t>
      </w:r>
      <w:r>
        <w:rPr>
          <w:rFonts w:ascii="Arial" w:cs="Arial" w:eastAsia="Arial" w:hAnsi="Arial"/>
          <w:sz w:val="18"/>
          <w:szCs w:val="18"/>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left="980" w:hanging="324"/>
        <w:spacing w:after="0" w:line="272" w:lineRule="auto"/>
        <w:tabs>
          <w:tab w:leader="none" w:pos="9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7" w:lineRule="exact"/>
        <w:rPr>
          <w:rFonts w:ascii="Arial" w:cs="Arial" w:eastAsia="Arial" w:hAnsi="Arial"/>
          <w:sz w:val="17"/>
          <w:szCs w:val="17"/>
          <w:color w:val="auto"/>
        </w:rPr>
      </w:pPr>
    </w:p>
    <w:p>
      <w:pPr>
        <w:jc w:val="both"/>
        <w:ind w:left="980"/>
        <w:spacing w:after="0" w:line="263" w:lineRule="auto"/>
        <w:rPr>
          <w:rFonts w:ascii="Arial" w:cs="Arial" w:eastAsia="Arial" w:hAnsi="Arial"/>
          <w:sz w:val="17"/>
          <w:szCs w:val="17"/>
          <w:color w:val="auto"/>
        </w:rPr>
      </w:pPr>
      <w:r>
        <w:rPr>
          <w:rFonts w:ascii="Arial" w:cs="Arial" w:eastAsia="Arial" w:hAnsi="Arial"/>
          <w:sz w:val="18"/>
          <w:szCs w:val="18"/>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fiscal year ended June 30, 2022 and 2021.</w:t>
      </w:r>
    </w:p>
    <w:p>
      <w:pPr>
        <w:spacing w:after="0" w:line="183" w:lineRule="exact"/>
        <w:rPr>
          <w:rFonts w:ascii="Arial" w:cs="Arial" w:eastAsia="Arial" w:hAnsi="Arial"/>
          <w:sz w:val="17"/>
          <w:szCs w:val="17"/>
          <w:color w:val="auto"/>
        </w:rPr>
      </w:pPr>
    </w:p>
    <w:p>
      <w:pPr>
        <w:jc w:val="both"/>
        <w:ind w:left="980"/>
        <w:spacing w:after="0" w:line="263" w:lineRule="auto"/>
        <w:rPr>
          <w:rFonts w:ascii="Arial" w:cs="Arial" w:eastAsia="Arial" w:hAnsi="Arial"/>
          <w:sz w:val="17"/>
          <w:szCs w:val="17"/>
          <w:color w:val="auto"/>
        </w:rPr>
      </w:pPr>
      <w:r>
        <w:rPr>
          <w:rFonts w:ascii="Arial" w:cs="Arial" w:eastAsia="Arial" w:hAnsi="Arial"/>
          <w:sz w:val="18"/>
          <w:szCs w:val="18"/>
          <w:color w:val="auto"/>
        </w:rPr>
        <w:t>The Presto Touch product is considered a single performance obligation because each element of the Presto Touch product is interdependent and cannot function independently. The software and hardware represent one combined output and the customer cannot benefit from the use of one element without the other.</w:t>
      </w:r>
    </w:p>
    <w:p>
      <w:pPr>
        <w:spacing w:after="0" w:line="183" w:lineRule="exact"/>
        <w:rPr>
          <w:rFonts w:ascii="Arial" w:cs="Arial" w:eastAsia="Arial" w:hAnsi="Arial"/>
          <w:sz w:val="17"/>
          <w:szCs w:val="17"/>
          <w:color w:val="auto"/>
        </w:rPr>
      </w:pPr>
    </w:p>
    <w:p>
      <w:pPr>
        <w:jc w:val="both"/>
        <w:ind w:left="980"/>
        <w:spacing w:after="0" w:line="254" w:lineRule="auto"/>
        <w:rPr>
          <w:rFonts w:ascii="Arial" w:cs="Arial" w:eastAsia="Arial" w:hAnsi="Arial"/>
          <w:sz w:val="17"/>
          <w:szCs w:val="17"/>
          <w:color w:val="auto"/>
        </w:rPr>
      </w:pPr>
      <w:r>
        <w:rPr>
          <w:rFonts w:ascii="Arial" w:cs="Arial" w:eastAsia="Arial" w:hAnsi="Arial"/>
          <w:sz w:val="18"/>
          <w:szCs w:val="18"/>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94" w:lineRule="exact"/>
        <w:rPr>
          <w:rFonts w:ascii="Arial" w:cs="Arial" w:eastAsia="Arial" w:hAnsi="Arial"/>
          <w:sz w:val="17"/>
          <w:szCs w:val="17"/>
          <w:color w:val="auto"/>
        </w:rPr>
      </w:pPr>
    </w:p>
    <w:p>
      <w:pPr>
        <w:jc w:val="both"/>
        <w:ind w:left="980" w:hanging="324"/>
        <w:spacing w:after="0" w:line="296" w:lineRule="auto"/>
        <w:tabs>
          <w:tab w:leader="none" w:pos="9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61"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 As the Presto Touch product is one combined performance obligation, no reallocation of the contract price is required. Our premium content contract is comprised of one performance obligation and does not require reallocation of the contract price.</w:t>
      </w:r>
    </w:p>
    <w:p>
      <w:pPr>
        <w:spacing w:after="0" w:line="183"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 — As the customer simultaneously receives and consumes the benefits provided by us through continuous access to our SaaS platform, revenue from the Presto Touch product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ind w:firstLine="648"/>
        <w:spacing w:after="0" w:line="277" w:lineRule="auto"/>
        <w:rPr>
          <w:sz w:val="20"/>
          <w:szCs w:val="20"/>
          <w:color w:val="auto"/>
        </w:rPr>
      </w:pPr>
      <w:r>
        <w:rPr>
          <w:rFonts w:ascii="Arial" w:cs="Arial" w:eastAsia="Arial" w:hAnsi="Arial"/>
          <w:sz w:val="18"/>
          <w:szCs w:val="18"/>
          <w:color w:val="auto"/>
        </w:rPr>
        <w:t>We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jc w:val="both"/>
        <w:ind w:left="980" w:hanging="324"/>
        <w:spacing w:after="0" w:line="263" w:lineRule="auto"/>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was calculated using the average of the published interest rates of U.S. Treasury zero-coupon issues with maturities that approximate the expected term. The dividend yield assumption is zero as we have no history of, nor plans to distribute, dividend payments.</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2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 The expected term of the options is based on the average period the stock options are expected to remain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expected stock price volatility for our stock was determined by examining the historical volatilities of our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peers as we did not have any trading history of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Expected dividend yield </w:t>
      </w:r>
      <w:r>
        <w:rPr>
          <w:rFonts w:ascii="Arial" w:cs="Arial" w:eastAsia="Arial" w:hAnsi="Arial"/>
          <w:sz w:val="17"/>
          <w:szCs w:val="17"/>
          <w:color w:val="auto"/>
        </w:rPr>
        <w:t>— The dividend yield assumption is zero as we have no history of, nor plans to distribute, dividend payments.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66"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 1.25%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term (years)</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6.10 – 6.51</w:t>
            </w:r>
          </w:p>
        </w:tc>
        <w:tc>
          <w:tcPr>
            <w:tcW w:w="780" w:type="dxa"/>
            <w:vAlign w:val="bottom"/>
          </w:tcPr>
          <w:p>
            <w:pPr>
              <w:jc w:val="right"/>
              <w:spacing w:after="0"/>
              <w:rPr>
                <w:sz w:val="20"/>
                <w:szCs w:val="20"/>
                <w:color w:val="auto"/>
              </w:rPr>
            </w:pPr>
            <w:r>
              <w:rPr>
                <w:rFonts w:ascii="Arial" w:cs="Arial" w:eastAsia="Arial" w:hAnsi="Arial"/>
                <w:sz w:val="18"/>
                <w:szCs w:val="18"/>
                <w:color w:val="auto"/>
              </w:rPr>
              <w:t>5.45</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6.51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 –</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46.15%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46.24% – 47.74%</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fiscal years ended June 30, 2022 and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6" w:lineRule="exact"/>
        <w:rPr>
          <w:sz w:val="20"/>
          <w:szCs w:val="20"/>
          <w:color w:val="auto"/>
        </w:rPr>
      </w:pPr>
    </w:p>
    <w:p>
      <w:pPr>
        <w:ind w:left="5540" w:right="4040" w:hanging="4884"/>
        <w:spacing w:after="0" w:line="778" w:lineRule="auto"/>
        <w:tabs>
          <w:tab w:leader="none" w:pos="98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jc w:val="both"/>
        <w:ind w:left="980" w:hanging="324"/>
        <w:spacing w:after="0" w:line="263" w:lineRule="auto"/>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Level 3 — Unobservable inputs that are supported by little or no market activity and that are significant to the fair value of the assets.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elected the fair value option to account for the convertible promissory notes and embedded warrants because we believes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and 15% for the principal amount of the convertible promissory notes as of June 30, 2022 and June 30, 2021, respectively. Changes in the fair value of the convertible promissory notes and embedded warrants were included in change in fair value of warrants and convertible promissory notes in the consolidated statement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 During the fiscal years ended June 30, 2022 and 2021, we recorded $0.6 million and $3.0 million in write offs related to the impairment of tablets,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 Adopted</w:t>
      </w:r>
      <w:r>
        <w:rPr>
          <w:rFonts w:ascii="Arial" w:cs="Arial" w:eastAsia="Arial" w:hAnsi="Arial"/>
          <w:sz w:val="17"/>
          <w:szCs w:val="17"/>
          <w:color w:val="auto"/>
        </w:rPr>
        <w:t>” in Note 1 to our audited consolidated financial statements included elsewhere in this proxy statement/prospectus for recently adopted accounting pronouncements and recently issued accounting pronouncements not yet adopted as of the date of this proxy statement/prospectus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operations both in the United States and in Canada, and we are exposed to market risks in the ordinary course of our business. These risks primarily include interest rate, credit and inflation risks. We are not exposed to significant foreign exchange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equivalents, convertible notes and our term loans. Additionally, changes to interest rates will impact the cost of our borrowing. Interest on the Horizon Loan accrues at a floating rate equal to a prime rate plus 6.5%, in addition to a default of 5%. Interest on the Lago Loan accrues at 12% plus the greater of 1% or 30 day LIBOR. Interest rates on the convertible promissory notes and embedded warrants are fixed. Changes in prevailing interest rates could have a material impact on our future results of operations. Specifically, changes in the fair value of our fixed rate convertible notes may occur during a reporting period as the value of such fixed rate instruments change compared to market rates for similar instruments and are impacted by changes in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2640" w:type="dxa"/>
            <w:vAlign w:val="bottom"/>
            <w:gridSpan w:val="5"/>
          </w:tcPr>
          <w:p>
            <w:pPr>
              <w:ind w:left="520"/>
              <w:spacing w:after="0"/>
              <w:rPr>
                <w:sz w:val="20"/>
                <w:szCs w:val="20"/>
                <w:color w:val="auto"/>
              </w:rPr>
            </w:pPr>
            <w:r>
              <w:rPr>
                <w:rFonts w:ascii="Arial" w:cs="Arial" w:eastAsia="Arial" w:hAnsi="Arial"/>
                <w:sz w:val="18"/>
                <w:szCs w:val="18"/>
                <w:b w:val="1"/>
                <w:bCs w:val="1"/>
                <w:color w:val="auto"/>
              </w:rPr>
              <w:t>Fiscal Year Ended</w:t>
            </w:r>
          </w:p>
        </w:tc>
      </w:tr>
      <w:tr>
        <w:trPr>
          <w:trHeight w:val="241"/>
        </w:trPr>
        <w:tc>
          <w:tcPr>
            <w:tcW w:w="8600" w:type="dxa"/>
            <w:vAlign w:val="bottom"/>
          </w:tcPr>
          <w:p>
            <w:pPr>
              <w:spacing w:after="0"/>
              <w:rPr>
                <w:sz w:val="20"/>
                <w:szCs w:val="20"/>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70"/>
        </w:trPr>
        <w:tc>
          <w:tcPr>
            <w:tcW w:w="86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Customer C</w:t>
            </w:r>
            <w:r>
              <w:rPr>
                <w:rFonts w:ascii="Arial" w:cs="Arial" w:eastAsia="Arial" w:hAnsi="Arial"/>
                <w:sz w:val="29"/>
                <w:szCs w:val="29"/>
                <w:color w:val="auto"/>
                <w:vertAlign w:val="superscript"/>
              </w:rPr>
              <w:t>1</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0"/>
        </w:trPr>
        <w:tc>
          <w:tcPr>
            <w:tcW w:w="8600" w:type="dxa"/>
            <w:vAlign w:val="bottom"/>
          </w:tcPr>
          <w:p>
            <w:pPr>
              <w:spacing w:after="0"/>
              <w:rPr>
                <w:sz w:val="20"/>
                <w:szCs w:val="20"/>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418"/>
        </w:trPr>
        <w:tc>
          <w:tcPr>
            <w:tcW w:w="8600" w:type="dxa"/>
            <w:vAlign w:val="bottom"/>
          </w:tcPr>
          <w:p>
            <w:pPr>
              <w:ind w:left="660"/>
              <w:spacing w:after="0"/>
              <w:rPr>
                <w:sz w:val="20"/>
                <w:szCs w:val="20"/>
                <w:color w:val="auto"/>
              </w:rPr>
            </w:pPr>
            <w:r>
              <w:rPr>
                <w:rFonts w:ascii="Arial" w:cs="Arial" w:eastAsia="Arial" w:hAnsi="Arial"/>
                <w:sz w:val="18"/>
                <w:szCs w:val="18"/>
                <w:color w:val="auto"/>
                <w:w w:val="90"/>
              </w:rPr>
              <w:t>The following customers accounted for more than 10% of accounts receivable as of June 30, 2022, and 2021:</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8600" w:type="dxa"/>
            <w:vAlign w:val="bottom"/>
          </w:tcPr>
          <w:p>
            <w:pPr>
              <w:spacing w:after="0"/>
              <w:rPr>
                <w:sz w:val="24"/>
                <w:szCs w:val="24"/>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56"/>
        </w:trPr>
        <w:tc>
          <w:tcPr>
            <w:tcW w:w="8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Customer C</w:t>
            </w:r>
            <w:r>
              <w:rPr>
                <w:rFonts w:ascii="Arial" w:cs="Arial" w:eastAsia="Arial" w:hAnsi="Arial"/>
                <w:sz w:val="29"/>
                <w:szCs w:val="29"/>
                <w:color w:val="auto"/>
                <w:vertAlign w:val="superscript"/>
              </w:rPr>
              <w:t>2</w:t>
            </w:r>
          </w:p>
        </w:tc>
        <w:tc>
          <w:tcPr>
            <w:tcW w:w="16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86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87" w:lineRule="exact"/>
        <w:rPr>
          <w:sz w:val="20"/>
          <w:szCs w:val="20"/>
          <w:color w:val="auto"/>
        </w:rPr>
      </w:pPr>
    </w:p>
    <w:p>
      <w:pPr>
        <w:ind w:left="340" w:hanging="332"/>
        <w:spacing w:after="0"/>
        <w:tabs>
          <w:tab w:leader="none" w:pos="340" w:val="left"/>
        </w:tabs>
        <w:numPr>
          <w:ilvl w:val="0"/>
          <w:numId w:val="300"/>
        </w:numPr>
        <w:rPr>
          <w:rFonts w:ascii="Arial" w:cs="Arial" w:eastAsia="Arial" w:hAnsi="Arial"/>
          <w:sz w:val="30"/>
          <w:szCs w:val="30"/>
          <w:color w:val="auto"/>
          <w:vertAlign w:val="superscript"/>
        </w:rPr>
      </w:pPr>
      <w:r>
        <w:rPr>
          <w:rFonts w:ascii="Arial" w:cs="Arial" w:eastAsia="Arial" w:hAnsi="Arial"/>
          <w:sz w:val="18"/>
          <w:szCs w:val="18"/>
          <w:color w:val="auto"/>
        </w:rPr>
        <w:t>The decrease in revenue is attributable to the customer relationship cancellation with certain franchisees within Customer C.</w:t>
      </w:r>
    </w:p>
    <w:p>
      <w:pPr>
        <w:spacing w:after="0" w:line="87" w:lineRule="exact"/>
        <w:rPr>
          <w:sz w:val="20"/>
          <w:szCs w:val="20"/>
          <w:color w:val="auto"/>
        </w:rPr>
      </w:pPr>
    </w:p>
    <w:p>
      <w:pPr>
        <w:ind w:left="340" w:hanging="332"/>
        <w:spacing w:after="0"/>
        <w:tabs>
          <w:tab w:leader="none" w:pos="340" w:val="left"/>
        </w:tabs>
        <w:numPr>
          <w:ilvl w:val="0"/>
          <w:numId w:val="301"/>
        </w:numPr>
        <w:rPr>
          <w:rFonts w:ascii="Arial" w:cs="Arial" w:eastAsia="Arial" w:hAnsi="Arial"/>
          <w:sz w:val="30"/>
          <w:szCs w:val="30"/>
          <w:color w:val="auto"/>
          <w:vertAlign w:val="superscript"/>
        </w:rPr>
      </w:pPr>
      <w:r>
        <w:rPr>
          <w:rFonts w:ascii="Arial" w:cs="Arial" w:eastAsia="Arial" w:hAnsi="Arial"/>
          <w:sz w:val="18"/>
          <w:szCs w:val="18"/>
          <w:color w:val="auto"/>
        </w:rPr>
        <w:t>Customers with a dash accounted for less than 10% of accounts receivable at period end.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
      <w:numFmt w:val="bullet"/>
      <w:start w:val="1"/>
    </w:lvl>
  </w:abstractNum>
  <w:abstractNum w:abstractNumId="1">
    <w:nsid w:val="746F2E30"/>
    <w:multiLevelType w:val="hybridMultilevel"/>
    <w:lvl w:ilvl="0">
      <w:lvlJc w:val="left"/>
      <w:lvlText w:val="●"/>
      <w:numFmt w:val="bullet"/>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
      <w:numFmt w:val="bullet"/>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1)"/>
      <w:numFmt w:val="decimal"/>
      <w:start w:val="1"/>
    </w:lvl>
  </w:abstractNum>
  <w:abstractNum w:abstractNumId="6">
    <w:nsid w:val="230F856C"/>
    <w:multiLevelType w:val="hybridMultilevel"/>
    <w:lvl w:ilvl="0">
      <w:lvlJc w:val="left"/>
      <w:lvlText w:val="&amp;"/>
      <w:numFmt w:val="bullet"/>
      <w:start w:val="1"/>
    </w:lvl>
  </w:abstractNum>
  <w:abstractNum w:abstractNumId="7">
    <w:nsid w:val="6EAA85FB"/>
    <w:multiLevelType w:val="hybridMultilevel"/>
    <w:lvl w:ilvl="0">
      <w:lvlJc w:val="left"/>
      <w:lvlText w:val="(%1)"/>
      <w:numFmt w:val="lowerLetter"/>
      <w:start w:val="1"/>
    </w:lvl>
  </w:abstractNum>
  <w:abstractNum w:abstractNumId="8">
    <w:nsid w:val="3F06ECB2"/>
    <w:multiLevelType w:val="hybridMultilevel"/>
    <w:lvl w:ilvl="0">
      <w:lvlJc w:val="left"/>
      <w:lvlText w:val="(%1)"/>
      <w:numFmt w:val="lowerLetter"/>
      <w:start w:val="2"/>
    </w:lvl>
  </w:abstractNum>
  <w:abstractNum w:abstractNumId="9">
    <w:nsid w:val="3B594807"/>
    <w:multiLevelType w:val="hybridMultilevel"/>
    <w:lvl w:ilvl="0">
      <w:lvlJc w:val="left"/>
      <w:lvlText w:val="(%1)"/>
      <w:numFmt w:val="lowerLetter"/>
      <w:start w:val="3"/>
    </w:lvl>
  </w:abstractNum>
  <w:abstractNum w:abstractNumId="10">
    <w:nsid w:val="6CAA2304"/>
    <w:multiLevelType w:val="hybridMultilevel"/>
    <w:lvl w:ilvl="0">
      <w:lvlJc w:val="left"/>
      <w:lvlText w:val="*"/>
      <w:numFmt w:val="bullet"/>
      <w:start w:val="1"/>
    </w:lvl>
  </w:abstractNum>
  <w:abstractNum w:abstractNumId="11">
    <w:nsid w:val="3F7C2FF4"/>
    <w:multiLevelType w:val="hybridMultilevel"/>
    <w:lvl w:ilvl="0">
      <w:lvlJc w:val="left"/>
      <w:lvlText w:val="†"/>
      <w:numFmt w:val="bullet"/>
      <w:start w:val="1"/>
    </w:lvl>
  </w:abstractNum>
  <w:abstractNum w:abstractNumId="12">
    <w:nsid w:val="25413BEC"/>
    <w:multiLevelType w:val="hybridMultilevel"/>
    <w:lvl w:ilvl="0">
      <w:lvlJc w:val="left"/>
      <w:lvlText w:val="+"/>
      <w:numFmt w:val="bullet"/>
      <w:start w:val="1"/>
    </w:lvl>
  </w:abstractNum>
  <w:abstractNum w:abstractNumId="13">
    <w:nsid w:val="17180B0B"/>
    <w:multiLevelType w:val="hybridMultilevel"/>
    <w:lvl w:ilvl="0">
      <w:lvlJc w:val="left"/>
      <w:lvlText w:val="%1."/>
      <w:numFmt w:val="decimal"/>
      <w:start w:val="1"/>
    </w:lvl>
  </w:abstractNum>
  <w:abstractNum w:abstractNumId="14">
    <w:nsid w:val="579328B9"/>
    <w:multiLevelType w:val="hybridMultilevel"/>
    <w:lvl w:ilvl="0">
      <w:lvlJc w:val="left"/>
      <w:lvlText w:val="%1."/>
      <w:numFmt w:val="decimal"/>
      <w:start w:val="6"/>
    </w:lvl>
  </w:abstractNum>
  <w:abstractNum w:abstractNumId="15">
    <w:nsid w:val="5D205E20"/>
    <w:multiLevelType w:val="hybridMultilevel"/>
    <w:lvl w:ilvl="0">
      <w:lvlJc w:val="left"/>
      <w:lvlText w:val="(%1)"/>
      <w:numFmt w:val="lowerRoman"/>
      <w:start w:val="3"/>
    </w:lvl>
    <w:lvl w:ilvl="1">
      <w:lvlJc w:val="left"/>
      <w:lvlText w:val="-"/>
      <w:numFmt w:val="bullet"/>
      <w:start w:val="1"/>
    </w:lvl>
  </w:abstractNum>
  <w:abstractNum w:abstractNumId="16">
    <w:nsid w:val="11CCA8BA"/>
    <w:multiLevelType w:val="hybridMultilevel"/>
    <w:lvl w:ilvl="0">
      <w:lvlJc w:val="left"/>
      <w:lvlText w:val="(%1)"/>
      <w:numFmt w:val="lowerLetter"/>
      <w:start w:val="4"/>
    </w:lvl>
  </w:abstractNum>
  <w:abstractNum w:abstractNumId="17">
    <w:nsid w:val="4D32AB86"/>
    <w:multiLevelType w:val="hybridMultilevel"/>
    <w:lvl w:ilvl="0">
      <w:lvlJc w:val="left"/>
      <w:lvlText w:val="(%1)"/>
      <w:numFmt w:val="lowerLetter"/>
      <w:start w:val="1"/>
    </w:lvl>
    <w:lvl w:ilvl="1">
      <w:lvlJc w:val="left"/>
      <w:lvlText w:val="(%2)"/>
      <w:numFmt w:val="lowerRoman"/>
      <w:start w:val="1"/>
    </w:lvl>
  </w:abstractNum>
  <w:abstractNum w:abstractNumId="18">
    <w:nsid w:val="3F07ACC3"/>
    <w:multiLevelType w:val="hybridMultilevel"/>
    <w:lvl w:ilvl="0">
      <w:lvlJc w:val="left"/>
      <w:lvlText w:val="(%1)"/>
      <w:numFmt w:val="lowerRoman"/>
      <w:start w:val="3"/>
    </w:lvl>
  </w:abstractNum>
  <w:abstractNum w:abstractNumId="19">
    <w:nsid w:val="6B47F63E"/>
    <w:multiLevelType w:val="hybridMultilevel"/>
    <w:lvl w:ilvl="0">
      <w:lvlJc w:val="left"/>
      <w:lvlText w:val="(%1)"/>
      <w:numFmt w:val="lowerRoman"/>
      <w:start w:val="10"/>
    </w:lvl>
    <w:lvl w:ilvl="1">
      <w:lvlJc w:val="left"/>
      <w:lvlText w:val="(%2)"/>
      <w:numFmt w:val="lowerRoman"/>
      <w:start w:val="1"/>
    </w:lvl>
  </w:abstractNum>
  <w:abstractNum w:abstractNumId="20">
    <w:nsid w:val="5CB44A05"/>
    <w:multiLevelType w:val="hybridMultilevel"/>
    <w:lvl w:ilvl="0">
      <w:lvlJc w:val="left"/>
      <w:lvlText w:val="%1"/>
      <w:numFmt w:val="lowerLetter"/>
      <w:start w:val="1"/>
    </w:lvl>
    <w:lvl w:ilvl="1">
      <w:lvlJc w:val="left"/>
      <w:lvlText w:val="(%2)"/>
      <w:numFmt w:val="lowerRoman"/>
      <w:start w:val="5"/>
    </w:lvl>
  </w:abstractNum>
  <w:abstractNum w:abstractNumId="21">
    <w:nsid w:val="16CF80F1"/>
    <w:multiLevelType w:val="hybridMultilevel"/>
    <w:lvl w:ilvl="0">
      <w:lvlJc w:val="left"/>
      <w:lvlText w:val="(%1)"/>
      <w:numFmt w:val="lowerLetter"/>
      <w:start w:val="25"/>
    </w:lvl>
    <w:lvl w:ilvl="1">
      <w:lvlJc w:val="left"/>
      <w:lvlText w:val="(%2)"/>
      <w:numFmt w:val="lowerRoman"/>
      <w:start w:val="1"/>
    </w:lvl>
  </w:abstractNum>
  <w:abstractNum w:abstractNumId="22">
    <w:nsid w:val="1C695DEC"/>
    <w:multiLevelType w:val="hybridMultilevel"/>
    <w:lvl w:ilvl="0">
      <w:lvlJc w:val="left"/>
      <w:lvlText w:val="(%1)"/>
      <w:numFmt w:val="lowerLetter"/>
      <w:start w:val="26"/>
    </w:lvl>
    <w:lvl w:ilvl="1">
      <w:lvlJc w:val="left"/>
      <w:lvlText w:val="(%2)"/>
      <w:numFmt w:val="lowerRoman"/>
      <w:start w:val="3"/>
    </w:lvl>
  </w:abstractNum>
  <w:abstractNum w:abstractNumId="23">
    <w:nsid w:val="3FCFAED9"/>
    <w:multiLevelType w:val="hybridMultilevel"/>
    <w:lvl w:ilvl="0">
      <w:lvlJc w:val="left"/>
      <w:lvlText w:val="(%1)"/>
      <w:numFmt w:val="lowerRoman"/>
      <w:start w:val="9"/>
    </w:lvl>
  </w:abstractNum>
  <w:abstractNum w:abstractNumId="24">
    <w:nsid w:val="F856867"/>
    <w:multiLevelType w:val="hybridMultilevel"/>
    <w:lvl w:ilvl="0">
      <w:lvlJc w:val="left"/>
      <w:lvlText w:val="(%1)"/>
      <w:numFmt w:val="lowerRoman"/>
      <w:start w:val="17"/>
    </w:lvl>
  </w:abstractNum>
  <w:abstractNum w:abstractNumId="25">
    <w:nsid w:val="11B1CC33"/>
    <w:multiLevelType w:val="hybridMultilevel"/>
    <w:lvl w:ilvl="0">
      <w:lvlJc w:val="left"/>
      <w:lvlText w:val="(%1)"/>
      <w:numFmt w:val="lowerLetter"/>
      <w:start w:val="35"/>
    </w:lvl>
    <w:lvl w:ilvl="1">
      <w:lvlJc w:val="left"/>
      <w:lvlText w:val="(%2)"/>
      <w:numFmt w:val="lowerLetter"/>
      <w:start w:val="3"/>
    </w:lvl>
  </w:abstractNum>
  <w:abstractNum w:abstractNumId="26">
    <w:nsid w:val="2E22FBB7"/>
    <w:multiLevelType w:val="hybridMultilevel"/>
    <w:lvl w:ilvl="0">
      <w:lvlJc w:val="left"/>
      <w:lvlText w:val="(%1)"/>
      <w:numFmt w:val="lowerLetter"/>
      <w:start w:val="1"/>
    </w:lvl>
  </w:abstractNum>
  <w:abstractNum w:abstractNumId="27">
    <w:nsid w:val="29934699"/>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28">
    <w:nsid w:val="77485850"/>
    <w:multiLevelType w:val="hybridMultilevel"/>
    <w:lvl w:ilvl="0">
      <w:lvlJc w:val="left"/>
      <w:lvlText w:val="(%1)"/>
      <w:numFmt w:val="lowerLetter"/>
      <w:start w:val="2"/>
    </w:lvl>
    <w:lvl w:ilvl="1">
      <w:lvlJc w:val="left"/>
      <w:lvlText w:val="(%2)"/>
      <w:numFmt w:val="lowerLetter"/>
      <w:start w:val="3"/>
    </w:lvl>
    <w:lvl w:ilvl="2">
      <w:lvlJc w:val="left"/>
      <w:lvlText w:val="(%3)"/>
      <w:numFmt w:val="upperLetter"/>
      <w:start w:val="1"/>
    </w:lvl>
  </w:abstractNum>
  <w:abstractNum w:abstractNumId="29">
    <w:nsid w:val="744939A3"/>
    <w:multiLevelType w:val="hybridMultilevel"/>
    <w:lvl w:ilvl="0">
      <w:lvlJc w:val="left"/>
      <w:lvlText w:val="(%1)"/>
      <w:numFmt w:val="upperLetter"/>
      <w:start w:val="6"/>
    </w:lvl>
  </w:abstractNum>
  <w:abstractNum w:abstractNumId="30">
    <w:nsid w:val="4FA0D2E3"/>
    <w:multiLevelType w:val="hybridMultilevel"/>
    <w:lvl w:ilvl="0">
      <w:lvlJc w:val="left"/>
      <w:lvlText w:val="(%1)"/>
      <w:numFmt w:val="lowerLetter"/>
      <w:start w:val="1"/>
    </w:lvl>
  </w:abstractNum>
  <w:abstractNum w:abstractNumId="31">
    <w:nsid w:val="6B1D2C14"/>
    <w:multiLevelType w:val="hybridMultilevel"/>
    <w:lvl w:ilvl="0">
      <w:lvlJc w:val="left"/>
      <w:lvlText w:val="(%1)"/>
      <w:numFmt w:val="lowerLetter"/>
      <w:start w:val="3"/>
    </w:lvl>
  </w:abstractNum>
  <w:abstractNum w:abstractNumId="32">
    <w:nsid w:val="68B867D3"/>
    <w:multiLevelType w:val="hybridMultilevel"/>
    <w:lvl w:ilvl="0">
      <w:lvlJc w:val="left"/>
      <w:lvlText w:val="(%1)"/>
      <w:numFmt w:val="lowerLetter"/>
      <w:start w:val="1"/>
    </w:lvl>
    <w:lvl w:ilvl="1">
      <w:lvlJc w:val="left"/>
      <w:lvlText w:val="(%2)"/>
      <w:numFmt w:val="lowerRoman"/>
      <w:start w:val="1"/>
    </w:lvl>
  </w:abstractNum>
  <w:abstractNum w:abstractNumId="33">
    <w:nsid w:val="3F7F5D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8"/>
    </w:lvl>
  </w:abstractNum>
  <w:abstractNum w:abstractNumId="34">
    <w:nsid w:val="2AE05A3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5">
    <w:nsid w:val="32794FF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6">
    <w:nsid w:val="5454945E"/>
    <w:multiLevelType w:val="hybridMultilevel"/>
    <w:lvl w:ilvl="0">
      <w:lvlJc w:val="left"/>
      <w:lvlText w:val="(%1)"/>
      <w:numFmt w:val="lowerLetter"/>
      <w:start w:val="1"/>
    </w:lvl>
  </w:abstractNum>
  <w:abstractNum w:abstractNumId="37">
    <w:nsid w:val="4DEFDFA0"/>
    <w:multiLevelType w:val="hybridMultilevel"/>
    <w:lvl w:ilvl="0">
      <w:lvlJc w:val="left"/>
      <w:lvlText w:val="(%1)"/>
      <w:numFmt w:val="lowerLetter"/>
      <w:start w:val="3"/>
    </w:lvl>
  </w:abstractNum>
  <w:abstractNum w:abstractNumId="38">
    <w:nsid w:val="2123D5F2"/>
    <w:multiLevelType w:val="hybridMultilevel"/>
    <w:lvl w:ilvl="0">
      <w:lvlJc w:val="left"/>
      <w:lvlText w:val="(%1)"/>
      <w:numFmt w:val="lowerLetter"/>
      <w:start w:val="1"/>
    </w:lvl>
  </w:abstractNum>
  <w:abstractNum w:abstractNumId="39">
    <w:nsid w:val="135B8110"/>
    <w:multiLevelType w:val="hybridMultilevel"/>
    <w:lvl w:ilvl="0">
      <w:lvlJc w:val="left"/>
      <w:lvlText w:val="%1"/>
      <w:numFmt w:val="lowerLetter"/>
      <w:start w:val="1"/>
    </w:lvl>
    <w:lvl w:ilvl="1">
      <w:lvlJc w:val="left"/>
      <w:lvlText w:val="(%2)"/>
      <w:numFmt w:val="lowerLetter"/>
      <w:start w:val="6"/>
    </w:lvl>
  </w:abstractNum>
  <w:abstractNum w:abstractNumId="40">
    <w:nsid w:val="94927A8"/>
    <w:multiLevelType w:val="hybridMultilevel"/>
    <w:lvl w:ilvl="0">
      <w:lvlJc w:val="left"/>
      <w:lvlText w:val="(%1)"/>
      <w:numFmt w:val="lowerLetter"/>
      <w:start w:val="2"/>
    </w:lvl>
    <w:lvl w:ilvl="1">
      <w:lvlJc w:val="left"/>
      <w:lvlText w:val="%2"/>
      <w:numFmt w:val="lowerLetter"/>
      <w:start w:val="1"/>
    </w:lvl>
  </w:abstractNum>
  <w:abstractNum w:abstractNumId="41">
    <w:nsid w:val="DCDF8F6"/>
    <w:multiLevelType w:val="hybridMultilevel"/>
    <w:lvl w:ilvl="0">
      <w:lvlJc w:val="left"/>
      <w:lvlText w:val="1"/>
      <w:numFmt w:val="bullet"/>
      <w:start w:val="1"/>
    </w:lvl>
  </w:abstractNum>
  <w:abstractNum w:abstractNumId="42">
    <w:nsid w:val="52D7B105"/>
    <w:multiLevelType w:val="hybridMultilevel"/>
    <w:lvl w:ilvl="0">
      <w:lvlJc w:val="left"/>
      <w:lvlText w:val="%1"/>
      <w:numFmt w:val="lowerLetter"/>
      <w:start w:val="1"/>
    </w:lvl>
    <w:lvl w:ilvl="1">
      <w:lvlJc w:val="left"/>
      <w:lvlText w:val="(%2)"/>
      <w:numFmt w:val="lowerLetter"/>
      <w:start w:val="12"/>
    </w:lvl>
  </w:abstractNum>
  <w:abstractNum w:abstractNumId="43">
    <w:nsid w:val="2E8A6394"/>
    <w:multiLevelType w:val="hybridMultilevel"/>
    <w:lvl w:ilvl="0">
      <w:lvlJc w:val="left"/>
      <w:lvlText w:val="(%1)"/>
      <w:numFmt w:val="lowerLetter"/>
      <w:start w:val="9"/>
    </w:lvl>
    <w:lvl w:ilvl="1">
      <w:lvlJc w:val="left"/>
      <w:lvlText w:val="%2"/>
      <w:numFmt w:val="lowerLetter"/>
      <w:start w:val="1"/>
    </w:lvl>
  </w:abstractNum>
  <w:abstractNum w:abstractNumId="44">
    <w:nsid w:val="24E60401"/>
    <w:multiLevelType w:val="hybridMultilevel"/>
    <w:lvl w:ilvl="0">
      <w:lvlJc w:val="left"/>
      <w:lvlText w:val="(%1)"/>
      <w:numFmt w:val="lowerRoman"/>
      <w:start w:val="3"/>
    </w:lvl>
  </w:abstractNum>
  <w:abstractNum w:abstractNumId="45">
    <w:nsid w:val="2A6AD9BE"/>
    <w:multiLevelType w:val="hybridMultilevel"/>
    <w:lvl w:ilvl="0">
      <w:lvlJc w:val="left"/>
      <w:lvlText w:val="(%1)"/>
      <w:numFmt w:val="lowerLetter"/>
      <w:start w:val="3"/>
    </w:lvl>
  </w:abstractNum>
  <w:abstractNum w:abstractNumId="46">
    <w:nsid w:val="BAAC1B4"/>
    <w:multiLevelType w:val="hybridMultilevel"/>
    <w:lvl w:ilvl="0">
      <w:lvlJc w:val="left"/>
      <w:lvlText w:val="(%1)"/>
      <w:numFmt w:val="lowerRoman"/>
      <w:start w:val="2"/>
    </w:lvl>
  </w:abstractNum>
  <w:abstractNum w:abstractNumId="47">
    <w:nsid w:val="36B2ACBC"/>
    <w:multiLevelType w:val="hybridMultilevel"/>
    <w:lvl w:ilvl="0">
      <w:lvlJc w:val="left"/>
      <w:lvlText w:val="(%1)"/>
      <w:numFmt w:val="lowerLetter"/>
      <w:start w:val="1"/>
    </w:lvl>
  </w:abstractNum>
  <w:abstractNum w:abstractNumId="48">
    <w:nsid w:val="779D8544"/>
    <w:multiLevelType w:val="hybridMultilevel"/>
    <w:lvl w:ilvl="0">
      <w:lvlJc w:val="left"/>
      <w:lvlText w:val="(%1)"/>
      <w:numFmt w:val="lowerLetter"/>
      <w:start w:val="10"/>
    </w:lvl>
  </w:abstractNum>
  <w:abstractNum w:abstractNumId="49">
    <w:nsid w:val="4AB26E78"/>
    <w:multiLevelType w:val="hybridMultilevel"/>
    <w:lvl w:ilvl="0">
      <w:lvlJc w:val="left"/>
      <w:lvlText w:val="(%1)"/>
      <w:numFmt w:val="lowerLetter"/>
      <w:start w:val="1"/>
    </w:lvl>
  </w:abstractNum>
  <w:abstractNum w:abstractNumId="50">
    <w:nsid w:val="21FAA2FA"/>
    <w:multiLevelType w:val="hybridMultilevel"/>
    <w:lvl w:ilvl="0">
      <w:lvlJc w:val="left"/>
      <w:lvlText w:val="(%1)"/>
      <w:numFmt w:val="lowerLetter"/>
      <w:start w:val="5"/>
    </w:lvl>
  </w:abstractNum>
  <w:abstractNum w:abstractNumId="51">
    <w:nsid w:val="5451CF49"/>
    <w:multiLevelType w:val="hybridMultilevel"/>
    <w:lvl w:ilvl="0">
      <w:lvlJc w:val="left"/>
      <w:lvlText w:val="(%1)"/>
      <w:numFmt w:val="lowerLetter"/>
      <w:start w:val="1"/>
    </w:lvl>
  </w:abstractNum>
  <w:abstractNum w:abstractNumId="52">
    <w:nsid w:val="6181EF69"/>
    <w:multiLevelType w:val="hybridMultilevel"/>
    <w:lvl w:ilvl="0">
      <w:lvlJc w:val="left"/>
      <w:lvlText w:val="(%1)"/>
      <w:numFmt w:val="lowerLetter"/>
      <w:start w:val="3"/>
    </w:lvl>
  </w:abstractNum>
  <w:abstractNum w:abstractNumId="53">
    <w:nsid w:val="3E6400E6"/>
    <w:multiLevelType w:val="hybridMultilevel"/>
    <w:lvl w:ilvl="0">
      <w:lvlJc w:val="left"/>
      <w:lvlText w:val="(%1)"/>
      <w:numFmt w:val="lowerLetter"/>
      <w:start w:val="8"/>
    </w:lvl>
  </w:abstractNum>
  <w:abstractNum w:abstractNumId="54">
    <w:nsid w:val="14217E23"/>
    <w:multiLevelType w:val="hybridMultilevel"/>
    <w:lvl w:ilvl="0">
      <w:lvlJc w:val="left"/>
      <w:lvlText w:val="(%1)"/>
      <w:numFmt w:val="lowerLetter"/>
      <w:start w:val="1"/>
    </w:lvl>
    <w:lvl w:ilvl="1">
      <w:lvlJc w:val="left"/>
      <w:lvlText w:val="(%2)"/>
      <w:numFmt w:val="lowerRoman"/>
      <w:start w:val="1"/>
    </w:lvl>
  </w:abstractNum>
  <w:abstractNum w:abstractNumId="55">
    <w:nsid w:val="710757D0"/>
    <w:multiLevelType w:val="hybridMultilevel"/>
    <w:lvl w:ilvl="0">
      <w:lvlJc w:val="left"/>
      <w:lvlText w:val="%1"/>
      <w:numFmt w:val="lowerLetter"/>
      <w:start w:val="1"/>
    </w:lvl>
    <w:lvl w:ilvl="1">
      <w:lvlJc w:val="left"/>
      <w:lvlText w:val="(%2)"/>
      <w:numFmt w:val="lowerLetter"/>
      <w:start w:val="5"/>
    </w:lvl>
  </w:abstractNum>
  <w:abstractNum w:abstractNumId="56">
    <w:nsid w:val="5015CD1A"/>
    <w:multiLevelType w:val="hybridMultilevel"/>
    <w:lvl w:ilvl="0">
      <w:lvlJc w:val="left"/>
      <w:lvlText w:val="(%1)"/>
      <w:numFmt w:val="lowerLetter"/>
      <w:start w:val="4"/>
    </w:lvl>
    <w:lvl w:ilvl="1">
      <w:lvlJc w:val="left"/>
      <w:lvlText w:val="%2"/>
      <w:numFmt w:val="lowerLetter"/>
      <w:start w:val="1"/>
    </w:lvl>
  </w:abstractNum>
  <w:abstractNum w:abstractNumId="57">
    <w:nsid w:val="424479DA"/>
    <w:multiLevelType w:val="hybridMultilevel"/>
    <w:lvl w:ilvl="0">
      <w:lvlJc w:val="left"/>
      <w:lvlText w:val="(%1)"/>
      <w:numFmt w:val="lowerLetter"/>
      <w:start w:val="1"/>
    </w:lvl>
    <w:lvl w:ilvl="1">
      <w:lvlJc w:val="left"/>
      <w:lvlText w:val="(%2)"/>
      <w:numFmt w:val="lowerRoman"/>
      <w:start w:val="1"/>
    </w:lvl>
  </w:abstractNum>
  <w:abstractNum w:abstractNumId="58">
    <w:nsid w:val="1A9A9E69"/>
    <w:multiLevelType w:val="hybridMultilevel"/>
    <w:lvl w:ilvl="0">
      <w:lvlJc w:val="left"/>
      <w:lvlText w:val="(%1)"/>
      <w:numFmt w:val="lowerLetter"/>
      <w:start w:val="3"/>
    </w:lvl>
  </w:abstractNum>
  <w:abstractNum w:abstractNumId="59">
    <w:nsid w:val="475E256A"/>
    <w:multiLevelType w:val="hybridMultilevel"/>
    <w:lvl w:ilvl="0">
      <w:lvlJc w:val="left"/>
      <w:lvlText w:val="(%1)"/>
      <w:numFmt w:val="lowerLetter"/>
      <w:start w:val="1"/>
    </w:lvl>
  </w:abstractNum>
  <w:abstractNum w:abstractNumId="60">
    <w:nsid w:val="368DB37E"/>
    <w:multiLevelType w:val="hybridMultilevel"/>
    <w:lvl w:ilvl="0">
      <w:lvlJc w:val="left"/>
      <w:lvlText w:val="(%1)"/>
      <w:numFmt w:val="lowerLetter"/>
      <w:start w:val="1"/>
    </w:lvl>
  </w:abstractNum>
  <w:abstractNum w:abstractNumId="61">
    <w:nsid w:val="6A3B714C"/>
    <w:multiLevelType w:val="hybridMultilevel"/>
    <w:lvl w:ilvl="0">
      <w:lvlJc w:val="left"/>
      <w:lvlText w:val="(%1)"/>
      <w:numFmt w:val="lowerLetter"/>
      <w:start w:val="3"/>
    </w:lvl>
  </w:abstractNum>
  <w:abstractNum w:abstractNumId="62">
    <w:nsid w:val="327B517E"/>
    <w:multiLevelType w:val="hybridMultilevel"/>
    <w:lvl w:ilvl="0">
      <w:lvlJc w:val="left"/>
      <w:lvlText w:val="(%1)"/>
      <w:numFmt w:val="lowerLetter"/>
      <w:start w:val="1"/>
    </w:lvl>
  </w:abstractNum>
  <w:abstractNum w:abstractNumId="63">
    <w:nsid w:val="1F461B51"/>
    <w:multiLevelType w:val="hybridMultilevel"/>
    <w:lvl w:ilvl="0">
      <w:lvlJc w:val="left"/>
      <w:lvlText w:val="(%1)"/>
      <w:numFmt w:val="lowerLetter"/>
      <w:start w:val="6"/>
    </w:lvl>
    <w:lvl w:ilvl="1">
      <w:lvlJc w:val="left"/>
      <w:lvlText w:val="(%2)"/>
      <w:numFmt w:val="lowerRoman"/>
      <w:start w:val="1"/>
    </w:lvl>
  </w:abstractNum>
  <w:abstractNum w:abstractNumId="64">
    <w:nsid w:val="29BACF25"/>
    <w:multiLevelType w:val="hybridMultilevel"/>
    <w:lvl w:ilvl="0">
      <w:lvlJc w:val="left"/>
      <w:lvlText w:val="(%1)"/>
      <w:numFmt w:val="upperLetter"/>
      <w:start w:val="1"/>
    </w:lvl>
    <w:lvl w:ilvl="1">
      <w:lvlJc w:val="left"/>
      <w:lvlText w:val="(%2)"/>
      <w:numFmt w:val="decimal"/>
      <w:start w:val="1"/>
    </w:lvl>
  </w:abstractNum>
  <w:abstractNum w:abstractNumId="65">
    <w:nsid w:val="5D5BABB3"/>
    <w:multiLevelType w:val="hybridMultilevel"/>
    <w:lvl w:ilvl="0">
      <w:lvlJc w:val="left"/>
      <w:lvlText w:val="(%1)"/>
      <w:numFmt w:val="upperLetter"/>
      <w:start w:val="3"/>
    </w:lvl>
  </w:abstractNum>
  <w:abstractNum w:abstractNumId="66">
    <w:nsid w:val="51BF6B48"/>
    <w:multiLevelType w:val="hybridMultilevel"/>
    <w:lvl w:ilvl="0">
      <w:lvlJc w:val="left"/>
      <w:lvlText w:val="%1"/>
      <w:numFmt w:val="lowerLetter"/>
      <w:start w:val="1"/>
    </w:lvl>
    <w:lvl w:ilvl="1">
      <w:lvlJc w:val="left"/>
      <w:lvlText w:val="(%2)"/>
      <w:numFmt w:val="lowerLetter"/>
      <w:start w:val="61"/>
    </w:lvl>
  </w:abstractNum>
  <w:abstractNum w:abstractNumId="67">
    <w:nsid w:val="7E0F6384"/>
    <w:multiLevelType w:val="hybridMultilevel"/>
    <w:lvl w:ilvl="0">
      <w:lvlJc w:val="left"/>
      <w:lvlText w:val="(%1)"/>
      <w:numFmt w:val="lowerLetter"/>
      <w:start w:val="8"/>
    </w:lvl>
    <w:lvl w:ilvl="1">
      <w:lvlJc w:val="left"/>
      <w:lvlText w:val="%2"/>
      <w:numFmt w:val="lowerLetter"/>
      <w:start w:val="1"/>
    </w:lvl>
  </w:abstractNum>
  <w:abstractNum w:abstractNumId="68">
    <w:nsid w:val="2B4B8B53"/>
    <w:multiLevelType w:val="hybridMultilevel"/>
    <w:lvl w:ilvl="0">
      <w:lvlJc w:val="left"/>
      <w:lvlText w:val="(%1)"/>
      <w:numFmt w:val="lowerLetter"/>
      <w:start w:val="1"/>
    </w:lvl>
  </w:abstractNum>
  <w:abstractNum w:abstractNumId="69">
    <w:nsid w:val="72E3413A"/>
    <w:multiLevelType w:val="hybridMultilevel"/>
    <w:lvl w:ilvl="0">
      <w:lvlJc w:val="left"/>
      <w:lvlText w:val="(%1)"/>
      <w:numFmt w:val="lowerLetter"/>
      <w:start w:val="1"/>
    </w:lvl>
    <w:lvl w:ilvl="1">
      <w:lvlJc w:val="left"/>
      <w:lvlText w:val="(%2)"/>
      <w:numFmt w:val="lowerRoman"/>
      <w:start w:val="1"/>
    </w:lvl>
  </w:abstractNum>
  <w:abstractNum w:abstractNumId="70">
    <w:nsid w:val="116AE494"/>
    <w:multiLevelType w:val="hybridMultilevel"/>
    <w:lvl w:ilvl="0">
      <w:lvlJc w:val="left"/>
      <w:lvlText w:val="(%1)"/>
      <w:numFmt w:val="lowerLetter"/>
      <w:start w:val="2"/>
    </w:lvl>
  </w:abstractNum>
  <w:abstractNum w:abstractNumId="71">
    <w:nsid w:val="3494B2FB"/>
    <w:multiLevelType w:val="hybridMultilevel"/>
    <w:lvl w:ilvl="0">
      <w:lvlJc w:val="left"/>
      <w:lvlText w:val="(%1)"/>
      <w:numFmt w:val="lowerLetter"/>
      <w:start w:val="1"/>
    </w:lvl>
  </w:abstractNum>
  <w:abstractNum w:abstractNumId="72">
    <w:nsid w:val="B13A31"/>
    <w:multiLevelType w:val="hybridMultilevel"/>
    <w:lvl w:ilvl="0">
      <w:lvlJc w:val="left"/>
      <w:lvlText w:val="(%1)"/>
      <w:numFmt w:val="lowerLetter"/>
      <w:start w:val="3"/>
    </w:lvl>
  </w:abstractNum>
  <w:abstractNum w:abstractNumId="73">
    <w:nsid w:val="64429599"/>
    <w:multiLevelType w:val="hybridMultilevel"/>
    <w:lvl w:ilvl="0">
      <w:lvlJc w:val="left"/>
      <w:lvlText w:val="(%1)"/>
      <w:numFmt w:val="lowerLetter"/>
      <w:start w:val="1"/>
    </w:lvl>
    <w:lvl w:ilvl="1">
      <w:lvlJc w:val="left"/>
      <w:lvlText w:val="(%2)"/>
      <w:numFmt w:val="lowerRoman"/>
      <w:start w:val="1"/>
    </w:lvl>
  </w:abstractNum>
  <w:abstractNum w:abstractNumId="74">
    <w:nsid w:val="631F169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5">
    <w:nsid w:val="25973E32"/>
    <w:multiLevelType w:val="hybridMultilevel"/>
    <w:lvl w:ilvl="0">
      <w:lvlJc w:val="left"/>
      <w:lvlText w:val="(%1)"/>
      <w:numFmt w:val="lowerLetter"/>
      <w:start w:val="26"/>
    </w:lvl>
    <w:lvl w:ilvl="1">
      <w:lvlJc w:val="left"/>
      <w:lvlText w:val="(%2)"/>
      <w:numFmt w:val="lowerLetter"/>
      <w:start w:val="5"/>
    </w:lvl>
    <w:lvl w:ilvl="2">
      <w:lvlJc w:val="left"/>
      <w:lvlText w:val="(%3)"/>
      <w:numFmt w:val="lowerRoman"/>
      <w:start w:val="1"/>
    </w:lvl>
  </w:abstractNum>
  <w:abstractNum w:abstractNumId="76">
    <w:nsid w:val="EAD6F57"/>
    <w:multiLevelType w:val="hybridMultilevel"/>
    <w:lvl w:ilvl="0">
      <w:lvlJc w:val="left"/>
      <w:lvlText w:val="(%1)"/>
      <w:numFmt w:val="lowerLetter"/>
      <w:start w:val="9"/>
    </w:lvl>
    <w:lvl w:ilvl="1">
      <w:lvlJc w:val="left"/>
      <w:lvlText w:val="(%2)"/>
      <w:numFmt w:val="lowerRoman"/>
      <w:start w:val="1"/>
    </w:lvl>
  </w:abstractNum>
  <w:abstractNum w:abstractNumId="77">
    <w:nsid w:val="6EC9D844"/>
    <w:multiLevelType w:val="hybridMultilevel"/>
    <w:lvl w:ilvl="0">
      <w:lvlJc w:val="left"/>
      <w:lvlText w:val="(%1)"/>
      <w:numFmt w:val="lowerLetter"/>
      <w:start w:val="20"/>
    </w:lvl>
  </w:abstractNum>
  <w:abstractNum w:abstractNumId="78">
    <w:nsid w:val="5C49EAEE"/>
    <w:multiLevelType w:val="hybridMultilevel"/>
    <w:lvl w:ilvl="0">
      <w:lvlJc w:val="left"/>
      <w:lvlText w:val="(%1)"/>
      <w:numFmt w:val="lowerLetter"/>
      <w:start w:val="1"/>
    </w:lvl>
  </w:abstractNum>
  <w:abstractNum w:abstractNumId="79">
    <w:nsid w:val="64AF49B"/>
    <w:multiLevelType w:val="hybridMultilevel"/>
    <w:lvl w:ilvl="0">
      <w:lvlJc w:val="left"/>
      <w:lvlText w:val="(%1)"/>
      <w:numFmt w:val="lowerLetter"/>
      <w:start w:val="3"/>
    </w:lvl>
  </w:abstractNum>
  <w:abstractNum w:abstractNumId="80">
    <w:nsid w:val="397C46BC"/>
    <w:multiLevelType w:val="hybridMultilevel"/>
    <w:lvl w:ilvl="0">
      <w:lvlJc w:val="left"/>
      <w:lvlText w:val="(%1)"/>
      <w:numFmt w:val="lowerLetter"/>
      <w:start w:val="1"/>
    </w:lvl>
  </w:abstractNum>
  <w:abstractNum w:abstractNumId="81">
    <w:nsid w:val="7E448DE9"/>
    <w:multiLevelType w:val="hybridMultilevel"/>
    <w:lvl w:ilvl="0">
      <w:lvlJc w:val="left"/>
      <w:lvlText w:val="(%1)"/>
      <w:numFmt w:val="lowerLetter"/>
      <w:start w:val="5"/>
    </w:lvl>
  </w:abstractNum>
  <w:abstractNum w:abstractNumId="82">
    <w:nsid w:val="5A9CC3E5"/>
    <w:multiLevelType w:val="hybridMultilevel"/>
    <w:lvl w:ilvl="0">
      <w:lvlJc w:val="left"/>
      <w:lvlText w:val="(%1)"/>
      <w:numFmt w:val="lowerLetter"/>
      <w:start w:val="1"/>
    </w:lvl>
  </w:abstractNum>
  <w:abstractNum w:abstractNumId="83">
    <w:nsid w:val="1AFE3625"/>
    <w:multiLevelType w:val="hybridMultilevel"/>
    <w:lvl w:ilvl="0">
      <w:lvlJc w:val="left"/>
      <w:lvlText w:val="(%1)"/>
      <w:numFmt w:val="lowerLetter"/>
      <w:start w:val="1"/>
    </w:lvl>
  </w:abstractNum>
  <w:abstractNum w:abstractNumId="84">
    <w:nsid w:val="3CA88ECF"/>
    <w:multiLevelType w:val="hybridMultilevel"/>
    <w:lvl w:ilvl="0">
      <w:lvlJc w:val="left"/>
      <w:lvlText w:val="(%1)"/>
      <w:numFmt w:val="lowerLetter"/>
      <w:start w:val="3"/>
    </w:lvl>
  </w:abstractNum>
  <w:abstractNum w:abstractNumId="85">
    <w:nsid w:val="6EBE4208"/>
    <w:multiLevelType w:val="hybridMultilevel"/>
    <w:lvl w:ilvl="0">
      <w:lvlJc w:val="left"/>
      <w:lvlText w:val="(%1)"/>
      <w:numFmt w:val="lowerLetter"/>
      <w:start w:val="1"/>
    </w:lvl>
  </w:abstractNum>
  <w:abstractNum w:abstractNumId="86">
    <w:nsid w:val="C058DF5"/>
    <w:multiLevelType w:val="hybridMultilevel"/>
    <w:lvl w:ilvl="0">
      <w:lvlJc w:val="left"/>
      <w:lvlText w:val="(%1)"/>
      <w:numFmt w:val="lowerLetter"/>
      <w:start w:val="6"/>
    </w:lvl>
  </w:abstractNum>
  <w:abstractNum w:abstractNumId="87">
    <w:nsid w:val="CBE5BE9"/>
    <w:multiLevelType w:val="hybridMultilevel"/>
    <w:lvl w:ilvl="0">
      <w:lvlJc w:val="left"/>
      <w:lvlText w:val="(%1)"/>
      <w:numFmt w:val="lowerLetter"/>
      <w:start w:val="1"/>
    </w:lvl>
    <w:lvl w:ilvl="1">
      <w:lvlJc w:val="left"/>
      <w:lvlText w:val="(%2)"/>
      <w:numFmt w:val="lowerRoman"/>
      <w:start w:val="1"/>
    </w:lvl>
  </w:abstractNum>
  <w:abstractNum w:abstractNumId="88">
    <w:nsid w:val="3102BBE2"/>
    <w:multiLevelType w:val="hybridMultilevel"/>
    <w:lvl w:ilvl="0">
      <w:lvlJc w:val="left"/>
      <w:lvlText w:val="(%1)"/>
      <w:numFmt w:val="lowerLetter"/>
      <w:start w:val="1"/>
    </w:lvl>
    <w:lvl w:ilvl="1">
      <w:lvlJc w:val="left"/>
      <w:lvlText w:val="(%2)"/>
      <w:numFmt w:val="lowerRoman"/>
      <w:start w:val="1"/>
    </w:lvl>
  </w:abstractNum>
  <w:abstractNum w:abstractNumId="89">
    <w:nsid w:val="26A02C5E"/>
    <w:multiLevelType w:val="hybridMultilevel"/>
    <w:lvl w:ilvl="0">
      <w:lvlJc w:val="left"/>
      <w:lvlText w:val="(%1)"/>
      <w:numFmt w:val="lowerLetter"/>
      <w:start w:val="1"/>
    </w:lvl>
  </w:abstractNum>
  <w:abstractNum w:abstractNumId="90">
    <w:nsid w:val="541C8153"/>
    <w:multiLevelType w:val="hybridMultilevel"/>
    <w:lvl w:ilvl="0">
      <w:lvlJc w:val="left"/>
      <w:lvlText w:val="(%1)"/>
      <w:numFmt w:val="lowerLetter"/>
      <w:start w:val="2"/>
    </w:lvl>
  </w:abstractNum>
  <w:abstractNum w:abstractNumId="91">
    <w:nsid w:val="67906F60"/>
    <w:multiLevelType w:val="hybridMultilevel"/>
    <w:lvl w:ilvl="0">
      <w:lvlJc w:val="left"/>
      <w:lvlText w:val="(%1)"/>
      <w:numFmt w:val="lowerLetter"/>
      <w:start w:val="1"/>
    </w:lvl>
  </w:abstractNum>
  <w:abstractNum w:abstractNumId="92">
    <w:nsid w:val="10DB9DAA"/>
    <w:multiLevelType w:val="hybridMultilevel"/>
    <w:lvl w:ilvl="0">
      <w:lvlJc w:val="left"/>
      <w:lvlText w:val="(%1)"/>
      <w:numFmt w:val="lowerLetter"/>
      <w:start w:val="4"/>
    </w:lvl>
  </w:abstractNum>
  <w:abstractNum w:abstractNumId="93">
    <w:nsid w:val="697D2D2"/>
    <w:multiLevelType w:val="hybridMultilevel"/>
    <w:lvl w:ilvl="0">
      <w:lvlJc w:val="left"/>
      <w:lvlText w:val="(%1)"/>
      <w:numFmt w:val="lowerLetter"/>
      <w:start w:val="3"/>
    </w:lvl>
    <w:lvl w:ilvl="1">
      <w:lvlJc w:val="left"/>
      <w:lvlText w:val="(%2)"/>
      <w:numFmt w:val="lowerLetter"/>
      <w:start w:val="1"/>
    </w:lvl>
  </w:abstractNum>
  <w:abstractNum w:abstractNumId="94">
    <w:nsid w:val="6D68AB2"/>
    <w:multiLevelType w:val="hybridMultilevel"/>
    <w:lvl w:ilvl="0">
      <w:lvlJc w:val="left"/>
      <w:lvlText w:val="(%1)"/>
      <w:numFmt w:val="lowerLetter"/>
      <w:start w:val="1"/>
    </w:lvl>
  </w:abstractNum>
  <w:abstractNum w:abstractNumId="95">
    <w:nsid w:val="3A966CD0"/>
    <w:multiLevelType w:val="hybridMultilevel"/>
    <w:lvl w:ilvl="0">
      <w:lvlJc w:val="left"/>
      <w:lvlText w:val="(%1)"/>
      <w:numFmt w:val="lowerLetter"/>
      <w:start w:val="5"/>
    </w:lvl>
  </w:abstractNum>
  <w:abstractNum w:abstractNumId="96">
    <w:nsid w:val="63F37E85"/>
    <w:multiLevelType w:val="hybridMultilevel"/>
    <w:lvl w:ilvl="0">
      <w:lvlJc w:val="left"/>
      <w:lvlText w:val="(%1)"/>
      <w:numFmt w:val="lowerLetter"/>
      <w:start w:val="1"/>
    </w:lvl>
  </w:abstractNum>
  <w:abstractNum w:abstractNumId="97">
    <w:nsid w:val="5895F5FA"/>
    <w:multiLevelType w:val="hybridMultilevel"/>
    <w:lvl w:ilvl="0">
      <w:lvlJc w:val="left"/>
      <w:lvlText w:val="(%1)"/>
      <w:numFmt w:val="lowerLetter"/>
      <w:start w:val="1"/>
    </w:lvl>
    <w:lvl w:ilvl="1">
      <w:lvlJc w:val="left"/>
      <w:lvlText w:val="(%2)"/>
      <w:numFmt w:val="lowerRoman"/>
      <w:start w:val="1"/>
    </w:lvl>
  </w:abstractNum>
  <w:abstractNum w:abstractNumId="98">
    <w:nsid w:val="38A5D054"/>
    <w:multiLevelType w:val="hybridMultilevel"/>
    <w:lvl w:ilvl="0">
      <w:lvlJc w:val="left"/>
      <w:lvlText w:val="(%1)"/>
      <w:numFmt w:val="lowerRoman"/>
      <w:start w:val="3"/>
    </w:lvl>
  </w:abstractNum>
  <w:abstractNum w:abstractNumId="99">
    <w:nsid w:val="F3F09D8"/>
    <w:multiLevelType w:val="hybridMultilevel"/>
    <w:lvl w:ilvl="0">
      <w:lvlJc w:val="left"/>
      <w:lvlText w:val="(%1)"/>
      <w:numFmt w:val="lowerLetter"/>
      <w:start w:val="1"/>
    </w:lvl>
  </w:abstractNum>
  <w:abstractNum w:abstractNumId="100">
    <w:nsid w:val="4B793735"/>
    <w:multiLevelType w:val="hybridMultilevel"/>
    <w:lvl w:ilvl="0">
      <w:lvlJc w:val="left"/>
      <w:lvlText w:val="(%1)"/>
      <w:numFmt w:val="lowerLetter"/>
      <w:start w:val="2"/>
    </w:lvl>
    <w:lvl w:ilvl="1">
      <w:lvlJc w:val="left"/>
      <w:lvlText w:val="(%2)"/>
      <w:numFmt w:val="lowerLetter"/>
      <w:start w:val="1"/>
    </w:lvl>
  </w:abstractNum>
  <w:abstractNum w:abstractNumId="101">
    <w:nsid w:val="4A10B4E8"/>
    <w:multiLevelType w:val="hybridMultilevel"/>
    <w:lvl w:ilvl="0">
      <w:lvlJc w:val="left"/>
      <w:lvlText w:val="%1"/>
      <w:numFmt w:val="decimal"/>
      <w:start w:val="1"/>
    </w:lvl>
    <w:lvl w:ilvl="1">
      <w:lvlJc w:val="left"/>
      <w:lvlText w:val="(%2)"/>
      <w:numFmt w:val="lowerLetter"/>
      <w:start w:val="1"/>
    </w:lvl>
  </w:abstractNum>
  <w:abstractNum w:abstractNumId="102">
    <w:nsid w:val="43D3BCD4"/>
    <w:multiLevelType w:val="hybridMultilevel"/>
    <w:lvl w:ilvl="0">
      <w:lvlJc w:val="left"/>
      <w:lvlText w:val="(%1)"/>
      <w:numFmt w:val="decimal"/>
      <w:start w:val="3"/>
    </w:lvl>
    <w:lvl w:ilvl="1">
      <w:lvlJc w:val="left"/>
      <w:lvlText w:val="(%2)"/>
      <w:numFmt w:val="lowerLetter"/>
      <w:start w:val="2"/>
    </w:lvl>
  </w:abstractNum>
  <w:abstractNum w:abstractNumId="103">
    <w:nsid w:val="4C2A7166"/>
    <w:multiLevelType w:val="hybridMultilevel"/>
    <w:lvl w:ilvl="0">
      <w:lvlJc w:val="left"/>
      <w:lvlText w:val="(%1)"/>
      <w:numFmt w:val="lowerLetter"/>
      <w:start w:val="6"/>
    </w:lvl>
  </w:abstractNum>
  <w:abstractNum w:abstractNumId="104">
    <w:nsid w:val="2E534A82"/>
    <w:multiLevelType w:val="hybridMultilevel"/>
    <w:lvl w:ilvl="0">
      <w:lvlJc w:val="left"/>
      <w:lvlText w:val="(%1)"/>
      <w:numFmt w:val="lowerLetter"/>
      <w:start w:val="1"/>
    </w:lvl>
  </w:abstractNum>
  <w:abstractNum w:abstractNumId="105">
    <w:nsid w:val="26F2D364"/>
    <w:multiLevelType w:val="hybridMultilevel"/>
    <w:lvl w:ilvl="0">
      <w:lvlJc w:val="left"/>
      <w:lvlText w:val="(%1)"/>
      <w:numFmt w:val="upperLetter"/>
      <w:start w:val="4"/>
    </w:lvl>
  </w:abstractNum>
  <w:abstractNum w:abstractNumId="106">
    <w:nsid w:val="71C1AF98"/>
    <w:multiLevelType w:val="hybridMultilevel"/>
    <w:lvl w:ilvl="0">
      <w:lvlJc w:val="left"/>
      <w:lvlText w:val="(%1)"/>
      <w:numFmt w:val="lowerLetter"/>
      <w:start w:val="2"/>
    </w:lvl>
  </w:abstractNum>
  <w:abstractNum w:abstractNumId="107">
    <w:nsid w:val="3D00B9D9"/>
    <w:multiLevelType w:val="hybridMultilevel"/>
    <w:lvl w:ilvl="0">
      <w:lvlJc w:val="left"/>
      <w:lvlText w:val="(%1)"/>
      <w:numFmt w:val="lowerLetter"/>
      <w:start w:val="1"/>
    </w:lvl>
    <w:lvl w:ilvl="1">
      <w:lvlJc w:val="left"/>
      <w:lvlText w:val="(%2)"/>
      <w:numFmt w:val="lowerRoman"/>
      <w:start w:val="1"/>
    </w:lvl>
  </w:abstractNum>
  <w:abstractNum w:abstractNumId="108">
    <w:nsid w:val="15BCABA8"/>
    <w:multiLevelType w:val="hybridMultilevel"/>
    <w:lvl w:ilvl="0">
      <w:lvlJc w:val="left"/>
      <w:lvlText w:val="%1"/>
      <w:numFmt w:val="lowerLetter"/>
      <w:start w:val="1"/>
    </w:lvl>
    <w:lvl w:ilvl="1">
      <w:lvlJc w:val="left"/>
      <w:lvlText w:val="(%2)"/>
      <w:numFmt w:val="lowerRoman"/>
      <w:start w:val="5"/>
    </w:lvl>
  </w:abstractNum>
  <w:abstractNum w:abstractNumId="109">
    <w:nsid w:val="4E0B9A87"/>
    <w:multiLevelType w:val="hybridMultilevel"/>
    <w:lvl w:ilvl="0">
      <w:lvlJc w:val="left"/>
      <w:lvlText w:val="(%1)"/>
      <w:numFmt w:val="lowerLetter"/>
      <w:start w:val="2"/>
    </w:lvl>
    <w:lvl w:ilvl="1">
      <w:lvlJc w:val="left"/>
      <w:lvlText w:val="%2"/>
      <w:numFmt w:val="lowerRoman"/>
      <w:start w:val="1"/>
    </w:lvl>
  </w:abstractNum>
  <w:abstractNum w:abstractNumId="110">
    <w:nsid w:val="434BAE75"/>
    <w:multiLevelType w:val="hybridMultilevel"/>
    <w:lvl w:ilvl="0">
      <w:lvlJc w:val="left"/>
      <w:lvlText w:val="(%1)"/>
      <w:numFmt w:val="lowerLetter"/>
      <w:start w:val="1"/>
    </w:lvl>
  </w:abstractNum>
  <w:abstractNum w:abstractNumId="111">
    <w:nsid w:val="4F38F265"/>
    <w:multiLevelType w:val="hybridMultilevel"/>
    <w:lvl w:ilvl="0">
      <w:lvlJc w:val="left"/>
      <w:lvlText w:val="(%1)"/>
      <w:numFmt w:val="lowerLetter"/>
      <w:start w:val="2"/>
    </w:lvl>
  </w:abstractNum>
  <w:abstractNum w:abstractNumId="112">
    <w:nsid w:val="4C502870"/>
    <w:multiLevelType w:val="hybridMultilevel"/>
    <w:lvl w:ilvl="0">
      <w:lvlJc w:val="left"/>
      <w:lvlText w:val="(%1)"/>
      <w:numFmt w:val="lowerLetter"/>
      <w:start w:val="3"/>
    </w:lvl>
  </w:abstractNum>
  <w:abstractNum w:abstractNumId="113">
    <w:nsid w:val="1DE8725A"/>
    <w:multiLevelType w:val="hybridMultilevel"/>
    <w:lvl w:ilvl="0">
      <w:lvlJc w:val="left"/>
      <w:lvlText w:val="(%1)"/>
      <w:numFmt w:val="lowerLetter"/>
      <w:start w:val="1"/>
    </w:lvl>
    <w:lvl w:ilvl="1">
      <w:lvlJc w:val="left"/>
      <w:lvlText w:val="(%2)"/>
      <w:numFmt w:val="lowerLetter"/>
      <w:start w:val="9"/>
    </w:lvl>
  </w:abstractNum>
  <w:abstractNum w:abstractNumId="114">
    <w:nsid w:val="6A37288A"/>
    <w:multiLevelType w:val="hybridMultilevel"/>
    <w:lvl w:ilvl="0">
      <w:lvlJc w:val="left"/>
      <w:lvlText w:val="%1"/>
      <w:numFmt w:val="lowerLetter"/>
      <w:start w:val="1"/>
    </w:lvl>
    <w:lvl w:ilvl="1">
      <w:lvlJc w:val="left"/>
      <w:lvlText w:val="(%2)"/>
      <w:numFmt w:val="lowerLetter"/>
      <w:start w:val="35"/>
    </w:lvl>
  </w:abstractNum>
  <w:abstractNum w:abstractNumId="115">
    <w:nsid w:val="8F8B73F"/>
    <w:multiLevelType w:val="hybridMultilevel"/>
    <w:lvl w:ilvl="0">
      <w:lvlJc w:val="left"/>
      <w:lvlText w:val="(%1)"/>
      <w:numFmt w:val="lowerLetter"/>
      <w:start w:val="2"/>
    </w:lvl>
    <w:lvl w:ilvl="1">
      <w:lvlJc w:val="left"/>
      <w:lvlText w:val="%2"/>
      <w:numFmt w:val="lowerLetter"/>
      <w:start w:val="1"/>
    </w:lvl>
  </w:abstractNum>
  <w:abstractNum w:abstractNumId="116">
    <w:nsid w:val="CA6B462"/>
    <w:multiLevelType w:val="hybridMultilevel"/>
    <w:lvl w:ilvl="0">
      <w:lvlJc w:val="left"/>
      <w:lvlText w:val="(%1)"/>
      <w:numFmt w:val="lowerLetter"/>
      <w:start w:val="4"/>
    </w:lvl>
  </w:abstractNum>
  <w:abstractNum w:abstractNumId="117">
    <w:nsid w:val="763CB680"/>
    <w:multiLevelType w:val="hybridMultilevel"/>
    <w:lvl w:ilvl="0">
      <w:lvlJc w:val="left"/>
      <w:lvlText w:val="%1"/>
      <w:numFmt w:val="lowerLetter"/>
      <w:start w:val="1"/>
    </w:lvl>
    <w:lvl w:ilvl="1">
      <w:lvlJc w:val="left"/>
      <w:lvlText w:val="(%2)"/>
      <w:numFmt w:val="lowerLetter"/>
      <w:start w:val="1"/>
    </w:lvl>
  </w:abstractNum>
  <w:abstractNum w:abstractNumId="118">
    <w:nsid w:val="15B71329"/>
    <w:multiLevelType w:val="hybridMultilevel"/>
    <w:lvl w:ilvl="0">
      <w:lvlJc w:val="left"/>
      <w:lvlText w:val="(%1)"/>
      <w:numFmt w:val="lowerLetter"/>
      <w:start w:val="9"/>
    </w:lvl>
    <w:lvl w:ilvl="1">
      <w:lvlJc w:val="left"/>
      <w:lvlText w:val="%2"/>
      <w:numFmt w:val="lowerLetter"/>
      <w:start w:val="1"/>
    </w:lvl>
  </w:abstractNum>
  <w:abstractNum w:abstractNumId="119">
    <w:nsid w:val="3DA97044"/>
    <w:multiLevelType w:val="hybridMultilevel"/>
    <w:lvl w:ilvl="0">
      <w:lvlJc w:val="left"/>
      <w:lvlText w:val="%1"/>
      <w:numFmt w:val="lowerLetter"/>
      <w:start w:val="1"/>
    </w:lvl>
    <w:lvl w:ilvl="1">
      <w:lvlJc w:val="left"/>
      <w:lvlText w:val="(%2)"/>
      <w:numFmt w:val="lowerLetter"/>
      <w:start w:val="4"/>
    </w:lvl>
  </w:abstractNum>
  <w:abstractNum w:abstractNumId="120">
    <w:nsid w:val="1CDCE2DE"/>
    <w:multiLevelType w:val="hybridMultilevel"/>
    <w:lvl w:ilvl="0">
      <w:lvlJc w:val="left"/>
      <w:lvlText w:val="(%1)"/>
      <w:numFmt w:val="lowerLetter"/>
      <w:start w:val="1"/>
    </w:lvl>
    <w:lvl w:ilvl="1">
      <w:lvlJc w:val="left"/>
      <w:lvlText w:val="%2"/>
      <w:numFmt w:val="lowerLetter"/>
      <w:start w:val="1"/>
    </w:lvl>
  </w:abstractNum>
  <w:abstractNum w:abstractNumId="121">
    <w:nsid w:val="69D3947C"/>
    <w:multiLevelType w:val="hybridMultilevel"/>
    <w:lvl w:ilvl="0">
      <w:lvlJc w:val="left"/>
      <w:lvlText w:val="(%1)"/>
      <w:numFmt w:val="lowerLetter"/>
      <w:start w:val="1"/>
    </w:lvl>
  </w:abstractNum>
  <w:abstractNum w:abstractNumId="122">
    <w:nsid w:val="2539DFA5"/>
    <w:multiLevelType w:val="hybridMultilevel"/>
    <w:lvl w:ilvl="0">
      <w:lvlJc w:val="left"/>
      <w:lvlText w:val="(%1)"/>
      <w:numFmt w:val="lowerLetter"/>
      <w:start w:val="1"/>
    </w:lvl>
  </w:abstractNum>
  <w:abstractNum w:abstractNumId="123">
    <w:nsid w:val="2DB88089"/>
    <w:multiLevelType w:val="hybridMultilevel"/>
    <w:lvl w:ilvl="0">
      <w:lvlJc w:val="left"/>
      <w:lvlText w:val="(%1)"/>
      <w:numFmt w:val="lowerLetter"/>
      <w:start w:val="1"/>
    </w:lvl>
    <w:lvl w:ilvl="1">
      <w:lvlJc w:val="left"/>
      <w:lvlText w:val="(%2)"/>
      <w:numFmt w:val="lowerRoman"/>
      <w:start w:val="1"/>
    </w:lvl>
  </w:abstractNum>
  <w:abstractNum w:abstractNumId="124">
    <w:nsid w:val="706B674E"/>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25">
    <w:nsid w:val="2C106A5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26">
    <w:nsid w:val="684EED59"/>
    <w:multiLevelType w:val="hybridMultilevel"/>
    <w:lvl w:ilvl="0">
      <w:lvlJc w:val="left"/>
      <w:lvlText w:val="(%1)"/>
      <w:numFmt w:val="lowerLetter"/>
      <w:start w:val="5"/>
    </w:lvl>
  </w:abstractNum>
  <w:abstractNum w:abstractNumId="127">
    <w:nsid w:val="545EE5D3"/>
    <w:multiLevelType w:val="hybridMultilevel"/>
    <w:lvl w:ilvl="0">
      <w:lvlJc w:val="left"/>
      <w:lvlText w:val="%1."/>
      <w:numFmt w:val="decimal"/>
      <w:start w:val="1"/>
    </w:lvl>
    <w:lvl w:ilvl="1">
      <w:lvlJc w:val="left"/>
      <w:lvlText w:val="(%2)"/>
      <w:numFmt w:val="lowerLetter"/>
      <w:start w:val="1"/>
    </w:lvl>
  </w:abstractNum>
  <w:abstractNum w:abstractNumId="128">
    <w:nsid w:val="4A66051"/>
    <w:multiLevelType w:val="hybridMultilevel"/>
    <w:lvl w:ilvl="0">
      <w:lvlJc w:val="left"/>
      <w:lvlText w:val="%1"/>
      <w:numFmt w:val="decimal"/>
      <w:start w:val="1"/>
    </w:lvl>
    <w:lvl w:ilvl="1">
      <w:lvlJc w:val="left"/>
      <w:lvlText w:val="(%2)"/>
      <w:numFmt w:val="lowerLetter"/>
      <w:start w:val="3"/>
    </w:lvl>
  </w:abstractNum>
  <w:abstractNum w:abstractNumId="129">
    <w:nsid w:val="20F4BDAD"/>
    <w:multiLevelType w:val="hybridMultilevel"/>
    <w:lvl w:ilvl="0">
      <w:lvlJc w:val="left"/>
      <w:lvlText w:val="%1."/>
      <w:numFmt w:val="decimal"/>
      <w:start w:val="2"/>
    </w:lvl>
    <w:lvl w:ilvl="1">
      <w:lvlJc w:val="left"/>
      <w:lvlText w:val="(%2)"/>
      <w:numFmt w:val="lowerLetter"/>
      <w:start w:val="1"/>
    </w:lvl>
  </w:abstractNum>
  <w:abstractNum w:abstractNumId="130">
    <w:nsid w:val="639DEFAC"/>
    <w:multiLevelType w:val="hybridMultilevel"/>
    <w:lvl w:ilvl="0">
      <w:lvlJc w:val="left"/>
      <w:lvlText w:val="(%1)"/>
      <w:numFmt w:val="lowerLetter"/>
      <w:start w:val="2"/>
    </w:lvl>
  </w:abstractNum>
  <w:abstractNum w:abstractNumId="131">
    <w:nsid w:val="501F9786"/>
    <w:multiLevelType w:val="hybridMultilevel"/>
    <w:lvl w:ilvl="0">
      <w:lvlJc w:val="left"/>
      <w:lvlText w:val="(%1)"/>
      <w:numFmt w:val="lowerLetter"/>
      <w:start w:val="4"/>
    </w:lvl>
  </w:abstractNum>
  <w:abstractNum w:abstractNumId="132">
    <w:nsid w:val="6B057295"/>
    <w:multiLevelType w:val="hybridMultilevel"/>
    <w:lvl w:ilvl="0">
      <w:lvlJc w:val="left"/>
      <w:lvlText w:val="(%1)"/>
      <w:numFmt w:val="lowerLetter"/>
      <w:start w:val="6"/>
    </w:lvl>
    <w:lvl w:ilvl="1">
      <w:lvlJc w:val="left"/>
      <w:lvlText w:val="(%2)"/>
      <w:numFmt w:val="lowerRoman"/>
      <w:start w:val="1"/>
    </w:lvl>
  </w:abstractNum>
  <w:abstractNum w:abstractNumId="133">
    <w:nsid w:val="2771AC80"/>
    <w:multiLevelType w:val="hybridMultilevel"/>
    <w:lvl w:ilvl="0">
      <w:lvlJc w:val="left"/>
      <w:lvlText w:val="%1"/>
      <w:numFmt w:val="decimal"/>
      <w:start w:val="1"/>
    </w:lvl>
    <w:lvl w:ilvl="1">
      <w:lvlJc w:val="left"/>
      <w:lvlText w:val="(%2)"/>
      <w:numFmt w:val="lowerLetter"/>
      <w:start w:val="7"/>
    </w:lvl>
  </w:abstractNum>
  <w:abstractNum w:abstractNumId="134">
    <w:nsid w:val="1C4A08EC"/>
    <w:multiLevelType w:val="hybridMultilevel"/>
    <w:lvl w:ilvl="0">
      <w:lvlJc w:val="left"/>
      <w:lvlText w:val="%1."/>
      <w:numFmt w:val="decimal"/>
      <w:start w:val="3"/>
    </w:lvl>
    <w:lvl w:ilvl="1">
      <w:lvlJc w:val="left"/>
      <w:lvlText w:val="(%2)"/>
      <w:numFmt w:val="lowerLetter"/>
      <w:start w:val="1"/>
    </w:lvl>
  </w:abstractNum>
  <w:abstractNum w:abstractNumId="135">
    <w:nsid w:val="1958BD17"/>
    <w:multiLevelType w:val="hybridMultilevel"/>
    <w:lvl w:ilvl="0">
      <w:lvlJc w:val="left"/>
      <w:lvlText w:val="%1"/>
      <w:numFmt w:val="decimal"/>
      <w:start w:val="1"/>
    </w:lvl>
    <w:lvl w:ilvl="1">
      <w:lvlJc w:val="left"/>
      <w:lvlText w:val="(%2)"/>
      <w:numFmt w:val="lowerLetter"/>
      <w:start w:val="3"/>
    </w:lvl>
  </w:abstractNum>
  <w:abstractNum w:abstractNumId="136">
    <w:nsid w:val="4E647FE4"/>
    <w:multiLevelType w:val="hybridMultilevel"/>
    <w:lvl w:ilvl="0">
      <w:lvlJc w:val="left"/>
      <w:lvlText w:val="%1."/>
      <w:numFmt w:val="decimal"/>
      <w:start w:val="4"/>
    </w:lvl>
    <w:lvl w:ilvl="1">
      <w:lvlJc w:val="left"/>
      <w:lvlText w:val="(%2)"/>
      <w:numFmt w:val="lowerLetter"/>
      <w:start w:val="1"/>
    </w:lvl>
  </w:abstractNum>
  <w:abstractNum w:abstractNumId="137">
    <w:nsid w:val="E0BB885"/>
    <w:multiLevelType w:val="hybridMultilevel"/>
    <w:lvl w:ilvl="0">
      <w:lvlJc w:val="left"/>
      <w:lvlText w:val="(%1)"/>
      <w:numFmt w:val="lowerLetter"/>
      <w:start w:val="2"/>
    </w:lvl>
  </w:abstractNum>
  <w:abstractNum w:abstractNumId="138">
    <w:nsid w:val="565976F1"/>
    <w:multiLevelType w:val="hybridMultilevel"/>
    <w:lvl w:ilvl="0">
      <w:lvlJc w:val="left"/>
      <w:lvlText w:val="%1."/>
      <w:numFmt w:val="decimal"/>
      <w:start w:val="5"/>
    </w:lvl>
    <w:lvl w:ilvl="1">
      <w:lvlJc w:val="left"/>
      <w:lvlText w:val="(%2)"/>
      <w:numFmt w:val="lowerLetter"/>
      <w:start w:val="1"/>
    </w:lvl>
  </w:abstractNum>
  <w:abstractNum w:abstractNumId="139">
    <w:nsid w:val="64212B8C"/>
    <w:multiLevelType w:val="hybridMultilevel"/>
    <w:lvl w:ilvl="0">
      <w:lvlJc w:val="left"/>
      <w:lvlText w:val="(%1)"/>
      <w:numFmt w:val="lowerLetter"/>
      <w:start w:val="4"/>
    </w:lvl>
  </w:abstractNum>
  <w:abstractNum w:abstractNumId="140">
    <w:nsid w:val="5C17530C"/>
    <w:multiLevelType w:val="hybridMultilevel"/>
    <w:lvl w:ilvl="0">
      <w:lvlJc w:val="left"/>
      <w:lvlText w:val="(%1)"/>
      <w:numFmt w:val="lowerLetter"/>
      <w:start w:val="13"/>
    </w:lvl>
  </w:abstractNum>
  <w:abstractNum w:abstractNumId="141">
    <w:nsid w:val="19A52566"/>
    <w:multiLevelType w:val="hybridMultilevel"/>
    <w:lvl w:ilvl="0">
      <w:lvlJc w:val="left"/>
      <w:lvlText w:val="%1"/>
      <w:numFmt w:val="decimal"/>
      <w:start w:val="1"/>
    </w:lvl>
    <w:lvl w:ilvl="1">
      <w:lvlJc w:val="left"/>
      <w:lvlText w:val="(%2)"/>
      <w:numFmt w:val="lowerLetter"/>
      <w:start w:val="23"/>
    </w:lvl>
  </w:abstractNum>
  <w:abstractNum w:abstractNumId="142">
    <w:nsid w:val="335A1DF1"/>
    <w:multiLevelType w:val="hybridMultilevel"/>
    <w:lvl w:ilvl="0">
      <w:lvlJc w:val="left"/>
      <w:lvlText w:val="%1."/>
      <w:numFmt w:val="decimal"/>
      <w:start w:val="6"/>
    </w:lvl>
    <w:lvl w:ilvl="1">
      <w:lvlJc w:val="left"/>
      <w:lvlText w:val="%2"/>
      <w:numFmt w:val="lowerLetter"/>
      <w:start w:val="1"/>
    </w:lvl>
  </w:abstractNum>
  <w:abstractNum w:abstractNumId="143">
    <w:nsid w:val="28677B7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44">
    <w:nsid w:val="378D97C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5">
    <w:nsid w:val="1D91467C"/>
    <w:multiLevelType w:val="hybridMultilevel"/>
    <w:lvl w:ilvl="0">
      <w:lvlJc w:val="left"/>
      <w:lvlText w:val="(%1)"/>
      <w:numFmt w:val="lowerLetter"/>
      <w:start w:val="2"/>
    </w:lvl>
  </w:abstractNum>
  <w:abstractNum w:abstractNumId="146">
    <w:nsid w:val="316032B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7">
    <w:nsid w:val="44344C22"/>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48">
    <w:nsid w:val="13CDFCFC"/>
    <w:multiLevelType w:val="hybridMultilevel"/>
    <w:lvl w:ilvl="0">
      <w:lvlJc w:val="left"/>
      <w:lvlText w:val="(%1)"/>
      <w:numFmt w:val="lowerLetter"/>
      <w:start w:val="2"/>
    </w:lvl>
    <w:lvl w:ilvl="1">
      <w:lvlJc w:val="left"/>
      <w:lvlText w:val="%2."/>
      <w:numFmt w:val="decimal"/>
      <w:start w:val="10"/>
    </w:lvl>
    <w:lvl w:ilvl="2">
      <w:lvlJc w:val="left"/>
      <w:lvlText w:val="(%3)"/>
      <w:numFmt w:val="lowerLetter"/>
      <w:start w:val="1"/>
    </w:lvl>
  </w:abstractNum>
  <w:abstractNum w:abstractNumId="149">
    <w:nsid w:val="471745E4"/>
    <w:multiLevelType w:val="hybridMultilevel"/>
    <w:lvl w:ilvl="0">
      <w:lvlJc w:val="left"/>
      <w:lvlText w:val="(%1)"/>
      <w:numFmt w:val="lowerLetter"/>
      <w:start w:val="3"/>
    </w:lvl>
  </w:abstractNum>
  <w:abstractNum w:abstractNumId="150">
    <w:nsid w:val="1DDBC66"/>
    <w:multiLevelType w:val="hybridMultilevel"/>
    <w:lvl w:ilvl="0">
      <w:lvlJc w:val="left"/>
      <w:lvlText w:val="%1."/>
      <w:numFmt w:val="decimal"/>
      <w:start w:val="11"/>
    </w:lvl>
    <w:lvl w:ilvl="1">
      <w:lvlJc w:val="left"/>
      <w:lvlText w:val="(%2)"/>
      <w:numFmt w:val="lowerLetter"/>
      <w:start w:val="1"/>
    </w:lvl>
  </w:abstractNum>
  <w:abstractNum w:abstractNumId="151">
    <w:nsid w:val="30AADFDA"/>
    <w:multiLevelType w:val="hybridMultilevel"/>
    <w:lvl w:ilvl="0">
      <w:lvlJc w:val="left"/>
      <w:lvlText w:val="(%1)"/>
      <w:numFmt w:val="lowerLetter"/>
      <w:start w:val="13"/>
    </w:lvl>
  </w:abstractNum>
  <w:abstractNum w:abstractNumId="152">
    <w:nsid w:val="30EADA61"/>
    <w:multiLevelType w:val="hybridMultilevel"/>
    <w:lvl w:ilvl="0">
      <w:lvlJc w:val="left"/>
      <w:lvlText w:val="(%1)"/>
      <w:numFmt w:val="lowerLetter"/>
      <w:start w:val="16"/>
    </w:lvl>
  </w:abstractNum>
  <w:abstractNum w:abstractNumId="153">
    <w:nsid w:val="27179C0B"/>
    <w:multiLevelType w:val="hybridMultilevel"/>
    <w:lvl w:ilvl="0">
      <w:lvlJc w:val="left"/>
      <w:lvlText w:val="%1."/>
      <w:numFmt w:val="decimal"/>
      <w:start w:val="12"/>
    </w:lvl>
    <w:lvl w:ilvl="1">
      <w:lvlJc w:val="left"/>
      <w:lvlText w:val="(%2)"/>
      <w:numFmt w:val="lowerLetter"/>
      <w:start w:val="1"/>
    </w:lvl>
  </w:abstractNum>
  <w:abstractNum w:abstractNumId="154">
    <w:nsid w:val="5E636063"/>
    <w:multiLevelType w:val="hybridMultilevel"/>
    <w:lvl w:ilvl="0">
      <w:lvlJc w:val="left"/>
      <w:lvlText w:val="(%1)"/>
      <w:numFmt w:val="lowerLetter"/>
      <w:start w:val="7"/>
    </w:lvl>
  </w:abstractNum>
  <w:abstractNum w:abstractNumId="155">
    <w:nsid w:val="215641AF"/>
    <w:multiLevelType w:val="hybridMultilevel"/>
    <w:lvl w:ilvl="0">
      <w:lvlJc w:val="left"/>
      <w:lvlText w:val="(%1)"/>
      <w:numFmt w:val="lowerLetter"/>
      <w:start w:val="12"/>
    </w:lvl>
    <w:lvl w:ilvl="1">
      <w:lvlJc w:val="left"/>
      <w:lvlText w:val="*"/>
      <w:numFmt w:val="bullet"/>
      <w:start w:val="1"/>
    </w:lvl>
  </w:abstractNum>
  <w:abstractNum w:abstractNumId="156">
    <w:nsid w:val="53280662"/>
    <w:multiLevelType w:val="hybridMultilevel"/>
    <w:lvl w:ilvl="0">
      <w:lvlJc w:val="left"/>
      <w:lvlText w:val="%1."/>
      <w:numFmt w:val="decimal"/>
      <w:start w:val="1"/>
    </w:lvl>
  </w:abstractNum>
  <w:abstractNum w:abstractNumId="157">
    <w:nsid w:val="46B24DBC"/>
    <w:multiLevelType w:val="hybridMultilevel"/>
    <w:lvl w:ilvl="0">
      <w:lvlJc w:val="left"/>
      <w:lvlText w:val="(%1)"/>
      <w:numFmt w:val="lowerRoman"/>
      <w:start w:val="1"/>
    </w:lvl>
  </w:abstractNum>
  <w:abstractNum w:abstractNumId="158">
    <w:nsid w:val="75B52783"/>
    <w:multiLevelType w:val="hybridMultilevel"/>
    <w:lvl w:ilvl="0">
      <w:lvlJc w:val="left"/>
      <w:lvlText w:val="(%1)"/>
      <w:numFmt w:val="lowerRoman"/>
      <w:start w:val="1"/>
    </w:lvl>
  </w:abstractNum>
  <w:abstractNum w:abstractNumId="159">
    <w:nsid w:val="57CE66B4"/>
    <w:multiLevelType w:val="hybridMultilevel"/>
    <w:lvl w:ilvl="0">
      <w:lvlJc w:val="left"/>
      <w:lvlText w:val="(%1)"/>
      <w:numFmt w:val="lowerRoman"/>
      <w:start w:val="3"/>
    </w:lvl>
  </w:abstractNum>
  <w:abstractNum w:abstractNumId="160">
    <w:nsid w:val="67A70B69"/>
    <w:multiLevelType w:val="hybridMultilevel"/>
    <w:lvl w:ilvl="0">
      <w:lvlJc w:val="left"/>
      <w:lvlText w:val="%1."/>
      <w:numFmt w:val="decimal"/>
      <w:start w:val="4"/>
    </w:lvl>
  </w:abstractNum>
  <w:abstractNum w:abstractNumId="161">
    <w:nsid w:val="5953172F"/>
    <w:multiLevelType w:val="hybridMultilevel"/>
    <w:lvl w:ilvl="0">
      <w:lvlJc w:val="left"/>
      <w:lvlText w:val="(%1)"/>
      <w:numFmt w:val="lowerLetter"/>
      <w:start w:val="2"/>
    </w:lvl>
  </w:abstractNum>
  <w:abstractNum w:abstractNumId="162">
    <w:nsid w:val="27EDFE3A"/>
    <w:multiLevelType w:val="hybridMultilevel"/>
    <w:lvl w:ilvl="0">
      <w:lvlJc w:val="left"/>
      <w:lvlText w:val="(%1)"/>
      <w:numFmt w:val="lowerRoman"/>
      <w:start w:val="2"/>
    </w:lvl>
    <w:lvl w:ilvl="1">
      <w:lvlJc w:val="left"/>
      <w:lvlText w:val="%2."/>
      <w:numFmt w:val="decimal"/>
      <w:start w:val="5"/>
    </w:lvl>
  </w:abstractNum>
  <w:abstractNum w:abstractNumId="163">
    <w:nsid w:val="52AC7DFF"/>
    <w:multiLevelType w:val="hybridMultilevel"/>
    <w:lvl w:ilvl="0">
      <w:lvlJc w:val="left"/>
      <w:lvlText w:val="%1."/>
      <w:numFmt w:val="decimal"/>
      <w:start w:val="6"/>
    </w:lvl>
  </w:abstractNum>
  <w:abstractNum w:abstractNumId="164">
    <w:nsid w:val="C4C3AF"/>
    <w:multiLevelType w:val="hybridMultilevel"/>
    <w:lvl w:ilvl="0">
      <w:lvlJc w:val="left"/>
      <w:lvlText w:val="%1."/>
      <w:numFmt w:val="decimal"/>
      <w:start w:val="7"/>
    </w:lvl>
  </w:abstractNum>
  <w:abstractNum w:abstractNumId="165">
    <w:nsid w:val="44380727"/>
    <w:multiLevelType w:val="hybridMultilevel"/>
    <w:lvl w:ilvl="0">
      <w:lvlJc w:val="left"/>
      <w:lvlText w:val="%1."/>
      <w:numFmt w:val="decimal"/>
      <w:start w:val="8"/>
    </w:lvl>
  </w:abstractNum>
  <w:abstractNum w:abstractNumId="166">
    <w:nsid w:val="6C053B16"/>
    <w:multiLevelType w:val="hybridMultilevel"/>
    <w:lvl w:ilvl="0">
      <w:lvlJc w:val="left"/>
      <w:lvlText w:val="%1."/>
      <w:numFmt w:val="decimal"/>
      <w:start w:val="9"/>
    </w:lvl>
  </w:abstractNum>
  <w:abstractNum w:abstractNumId="167">
    <w:nsid w:val="4F294393"/>
    <w:multiLevelType w:val="hybridMultilevel"/>
    <w:lvl w:ilvl="0">
      <w:lvlJc w:val="left"/>
      <w:lvlText w:val="(%1)"/>
      <w:numFmt w:val="lowerRoman"/>
      <w:start w:val="1"/>
    </w:lvl>
  </w:abstractNum>
  <w:abstractNum w:abstractNumId="168">
    <w:nsid w:val="5243BFA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69">
    <w:nsid w:val="425EB207"/>
    <w:multiLevelType w:val="hybridMultilevel"/>
    <w:lvl w:ilvl="0">
      <w:lvlJc w:val="left"/>
      <w:lvlText w:val="%1"/>
      <w:numFmt w:val="lowerLetter"/>
      <w:start w:val="1"/>
    </w:lvl>
    <w:lvl w:ilvl="1">
      <w:lvlJc w:val="left"/>
      <w:lvlText w:val="(%2)"/>
      <w:numFmt w:val="lowerLetter"/>
      <w:start w:val="35"/>
    </w:lvl>
  </w:abstractNum>
  <w:abstractNum w:abstractNumId="170">
    <w:nsid w:val="334A6F1F"/>
    <w:multiLevelType w:val="hybridMultilevel"/>
    <w:lvl w:ilvl="0">
      <w:lvlJc w:val="left"/>
      <w:lvlText w:val="(%1)"/>
      <w:numFmt w:val="lowerLetter"/>
      <w:start w:val="5"/>
    </w:lvl>
    <w:lvl w:ilvl="1">
      <w:lvlJc w:val="left"/>
      <w:lvlText w:val="%2"/>
      <w:numFmt w:val="lowerLetter"/>
      <w:start w:val="1"/>
    </w:lvl>
  </w:abstractNum>
  <w:abstractNum w:abstractNumId="171">
    <w:nsid w:val="2E5B12B8"/>
    <w:multiLevelType w:val="hybridMultilevel"/>
    <w:lvl w:ilvl="0">
      <w:lvlJc w:val="left"/>
      <w:lvlText w:val="(%1)"/>
      <w:numFmt w:val="lowerLetter"/>
      <w:start w:val="1"/>
    </w:lvl>
    <w:lvl w:ilvl="1">
      <w:lvlJc w:val="left"/>
      <w:lvlText w:val="(%2)"/>
      <w:numFmt w:val="lowerRoman"/>
      <w:start w:val="1"/>
    </w:lvl>
  </w:abstractNum>
  <w:abstractNum w:abstractNumId="172">
    <w:nsid w:val="5C03D76D"/>
    <w:multiLevelType w:val="hybridMultilevel"/>
    <w:lvl w:ilvl="0">
      <w:lvlJc w:val="left"/>
      <w:lvlText w:val="(%1)"/>
      <w:numFmt w:val="lowerLetter"/>
      <w:start w:val="1"/>
    </w:lvl>
  </w:abstractNum>
  <w:abstractNum w:abstractNumId="173">
    <w:nsid w:val="66A48D11"/>
    <w:multiLevelType w:val="hybridMultilevel"/>
    <w:lvl w:ilvl="0">
      <w:lvlJc w:val="left"/>
      <w:lvlText w:val="(%1)"/>
      <w:numFmt w:val="decimal"/>
      <w:start w:val="3"/>
    </w:lvl>
  </w:abstractNum>
  <w:abstractNum w:abstractNumId="174">
    <w:nsid w:val="56C28E34"/>
    <w:multiLevelType w:val="hybridMultilevel"/>
    <w:lvl w:ilvl="0">
      <w:lvlJc w:val="left"/>
      <w:lvlText w:val="%1."/>
      <w:numFmt w:val="decimal"/>
      <w:start w:val="1"/>
    </w:lvl>
  </w:abstractNum>
  <w:abstractNum w:abstractNumId="175">
    <w:nsid w:val="13916F2D"/>
    <w:multiLevelType w:val="hybridMultilevel"/>
    <w:lvl w:ilvl="0">
      <w:lvlJc w:val="left"/>
      <w:lvlText w:val="%1."/>
      <w:numFmt w:val="decimal"/>
      <w:start w:val="2"/>
    </w:lvl>
    <w:lvl w:ilvl="1">
      <w:lvlJc w:val="left"/>
      <w:lvlText w:val="(%2)"/>
      <w:numFmt w:val="lowerLetter"/>
      <w:start w:val="1"/>
    </w:lvl>
  </w:abstractNum>
  <w:abstractNum w:abstractNumId="176">
    <w:nsid w:val="435D38D"/>
    <w:multiLevelType w:val="hybridMultilevel"/>
    <w:lvl w:ilvl="0">
      <w:lvlJc w:val="left"/>
      <w:lvlText w:val="(%1)"/>
      <w:numFmt w:val="upperLetter"/>
      <w:start w:val="1"/>
    </w:lvl>
  </w:abstractNum>
  <w:abstractNum w:abstractNumId="177">
    <w:nsid w:val="822C0EF"/>
    <w:multiLevelType w:val="hybridMultilevel"/>
    <w:lvl w:ilvl="0">
      <w:lvlJc w:val="left"/>
      <w:lvlText w:val="(%1)"/>
      <w:numFmt w:val="upperLetter"/>
      <w:start w:val="9"/>
    </w:lvl>
  </w:abstractNum>
  <w:abstractNum w:abstractNumId="178">
    <w:nsid w:val="57C5BB4F"/>
    <w:multiLevelType w:val="hybridMultilevel"/>
    <w:lvl w:ilvl="0">
      <w:lvlJc w:val="left"/>
      <w:lvlText w:val="%1"/>
      <w:numFmt w:val="lowerLetter"/>
      <w:start w:val="1"/>
    </w:lvl>
    <w:lvl w:ilvl="1">
      <w:lvlJc w:val="left"/>
      <w:lvlText w:val="(%2)"/>
      <w:numFmt w:val="upperLetter"/>
      <w:start w:val="35"/>
    </w:lvl>
  </w:abstractNum>
  <w:abstractNum w:abstractNumId="179">
    <w:nsid w:val="1803D089"/>
    <w:multiLevelType w:val="hybridMultilevel"/>
    <w:lvl w:ilvl="0">
      <w:lvlJc w:val="left"/>
      <w:lvlText w:val="(%1)"/>
      <w:numFmt w:val="lowerLetter"/>
      <w:start w:val="3"/>
    </w:lvl>
    <w:lvl w:ilvl="1">
      <w:lvlJc w:val="left"/>
      <w:lvlText w:val="%2"/>
      <w:numFmt w:val="upperLetter"/>
      <w:start w:val="1"/>
    </w:lvl>
  </w:abstractNum>
  <w:abstractNum w:abstractNumId="180">
    <w:nsid w:val="4F3A06D4"/>
    <w:multiLevelType w:val="hybridMultilevel"/>
    <w:lvl w:ilvl="0">
      <w:lvlJc w:val="left"/>
      <w:lvlText w:val="(%1)"/>
      <w:numFmt w:val="lowerLetter"/>
      <w:start w:val="8"/>
    </w:lvl>
  </w:abstractNum>
  <w:abstractNum w:abstractNumId="181">
    <w:nsid w:val="59A377B6"/>
    <w:multiLevelType w:val="hybridMultilevel"/>
    <w:lvl w:ilvl="0">
      <w:lvlJc w:val="left"/>
      <w:lvlText w:val="%1"/>
      <w:numFmt w:val="decimal"/>
      <w:start w:val="1"/>
    </w:lvl>
    <w:lvl w:ilvl="1">
      <w:lvlJc w:val="left"/>
      <w:lvlText w:val="(%2)"/>
      <w:numFmt w:val="lowerLetter"/>
      <w:start w:val="12"/>
    </w:lvl>
  </w:abstractNum>
  <w:abstractNum w:abstractNumId="182">
    <w:nsid w:val="48AEB063"/>
    <w:multiLevelType w:val="hybridMultilevel"/>
    <w:lvl w:ilvl="0">
      <w:lvlJc w:val="left"/>
      <w:lvlText w:val="%1."/>
      <w:numFmt w:val="decimal"/>
      <w:start w:val="3"/>
    </w:lvl>
    <w:lvl w:ilvl="1">
      <w:lvlJc w:val="left"/>
      <w:lvlText w:val="%2"/>
      <w:numFmt w:val="lowerLetter"/>
      <w:start w:val="1"/>
    </w:lvl>
  </w:abstractNum>
  <w:abstractNum w:abstractNumId="183">
    <w:nsid w:val="24E135"/>
    <w:multiLevelType w:val="hybridMultilevel"/>
    <w:lvl w:ilvl="0">
      <w:lvlJc w:val="left"/>
      <w:lvlText w:val="%1."/>
      <w:numFmt w:val="decimal"/>
      <w:start w:val="5"/>
    </w:lvl>
    <w:lvl w:ilvl="1">
      <w:lvlJc w:val="left"/>
      <w:lvlText w:val="(%2)"/>
      <w:numFmt w:val="lowerLetter"/>
      <w:start w:val="1"/>
    </w:lvl>
  </w:abstractNum>
  <w:abstractNum w:abstractNumId="184">
    <w:nsid w:val="BB13C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5">
    <w:nsid w:val="271210C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86">
    <w:nsid w:val="217B22E4"/>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187">
    <w:nsid w:val="53E31A24"/>
    <w:multiLevelType w:val="hybridMultilevel"/>
    <w:lvl w:ilvl="0">
      <w:lvlJc w:val="left"/>
      <w:lvlText w:val="%1."/>
      <w:numFmt w:val="decimal"/>
      <w:start w:val="11"/>
    </w:lvl>
    <w:lvl w:ilvl="1">
      <w:lvlJc w:val="left"/>
      <w:lvlText w:val="(%2)"/>
      <w:numFmt w:val="lowerLetter"/>
      <w:start w:val="1"/>
    </w:lvl>
  </w:abstractNum>
  <w:abstractNum w:abstractNumId="188">
    <w:nsid w:val="6DC45E83"/>
    <w:multiLevelType w:val="hybridMultilevel"/>
    <w:lvl w:ilvl="0">
      <w:lvlJc w:val="left"/>
      <w:lvlText w:val="(%1)"/>
      <w:numFmt w:val="lowerLetter"/>
      <w:start w:val="3"/>
    </w:lvl>
  </w:abstractNum>
  <w:abstractNum w:abstractNumId="189">
    <w:nsid w:val="17304A67"/>
    <w:multiLevelType w:val="hybridMultilevel"/>
    <w:lvl w:ilvl="0">
      <w:lvlJc w:val="left"/>
      <w:lvlText w:val="%1"/>
      <w:numFmt w:val="decimal"/>
      <w:start w:val="1"/>
    </w:lvl>
    <w:lvl w:ilvl="1">
      <w:lvlJc w:val="left"/>
      <w:lvlText w:val="(%2)"/>
      <w:numFmt w:val="lowerLetter"/>
      <w:start w:val="6"/>
    </w:lvl>
  </w:abstractNum>
  <w:abstractNum w:abstractNumId="190">
    <w:nsid w:val="2BB180D8"/>
    <w:multiLevelType w:val="hybridMultilevel"/>
    <w:lvl w:ilvl="0">
      <w:lvlJc w:val="left"/>
      <w:lvlText w:val="%1."/>
      <w:numFmt w:val="decimal"/>
      <w:start w:val="12"/>
    </w:lvl>
    <w:lvl w:ilvl="1">
      <w:lvlJc w:val="left"/>
      <w:lvlText w:val="(%2)"/>
      <w:numFmt w:val="lowerLetter"/>
      <w:start w:val="1"/>
    </w:lvl>
  </w:abstractNum>
  <w:abstractNum w:abstractNumId="191">
    <w:nsid w:val="556B69ED"/>
    <w:multiLevelType w:val="hybridMultilevel"/>
    <w:lvl w:ilvl="0">
      <w:lvlJc w:val="left"/>
      <w:lvlText w:val="%1"/>
      <w:numFmt w:val="decimal"/>
      <w:start w:val="1"/>
    </w:lvl>
    <w:lvl w:ilvl="1">
      <w:lvlJc w:val="left"/>
      <w:lvlText w:val="(%2)"/>
      <w:numFmt w:val="lowerLetter"/>
      <w:start w:val="3"/>
    </w:lvl>
  </w:abstractNum>
  <w:abstractNum w:abstractNumId="192">
    <w:nsid w:val="70836196"/>
    <w:multiLevelType w:val="hybridMultilevel"/>
    <w:lvl w:ilvl="0">
      <w:lvlJc w:val="left"/>
      <w:lvlText w:val="%1."/>
      <w:numFmt w:val="decimal"/>
      <w:start w:val="14"/>
    </w:lvl>
    <w:lvl w:ilvl="1">
      <w:lvlJc w:val="left"/>
      <w:lvlText w:val="%2"/>
      <w:numFmt w:val="lowerLetter"/>
      <w:start w:val="1"/>
    </w:lvl>
  </w:abstractNum>
  <w:abstractNum w:abstractNumId="193">
    <w:nsid w:val="539F7F12"/>
    <w:multiLevelType w:val="hybridMultilevel"/>
    <w:lvl w:ilvl="0">
      <w:lvlJc w:val="left"/>
      <w:lvlText w:val="%1."/>
      <w:numFmt w:val="decimal"/>
      <w:start w:val="15"/>
    </w:lvl>
    <w:lvl w:ilvl="1">
      <w:lvlJc w:val="left"/>
      <w:lvlText w:val="(%2)"/>
      <w:numFmt w:val="lowerLetter"/>
      <w:start w:val="1"/>
    </w:lvl>
  </w:abstractNum>
  <w:abstractNum w:abstractNumId="194">
    <w:nsid w:val="2817E7EC"/>
    <w:multiLevelType w:val="hybridMultilevel"/>
    <w:lvl w:ilvl="0">
      <w:lvlJc w:val="left"/>
      <w:lvlText w:val="%1"/>
      <w:numFmt w:val="decimal"/>
      <w:start w:val="1"/>
    </w:lvl>
    <w:lvl w:ilvl="1">
      <w:lvlJc w:val="left"/>
      <w:lvlText w:val="(%2)"/>
      <w:numFmt w:val="lowerLetter"/>
      <w:start w:val="5"/>
    </w:lvl>
  </w:abstractNum>
  <w:abstractNum w:abstractNumId="195">
    <w:nsid w:val="71482545"/>
    <w:multiLevelType w:val="hybridMultilevel"/>
    <w:lvl w:ilvl="0">
      <w:lvlJc w:val="left"/>
      <w:lvlText w:val="%1."/>
      <w:numFmt w:val="decimal"/>
      <w:start w:val="18"/>
    </w:lvl>
    <w:lvl w:ilvl="1">
      <w:lvlJc w:val="left"/>
      <w:lvlText w:val="(%2)"/>
      <w:numFmt w:val="lowerLetter"/>
      <w:start w:val="1"/>
    </w:lvl>
  </w:abstractNum>
  <w:abstractNum w:abstractNumId="196">
    <w:nsid w:val="17D78639"/>
    <w:multiLevelType w:val="hybridMultilevel"/>
    <w:lvl w:ilvl="0">
      <w:lvlJc w:val="left"/>
      <w:lvlText w:val="%1."/>
      <w:numFmt w:val="decimal"/>
      <w:start w:val="20"/>
    </w:lvl>
  </w:abstractNum>
  <w:abstractNum w:abstractNumId="197">
    <w:nsid w:val="141D2302"/>
    <w:multiLevelType w:val="hybridMultilevel"/>
    <w:lvl w:ilvl="0">
      <w:lvlJc w:val="left"/>
      <w:lvlText w:val="%1"/>
      <w:numFmt w:val="lowerLetter"/>
      <w:start w:val="1"/>
    </w:lvl>
    <w:lvl w:ilvl="1">
      <w:lvlJc w:val="left"/>
      <w:lvlText w:val="%2."/>
      <w:numFmt w:val="decimal"/>
      <w:start w:val="21"/>
    </w:lvl>
  </w:abstractNum>
  <w:abstractNum w:abstractNumId="198">
    <w:nsid w:val="407168D8"/>
    <w:multiLevelType w:val="hybridMultilevel"/>
    <w:lvl w:ilvl="0">
      <w:lvlJc w:val="left"/>
      <w:lvlText w:val="(%1)"/>
      <w:numFmt w:val="lowerLetter"/>
      <w:start w:val="4"/>
    </w:lvl>
    <w:lvl w:ilvl="1">
      <w:lvlJc w:val="left"/>
      <w:lvlText w:val="%2."/>
      <w:numFmt w:val="decimal"/>
      <w:start w:val="22"/>
    </w:lvl>
  </w:abstractNum>
  <w:abstractNum w:abstractNumId="199">
    <w:nsid w:val="6A1B45E5"/>
    <w:multiLevelType w:val="hybridMultilevel"/>
    <w:lvl w:ilvl="0">
      <w:lvlJc w:val="left"/>
      <w:lvlText w:val="%1."/>
      <w:numFmt w:val="decimal"/>
      <w:start w:val="1"/>
    </w:lvl>
    <w:lvl w:ilvl="1">
      <w:lvlJc w:val="left"/>
      <w:lvlText w:val="(%2)"/>
      <w:numFmt w:val="lowerLetter"/>
      <w:start w:val="1"/>
    </w:lvl>
  </w:abstractNum>
  <w:abstractNum w:abstractNumId="200">
    <w:nsid w:val="567BD50A"/>
    <w:multiLevelType w:val="hybridMultilevel"/>
    <w:lvl w:ilvl="0">
      <w:lvlJc w:val="left"/>
      <w:lvlText w:val="(%1)"/>
      <w:numFmt w:val="lowerLetter"/>
      <w:start w:val="7"/>
    </w:lvl>
    <w:lvl w:ilvl="1">
      <w:lvlJc w:val="left"/>
      <w:lvlText w:val="(%2)"/>
      <w:numFmt w:val="lowerRoman"/>
      <w:start w:val="1"/>
    </w:lvl>
  </w:abstractNum>
  <w:abstractNum w:abstractNumId="201">
    <w:nsid w:val="73BBD7F8"/>
    <w:multiLevelType w:val="hybridMultilevel"/>
    <w:lvl w:ilvl="0">
      <w:lvlJc w:val="left"/>
      <w:lvlText w:val="(%1)"/>
      <w:numFmt w:val="lowerLetter"/>
      <w:start w:val="8"/>
    </w:lvl>
  </w:abstractNum>
  <w:abstractNum w:abstractNumId="202">
    <w:nsid w:val="1876589D"/>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1"/>
    </w:lvl>
  </w:abstractNum>
  <w:abstractNum w:abstractNumId="203">
    <w:nsid w:val="327FAC7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04">
    <w:nsid w:val="5A606509"/>
    <w:multiLevelType w:val="hybridMultilevel"/>
    <w:lvl w:ilvl="0">
      <w:lvlJc w:val="left"/>
      <w:lvlText w:val="(%1)"/>
      <w:numFmt w:val="lowerRoman"/>
      <w:start w:val="3"/>
    </w:lvl>
    <w:lvl w:ilvl="1">
      <w:lvlJc w:val="left"/>
      <w:lvlText w:val="(%2)"/>
      <w:numFmt w:val="lowerLetter"/>
      <w:start w:val="18"/>
    </w:lvl>
    <w:lvl w:ilvl="2">
      <w:lvlJc w:val="left"/>
      <w:lvlText w:val="(%3)"/>
      <w:numFmt w:val="lowerRoman"/>
      <w:start w:val="1"/>
    </w:lvl>
  </w:abstractNum>
  <w:abstractNum w:abstractNumId="205">
    <w:nsid w:val="6F38E6D1"/>
    <w:multiLevelType w:val="hybridMultilevel"/>
    <w:lvl w:ilvl="0">
      <w:lvlJc w:val="left"/>
      <w:lvlText w:val="(%1)"/>
      <w:numFmt w:val="lowerLetter"/>
      <w:start w:val="24"/>
    </w:lvl>
  </w:abstractNum>
  <w:abstractNum w:abstractNumId="206">
    <w:nsid w:val="46111BA5"/>
    <w:multiLevelType w:val="hybridMultilevel"/>
    <w:lvl w:ilvl="0">
      <w:lvlJc w:val="left"/>
      <w:lvlText w:val="%1"/>
      <w:numFmt w:val="lowerLetter"/>
      <w:start w:val="1"/>
    </w:lvl>
    <w:lvl w:ilvl="1">
      <w:lvlJc w:val="left"/>
      <w:lvlText w:val="(%2)"/>
      <w:numFmt w:val="lowerLetter"/>
      <w:start w:val="27"/>
    </w:lvl>
  </w:abstractNum>
  <w:abstractNum w:abstractNumId="207">
    <w:nsid w:val="5E963896"/>
    <w:multiLevelType w:val="hybridMultilevel"/>
    <w:lvl w:ilvl="0">
      <w:lvlJc w:val="left"/>
      <w:lvlText w:val="(%1)"/>
      <w:numFmt w:val="lowerLetter"/>
      <w:start w:val="39"/>
    </w:lvl>
    <w:lvl w:ilvl="1">
      <w:lvlJc w:val="left"/>
      <w:lvlText w:val="(%2)"/>
      <w:numFmt w:val="lowerLetter"/>
      <w:start w:val="40"/>
    </w:lvl>
  </w:abstractNum>
  <w:abstractNum w:abstractNumId="208">
    <w:nsid w:val="775BA7C1"/>
    <w:multiLevelType w:val="hybridMultilevel"/>
    <w:lvl w:ilvl="0">
      <w:lvlJc w:val="left"/>
      <w:lvlText w:val="%1"/>
      <w:numFmt w:val="lowerLetter"/>
      <w:start w:val="1"/>
    </w:lvl>
    <w:lvl w:ilvl="1">
      <w:lvlJc w:val="left"/>
      <w:lvlText w:val="(%2)"/>
      <w:numFmt w:val="lowerLetter"/>
      <w:start w:val="41"/>
    </w:lvl>
  </w:abstractNum>
  <w:abstractNum w:abstractNumId="209">
    <w:nsid w:val="1DD6D6F4"/>
    <w:multiLevelType w:val="hybridMultilevel"/>
    <w:lvl w:ilvl="0">
      <w:lvlJc w:val="left"/>
      <w:lvlText w:val="(%1)"/>
      <w:numFmt w:val="lowerLetter"/>
      <w:start w:val="35"/>
    </w:lvl>
    <w:lvl w:ilvl="1">
      <w:lvlJc w:val="left"/>
      <w:lvlText w:val="(%2)"/>
      <w:numFmt w:val="lowerLetter"/>
      <w:start w:val="48"/>
    </w:lvl>
  </w:abstractNum>
  <w:abstractNum w:abstractNumId="210">
    <w:nsid w:val="769A091F"/>
    <w:multiLevelType w:val="hybridMultilevel"/>
    <w:lvl w:ilvl="0">
      <w:lvlJc w:val="left"/>
      <w:lvlText w:val="%1."/>
      <w:numFmt w:val="decimal"/>
      <w:start w:val="4"/>
    </w:lvl>
    <w:lvl w:ilvl="1">
      <w:lvlJc w:val="left"/>
      <w:lvlText w:val="(%2)"/>
      <w:numFmt w:val="lowerLetter"/>
      <w:start w:val="1"/>
    </w:lvl>
  </w:abstractNum>
  <w:abstractNum w:abstractNumId="211">
    <w:nsid w:val="4695AE95"/>
    <w:multiLevelType w:val="hybridMultilevel"/>
    <w:lvl w:ilvl="0">
      <w:lvlJc w:val="left"/>
      <w:lvlText w:val="%1"/>
      <w:numFmt w:val="decimal"/>
      <w:start w:val="1"/>
    </w:lvl>
    <w:lvl w:ilvl="1">
      <w:lvlJc w:val="left"/>
      <w:lvlText w:val="(%2)"/>
      <w:numFmt w:val="lowerLetter"/>
      <w:start w:val="3"/>
    </w:lvl>
  </w:abstractNum>
  <w:abstractNum w:abstractNumId="212">
    <w:nsid w:val="777A4EAA"/>
    <w:multiLevelType w:val="hybridMultilevel"/>
    <w:lvl w:ilvl="0">
      <w:lvlJc w:val="left"/>
      <w:lvlText w:val="%1."/>
      <w:numFmt w:val="decimal"/>
      <w:start w:val="5"/>
    </w:lvl>
    <w:lvl w:ilvl="1">
      <w:lvlJc w:val="left"/>
      <w:lvlText w:val="(%2)"/>
      <w:numFmt w:val="lowerLetter"/>
      <w:start w:val="1"/>
    </w:lvl>
  </w:abstractNum>
  <w:abstractNum w:abstractNumId="213">
    <w:nsid w:val="3F48B982"/>
    <w:multiLevelType w:val="hybridMultilevel"/>
    <w:lvl w:ilvl="0">
      <w:lvlJc w:val="left"/>
      <w:lvlText w:val="%1"/>
      <w:numFmt w:val="decimal"/>
      <w:start w:val="1"/>
    </w:lvl>
    <w:lvl w:ilvl="1">
      <w:lvlJc w:val="left"/>
      <w:lvlText w:val="(%2)"/>
      <w:numFmt w:val="lowerLetter"/>
      <w:start w:val="5"/>
    </w:lvl>
  </w:abstractNum>
  <w:abstractNum w:abstractNumId="214">
    <w:nsid w:val="46BA8FCA"/>
    <w:multiLevelType w:val="hybridMultilevel"/>
    <w:lvl w:ilvl="0">
      <w:lvlJc w:val="left"/>
      <w:lvlText w:val="%1."/>
      <w:numFmt w:val="decimal"/>
      <w:start w:val="6"/>
    </w:lvl>
    <w:lvl w:ilvl="1">
      <w:lvlJc w:val="left"/>
      <w:lvlText w:val="(%2)"/>
      <w:numFmt w:val="lowerLetter"/>
      <w:start w:val="1"/>
    </w:lvl>
  </w:abstractNum>
  <w:abstractNum w:abstractNumId="215">
    <w:nsid w:val="7835626C"/>
    <w:multiLevelType w:val="hybridMultilevel"/>
    <w:lvl w:ilvl="0">
      <w:lvlJc w:val="left"/>
      <w:lvlText w:val="%1"/>
      <w:numFmt w:val="decimal"/>
      <w:start w:val="1"/>
    </w:lvl>
    <w:lvl w:ilvl="1">
      <w:lvlJc w:val="left"/>
      <w:lvlText w:val="(%2)"/>
      <w:numFmt w:val="lowerLetter"/>
      <w:start w:val="5"/>
    </w:lvl>
  </w:abstractNum>
  <w:abstractNum w:abstractNumId="216">
    <w:nsid w:val="665ACA49"/>
    <w:multiLevelType w:val="hybridMultilevel"/>
    <w:lvl w:ilvl="0">
      <w:lvlJc w:val="left"/>
      <w:lvlText w:val="%1."/>
      <w:numFmt w:val="decimal"/>
      <w:start w:val="8"/>
    </w:lvl>
    <w:lvl w:ilvl="1">
      <w:lvlJc w:val="left"/>
      <w:lvlText w:val="(%2)"/>
      <w:numFmt w:val="lowerLetter"/>
      <w:start w:val="1"/>
    </w:lvl>
  </w:abstractNum>
  <w:abstractNum w:abstractNumId="217">
    <w:nsid w:val="6835B2A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8">
    <w:nsid w:val="4C187C9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219">
    <w:nsid w:val="541F28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0">
    <w:nsid w:val="7F65FD1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221">
    <w:nsid w:val="77C9FD68"/>
    <w:multiLevelType w:val="hybridMultilevel"/>
    <w:lvl w:ilvl="0">
      <w:lvlJc w:val="left"/>
      <w:lvlText w:val="%1."/>
      <w:numFmt w:val="decimal"/>
      <w:start w:val="11"/>
    </w:lvl>
    <w:lvl w:ilvl="1">
      <w:lvlJc w:val="left"/>
      <w:lvlText w:val="(%2)"/>
      <w:numFmt w:val="lowerLetter"/>
      <w:start w:val="1"/>
    </w:lvl>
  </w:abstractNum>
  <w:abstractNum w:abstractNumId="222">
    <w:nsid w:val="298A92BA"/>
    <w:multiLevelType w:val="hybridMultilevel"/>
    <w:lvl w:ilvl="0">
      <w:lvlJc w:val="left"/>
      <w:lvlText w:val="(%1)"/>
      <w:numFmt w:val="lowerRoman"/>
      <w:start w:val="8"/>
    </w:lvl>
    <w:lvl w:ilvl="1">
      <w:lvlJc w:val="left"/>
      <w:lvlText w:val="(%2)"/>
      <w:numFmt w:val="lowerLetter"/>
      <w:start w:val="5"/>
    </w:lvl>
  </w:abstractNum>
  <w:abstractNum w:abstractNumId="223">
    <w:nsid w:val="6FE95EAC"/>
    <w:multiLevelType w:val="hybridMultilevel"/>
    <w:lvl w:ilvl="0">
      <w:lvlJc w:val="left"/>
      <w:lvlText w:val="%1."/>
      <w:numFmt w:val="decimal"/>
      <w:start w:val="13"/>
    </w:lvl>
    <w:lvl w:ilvl="1">
      <w:lvlJc w:val="left"/>
      <w:lvlText w:val="(%2)"/>
      <w:numFmt w:val="lowerLetter"/>
      <w:start w:val="1"/>
    </w:lvl>
  </w:abstractNum>
  <w:abstractNum w:abstractNumId="224">
    <w:nsid w:val="4B697C7A"/>
    <w:multiLevelType w:val="hybridMultilevel"/>
    <w:lvl w:ilvl="0">
      <w:lvlJc w:val="left"/>
      <w:lvlText w:val="%1"/>
      <w:numFmt w:val="decimal"/>
      <w:start w:val="1"/>
    </w:lvl>
    <w:lvl w:ilvl="1">
      <w:lvlJc w:val="left"/>
      <w:lvlText w:val="(%2)"/>
      <w:numFmt w:val="lowerLetter"/>
      <w:start w:val="6"/>
    </w:lvl>
  </w:abstractNum>
  <w:abstractNum w:abstractNumId="225">
    <w:nsid w:val="51A27AA6"/>
    <w:multiLevelType w:val="hybridMultilevel"/>
    <w:lvl w:ilvl="0">
      <w:lvlJc w:val="left"/>
      <w:lvlText w:val="%1."/>
      <w:numFmt w:val="decimal"/>
      <w:start w:val="14"/>
    </w:lvl>
    <w:lvl w:ilvl="1">
      <w:lvlJc w:val="left"/>
      <w:lvlText w:val="(%2)"/>
      <w:numFmt w:val="lowerLetter"/>
      <w:start w:val="1"/>
    </w:lvl>
  </w:abstractNum>
  <w:abstractNum w:abstractNumId="226">
    <w:nsid w:val="613183F2"/>
    <w:multiLevelType w:val="hybridMultilevel"/>
    <w:lvl w:ilvl="0">
      <w:lvlJc w:val="left"/>
      <w:lvlText w:val="(%1)"/>
      <w:numFmt w:val="lowerLetter"/>
      <w:start w:val="2"/>
    </w:lvl>
    <w:lvl w:ilvl="1">
      <w:lvlJc w:val="left"/>
      <w:lvlText w:val="(%2)"/>
      <w:numFmt w:val="lowerRoman"/>
      <w:start w:val="1"/>
    </w:lvl>
  </w:abstractNum>
  <w:abstractNum w:abstractNumId="227">
    <w:nsid w:val="634102B4"/>
    <w:multiLevelType w:val="hybridMultilevel"/>
    <w:lvl w:ilvl="0">
      <w:lvlJc w:val="left"/>
      <w:lvlText w:val="(%1)"/>
      <w:numFmt w:val="lowerLetter"/>
      <w:start w:val="4"/>
    </w:lvl>
    <w:lvl w:ilvl="1">
      <w:lvlJc w:val="left"/>
      <w:lvlText w:val="(%2)"/>
      <w:numFmt w:val="lowerLetter"/>
      <w:start w:val="9"/>
    </w:lvl>
  </w:abstractNum>
  <w:abstractNum w:abstractNumId="228">
    <w:nsid w:val="65BF9DA8"/>
    <w:multiLevelType w:val="hybridMultilevel"/>
    <w:lvl w:ilvl="0">
      <w:lvlJc w:val="left"/>
      <w:lvlText w:val="%1"/>
      <w:numFmt w:val="lowerLetter"/>
      <w:start w:val="1"/>
    </w:lvl>
    <w:lvl w:ilvl="1">
      <w:lvlJc w:val="left"/>
      <w:lvlText w:val="(%2)"/>
      <w:numFmt w:val="lowerLetter"/>
      <w:start w:val="35"/>
    </w:lvl>
  </w:abstractNum>
  <w:abstractNum w:abstractNumId="229">
    <w:nsid w:val="21A2ECCA"/>
    <w:multiLevelType w:val="hybridMultilevel"/>
    <w:lvl w:ilvl="0">
      <w:lvlJc w:val="left"/>
      <w:lvlText w:val="(%1)"/>
      <w:numFmt w:val="lowerLetter"/>
      <w:start w:val="10"/>
    </w:lvl>
    <w:lvl w:ilvl="1">
      <w:lvlJc w:val="left"/>
      <w:lvlText w:val="%2"/>
      <w:numFmt w:val="lowerLetter"/>
      <w:start w:val="1"/>
    </w:lvl>
  </w:abstractNum>
  <w:abstractNum w:abstractNumId="230">
    <w:nsid w:val="4D5C4899"/>
    <w:multiLevelType w:val="hybridMultilevel"/>
    <w:lvl w:ilvl="0">
      <w:lvlJc w:val="left"/>
      <w:lvlText w:val="(%1)"/>
      <w:numFmt w:val="lowerLetter"/>
      <w:start w:val="13"/>
    </w:lvl>
    <w:lvl w:ilvl="1">
      <w:lvlJc w:val="left"/>
      <w:lvlText w:val="(%2)"/>
      <w:numFmt w:val="lowerRoman"/>
      <w:start w:val="1"/>
    </w:lvl>
  </w:abstractNum>
  <w:abstractNum w:abstractNumId="231">
    <w:nsid w:val="3C3B72B2"/>
    <w:multiLevelType w:val="hybridMultilevel"/>
    <w:lvl w:ilvl="0">
      <w:lvlJc w:val="left"/>
      <w:lvlText w:val="(%1)"/>
      <w:numFmt w:val="lowerLetter"/>
      <w:start w:val="19"/>
    </w:lvl>
  </w:abstractNum>
  <w:abstractNum w:abstractNumId="232">
    <w:nsid w:val="155EC4C2"/>
    <w:multiLevelType w:val="hybridMultilevel"/>
    <w:lvl w:ilvl="0">
      <w:lvlJc w:val="left"/>
      <w:lvlText w:val="%1."/>
      <w:numFmt w:val="decimal"/>
      <w:start w:val="1"/>
    </w:lvl>
  </w:abstractNum>
  <w:abstractNum w:abstractNumId="233">
    <w:nsid w:val="65D2A137"/>
    <w:multiLevelType w:val="hybridMultilevel"/>
    <w:lvl w:ilvl="0">
      <w:lvlJc w:val="left"/>
      <w:lvlText w:val="%1."/>
      <w:numFmt w:val="decimal"/>
      <w:start w:val="2"/>
    </w:lvl>
  </w:abstractNum>
  <w:abstractNum w:abstractNumId="234">
    <w:nsid w:val="6EBB1F2A"/>
    <w:multiLevelType w:val="hybridMultilevel"/>
    <w:lvl w:ilvl="0">
      <w:lvlJc w:val="left"/>
      <w:lvlText w:val="(%1)"/>
      <w:numFmt w:val="decimal"/>
      <w:start w:val="20"/>
    </w:lvl>
  </w:abstractNum>
  <w:abstractNum w:abstractNumId="235">
    <w:nsid w:val="6FBF29CB"/>
    <w:multiLevelType w:val="hybridMultilevel"/>
    <w:lvl w:ilvl="0">
      <w:lvlJc w:val="left"/>
      <w:lvlText w:val="(%1)"/>
      <w:numFmt w:val="lowerLetter"/>
      <w:start w:val="1"/>
    </w:lvl>
  </w:abstractNum>
  <w:abstractNum w:abstractNumId="236">
    <w:nsid w:val="550B8808"/>
    <w:multiLevelType w:val="hybridMultilevel"/>
    <w:lvl w:ilvl="0">
      <w:lvlJc w:val="left"/>
      <w:lvlText w:val="%1."/>
      <w:numFmt w:val="decimal"/>
      <w:start w:val="4"/>
    </w:lvl>
  </w:abstractNum>
  <w:abstractNum w:abstractNumId="237">
    <w:nsid w:val="34CC3ACF"/>
    <w:multiLevelType w:val="hybridMultilevel"/>
    <w:lvl w:ilvl="0">
      <w:lvlJc w:val="left"/>
      <w:lvlText w:val="%1."/>
      <w:numFmt w:val="decimal"/>
      <w:start w:val="6"/>
    </w:lvl>
  </w:abstractNum>
  <w:abstractNum w:abstractNumId="238">
    <w:nsid w:val="4E556261"/>
    <w:multiLevelType w:val="hybridMultilevel"/>
    <w:lvl w:ilvl="0">
      <w:lvlJc w:val="left"/>
      <w:lvlText w:val="%1."/>
      <w:numFmt w:val="decimal"/>
      <w:start w:val="7"/>
    </w:lvl>
  </w:abstractNum>
  <w:abstractNum w:abstractNumId="239">
    <w:nsid w:val="4C672FC9"/>
    <w:multiLevelType w:val="hybridMultilevel"/>
    <w:lvl w:ilvl="0">
      <w:lvlJc w:val="left"/>
      <w:lvlText w:val="%1."/>
      <w:numFmt w:val="decimal"/>
      <w:start w:val="8"/>
    </w:lvl>
  </w:abstractNum>
  <w:abstractNum w:abstractNumId="240">
    <w:nsid w:val="52A311C3"/>
    <w:multiLevelType w:val="hybridMultilevel"/>
    <w:lvl w:ilvl="0">
      <w:lvlJc w:val="left"/>
      <w:lvlText w:val="%1."/>
      <w:numFmt w:val="decimal"/>
      <w:start w:val="11"/>
    </w:lvl>
  </w:abstractNum>
  <w:abstractNum w:abstractNumId="241">
    <w:nsid w:val="44EF6B80"/>
    <w:multiLevelType w:val="hybridMultilevel"/>
    <w:lvl w:ilvl="0">
      <w:lvlJc w:val="left"/>
      <w:lvlText w:val="%1."/>
      <w:numFmt w:val="decimal"/>
      <w:start w:val="12"/>
    </w:lvl>
  </w:abstractNum>
  <w:abstractNum w:abstractNumId="242">
    <w:nsid w:val="12FCDE5E"/>
    <w:multiLevelType w:val="hybridMultilevel"/>
    <w:lvl w:ilvl="0">
      <w:lvlJc w:val="left"/>
      <w:lvlText w:val="%1."/>
      <w:numFmt w:val="decimal"/>
      <w:start w:val="15"/>
    </w:lvl>
  </w:abstractNum>
  <w:abstractNum w:abstractNumId="243">
    <w:nsid w:val="4A1D606E"/>
    <w:multiLevelType w:val="hybridMultilevel"/>
    <w:lvl w:ilvl="0">
      <w:lvlJc w:val="left"/>
      <w:lvlText w:val="%1."/>
      <w:numFmt w:val="decimal"/>
      <w:start w:val="20"/>
    </w:lvl>
  </w:abstractNum>
  <w:abstractNum w:abstractNumId="244">
    <w:nsid w:val="4382503"/>
    <w:multiLevelType w:val="hybridMultilevel"/>
    <w:lvl w:ilvl="0">
      <w:lvlJc w:val="left"/>
      <w:lvlText w:val="%1."/>
      <w:numFmt w:val="decimal"/>
      <w:start w:val="1"/>
    </w:lvl>
  </w:abstractNum>
  <w:abstractNum w:abstractNumId="245">
    <w:nsid w:val="59B76E28"/>
    <w:multiLevelType w:val="hybridMultilevel"/>
    <w:lvl w:ilvl="0">
      <w:lvlJc w:val="left"/>
      <w:lvlText w:val="●"/>
      <w:numFmt w:val="bullet"/>
      <w:start w:val="1"/>
    </w:lvl>
  </w:abstractNum>
  <w:abstractNum w:abstractNumId="246">
    <w:nsid w:val="4252C2DA"/>
    <w:multiLevelType w:val="hybridMultilevel"/>
    <w:lvl w:ilvl="0">
      <w:lvlJc w:val="left"/>
      <w:lvlText w:val="%1."/>
      <w:numFmt w:val="decimal"/>
      <w:start w:val="1"/>
    </w:lvl>
  </w:abstractNum>
  <w:abstractNum w:abstractNumId="247">
    <w:nsid w:val="6A92EF4C"/>
    <w:multiLevelType w:val="hybridMultilevel"/>
    <w:lvl w:ilvl="0">
      <w:lvlJc w:val="left"/>
      <w:lvlText w:val="%1."/>
      <w:numFmt w:val="decimal"/>
      <w:start w:val="3"/>
    </w:lvl>
  </w:abstractNum>
  <w:abstractNum w:abstractNumId="248">
    <w:nsid w:val="41ED20D7"/>
    <w:multiLevelType w:val="hybridMultilevel"/>
    <w:lvl w:ilvl="0">
      <w:lvlJc w:val="left"/>
      <w:lvlText w:val="(%1)"/>
      <w:numFmt w:val="lowerRoman"/>
      <w:start w:val="2"/>
    </w:lvl>
  </w:abstractNum>
  <w:abstractNum w:abstractNumId="249">
    <w:nsid w:val="E6B3F6A"/>
    <w:multiLevelType w:val="hybridMultilevel"/>
    <w:lvl w:ilvl="0">
      <w:lvlJc w:val="left"/>
      <w:lvlText w:val="$"/>
      <w:numFmt w:val="bullet"/>
      <w:start w:val="1"/>
    </w:lvl>
  </w:abstractNum>
  <w:abstractNum w:abstractNumId="250">
    <w:nsid w:val="3EB21819"/>
    <w:multiLevelType w:val="hybridMultilevel"/>
    <w:lvl w:ilvl="0">
      <w:lvlJc w:val="left"/>
      <w:lvlText w:val="$"/>
      <w:numFmt w:val="bullet"/>
      <w:start w:val="1"/>
    </w:lvl>
  </w:abstractNum>
  <w:abstractNum w:abstractNumId="251">
    <w:nsid w:val="41531DED"/>
    <w:multiLevelType w:val="hybridMultilevel"/>
    <w:lvl w:ilvl="0">
      <w:lvlJc w:val="left"/>
      <w:lvlText w:val="$"/>
      <w:numFmt w:val="bullet"/>
      <w:start w:val="1"/>
    </w:lvl>
  </w:abstractNum>
  <w:abstractNum w:abstractNumId="252">
    <w:nsid w:val="6353CD2"/>
    <w:multiLevelType w:val="hybridMultilevel"/>
    <w:lvl w:ilvl="0">
      <w:lvlJc w:val="left"/>
      <w:lvlText w:val="$"/>
      <w:numFmt w:val="bullet"/>
      <w:start w:val="1"/>
    </w:lvl>
  </w:abstractNum>
  <w:abstractNum w:abstractNumId="253">
    <w:nsid w:val="683CAAD3"/>
    <w:multiLevelType w:val="hybridMultilevel"/>
    <w:lvl w:ilvl="0">
      <w:lvlJc w:val="left"/>
      <w:lvlText w:val="%1"/>
      <w:numFmt w:val="decimal"/>
      <w:start w:val="263"/>
    </w:lvl>
  </w:abstractNum>
  <w:abstractNum w:abstractNumId="254">
    <w:nsid w:val="313C7C99"/>
    <w:multiLevelType w:val="hybridMultilevel"/>
    <w:lvl w:ilvl="0">
      <w:lvlJc w:val="left"/>
      <w:lvlText w:val="%1"/>
      <w:numFmt w:val="decimal"/>
      <w:start w:val="93"/>
    </w:lvl>
  </w:abstractNum>
  <w:abstractNum w:abstractNumId="255">
    <w:nsid w:val="519EB94C"/>
    <w:multiLevelType w:val="hybridMultilevel"/>
    <w:lvl w:ilvl="0">
      <w:lvlJc w:val="left"/>
      <w:lvlText w:val="(%1)"/>
      <w:numFmt w:val="lowerRoman"/>
      <w:start w:val="2"/>
    </w:lvl>
  </w:abstractNum>
  <w:abstractNum w:abstractNumId="256">
    <w:nsid w:val="39DF2579"/>
    <w:multiLevelType w:val="hybridMultilevel"/>
    <w:lvl w:ilvl="0">
      <w:lvlJc w:val="left"/>
      <w:lvlText w:val="(%1)"/>
      <w:numFmt w:val="lowerRoman"/>
      <w:start w:val="2"/>
    </w:lvl>
  </w:abstractNum>
  <w:abstractNum w:abstractNumId="257">
    <w:nsid w:val="126E008B"/>
    <w:multiLevelType w:val="hybridMultilevel"/>
    <w:lvl w:ilvl="0">
      <w:lvlJc w:val="left"/>
      <w:lvlText w:val="(%1)"/>
      <w:numFmt w:val="lowerRoman"/>
      <w:start w:val="1"/>
    </w:lvl>
  </w:abstractNum>
  <w:abstractNum w:abstractNumId="258">
    <w:nsid w:val="34DFBC00"/>
    <w:multiLevelType w:val="hybridMultilevel"/>
    <w:lvl w:ilvl="0">
      <w:lvlJc w:val="left"/>
      <w:lvlText w:val="%1."/>
      <w:numFmt w:val="decimal"/>
      <w:start w:val="8"/>
    </w:lvl>
  </w:abstractNum>
  <w:abstractNum w:abstractNumId="259">
    <w:nsid w:val="1F9EC322"/>
    <w:multiLevelType w:val="hybridMultilevel"/>
    <w:lvl w:ilvl="0">
      <w:lvlJc w:val="left"/>
      <w:lvlText w:val="$"/>
      <w:numFmt w:val="bullet"/>
      <w:start w:val="1"/>
    </w:lvl>
  </w:abstractNum>
  <w:abstractNum w:abstractNumId="260">
    <w:nsid w:val="3410ED56"/>
    <w:multiLevelType w:val="hybridMultilevel"/>
    <w:lvl w:ilvl="0">
      <w:lvlJc w:val="left"/>
      <w:lvlText w:val="$"/>
      <w:numFmt w:val="bullet"/>
      <w:start w:val="1"/>
    </w:lvl>
  </w:abstractNum>
  <w:abstractNum w:abstractNumId="261">
    <w:nsid w:val="23C049A"/>
    <w:multiLevelType w:val="hybridMultilevel"/>
    <w:lvl w:ilvl="0">
      <w:lvlJc w:val="left"/>
      <w:lvlText w:val="%1."/>
      <w:numFmt w:val="decimal"/>
      <w:start w:val="10"/>
    </w:lvl>
  </w:abstractNum>
  <w:abstractNum w:abstractNumId="262">
    <w:nsid w:val="5BDA35D4"/>
    <w:multiLevelType w:val="hybridMultilevel"/>
    <w:lvl w:ilvl="0">
      <w:lvlJc w:val="left"/>
      <w:lvlText w:val="(%1)"/>
      <w:numFmt w:val="decimal"/>
      <w:start w:val="1"/>
    </w:lvl>
  </w:abstractNum>
  <w:abstractNum w:abstractNumId="263">
    <w:nsid w:val="496FB218"/>
    <w:multiLevelType w:val="hybridMultilevel"/>
    <w:lvl w:ilvl="0">
      <w:lvlJc w:val="left"/>
      <w:lvlText w:val="[%1]"/>
      <w:numFmt w:val="upperLetter"/>
      <w:start w:val="1"/>
    </w:lvl>
  </w:abstractNum>
  <w:abstractNum w:abstractNumId="264">
    <w:nsid w:val="680EA5D1"/>
    <w:multiLevelType w:val="hybridMultilevel"/>
    <w:lvl w:ilvl="0">
      <w:lvlJc w:val="left"/>
      <w:lvlText w:val="[%1]"/>
      <w:numFmt w:val="upperLetter"/>
      <w:start w:val="3"/>
    </w:lvl>
  </w:abstractNum>
  <w:abstractNum w:abstractNumId="265">
    <w:nsid w:val="4A9554FE"/>
    <w:multiLevelType w:val="hybridMultilevel"/>
    <w:lvl w:ilvl="0">
      <w:lvlJc w:val="left"/>
      <w:lvlText w:val="●"/>
      <w:numFmt w:val="bullet"/>
      <w:start w:val="1"/>
    </w:lvl>
  </w:abstractNum>
  <w:abstractNum w:abstractNumId="266">
    <w:nsid w:val="392EDBE4"/>
    <w:multiLevelType w:val="hybridMultilevel"/>
    <w:lvl w:ilvl="0">
      <w:lvlJc w:val="left"/>
      <w:lvlText w:val="(%1)"/>
      <w:numFmt w:val="decimal"/>
      <w:start w:val="234"/>
    </w:lvl>
  </w:abstractNum>
  <w:abstractNum w:abstractNumId="267">
    <w:nsid w:val="3D1A2DD9"/>
    <w:multiLevelType w:val="hybridMultilevel"/>
    <w:lvl w:ilvl="0">
      <w:lvlJc w:val="left"/>
      <w:lvlText w:val="(%1)"/>
      <w:numFmt w:val="decimal"/>
      <w:start w:val="13"/>
    </w:lvl>
  </w:abstractNum>
  <w:abstractNum w:abstractNumId="268">
    <w:nsid w:val="7F618FCD"/>
    <w:multiLevelType w:val="hybridMultilevel"/>
    <w:lvl w:ilvl="0">
      <w:lvlJc w:val="left"/>
      <w:lvlText w:val="●"/>
      <w:numFmt w:val="bullet"/>
      <w:start w:val="1"/>
    </w:lvl>
  </w:abstractNum>
  <w:abstractNum w:abstractNumId="269">
    <w:nsid w:val="7843E45"/>
    <w:multiLevelType w:val="hybridMultilevel"/>
    <w:lvl w:ilvl="0">
      <w:lvlJc w:val="left"/>
      <w:lvlText w:val="●"/>
      <w:numFmt w:val="bullet"/>
      <w:start w:val="1"/>
    </w:lvl>
  </w:abstractNum>
  <w:abstractNum w:abstractNumId="270">
    <w:nsid w:val="9815DA3"/>
    <w:multiLevelType w:val="hybridMultilevel"/>
    <w:lvl w:ilvl="0">
      <w:lvlJc w:val="left"/>
      <w:lvlText w:val="(%1)"/>
      <w:numFmt w:val="lowerRoman"/>
      <w:start w:val="1"/>
    </w:lvl>
  </w:abstractNum>
  <w:abstractNum w:abstractNumId="271">
    <w:nsid w:val="5204A191"/>
    <w:multiLevelType w:val="hybridMultilevel"/>
    <w:lvl w:ilvl="0">
      <w:lvlJc w:val="left"/>
      <w:lvlText w:val="●"/>
      <w:numFmt w:val="bullet"/>
      <w:start w:val="1"/>
    </w:lvl>
  </w:abstractNum>
  <w:abstractNum w:abstractNumId="272">
    <w:nsid w:val="4C73A9C6"/>
    <w:multiLevelType w:val="hybridMultilevel"/>
    <w:lvl w:ilvl="0">
      <w:lvlJc w:val="left"/>
      <w:lvlText w:val="%1)"/>
      <w:numFmt w:val="lowerLetter"/>
      <w:start w:val="1"/>
    </w:lvl>
  </w:abstractNum>
  <w:abstractNum w:abstractNumId="273">
    <w:nsid w:val="1C7E3C01"/>
    <w:multiLevelType w:val="hybridMultilevel"/>
    <w:lvl w:ilvl="0">
      <w:lvlJc w:val="left"/>
      <w:lvlText w:val="(%1)"/>
      <w:numFmt w:val="decimal"/>
      <w:start w:val="1"/>
    </w:lvl>
  </w:abstractNum>
  <w:abstractNum w:abstractNumId="274">
    <w:nsid w:val="1C2201FF"/>
    <w:multiLevelType w:val="hybridMultilevel"/>
    <w:lvl w:ilvl="0">
      <w:lvlJc w:val="left"/>
      <w:lvlText w:val="●"/>
      <w:numFmt w:val="bullet"/>
      <w:start w:val="1"/>
    </w:lvl>
  </w:abstractNum>
  <w:abstractNum w:abstractNumId="275">
    <w:nsid w:val="50ABCEC9"/>
    <w:multiLevelType w:val="hybridMultilevel"/>
    <w:lvl w:ilvl="0">
      <w:lvlJc w:val="left"/>
      <w:lvlText w:val="(%1)"/>
      <w:numFmt w:val="decimal"/>
      <w:start w:val="1"/>
    </w:lvl>
  </w:abstractNum>
  <w:abstractNum w:abstractNumId="276">
    <w:nsid w:val="7635AA2A"/>
    <w:multiLevelType w:val="hybridMultilevel"/>
    <w:lvl w:ilvl="0">
      <w:lvlJc w:val="left"/>
      <w:lvlText w:val="%1)"/>
      <w:numFmt w:val="decimal"/>
      <w:start w:val="1"/>
    </w:lvl>
  </w:abstractNum>
  <w:abstractNum w:abstractNumId="277">
    <w:nsid w:val="5E74C4D9"/>
    <w:multiLevelType w:val="hybridMultilevel"/>
    <w:lvl w:ilvl="0">
      <w:lvlJc w:val="left"/>
      <w:lvlText w:val="(%1)"/>
      <w:numFmt w:val="decimal"/>
      <w:start w:val="2"/>
    </w:lvl>
  </w:abstractNum>
  <w:abstractNum w:abstractNumId="278">
    <w:nsid w:val="3B3EBE15"/>
    <w:multiLevelType w:val="hybridMultilevel"/>
    <w:lvl w:ilvl="0">
      <w:lvlJc w:val="left"/>
      <w:lvlText w:val="(%1)"/>
      <w:numFmt w:val="decimal"/>
      <w:start w:val="1"/>
    </w:lvl>
    <w:lvl w:ilvl="1">
      <w:lvlJc w:val="left"/>
      <w:lvlText w:val="%2."/>
      <w:numFmt w:val="lowerLetter"/>
      <w:start w:val="1"/>
    </w:lvl>
  </w:abstractNum>
  <w:abstractNum w:abstractNumId="279">
    <w:nsid w:val="3822CB01"/>
    <w:multiLevelType w:val="hybridMultilevel"/>
    <w:lvl w:ilvl="0">
      <w:lvlJc w:val="left"/>
      <w:lvlText w:val="(%1)"/>
      <w:numFmt w:val="decimal"/>
      <w:start w:val="3"/>
    </w:lvl>
    <w:lvl w:ilvl="1">
      <w:lvlJc w:val="left"/>
      <w:lvlText w:val="●"/>
      <w:numFmt w:val="bullet"/>
      <w:start w:val="1"/>
    </w:lvl>
  </w:abstractNum>
  <w:abstractNum w:abstractNumId="280">
    <w:nsid w:val="6CE00443"/>
    <w:multiLevelType w:val="hybridMultilevel"/>
    <w:lvl w:ilvl="0">
      <w:lvlJc w:val="left"/>
      <w:lvlText w:val="(%1)"/>
      <w:numFmt w:val="decimal"/>
      <w:start w:val="6"/>
    </w:lvl>
  </w:abstractNum>
  <w:abstractNum w:abstractNumId="281">
    <w:nsid w:val="79F0D62F"/>
    <w:multiLevelType w:val="hybridMultilevel"/>
    <w:lvl w:ilvl="0">
      <w:lvlJc w:val="left"/>
      <w:lvlText w:val="$"/>
      <w:numFmt w:val="bullet"/>
      <w:start w:val="1"/>
    </w:lvl>
  </w:abstractNum>
  <w:abstractNum w:abstractNumId="282">
    <w:nsid w:val="7975E8EE"/>
    <w:multiLevelType w:val="hybridMultilevel"/>
    <w:lvl w:ilvl="0">
      <w:lvlJc w:val="left"/>
      <w:lvlText w:val="(%1)"/>
      <w:numFmt w:val="decimal"/>
      <w:start w:val="6"/>
    </w:lvl>
  </w:abstractNum>
  <w:abstractNum w:abstractNumId="283">
    <w:nsid w:val="73154115"/>
    <w:multiLevelType w:val="hybridMultilevel"/>
    <w:lvl w:ilvl="0">
      <w:lvlJc w:val="left"/>
      <w:lvlText w:val="(%1)"/>
      <w:numFmt w:val="decimal"/>
      <w:start w:val="8"/>
    </w:lvl>
  </w:abstractNum>
  <w:abstractNum w:abstractNumId="284">
    <w:nsid w:val="622D8102"/>
    <w:multiLevelType w:val="hybridMultilevel"/>
    <w:lvl w:ilvl="0">
      <w:lvlJc w:val="left"/>
      <w:lvlText w:val="(%1)"/>
      <w:numFmt w:val="decimal"/>
      <w:start w:val="17"/>
    </w:lvl>
  </w:abstractNum>
  <w:abstractNum w:abstractNumId="285">
    <w:nsid w:val="2AB26587"/>
    <w:multiLevelType w:val="hybridMultilevel"/>
    <w:lvl w:ilvl="0">
      <w:lvlJc w:val="left"/>
      <w:lvlText w:val="(%1)"/>
      <w:numFmt w:val="decimal"/>
      <w:start w:val="1"/>
    </w:lvl>
  </w:abstractNum>
  <w:abstractNum w:abstractNumId="286">
    <w:nsid w:val="44B3FA61"/>
    <w:multiLevelType w:val="hybridMultilevel"/>
    <w:lvl w:ilvl="0">
      <w:lvlJc w:val="left"/>
      <w:lvlText w:val="●"/>
      <w:numFmt w:val="bullet"/>
      <w:start w:val="1"/>
    </w:lvl>
  </w:abstractNum>
  <w:abstractNum w:abstractNumId="287">
    <w:nsid w:val="1C0CA67C"/>
    <w:multiLevelType w:val="hybridMultilevel"/>
    <w:lvl w:ilvl="0">
      <w:lvlJc w:val="left"/>
      <w:lvlText w:val="●"/>
      <w:numFmt w:val="bullet"/>
      <w:start w:val="1"/>
    </w:lvl>
  </w:abstractNum>
  <w:abstractNum w:abstractNumId="288">
    <w:nsid w:val="3D206613"/>
    <w:multiLevelType w:val="hybridMultilevel"/>
    <w:lvl w:ilvl="0">
      <w:lvlJc w:val="left"/>
      <w:lvlText w:val="●"/>
      <w:numFmt w:val="bullet"/>
      <w:start w:val="1"/>
    </w:lvl>
  </w:abstractNum>
  <w:abstractNum w:abstractNumId="289">
    <w:nsid w:val="7993B662"/>
    <w:multiLevelType w:val="hybridMultilevel"/>
    <w:lvl w:ilvl="0">
      <w:lvlJc w:val="left"/>
      <w:lvlText w:val="●"/>
      <w:numFmt w:val="bullet"/>
      <w:start w:val="1"/>
    </w:lvl>
  </w:abstractNum>
  <w:abstractNum w:abstractNumId="290">
    <w:nsid w:val="3BAB699E"/>
    <w:multiLevelType w:val="hybridMultilevel"/>
    <w:lvl w:ilvl="0">
      <w:lvlJc w:val="left"/>
      <w:lvlText w:val="(%1)"/>
      <w:numFmt w:val="decimal"/>
      <w:start w:val="1"/>
    </w:lvl>
  </w:abstractNum>
  <w:abstractNum w:abstractNumId="291">
    <w:nsid w:val="71315369"/>
    <w:multiLevelType w:val="hybridMultilevel"/>
    <w:lvl w:ilvl="0">
      <w:lvlJc w:val="left"/>
      <w:lvlText w:val="(%1)"/>
      <w:numFmt w:val="decimal"/>
      <w:start w:val="1"/>
    </w:lvl>
  </w:abstractNum>
  <w:abstractNum w:abstractNumId="292">
    <w:nsid w:val="7BCFBAFC"/>
    <w:multiLevelType w:val="hybridMultilevel"/>
    <w:lvl w:ilvl="0">
      <w:lvlJc w:val="left"/>
      <w:lvlText w:val="(%1)"/>
      <w:numFmt w:val="lowerRoman"/>
      <w:start w:val="2"/>
    </w:lvl>
  </w:abstractNum>
  <w:abstractNum w:abstractNumId="293">
    <w:nsid w:val="17859F72"/>
    <w:multiLevelType w:val="hybridMultilevel"/>
    <w:lvl w:ilvl="0">
      <w:lvlJc w:val="left"/>
      <w:lvlText w:val="(%1)"/>
      <w:numFmt w:val="lowerRoman"/>
      <w:start w:val="2"/>
    </w:lvl>
  </w:abstractNum>
  <w:abstractNum w:abstractNumId="294">
    <w:nsid w:val="3AA10581"/>
    <w:multiLevelType w:val="hybridMultilevel"/>
    <w:lvl w:ilvl="0">
      <w:lvlJc w:val="left"/>
      <w:lvlText w:val="%1."/>
      <w:numFmt w:val="decimal"/>
      <w:start w:val="1"/>
    </w:lvl>
  </w:abstractNum>
  <w:abstractNum w:abstractNumId="295">
    <w:nsid w:val="63DE60CD"/>
    <w:multiLevelType w:val="hybridMultilevel"/>
    <w:lvl w:ilvl="0">
      <w:lvlJc w:val="left"/>
      <w:lvlText w:val="%1."/>
      <w:numFmt w:val="decimal"/>
      <w:start w:val="2"/>
    </w:lvl>
  </w:abstractNum>
  <w:abstractNum w:abstractNumId="296">
    <w:nsid w:val="621AF471"/>
    <w:multiLevelType w:val="hybridMultilevel"/>
    <w:lvl w:ilvl="0">
      <w:lvlJc w:val="left"/>
      <w:lvlText w:val="●"/>
      <w:numFmt w:val="bullet"/>
      <w:start w:val="1"/>
    </w:lvl>
  </w:abstractNum>
  <w:abstractNum w:abstractNumId="297">
    <w:nsid w:val="73CFE165"/>
    <w:multiLevelType w:val="hybridMultilevel"/>
    <w:lvl w:ilvl="0">
      <w:lvlJc w:val="left"/>
      <w:lvlText w:val="●"/>
      <w:numFmt w:val="bullet"/>
      <w:start w:val="1"/>
    </w:lvl>
  </w:abstractNum>
  <w:abstractNum w:abstractNumId="298">
    <w:nsid w:val="20F88EA6"/>
    <w:multiLevelType w:val="hybridMultilevel"/>
    <w:lvl w:ilvl="0">
      <w:lvlJc w:val="left"/>
      <w:lvlText w:val="●"/>
      <w:numFmt w:val="bullet"/>
      <w:start w:val="1"/>
    </w:lvl>
  </w:abstractNum>
  <w:abstractNum w:abstractNumId="299">
    <w:nsid w:val="617C843E"/>
    <w:multiLevelType w:val="hybridMultilevel"/>
    <w:lvl w:ilvl="0">
      <w:lvlJc w:val="left"/>
      <w:lvlText w:val="1"/>
      <w:numFmt w:val="bullet"/>
      <w:start w:val="1"/>
    </w:lvl>
  </w:abstractNum>
  <w:abstractNum w:abstractNumId="300">
    <w:nsid w:val="7B541F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31" Type="http://schemas.openxmlformats.org/officeDocument/2006/relationships/hyperlink" Target="http://www.sec.gov/Archives/edgar/data/1822145/000121390021058217/ea150262ex2-1_ventouxccm.htm" TargetMode="External"/><Relationship Id="rId32" Type="http://schemas.openxmlformats.org/officeDocument/2006/relationships/hyperlink" Target="http://www.sec.gov/Archives/edgar/data/1822145/000121390022017828/ea157923ex2-1_ventoux.htm" TargetMode="External"/><Relationship Id="rId33" Type="http://schemas.openxmlformats.org/officeDocument/2006/relationships/hyperlink" Target="http://www.sec.gov/Archives/edgar/data/1822145/000121390022041523/ea163294ex2-1_ventoux.htm" TargetMode="External"/><Relationship Id="rId34" Type="http://schemas.openxmlformats.org/officeDocument/2006/relationships/hyperlink" Target="http://www.sec.gov/Archives/edgar/data/1822145/000121390022041523/ea163294ex10-2_ventoux.htm" TargetMode="External"/><Relationship Id="rId35" Type="http://schemas.openxmlformats.org/officeDocument/2006/relationships/hyperlink" Target="http://www.sec.gov/Archives/edgar/data/1822145/000121390022041523/ea163294ex10-3_ventou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2022-09-27T16:50:44Z</dcterms:created>
  <dcterms:modified xsi:type="dcterms:W3CDTF">2022-09-27T16:50:44Z</dcterms:modified>
</cp:coreProperties>
</file>