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1, 2020.</w:t>
      </w:r>
    </w:p>
    <w:p>
      <w:pPr>
        <w:spacing w:after="0" w:line="36" w:lineRule="exact"/>
        <w:rPr>
          <w:sz w:val="24"/>
          <w:szCs w:val="24"/>
          <w:color w:val="auto"/>
        </w:rPr>
      </w:pPr>
    </w:p>
    <w:p>
      <w:pPr>
        <w:ind w:left="5840"/>
        <w:spacing w:after="0"/>
        <w:rPr>
          <w:sz w:val="20"/>
          <w:szCs w:val="20"/>
          <w:color w:val="auto"/>
        </w:rPr>
      </w:pPr>
      <w:r>
        <w:rPr>
          <w:rFonts w:ascii="Arial" w:cs="Arial" w:eastAsia="Arial" w:hAnsi="Arial"/>
          <w:sz w:val="17"/>
          <w:szCs w:val="17"/>
          <w:b w:val="1"/>
          <w:bCs w:val="1"/>
          <w:color w:val="auto"/>
        </w:rPr>
        <w:t>Registration No. 333-</w:t>
      </w:r>
      <w:r>
        <w:rPr>
          <w:rFonts w:ascii="Arial" w:cs="Arial" w:eastAsia="Arial" w:hAnsi="Arial"/>
          <w:sz w:val="17"/>
          <w:szCs w:val="17"/>
          <w:color w:val="auto"/>
        </w:rPr>
        <w:t>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76200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118745</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VENTOUX CCM ACQUISITION CORP.</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w:t>
      </w:r>
    </w:p>
    <w:p>
      <w:pPr>
        <w:spacing w:after="0" w:line="225" w:lineRule="exact"/>
        <w:rPr>
          <w:sz w:val="24"/>
          <w:szCs w:val="24"/>
          <w:color w:val="auto"/>
        </w:rPr>
      </w:pPr>
    </w:p>
    <w:tbl>
      <w:tblPr>
        <w:tblLayout w:type="fixed"/>
        <w:tblInd w:w="460" w:type="dxa"/>
        <w:tblCellMar>
          <w:top w:w="0" w:type="dxa"/>
          <w:left w:w="0" w:type="dxa"/>
          <w:bottom w:w="0" w:type="dxa"/>
          <w:right w:w="0" w:type="dxa"/>
        </w:tblCellMar>
      </w:tblPr>
      <w:tr>
        <w:trPr>
          <w:trHeight w:val="210"/>
        </w:trPr>
        <w:tc>
          <w:tcPr>
            <w:tcW w:w="2700" w:type="dxa"/>
            <w:vAlign w:val="bottom"/>
            <w:gridSpan w:val="2"/>
          </w:tcPr>
          <w:p>
            <w:pPr>
              <w:ind w:left="940"/>
              <w:spacing w:after="0"/>
              <w:rPr>
                <w:sz w:val="20"/>
                <w:szCs w:val="20"/>
                <w:color w:val="auto"/>
              </w:rPr>
            </w:pPr>
            <w:r>
              <w:rPr>
                <w:rFonts w:ascii="Arial" w:cs="Arial" w:eastAsia="Arial" w:hAnsi="Arial"/>
                <w:sz w:val="16"/>
                <w:szCs w:val="16"/>
                <w:b w:val="1"/>
                <w:bCs w:val="1"/>
                <w:color w:val="auto"/>
              </w:rPr>
              <w:t>Delaware</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auto"/>
                <w:w w:val="89"/>
              </w:rPr>
              <w:t>6770</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6"/>
                <w:szCs w:val="16"/>
                <w:b w:val="1"/>
                <w:bCs w:val="1"/>
                <w:color w:val="auto"/>
                <w:w w:val="91"/>
              </w:rPr>
              <w:t>84-2968594</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600" w:type="dxa"/>
            <w:vAlign w:val="bottom"/>
          </w:tcPr>
          <w:p>
            <w:pPr>
              <w:ind w:left="220"/>
              <w:spacing w:after="0" w:line="195" w:lineRule="exact"/>
              <w:rPr>
                <w:sz w:val="20"/>
                <w:szCs w:val="20"/>
                <w:color w:val="auto"/>
              </w:rPr>
            </w:pPr>
            <w:r>
              <w:rPr>
                <w:rFonts w:ascii="Arial" w:cs="Arial" w:eastAsia="Arial" w:hAnsi="Arial"/>
                <w:sz w:val="18"/>
                <w:szCs w:val="18"/>
                <w:color w:val="auto"/>
              </w:rPr>
              <w:t>(State or other jurisdiction of</w:t>
            </w:r>
          </w:p>
        </w:tc>
        <w:tc>
          <w:tcPr>
            <w:tcW w:w="100" w:type="dxa"/>
            <w:vAlign w:val="bottom"/>
            <w:vMerge w:val="continue"/>
          </w:tcPr>
          <w:p>
            <w:pPr>
              <w:spacing w:after="0"/>
              <w:rPr>
                <w:sz w:val="16"/>
                <w:szCs w:val="16"/>
                <w:color w:val="auto"/>
              </w:rPr>
            </w:pPr>
          </w:p>
        </w:tc>
        <w:tc>
          <w:tcPr>
            <w:tcW w:w="2600" w:type="dxa"/>
            <w:vAlign w:val="bottom"/>
          </w:tcPr>
          <w:p>
            <w:pPr>
              <w:jc w:val="center"/>
              <w:spacing w:after="0" w:line="195" w:lineRule="exact"/>
              <w:rPr>
                <w:sz w:val="20"/>
                <w:szCs w:val="20"/>
                <w:color w:val="auto"/>
              </w:rPr>
            </w:pPr>
            <w:r>
              <w:rPr>
                <w:rFonts w:ascii="Arial" w:cs="Arial" w:eastAsia="Arial" w:hAnsi="Arial"/>
                <w:sz w:val="18"/>
                <w:szCs w:val="18"/>
                <w:color w:val="auto"/>
                <w:w w:val="91"/>
              </w:rPr>
              <w:t>(Primary Standard Industrial</w:t>
            </w:r>
          </w:p>
        </w:tc>
        <w:tc>
          <w:tcPr>
            <w:tcW w:w="100" w:type="dxa"/>
            <w:vAlign w:val="bottom"/>
            <w:vMerge w:val="continue"/>
          </w:tcPr>
          <w:p>
            <w:pPr>
              <w:spacing w:after="0"/>
              <w:rPr>
                <w:sz w:val="16"/>
                <w:szCs w:val="16"/>
                <w:color w:val="auto"/>
              </w:rPr>
            </w:pPr>
          </w:p>
        </w:tc>
        <w:tc>
          <w:tcPr>
            <w:tcW w:w="2700" w:type="dxa"/>
            <w:vAlign w:val="bottom"/>
          </w:tcPr>
          <w:p>
            <w:pPr>
              <w:jc w:val="center"/>
              <w:spacing w:after="0" w:line="195" w:lineRule="exact"/>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20"/>
              <w:spacing w:after="0"/>
              <w:rPr>
                <w:sz w:val="20"/>
                <w:szCs w:val="20"/>
                <w:color w:val="auto"/>
              </w:rPr>
            </w:pPr>
            <w:r>
              <w:rPr>
                <w:rFonts w:ascii="Arial" w:cs="Arial" w:eastAsia="Arial" w:hAnsi="Arial"/>
                <w:sz w:val="18"/>
                <w:szCs w:val="18"/>
                <w:color w:val="auto"/>
              </w:rPr>
              <w:t>incorporation or organization)</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Classification Code Number)</w:t>
            </w:r>
          </w:p>
        </w:tc>
        <w:tc>
          <w:tcPr>
            <w:tcW w:w="27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East Putnam Avenue, Floor 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32"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Edward Scheetz</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East Putnam Avenue, Floor 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181" w:lineRule="exact"/>
        <w:rPr>
          <w:sz w:val="24"/>
          <w:szCs w:val="24"/>
          <w:color w:val="auto"/>
        </w:rPr>
      </w:pPr>
    </w:p>
    <w:tbl>
      <w:tblPr>
        <w:tblLayout w:type="fixed"/>
        <w:tblInd w:w="136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Mitchell S. Nussbaum</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2"/>
              </w:rPr>
              <w:t>Alan I. Annex</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Giovanni Caruso</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2"/>
              </w:rPr>
              <w:t>Philip R. Weingold</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5"/>
              </w:rPr>
              <w:t>Loeb &amp; Loeb LLP</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88"/>
              </w:rPr>
              <w:t>Jason T. Simon</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345 Park Avenue</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4"/>
              </w:rPr>
              <w:t>Greenberg Traurig, LLP</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New York 10154</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0"/>
              </w:rPr>
              <w:t>200 Park Avenue</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(212) 407-4000</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1"/>
              </w:rPr>
              <w:t>New York, New York 10166</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(212) 407-4990 — Facsimile</w:t>
            </w: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2"/>
              </w:rPr>
              <w:t>(212) 801-8200</w:t>
            </w:r>
          </w:p>
        </w:tc>
      </w:tr>
      <w:tr>
        <w:trPr>
          <w:trHeight w:val="234"/>
        </w:trPr>
        <w:tc>
          <w:tcPr>
            <w:tcW w:w="2160" w:type="dxa"/>
            <w:vAlign w:val="bottom"/>
          </w:tcPr>
          <w:p>
            <w:pPr>
              <w:spacing w:after="0"/>
              <w:rPr>
                <w:sz w:val="20"/>
                <w:szCs w:val="20"/>
                <w:color w:val="auto"/>
              </w:rPr>
            </w:pPr>
          </w:p>
        </w:tc>
        <w:tc>
          <w:tcPr>
            <w:tcW w:w="4080" w:type="dxa"/>
            <w:vAlign w:val="bottom"/>
          </w:tcPr>
          <w:p>
            <w:pPr>
              <w:jc w:val="center"/>
              <w:ind w:left="1850"/>
              <w:spacing w:after="0"/>
              <w:rPr>
                <w:sz w:val="20"/>
                <w:szCs w:val="20"/>
                <w:color w:val="auto"/>
              </w:rPr>
            </w:pPr>
            <w:r>
              <w:rPr>
                <w:rFonts w:ascii="Arial" w:cs="Arial" w:eastAsia="Arial" w:hAnsi="Arial"/>
                <w:sz w:val="18"/>
                <w:szCs w:val="18"/>
                <w:b w:val="1"/>
                <w:bCs w:val="1"/>
                <w:color w:val="auto"/>
                <w:w w:val="91"/>
              </w:rPr>
              <w:t>(212) 801-6400 — Facsimile</w:t>
            </w:r>
          </w:p>
        </w:tc>
      </w:tr>
      <w:tr>
        <w:trPr>
          <w:trHeight w:val="432"/>
        </w:trPr>
        <w:tc>
          <w:tcPr>
            <w:tcW w:w="2160" w:type="dxa"/>
            <w:vAlign w:val="bottom"/>
          </w:tcPr>
          <w:p>
            <w:pPr>
              <w:spacing w:after="0"/>
              <w:rPr>
                <w:sz w:val="24"/>
                <w:szCs w:val="24"/>
                <w:color w:val="auto"/>
              </w:rPr>
            </w:pPr>
          </w:p>
        </w:tc>
        <w:tc>
          <w:tcPr>
            <w:tcW w:w="4080" w:type="dxa"/>
            <w:vAlign w:val="bottom"/>
          </w:tcPr>
          <w:p>
            <w:pPr>
              <w:jc w:val="right"/>
              <w:ind w:right="2070"/>
              <w:spacing w:after="0"/>
              <w:rPr>
                <w:sz w:val="20"/>
                <w:szCs w:val="20"/>
                <w:color w:val="auto"/>
              </w:rPr>
            </w:pPr>
            <w:r>
              <w:rPr>
                <w:rFonts w:ascii="Arial" w:cs="Arial" w:eastAsia="Arial" w:hAnsi="Arial"/>
                <w:sz w:val="18"/>
                <w:szCs w:val="18"/>
                <w:b w:val="1"/>
                <w:bCs w:val="1"/>
                <w:color w:val="auto"/>
                <w:w w:val="90"/>
              </w:rPr>
              <w:t>_____________________</w:t>
            </w:r>
          </w:p>
        </w:tc>
      </w:tr>
    </w:tbl>
    <w:p>
      <w:pPr>
        <w:spacing w:after="0" w:line="135" w:lineRule="exact"/>
        <w:rPr>
          <w:sz w:val="24"/>
          <w:szCs w:val="24"/>
          <w:color w:val="auto"/>
        </w:rPr>
      </w:pPr>
    </w:p>
    <w:p>
      <w:pPr>
        <w:jc w:val="both"/>
        <w:ind w:left="460" w:right="479" w:firstLine="432"/>
        <w:spacing w:after="0" w:line="298"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offering.</w:t>
      </w:r>
    </w:p>
    <w:p>
      <w:pPr>
        <w:spacing w:after="0" w:line="20" w:lineRule="exact"/>
        <w:rPr>
          <w:sz w:val="24"/>
          <w:szCs w:val="24"/>
          <w:color w:val="auto"/>
        </w:rPr>
      </w:pPr>
    </w:p>
    <w:p>
      <w:pPr>
        <w:jc w:val="both"/>
        <w:ind w:left="460" w:right="479" w:firstLine="432"/>
        <w:spacing w:after="0" w:line="293"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w:t>
      </w:r>
    </w:p>
    <w:p>
      <w:pPr>
        <w:spacing w:after="0" w:line="37" w:lineRule="exact"/>
        <w:rPr>
          <w:sz w:val="24"/>
          <w:szCs w:val="24"/>
          <w:color w:val="auto"/>
        </w:rPr>
      </w:pPr>
    </w:p>
    <w:p>
      <w:pPr>
        <w:jc w:val="both"/>
        <w:ind w:left="460" w:right="479" w:firstLine="432"/>
        <w:spacing w:after="0" w:line="278"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36" w:lineRule="exact"/>
        <w:rPr>
          <w:sz w:val="24"/>
          <w:szCs w:val="24"/>
          <w:color w:val="auto"/>
        </w:rPr>
      </w:pPr>
    </w:p>
    <w:p>
      <w:pPr>
        <w:jc w:val="both"/>
        <w:ind w:left="460" w:right="459" w:firstLine="432"/>
        <w:spacing w:after="0" w:line="278"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36" w:lineRule="exact"/>
        <w:rPr>
          <w:sz w:val="24"/>
          <w:szCs w:val="24"/>
          <w:color w:val="auto"/>
        </w:rPr>
      </w:pPr>
    </w:p>
    <w:p>
      <w:pPr>
        <w:jc w:val="both"/>
        <w:ind w:left="460" w:right="479" w:firstLine="432"/>
        <w:spacing w:after="0" w:line="278"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49" w:lineRule="exact"/>
        <w:rPr>
          <w:sz w:val="24"/>
          <w:szCs w:val="24"/>
          <w:color w:val="auto"/>
        </w:rPr>
      </w:pPr>
    </w:p>
    <w:p>
      <w:pPr>
        <w:jc w:val="both"/>
        <w:ind w:left="460" w:right="459" w:firstLine="432"/>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17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300" w:type="dxa"/>
            <w:vAlign w:val="bottom"/>
          </w:tcPr>
          <w:p>
            <w:pPr>
              <w:ind w:left="260"/>
              <w:spacing w:after="0"/>
              <w:rPr>
                <w:sz w:val="20"/>
                <w:szCs w:val="20"/>
                <w:color w:val="auto"/>
              </w:rPr>
            </w:pPr>
            <w:r>
              <w:rPr>
                <w:rFonts w:ascii="Arial" w:cs="Arial" w:eastAsia="Arial" w:hAnsi="Arial"/>
                <w:sz w:val="16"/>
                <w:szCs w:val="16"/>
                <w:color w:val="auto"/>
              </w:rPr>
              <w:t>£</w:t>
            </w:r>
          </w:p>
        </w:tc>
        <w:tc>
          <w:tcPr>
            <w:tcW w:w="2980" w:type="dxa"/>
            <w:vAlign w:val="bottom"/>
          </w:tcPr>
          <w:p>
            <w:pPr>
              <w:ind w:left="92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84"/>
        </w:trPr>
        <w:tc>
          <w:tcPr>
            <w:tcW w:w="1700" w:type="dxa"/>
            <w:vAlign w:val="bottom"/>
          </w:tcPr>
          <w:p>
            <w:pPr>
              <w:spacing w:after="0"/>
              <w:rPr>
                <w:sz w:val="20"/>
                <w:szCs w:val="20"/>
                <w:color w:val="auto"/>
              </w:rPr>
            </w:pPr>
            <w:r>
              <w:rPr>
                <w:rFonts w:ascii="Arial" w:cs="Arial" w:eastAsia="Arial" w:hAnsi="Arial"/>
                <w:sz w:val="16"/>
                <w:szCs w:val="16"/>
                <w:color w:val="auto"/>
              </w:rPr>
              <w:t>Non-accelerated filer</w:t>
            </w:r>
          </w:p>
        </w:tc>
        <w:tc>
          <w:tcPr>
            <w:tcW w:w="1300" w:type="dxa"/>
            <w:vAlign w:val="bottom"/>
          </w:tcPr>
          <w:p>
            <w:pPr>
              <w:ind w:left="260"/>
              <w:spacing w:after="0"/>
              <w:rPr>
                <w:sz w:val="20"/>
                <w:szCs w:val="20"/>
                <w:color w:val="auto"/>
              </w:rPr>
            </w:pPr>
            <w:r>
              <w:rPr>
                <w:rFonts w:ascii="Arial" w:cs="Arial" w:eastAsia="Arial" w:hAnsi="Arial"/>
                <w:sz w:val="16"/>
                <w:szCs w:val="16"/>
                <w:color w:val="auto"/>
              </w:rPr>
              <w:t>S</w:t>
            </w:r>
          </w:p>
        </w:tc>
        <w:tc>
          <w:tcPr>
            <w:tcW w:w="2980" w:type="dxa"/>
            <w:vAlign w:val="bottom"/>
          </w:tcPr>
          <w:p>
            <w:pPr>
              <w:ind w:left="92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300"/>
              <w:spacing w:after="0"/>
              <w:rPr>
                <w:sz w:val="20"/>
                <w:szCs w:val="20"/>
                <w:color w:val="auto"/>
              </w:rPr>
            </w:pPr>
            <w:r>
              <w:rPr>
                <w:rFonts w:ascii="Arial" w:cs="Arial" w:eastAsia="Arial" w:hAnsi="Arial"/>
                <w:sz w:val="16"/>
                <w:szCs w:val="16"/>
                <w:color w:val="auto"/>
                <w:w w:val="93"/>
              </w:rPr>
              <w:t>S</w:t>
            </w:r>
          </w:p>
        </w:tc>
      </w:tr>
      <w:tr>
        <w:trPr>
          <w:trHeight w:val="283"/>
        </w:trPr>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80" w:type="dxa"/>
            <w:vAlign w:val="bottom"/>
          </w:tcPr>
          <w:p>
            <w:pPr>
              <w:ind w:left="920"/>
              <w:spacing w:after="0"/>
              <w:rPr>
                <w:sz w:val="20"/>
                <w:szCs w:val="20"/>
                <w:color w:val="auto"/>
              </w:rPr>
            </w:pPr>
            <w:r>
              <w:rPr>
                <w:rFonts w:ascii="Arial" w:cs="Arial" w:eastAsia="Arial" w:hAnsi="Arial"/>
                <w:sz w:val="16"/>
                <w:szCs w:val="16"/>
                <w:color w:val="auto"/>
              </w:rPr>
              <w:t>Emerging growth company</w:t>
            </w:r>
          </w:p>
        </w:tc>
        <w:tc>
          <w:tcPr>
            <w:tcW w:w="420" w:type="dxa"/>
            <w:vAlign w:val="bottom"/>
          </w:tcPr>
          <w:p>
            <w:pPr>
              <w:ind w:left="300"/>
              <w:spacing w:after="0"/>
              <w:rPr>
                <w:sz w:val="20"/>
                <w:szCs w:val="20"/>
                <w:color w:val="auto"/>
              </w:rPr>
            </w:pPr>
            <w:r>
              <w:rPr>
                <w:rFonts w:ascii="Arial" w:cs="Arial" w:eastAsia="Arial" w:hAnsi="Arial"/>
                <w:sz w:val="16"/>
                <w:szCs w:val="16"/>
                <w:color w:val="auto"/>
                <w:w w:val="93"/>
              </w:rPr>
              <w:t>S</w:t>
            </w:r>
          </w:p>
        </w:tc>
      </w:tr>
    </w:tbl>
    <w:p>
      <w:pPr>
        <w:spacing w:after="0" w:line="199" w:lineRule="exact"/>
        <w:rPr>
          <w:sz w:val="24"/>
          <w:szCs w:val="24"/>
          <w:color w:val="auto"/>
        </w:rPr>
      </w:pPr>
    </w:p>
    <w:p>
      <w:pPr>
        <w:jc w:val="both"/>
        <w:ind w:left="460" w:right="479" w:firstLine="432"/>
        <w:spacing w:after="0" w:line="27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243205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695" w:gutter="0" w:footer="0" w:header="0"/>
        </w:sectPr>
      </w:pPr>
    </w:p>
    <w:bookmarkStart w:id="1" w:name="page2"/>
    <w:bookmarkEnd w:id="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6"/>
              </w:rPr>
              <w:t>Proposed</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Proposed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7"/>
              </w:rPr>
              <w:t>Maximum</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Maximum</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Amount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Offering</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Aggregate</w:t>
            </w:r>
          </w:p>
        </w:tc>
        <w:tc>
          <w:tcPr>
            <w:tcW w:w="12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Being</w:t>
            </w: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Price per</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Offering</w:t>
            </w:r>
          </w:p>
        </w:tc>
        <w:tc>
          <w:tcPr>
            <w:tcW w:w="12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Registration</w:t>
            </w:r>
          </w:p>
        </w:tc>
        <w:tc>
          <w:tcPr>
            <w:tcW w:w="0" w:type="dxa"/>
            <w:vAlign w:val="bottom"/>
          </w:tcPr>
          <w:p>
            <w:pPr>
              <w:spacing w:after="0"/>
              <w:rPr>
                <w:sz w:val="1"/>
                <w:szCs w:val="1"/>
                <w:color w:val="auto"/>
              </w:rPr>
            </w:pPr>
          </w:p>
        </w:tc>
      </w:tr>
      <w:tr>
        <w:trPr>
          <w:trHeight w:val="257"/>
        </w:trPr>
        <w:tc>
          <w:tcPr>
            <w:tcW w:w="3800" w:type="dxa"/>
            <w:vAlign w:val="bottom"/>
            <w:gridSpan w:val="2"/>
          </w:tcPr>
          <w:p>
            <w:pPr>
              <w:spacing w:after="0"/>
              <w:rPr>
                <w:sz w:val="20"/>
                <w:szCs w:val="20"/>
                <w:color w:val="auto"/>
              </w:rPr>
            </w:pPr>
            <w:r>
              <w:rPr>
                <w:rFonts w:ascii="Arial" w:cs="Arial" w:eastAsia="Arial" w:hAnsi="Arial"/>
                <w:sz w:val="16"/>
                <w:szCs w:val="16"/>
                <w:b w:val="1"/>
                <w:bCs w:val="1"/>
                <w:color w:val="auto"/>
              </w:rPr>
              <w:t>Title of Each Class of Security being registered</w:t>
            </w:r>
          </w:p>
        </w:tc>
        <w:tc>
          <w:tcPr>
            <w:tcW w:w="9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Registered</w:t>
            </w:r>
          </w:p>
        </w:tc>
        <w:tc>
          <w:tcPr>
            <w:tcW w:w="40" w:type="dxa"/>
            <w:vAlign w:val="bottom"/>
          </w:tcPr>
          <w:p>
            <w:pPr>
              <w:spacing w:after="0"/>
              <w:rPr>
                <w:sz w:val="22"/>
                <w:szCs w:val="22"/>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Security</w:t>
            </w:r>
            <w:r>
              <w:rPr>
                <w:rFonts w:ascii="Arial" w:cs="Arial" w:eastAsia="Arial" w:hAnsi="Arial"/>
                <w:sz w:val="18"/>
                <w:szCs w:val="18"/>
                <w:b w:val="1"/>
                <w:bCs w:val="1"/>
                <w:color w:val="auto"/>
                <w:w w:val="87"/>
                <w:vertAlign w:val="superscript"/>
              </w:rPr>
              <w:t>(1)</w:t>
            </w:r>
          </w:p>
        </w:tc>
        <w:tc>
          <w:tcPr>
            <w:tcW w:w="120" w:type="dxa"/>
            <w:vAlign w:val="bottom"/>
          </w:tcPr>
          <w:p>
            <w:pPr>
              <w:spacing w:after="0"/>
              <w:rPr>
                <w:sz w:val="22"/>
                <w:szCs w:val="22"/>
                <w:color w:val="auto"/>
              </w:rPr>
            </w:pPr>
          </w:p>
        </w:tc>
        <w:tc>
          <w:tcPr>
            <w:tcW w:w="1080" w:type="dxa"/>
            <w:vAlign w:val="bottom"/>
            <w:gridSpan w:val="2"/>
          </w:tcPr>
          <w:p>
            <w:pPr>
              <w:jc w:val="center"/>
              <w:ind w:right="220"/>
              <w:spacing w:after="0" w:line="256" w:lineRule="exact"/>
              <w:rPr>
                <w:sz w:val="20"/>
                <w:szCs w:val="20"/>
                <w:color w:val="auto"/>
              </w:rPr>
            </w:pPr>
            <w:r>
              <w:rPr>
                <w:rFonts w:ascii="Arial" w:cs="Arial" w:eastAsia="Arial" w:hAnsi="Arial"/>
                <w:sz w:val="29"/>
                <w:szCs w:val="29"/>
                <w:b w:val="1"/>
                <w:bCs w:val="1"/>
                <w:color w:val="auto"/>
                <w:w w:val="83"/>
                <w:vertAlign w:val="subscript"/>
              </w:rPr>
              <w:t>Price</w:t>
            </w:r>
            <w:r>
              <w:rPr>
                <w:rFonts w:ascii="Arial" w:cs="Arial" w:eastAsia="Arial" w:hAnsi="Arial"/>
                <w:sz w:val="9"/>
                <w:szCs w:val="9"/>
                <w:b w:val="1"/>
                <w:bCs w:val="1"/>
                <w:color w:val="auto"/>
                <w:w w:val="83"/>
              </w:rPr>
              <w:t>(1)(2)</w:t>
            </w:r>
          </w:p>
        </w:tc>
        <w:tc>
          <w:tcPr>
            <w:tcW w:w="120" w:type="dxa"/>
            <w:vAlign w:val="bottom"/>
          </w:tcPr>
          <w:p>
            <w:pPr>
              <w:spacing w:after="0"/>
              <w:rPr>
                <w:sz w:val="22"/>
                <w:szCs w:val="22"/>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195"/>
        </w:trPr>
        <w:tc>
          <w:tcPr>
            <w:tcW w:w="3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Units, each consisting of one share of common</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$0.0001 par value, one right, and one</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warrant entitling the holder to purchase one-half</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one share of common stock</w:t>
            </w:r>
            <w:r>
              <w:rPr>
                <w:rFonts w:ascii="Arial" w:cs="Arial" w:eastAsia="Arial" w:hAnsi="Arial"/>
                <w:sz w:val="20"/>
                <w:szCs w:val="20"/>
                <w:color w:val="auto"/>
                <w:vertAlign w:val="superscript"/>
              </w:rPr>
              <w:t>(2)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17,250,000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172,500,000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18,819.75</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Shares of common stock, $0.0001 par value,</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included as part of the units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17,250,000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60" w:type="dxa"/>
            <w:vAlign w:val="bottom"/>
            <w:gridSpan w:val="2"/>
          </w:tcPr>
          <w:p>
            <w:pPr>
              <w:ind w:left="720"/>
              <w:spacing w:after="0" w:line="271" w:lineRule="exact"/>
              <w:rPr>
                <w:sz w:val="20"/>
                <w:szCs w:val="20"/>
                <w:color w:val="auto"/>
              </w:rPr>
            </w:pPr>
            <w:r>
              <w:rPr>
                <w:rFonts w:ascii="Arial" w:cs="Arial" w:eastAsia="Arial" w:hAnsi="Arial"/>
                <w:sz w:val="31"/>
                <w:szCs w:val="31"/>
                <w:color w:val="auto"/>
                <w:w w:val="97"/>
                <w:vertAlign w:val="subscript"/>
              </w:rPr>
              <w:t>—</w:t>
            </w:r>
            <w:r>
              <w:rPr>
                <w:rFonts w:ascii="Arial" w:cs="Arial" w:eastAsia="Arial" w:hAnsi="Arial"/>
                <w:sz w:val="10"/>
                <w:szCs w:val="10"/>
                <w:color w:val="auto"/>
                <w:w w:val="97"/>
              </w:rPr>
              <w:t>(3)</w:t>
            </w:r>
          </w:p>
        </w:tc>
        <w:tc>
          <w:tcPr>
            <w:tcW w:w="0" w:type="dxa"/>
            <w:vAlign w:val="bottom"/>
          </w:tcPr>
          <w:p>
            <w:pPr>
              <w:spacing w:after="0"/>
              <w:rPr>
                <w:sz w:val="1"/>
                <w:szCs w:val="1"/>
                <w:color w:val="auto"/>
              </w:rPr>
            </w:pPr>
          </w:p>
        </w:tc>
      </w:tr>
      <w:tr>
        <w:trPr>
          <w:trHeight w:val="283"/>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Rights included as part of the units</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17,250,000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20"/>
              <w:spacing w:after="0" w:line="283" w:lineRule="exact"/>
              <w:rPr>
                <w:sz w:val="20"/>
                <w:szCs w:val="20"/>
                <w:color w:val="auto"/>
              </w:rPr>
            </w:pPr>
            <w:r>
              <w:rPr>
                <w:rFonts w:ascii="Arial" w:cs="Arial" w:eastAsia="Arial" w:hAnsi="Arial"/>
                <w:sz w:val="32"/>
                <w:szCs w:val="32"/>
                <w:color w:val="auto"/>
                <w:w w:val="95"/>
                <w:vertAlign w:val="subscript"/>
              </w:rPr>
              <w:t>—</w:t>
            </w:r>
            <w:r>
              <w:rPr>
                <w:rFonts w:ascii="Arial" w:cs="Arial" w:eastAsia="Arial" w:hAnsi="Arial"/>
                <w:sz w:val="10"/>
                <w:szCs w:val="10"/>
                <w:color w:val="auto"/>
                <w:w w:val="95"/>
              </w:rPr>
              <w:t>(3)</w:t>
            </w:r>
          </w:p>
        </w:tc>
        <w:tc>
          <w:tcPr>
            <w:tcW w:w="0" w:type="dxa"/>
            <w:vAlign w:val="bottom"/>
          </w:tcPr>
          <w:p>
            <w:pPr>
              <w:spacing w:after="0"/>
              <w:rPr>
                <w:sz w:val="1"/>
                <w:szCs w:val="1"/>
                <w:color w:val="auto"/>
              </w:rPr>
            </w:pPr>
          </w:p>
        </w:tc>
      </w:tr>
      <w:tr>
        <w:trPr>
          <w:trHeight w:val="202"/>
        </w:trPr>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Shares of common stock underlying the rights</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included in the units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862,500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60" w:type="dxa"/>
            <w:vAlign w:val="bottom"/>
            <w:gridSpan w:val="2"/>
          </w:tcPr>
          <w:p>
            <w:pPr>
              <w:ind w:left="720"/>
              <w:spacing w:after="0" w:line="271" w:lineRule="exact"/>
              <w:rPr>
                <w:sz w:val="20"/>
                <w:szCs w:val="20"/>
                <w:color w:val="auto"/>
              </w:rPr>
            </w:pPr>
            <w:r>
              <w:rPr>
                <w:rFonts w:ascii="Arial" w:cs="Arial" w:eastAsia="Arial" w:hAnsi="Arial"/>
                <w:sz w:val="31"/>
                <w:szCs w:val="31"/>
                <w:color w:val="auto"/>
                <w:w w:val="97"/>
                <w:vertAlign w:val="subscript"/>
              </w:rPr>
              <w:t>—</w:t>
            </w:r>
            <w:r>
              <w:rPr>
                <w:rFonts w:ascii="Arial" w:cs="Arial" w:eastAsia="Arial" w:hAnsi="Arial"/>
                <w:sz w:val="10"/>
                <w:szCs w:val="10"/>
                <w:color w:val="auto"/>
                <w:w w:val="97"/>
              </w:rPr>
              <w:t>(3)</w:t>
            </w:r>
          </w:p>
        </w:tc>
        <w:tc>
          <w:tcPr>
            <w:tcW w:w="0" w:type="dxa"/>
            <w:vAlign w:val="bottom"/>
          </w:tcPr>
          <w:p>
            <w:pPr>
              <w:spacing w:after="0"/>
              <w:rPr>
                <w:sz w:val="1"/>
                <w:szCs w:val="1"/>
                <w:color w:val="auto"/>
              </w:rPr>
            </w:pPr>
          </w:p>
        </w:tc>
      </w:tr>
      <w:tr>
        <w:trPr>
          <w:trHeight w:val="283"/>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included as part of the units</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17,250,000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20"/>
              <w:spacing w:after="0" w:line="283" w:lineRule="exact"/>
              <w:rPr>
                <w:sz w:val="20"/>
                <w:szCs w:val="20"/>
                <w:color w:val="auto"/>
              </w:rPr>
            </w:pPr>
            <w:r>
              <w:rPr>
                <w:rFonts w:ascii="Arial" w:cs="Arial" w:eastAsia="Arial" w:hAnsi="Arial"/>
                <w:sz w:val="32"/>
                <w:szCs w:val="32"/>
                <w:color w:val="auto"/>
                <w:w w:val="95"/>
                <w:vertAlign w:val="subscript"/>
              </w:rPr>
              <w:t>—</w:t>
            </w:r>
            <w:r>
              <w:rPr>
                <w:rFonts w:ascii="Arial" w:cs="Arial" w:eastAsia="Arial" w:hAnsi="Arial"/>
                <w:sz w:val="10"/>
                <w:szCs w:val="10"/>
                <w:color w:val="auto"/>
                <w:w w:val="95"/>
              </w:rPr>
              <w:t>(3)</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00" w:type="dxa"/>
            <w:vAlign w:val="bottom"/>
            <w:gridSpan w:val="2"/>
            <w:vMerge w:val="continue"/>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172,500,000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ind w:left="180"/>
              <w:spacing w:after="0"/>
              <w:rPr>
                <w:sz w:val="20"/>
                <w:szCs w:val="20"/>
                <w:color w:val="auto"/>
              </w:rPr>
            </w:pPr>
            <w:r>
              <w:rPr>
                <w:rFonts w:ascii="Arial" w:cs="Arial" w:eastAsia="Arial" w:hAnsi="Arial"/>
                <w:sz w:val="18"/>
                <w:szCs w:val="18"/>
                <w:color w:val="auto"/>
                <w:w w:val="87"/>
              </w:rPr>
              <w:t>18,819.75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59" w:hanging="426"/>
        <w:spacing w:after="0" w:line="266" w:lineRule="auto"/>
        <w:tabs>
          <w:tab w:leader="none" w:pos="887"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457(o) under the Securities Act of 1933, as amended.</w:t>
      </w:r>
    </w:p>
    <w:p>
      <w:pPr>
        <w:spacing w:after="0" w:line="1" w:lineRule="exact"/>
        <w:rPr>
          <w:rFonts w:ascii="Arial" w:cs="Arial" w:eastAsia="Arial" w:hAnsi="Arial"/>
          <w:sz w:val="16"/>
          <w:szCs w:val="16"/>
          <w:color w:val="auto"/>
        </w:rPr>
      </w:pPr>
    </w:p>
    <w:p>
      <w:pPr>
        <w:jc w:val="both"/>
        <w:ind w:left="880" w:right="479" w:hanging="426"/>
        <w:spacing w:after="0" w:line="264" w:lineRule="auto"/>
        <w:tabs>
          <w:tab w:leader="none" w:pos="1045"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(A) the aggregate of 15,000,000 units to be issued to public stockholders in the public offering, and 2,250,000 units which may be issued upon exercise of a 45-day option granted to the underwriters to cover over-allotments, if any; and (B) shares of common stock and warrants underlying such units.</w:t>
      </w: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 fee pursuant to Rule 457(g).</w:t>
      </w:r>
    </w:p>
    <w:p>
      <w:pPr>
        <w:spacing w:after="0" w:line="141" w:lineRule="exact"/>
        <w:rPr>
          <w:sz w:val="20"/>
          <w:szCs w:val="20"/>
          <w:color w:val="auto"/>
        </w:rPr>
      </w:pPr>
    </w:p>
    <w:p>
      <w:pPr>
        <w:jc w:val="both"/>
        <w:ind w:left="460" w:right="459" w:firstLine="432"/>
        <w:spacing w:after="0" w:line="298"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23495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66675</wp:posOffset>
            </wp:positionV>
            <wp:extent cx="514350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340995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5"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6"/>
          <w:szCs w:val="16"/>
          <w:b w:val="1"/>
          <w:bCs w:val="1"/>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8" w:lineRule="exact"/>
        <w:rPr>
          <w:sz w:val="20"/>
          <w:szCs w:val="20"/>
          <w:color w:val="auto"/>
        </w:rPr>
      </w:pPr>
    </w:p>
    <w:p>
      <w:pPr>
        <w:ind w:left="460"/>
        <w:spacing w:after="0"/>
        <w:tabs>
          <w:tab w:leader="none" w:pos="3760" w:val="left"/>
        </w:tabs>
        <w:rPr>
          <w:sz w:val="20"/>
          <w:szCs w:val="20"/>
          <w:color w:val="auto"/>
        </w:rPr>
      </w:pPr>
      <w:r>
        <w:rPr>
          <w:rFonts w:ascii="Arial" w:cs="Arial" w:eastAsia="Arial" w:hAnsi="Arial"/>
          <w:sz w:val="18"/>
          <w:szCs w:val="18"/>
          <w:b w:val="1"/>
          <w:bCs w:val="1"/>
          <w:color w:val="D2232A"/>
        </w:rPr>
        <w:t>PRELIMINARY PROSPECTUS</w:t>
      </w:r>
      <w:r>
        <w:rPr>
          <w:sz w:val="20"/>
          <w:szCs w:val="20"/>
          <w:color w:val="auto"/>
        </w:rPr>
        <w:tab/>
      </w:r>
      <w:r>
        <w:rPr>
          <w:rFonts w:ascii="Arial" w:cs="Arial" w:eastAsia="Arial" w:hAnsi="Arial"/>
          <w:sz w:val="17"/>
          <w:szCs w:val="17"/>
          <w:b w:val="1"/>
          <w:bCs w:val="1"/>
          <w:color w:val="D2232A"/>
        </w:rPr>
        <w:t>SUBJECT TO COMPLETION, DATED DECEMBER 1, 2020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$150,000,000</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VENTOUX CCM ACQUISITION CORP.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15,000,000 UNITS</w:t>
      </w:r>
    </w:p>
    <w:p>
      <w:pPr>
        <w:spacing w:after="0" w:line="54" w:lineRule="exact"/>
        <w:rPr>
          <w:sz w:val="20"/>
          <w:szCs w:val="20"/>
          <w:color w:val="auto"/>
        </w:rPr>
      </w:pPr>
    </w:p>
    <w:p>
      <w:pPr>
        <w:jc w:val="both"/>
        <w:ind w:left="460" w:right="459" w:firstLine="432"/>
        <w:spacing w:after="0" w:line="226" w:lineRule="auto"/>
        <w:rPr>
          <w:sz w:val="20"/>
          <w:szCs w:val="20"/>
          <w:color w:val="auto"/>
        </w:rPr>
      </w:pPr>
      <w:r>
        <w:rPr>
          <w:rFonts w:ascii="Arial" w:cs="Arial" w:eastAsia="Arial" w:hAnsi="Arial"/>
          <w:sz w:val="14"/>
          <w:szCs w:val="14"/>
          <w:color w:val="auto"/>
        </w:rPr>
        <w:t>Ventoux CCM Acquisition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1" w:lineRule="exact"/>
        <w:rPr>
          <w:sz w:val="20"/>
          <w:szCs w:val="20"/>
          <w:color w:val="auto"/>
        </w:rPr>
      </w:pPr>
    </w:p>
    <w:p>
      <w:pPr>
        <w:jc w:val="both"/>
        <w:ind w:left="460" w:right="459" w:firstLine="432"/>
        <w:spacing w:after="0" w:line="223" w:lineRule="auto"/>
        <w:rPr>
          <w:sz w:val="20"/>
          <w:szCs w:val="20"/>
          <w:color w:val="auto"/>
        </w:rPr>
      </w:pPr>
      <w:r>
        <w:rPr>
          <w:rFonts w:ascii="Arial" w:cs="Arial" w:eastAsia="Arial" w:hAnsi="Arial"/>
          <w:sz w:val="14"/>
          <w:szCs w:val="14"/>
          <w:color w:val="auto"/>
        </w:rPr>
        <w:t>This is an initial public offering of our securities. We are offering 15,000,000 units at an offering price of $10.00 per unit. Each unit consists of one share of common stock, par value $0.0001, one right, which we refer throughout this prospectus as “rights,” and one warrant, which we refer to throughout this prospectus as “warrants” or the “public warrants.” Each right entitles the holder thereof to receive one-twentieth (1/20) of one share of common stock upon the consummation of an initial business combination, as described in more detail in this prospectus. Each warrant entitles the holder thereof to purchase one-half of one share of common stock at a price of $11.50 per whole share, subject to adjustment as described in the prospectus. We will not issue fractional shares. As a result, you must have 20 rights to receive a share of common stock at the closing of the initial business combination and 2 warrants to receive a share of common stock when exercising your warrants. Each public warrant will become exercisable on the later of one year after the closing of this offering or the consummation of an initial business combination, and will expire five years after the completion of an initial business combination, or earlier upon redemption.</w:t>
      </w:r>
    </w:p>
    <w:p>
      <w:pPr>
        <w:spacing w:after="0" w:line="3" w:lineRule="exact"/>
        <w:rPr>
          <w:sz w:val="20"/>
          <w:szCs w:val="20"/>
          <w:color w:val="auto"/>
        </w:rPr>
      </w:pPr>
    </w:p>
    <w:p>
      <w:pPr>
        <w:jc w:val="both"/>
        <w:ind w:left="460" w:right="459" w:firstLine="432"/>
        <w:spacing w:after="0" w:line="237" w:lineRule="auto"/>
        <w:rPr>
          <w:sz w:val="20"/>
          <w:szCs w:val="20"/>
          <w:color w:val="auto"/>
        </w:rPr>
      </w:pPr>
      <w:r>
        <w:rPr>
          <w:rFonts w:ascii="Arial" w:cs="Arial" w:eastAsia="Arial" w:hAnsi="Arial"/>
          <w:sz w:val="14"/>
          <w:szCs w:val="14"/>
          <w:color w:val="auto"/>
        </w:rPr>
        <w:t>We have granted Chardan Capital Markets, LLC, the representative of the underwriters, a 45-day option to purchase up to an additional 2,250,000 units (over and above the 15,000,000 units referred to above) solely to cover over-allotments, if any.</w:t>
      </w:r>
    </w:p>
    <w:p>
      <w:pPr>
        <w:spacing w:after="0" w:line="1" w:lineRule="exact"/>
        <w:rPr>
          <w:sz w:val="20"/>
          <w:szCs w:val="20"/>
          <w:color w:val="auto"/>
        </w:rPr>
      </w:pPr>
    </w:p>
    <w:p>
      <w:pPr>
        <w:jc w:val="both"/>
        <w:ind w:left="460" w:right="459" w:firstLine="432"/>
        <w:spacing w:after="0" w:line="241" w:lineRule="auto"/>
        <w:rPr>
          <w:sz w:val="20"/>
          <w:szCs w:val="20"/>
          <w:color w:val="auto"/>
        </w:rPr>
      </w:pPr>
      <w:r>
        <w:rPr>
          <w:rFonts w:ascii="Arial" w:cs="Arial" w:eastAsia="Arial" w:hAnsi="Arial"/>
          <w:sz w:val="13"/>
          <w:szCs w:val="13"/>
          <w:color w:val="auto"/>
        </w:rPr>
        <w:t>We will provide the holders of our outstanding shares of common stock that were sold as part of the units in this offering, or the “public stockholders,”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as part of the units in this offering, which we refer to as our “public shares.”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3" w:lineRule="exact"/>
        <w:rPr>
          <w:sz w:val="20"/>
          <w:szCs w:val="20"/>
          <w:color w:val="auto"/>
        </w:rPr>
      </w:pPr>
    </w:p>
    <w:p>
      <w:pPr>
        <w:jc w:val="both"/>
        <w:ind w:left="460" w:right="459" w:firstLine="432"/>
        <w:spacing w:after="0" w:line="225" w:lineRule="auto"/>
        <w:rPr>
          <w:sz w:val="20"/>
          <w:szCs w:val="20"/>
          <w:color w:val="auto"/>
        </w:rPr>
      </w:pPr>
      <w:r>
        <w:rPr>
          <w:rFonts w:ascii="Arial" w:cs="Arial" w:eastAsia="Arial" w:hAnsi="Arial"/>
          <w:sz w:val="14"/>
          <w:szCs w:val="14"/>
          <w:color w:val="auto"/>
        </w:rPr>
        <w:t>We have 15 months (or up to 18 months if we have extended the period of time as described in this prospectus) to consummate our initial business combination.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 In such event, the warrants will expire and be worthless.</w:t>
      </w:r>
    </w:p>
    <w:p>
      <w:pPr>
        <w:spacing w:after="0" w:line="1" w:lineRule="exact"/>
        <w:rPr>
          <w:sz w:val="20"/>
          <w:szCs w:val="20"/>
          <w:color w:val="auto"/>
        </w:rPr>
      </w:pPr>
    </w:p>
    <w:p>
      <w:pPr>
        <w:jc w:val="both"/>
        <w:ind w:left="460" w:right="459" w:firstLine="432"/>
        <w:spacing w:after="0" w:line="224" w:lineRule="auto"/>
        <w:rPr>
          <w:sz w:val="20"/>
          <w:szCs w:val="20"/>
          <w:color w:val="auto"/>
        </w:rPr>
      </w:pPr>
      <w:r>
        <w:rPr>
          <w:rFonts w:ascii="Arial" w:cs="Arial" w:eastAsia="Arial" w:hAnsi="Arial"/>
          <w:sz w:val="14"/>
          <w:szCs w:val="14"/>
          <w:color w:val="auto"/>
        </w:rPr>
        <w:t>Ventoux Acquisition Holdings LLC (“Ventoux Acquisition”), our co-sponsor and an affiliate of certain of our directors and officers, has committed to purchase from us an aggregate of 4,000,000 warrants (or 4,450,000 warrants if the over-allotment option is exercised in full), and Chardan International Investments, LLC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4" w:lineRule="exact"/>
        <w:rPr>
          <w:sz w:val="20"/>
          <w:szCs w:val="20"/>
          <w:color w:val="auto"/>
        </w:rPr>
      </w:pPr>
    </w:p>
    <w:p>
      <w:pPr>
        <w:jc w:val="both"/>
        <w:ind w:left="460" w:right="459" w:firstLine="432"/>
        <w:spacing w:after="0" w:line="241" w:lineRule="auto"/>
        <w:rPr>
          <w:sz w:val="20"/>
          <w:szCs w:val="20"/>
          <w:color w:val="auto"/>
        </w:rPr>
      </w:pPr>
      <w:r>
        <w:rPr>
          <w:rFonts w:ascii="Arial" w:cs="Arial" w:eastAsia="Arial" w:hAnsi="Arial"/>
          <w:sz w:val="13"/>
          <w:szCs w:val="13"/>
          <w:color w:val="auto"/>
        </w:rPr>
        <w:t>On September 19, 2019, Chardan Investments purchased 5,000,000 shares of common stock from us for $25,000. On July 23, 2020, Chardan Investments sold 3,250,000 shares of common stock back to us for $16,250.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As of the date hereof, Ventoux Acquisition holds 2,818,875 shares of common stock, of which Ventoux Acquisition intends to distribute 67,500 shares to certain of our directors prior to the consummation of the offering, resulting in Ventoux Acquisition holding a balance of 2,751,375 shares. We refer to these shares held by our co-sponsors, officers and directors as “founder” shares or “insider shares. The founder shares include an aggregate of up to 562,500 shares that are subject to forfeiture to the extent that the underwriters’ over-allotment option is not exercised in full or in part.</w:t>
      </w:r>
    </w:p>
    <w:p>
      <w:pPr>
        <w:spacing w:after="0" w:line="3" w:lineRule="exact"/>
        <w:rPr>
          <w:sz w:val="20"/>
          <w:szCs w:val="20"/>
          <w:color w:val="auto"/>
        </w:rPr>
      </w:pPr>
    </w:p>
    <w:p>
      <w:pPr>
        <w:jc w:val="both"/>
        <w:ind w:left="460" w:right="459" w:firstLine="432"/>
        <w:spacing w:after="0" w:line="242" w:lineRule="auto"/>
        <w:rPr>
          <w:sz w:val="20"/>
          <w:szCs w:val="20"/>
          <w:color w:val="auto"/>
        </w:rPr>
      </w:pPr>
      <w:r>
        <w:rPr>
          <w:rFonts w:ascii="Arial" w:cs="Arial" w:eastAsia="Arial" w:hAnsi="Arial"/>
          <w:sz w:val="13"/>
          <w:szCs w:val="13"/>
          <w:color w:val="auto"/>
        </w:rPr>
        <w:t>There is presently no public market for our units, common stock, rights or warrants. We intend to apply to have our units listed on the Nasdaq Capital Market, or Nasdaq, under the symbol “VTAQU” on or promptly after the date of this prospectus. We cannot guarantee that our securities will be approved for listing on Nasdaq. Once the securities comprising the units begin separate trading as described in this prospectus, the shares of common stock, rights and warrants will be traded on Nasdaq under the symbols “VTAQ,” “VTAQR” and “VTAQW,” respectively. We cannot assure you that our securities will continue to be listed on Nasdaq after this offering.</w:t>
      </w:r>
    </w:p>
    <w:p>
      <w:pPr>
        <w:spacing w:after="0" w:line="2" w:lineRule="exact"/>
        <w:rPr>
          <w:sz w:val="20"/>
          <w:szCs w:val="20"/>
          <w:color w:val="auto"/>
        </w:rPr>
      </w:pPr>
    </w:p>
    <w:p>
      <w:pPr>
        <w:jc w:val="both"/>
        <w:ind w:left="460" w:right="459" w:firstLine="432"/>
        <w:spacing w:after="0" w:line="237" w:lineRule="auto"/>
        <w:rPr>
          <w:sz w:val="20"/>
          <w:szCs w:val="20"/>
          <w:color w:val="auto"/>
        </w:rPr>
      </w:pPr>
      <w:r>
        <w:rPr>
          <w:rFonts w:ascii="Arial" w:cs="Arial" w:eastAsia="Arial" w:hAnsi="Arial"/>
          <w:sz w:val="14"/>
          <w:szCs w:val="14"/>
          <w:color w:val="auto"/>
        </w:rPr>
        <w:t>We are an “emerging growth company” as defined in the Jumpstart Our Business Startups Act of 2012, and we will therefore be subject to reduced public company reporting requirements.</w:t>
      </w:r>
    </w:p>
    <w:p>
      <w:pPr>
        <w:spacing w:after="0" w:line="1" w:lineRule="exact"/>
        <w:rPr>
          <w:sz w:val="20"/>
          <w:szCs w:val="20"/>
          <w:color w:val="auto"/>
        </w:rPr>
      </w:pPr>
    </w:p>
    <w:p>
      <w:pPr>
        <w:jc w:val="both"/>
        <w:ind w:left="460" w:right="479" w:firstLine="432"/>
        <w:spacing w:after="0" w:line="235" w:lineRule="auto"/>
        <w:rPr>
          <w:sz w:val="20"/>
          <w:szCs w:val="20"/>
          <w:color w:val="auto"/>
        </w:rPr>
      </w:pPr>
      <w:r>
        <w:rPr>
          <w:rFonts w:ascii="Arial" w:cs="Arial" w:eastAsia="Arial" w:hAnsi="Arial"/>
          <w:sz w:val="14"/>
          <w:szCs w:val="14"/>
          <w:b w:val="1"/>
          <w:bCs w:val="1"/>
          <w:color w:val="auto"/>
        </w:rPr>
        <w:t>Investing in our securities involves a high degree of risk. See “Risk Factors” beginning on page 22 of this prospectus for a discussion of information that should be considered in connection with an investment in our securities.</w:t>
      </w:r>
    </w:p>
    <w:p>
      <w:pPr>
        <w:jc w:val="both"/>
        <w:ind w:left="460" w:right="459" w:firstLine="432"/>
        <w:spacing w:after="0" w:line="232" w:lineRule="auto"/>
        <w:rPr>
          <w:sz w:val="20"/>
          <w:szCs w:val="20"/>
          <w:color w:val="auto"/>
        </w:rPr>
      </w:pPr>
      <w:r>
        <w:rPr>
          <w:rFonts w:ascii="Arial" w:cs="Arial" w:eastAsia="Arial" w:hAnsi="Arial"/>
          <w:sz w:val="14"/>
          <w:szCs w:val="14"/>
          <w:color w:val="auto"/>
        </w:rPr>
        <w:t>Neither the Securities and Exchange Commission (also referred to as the “SEC”) nor any state securities commission has approved or disapproved of these securities or determined if this prospectus is truthful or complete. Any representation to the contrary is a criminal offense.</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Price to</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Underwriting</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68"/>
              <w:spacing w:after="0"/>
              <w:rPr>
                <w:sz w:val="20"/>
                <w:szCs w:val="20"/>
                <w:color w:val="auto"/>
              </w:rPr>
            </w:pPr>
            <w:r>
              <w:rPr>
                <w:rFonts w:ascii="Arial" w:cs="Arial" w:eastAsia="Arial" w:hAnsi="Arial"/>
                <w:sz w:val="14"/>
                <w:szCs w:val="14"/>
                <w:b w:val="1"/>
                <w:bCs w:val="1"/>
                <w:color w:val="auto"/>
                <w:w w:val="86"/>
              </w:rPr>
              <w:t>Proceeds,</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Discount and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Before</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Public</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center"/>
              <w:spacing w:after="0" w:line="216" w:lineRule="exact"/>
              <w:rPr>
                <w:sz w:val="20"/>
                <w:szCs w:val="20"/>
                <w:color w:val="auto"/>
              </w:rPr>
            </w:pPr>
            <w:r>
              <w:rPr>
                <w:rFonts w:ascii="Arial" w:cs="Arial" w:eastAsia="Arial" w:hAnsi="Arial"/>
                <w:sz w:val="14"/>
                <w:szCs w:val="14"/>
                <w:b w:val="1"/>
                <w:bCs w:val="1"/>
                <w:color w:val="auto"/>
                <w:w w:val="84"/>
              </w:rPr>
              <w:t>Commissions</w:t>
            </w:r>
            <w:r>
              <w:rPr>
                <w:rFonts w:ascii="Arial" w:cs="Arial" w:eastAsia="Arial" w:hAnsi="Arial"/>
                <w:sz w:val="21"/>
                <w:szCs w:val="21"/>
                <w:b w:val="1"/>
                <w:bCs w:val="1"/>
                <w:color w:val="auto"/>
                <w:w w:val="84"/>
                <w:vertAlign w:val="superscript"/>
              </w:rPr>
              <w:t>(1)(2)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Expenses, to us</w:t>
            </w:r>
          </w:p>
        </w:tc>
        <w:tc>
          <w:tcPr>
            <w:tcW w:w="0" w:type="dxa"/>
            <w:vAlign w:val="bottom"/>
          </w:tcPr>
          <w:p>
            <w:pPr>
              <w:spacing w:after="0"/>
              <w:rPr>
                <w:sz w:val="1"/>
                <w:szCs w:val="1"/>
                <w:color w:val="auto"/>
              </w:rPr>
            </w:pPr>
          </w:p>
        </w:tc>
      </w:tr>
      <w:tr>
        <w:trPr>
          <w:trHeight w:val="243"/>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Per unit</w:t>
            </w:r>
          </w:p>
        </w:tc>
        <w:tc>
          <w:tcPr>
            <w:tcW w:w="2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0.20</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258"/>
        </w:trPr>
        <w:tc>
          <w:tcPr>
            <w:tcW w:w="280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2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150,000,000</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3,000,000</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147,000,000</w:t>
            </w:r>
          </w:p>
        </w:tc>
        <w:tc>
          <w:tcPr>
            <w:tcW w:w="0" w:type="dxa"/>
            <w:vAlign w:val="bottom"/>
          </w:tcPr>
          <w:p>
            <w:pPr>
              <w:spacing w:after="0"/>
              <w:rPr>
                <w:sz w:val="1"/>
                <w:szCs w:val="1"/>
                <w:color w:val="auto"/>
              </w:rPr>
            </w:pPr>
          </w:p>
        </w:tc>
      </w:tr>
      <w:tr>
        <w:trPr>
          <w:trHeight w:val="276"/>
        </w:trPr>
        <w:tc>
          <w:tcPr>
            <w:tcW w:w="2800" w:type="dxa"/>
            <w:vAlign w:val="bottom"/>
          </w:tcPr>
          <w:p>
            <w:pPr>
              <w:spacing w:after="0"/>
              <w:rPr>
                <w:sz w:val="20"/>
                <w:szCs w:val="20"/>
                <w:color w:val="auto"/>
              </w:rPr>
            </w:pPr>
            <w:r>
              <w:rPr>
                <w:rFonts w:ascii="Arial" w:cs="Arial" w:eastAsia="Arial" w:hAnsi="Arial"/>
                <w:sz w:val="16"/>
                <w:szCs w:val="16"/>
                <w:color w:val="auto"/>
              </w:rPr>
              <w:t>____________</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left="880" w:right="459" w:hanging="426"/>
        <w:spacing w:after="0" w:line="227" w:lineRule="auto"/>
        <w:tabs>
          <w:tab w:leader="none" w:pos="89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$100,000 payable to B. Riley Securities, Inc. for acting as a qualified independent underwriter. Please see the section titled “Underwriting (Conflicts of Interest)” for further information relating to the underwriting arrangements agreed to between us and the underwriters in this offering.</w:t>
      </w:r>
    </w:p>
    <w:p>
      <w:pPr>
        <w:ind w:left="880" w:right="459" w:hanging="426"/>
        <w:spacing w:after="0" w:line="231" w:lineRule="auto"/>
        <w:tabs>
          <w:tab w:leader="none" w:pos="881"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underwriters will receive compensation in addition to the underwriting discount. See “Underwriting (Conflict of Interest)” for a description of compensation and other items of value payable to the underwriters.</w:t>
      </w:r>
    </w:p>
    <w:p>
      <w:pPr>
        <w:spacing w:after="0" w:line="1" w:lineRule="exact"/>
        <w:rPr>
          <w:sz w:val="20"/>
          <w:szCs w:val="20"/>
          <w:color w:val="auto"/>
        </w:rPr>
      </w:pPr>
    </w:p>
    <w:p>
      <w:pPr>
        <w:jc w:val="both"/>
        <w:ind w:left="460" w:right="459" w:firstLine="432"/>
        <w:spacing w:after="0" w:line="225" w:lineRule="auto"/>
        <w:rPr>
          <w:sz w:val="20"/>
          <w:szCs w:val="20"/>
          <w:color w:val="auto"/>
        </w:rPr>
      </w:pPr>
      <w:r>
        <w:rPr>
          <w:rFonts w:ascii="Arial" w:cs="Arial" w:eastAsia="Arial" w:hAnsi="Arial"/>
          <w:sz w:val="14"/>
          <w:szCs w:val="14"/>
          <w:color w:val="auto"/>
        </w:rPr>
        <w:t>Upon consummation of the offering, $10.10 per unit sold to the public in this offering (whether or not the over-allotment option has been exercised in full or part) will be deposited into a United States-based trust account at Morgan Stanley with Continental Stock Transfer &amp; Trust Company acting as trustee.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1" w:lineRule="exact"/>
        <w:rPr>
          <w:sz w:val="20"/>
          <w:szCs w:val="20"/>
          <w:color w:val="auto"/>
        </w:rPr>
      </w:pPr>
    </w:p>
    <w:p>
      <w:pPr>
        <w:jc w:val="both"/>
        <w:ind w:left="460" w:right="479" w:firstLine="432"/>
        <w:spacing w:after="0" w:line="237" w:lineRule="auto"/>
        <w:rPr>
          <w:sz w:val="20"/>
          <w:szCs w:val="20"/>
          <w:color w:val="auto"/>
        </w:rPr>
      </w:pPr>
      <w:r>
        <w:rPr>
          <w:rFonts w:ascii="Arial" w:cs="Arial" w:eastAsia="Arial" w:hAnsi="Arial"/>
          <w:sz w:val="14"/>
          <w:szCs w:val="14"/>
          <w:color w:val="auto"/>
        </w:rPr>
        <w:t xml:space="preserve">The underwriters are offering the units on a firm commitment basis. Chardan Capital Markets, LLC, acting as the representative of the underwriters, expects to deliver the units to purchasers on or about </w:t>
      </w:r>
      <w:r>
        <w:rPr>
          <w:rFonts w:ascii="Arial" w:cs="Arial" w:eastAsia="Arial" w:hAnsi="Arial"/>
          <w:sz w:val="14"/>
          <w:szCs w:val="14"/>
          <w:b w:val="1"/>
          <w:bCs w:val="1"/>
          <w:color w:val="auto"/>
        </w:rPr>
        <w:t>___________,</w:t>
      </w:r>
      <w:r>
        <w:rPr>
          <w:rFonts w:ascii="Arial" w:cs="Arial" w:eastAsia="Arial" w:hAnsi="Arial"/>
          <w:sz w:val="14"/>
          <w:szCs w:val="14"/>
          <w:color w:val="auto"/>
        </w:rPr>
        <w:t xml:space="preserve"> 2020</w:t>
      </w:r>
      <w:r>
        <w:rPr>
          <w:rFonts w:ascii="Arial" w:cs="Arial" w:eastAsia="Arial" w:hAnsi="Arial"/>
          <w:sz w:val="14"/>
          <w:szCs w:val="14"/>
          <w:b w:val="1"/>
          <w:bCs w:val="1"/>
          <w:color w:val="auto"/>
        </w:rPr>
        <w:t>.</w:t>
      </w:r>
    </w:p>
    <w:p>
      <w:pPr>
        <w:sectPr>
          <w:pgSz w:w="11900" w:h="16838" w:orient="portrait"/>
          <w:cols w:equalWidth="0" w:num="1">
            <w:col w:w="9019"/>
          </w:cols>
          <w:pgMar w:left="1440" w:top="274" w:right="1440" w:bottom="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i w:val="1"/>
          <w:iCs w:val="1"/>
          <w:color w:val="auto"/>
        </w:rPr>
        <w:t>Sole Book-Running Manager</w:t>
      </w:r>
    </w:p>
    <w:p>
      <w:pPr>
        <w:sectPr>
          <w:pgSz w:w="11900" w:h="16838" w:orient="portrait"/>
          <w:cols w:equalWidth="0" w:num="1">
            <w:col w:w="9019"/>
          </w:cols>
          <w:pgMar w:left="1440" w:top="125" w:right="1440" w:bottom="1440" w:gutter="0" w:footer="0" w:header="0"/>
        </w:sectPr>
      </w:pP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i w:val="1"/>
          <w:iCs w:val="1"/>
          <w:color w:val="auto"/>
        </w:rPr>
        <w:t>Chardan</w:t>
      </w:r>
    </w:p>
    <w:p>
      <w:pPr>
        <w:spacing w:after="0" w:line="28"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___________,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267970</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 w:name="page5"/>
    <w:bookmarkEnd w:id="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18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432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4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SUMMARY FINANCIAL DATA</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RISK FACTORS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22</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CAUTIONARY NOTE REGARDING FORWARD-LOOKING STATEMENTS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USE OF PROCEEDS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DIVIDEND POLICY</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DILUTION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CAPITALIZATION</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75"/>
        </w:trPr>
        <w:tc>
          <w:tcPr>
            <w:tcW w:w="66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8"/>
              </w:rPr>
            </w:pPr>
            <w:hyperlink w:anchor="page56">
              <w:r>
                <w:rPr>
                  <w:rFonts w:ascii="Arial" w:cs="Arial" w:eastAsia="Arial" w:hAnsi="Arial"/>
                  <w:sz w:val="18"/>
                  <w:szCs w:val="18"/>
                  <w:color w:val="0000EE"/>
                  <w:w w:val="98"/>
                </w:rPr>
                <w:t>MANAGEMENT’S DISCUSSION AND ANALYSIS OF FINANCIAL CONDITION AND</w:t>
              </w:r>
            </w:hyperlink>
          </w:p>
        </w:tc>
        <w:tc>
          <w:tcPr>
            <w:tcW w:w="8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380" w:type="dxa"/>
            <w:vAlign w:val="bottom"/>
            <w:gridSpan w:val="3"/>
            <w:shd w:val="clear" w:color="auto" w:fill="CCEEFF"/>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RESULTS OF OPERATIONS</w:t>
              </w:r>
            </w:hyperlink>
          </w:p>
        </w:tc>
        <w:tc>
          <w:tcPr>
            <w:tcW w:w="5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51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2180" w:type="dxa"/>
            <w:vAlign w:val="bottom"/>
            <w:tcBorders>
              <w:top w:val="single" w:sz="8" w:color="0000EE"/>
            </w:tcBorders>
            <w:shd w:val="clear" w:color="auto" w:fill="CCEEFF"/>
          </w:tcPr>
          <w:p>
            <w:pPr>
              <w:spacing w:after="0"/>
              <w:rPr>
                <w:sz w:val="5"/>
                <w:szCs w:val="5"/>
                <w:color w:val="auto"/>
              </w:rPr>
            </w:pPr>
          </w:p>
        </w:tc>
        <w:tc>
          <w:tcPr>
            <w:tcW w:w="4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PROPOSED BUSINESS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MANAGEMENT</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74</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PRINCIPAL STOCKHOLDERS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84</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CERTAIN TRANSACTIONS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87</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DESCRIPTION OF SECURITIES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90</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4"/>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SECURITIES ELIGIBLE FOR FUTURE SALE</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97</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UNDERWRITING (CONFLICTS OF INTEREST)</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9"/>
              </w:rPr>
              <w:t>99</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LEGAL MATTERS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104</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EXPERTS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4"/>
        </w:trPr>
        <w:tc>
          <w:tcPr>
            <w:tcW w:w="756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WHERE YOU CAN FIND ADDITIONAL INFORMATION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104</w:t>
            </w:r>
          </w:p>
        </w:tc>
      </w:tr>
      <w:tr>
        <w:trPr>
          <w:trHeight w:val="243"/>
        </w:trPr>
        <w:tc>
          <w:tcPr>
            <w:tcW w:w="7560" w:type="dxa"/>
            <w:vAlign w:val="bottom"/>
            <w:gridSpan w:val="4"/>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INDEX TO FINANCIAL STATEMENTS</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88"/>
              </w:rPr>
              <w:t>F-1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68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5680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120" w:lineRule="exact"/>
        <w:rPr>
          <w:sz w:val="20"/>
          <w:szCs w:val="20"/>
          <w:color w:val="auto"/>
        </w:rPr>
      </w:pPr>
    </w:p>
    <w:p>
      <w:pPr>
        <w:ind w:left="1400" w:hanging="42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“our” or “our company” refers to Ventoux CCM Acquisition Corp.;</w:t>
      </w:r>
    </w:p>
    <w:p>
      <w:pPr>
        <w:spacing w:after="0" w:line="144" w:lineRule="exact"/>
        <w:rPr>
          <w:rFonts w:ascii="Arial" w:cs="Arial" w:eastAsia="Arial" w:hAnsi="Arial"/>
          <w:sz w:val="18"/>
          <w:szCs w:val="18"/>
          <w:color w:val="auto"/>
        </w:rPr>
      </w:pPr>
    </w:p>
    <w:p>
      <w:pPr>
        <w:jc w:val="both"/>
        <w:ind w:left="1400" w:right="559" w:hanging="424"/>
        <w:spacing w:after="0" w:line="263" w:lineRule="auto"/>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refers to all of our stockholders immediately prior to the date of this prospectus, including our co-sponsors and officers and directors to the extent they hold such shares;</w:t>
      </w:r>
    </w:p>
    <w:p>
      <w:pPr>
        <w:spacing w:after="0" w:line="116" w:lineRule="exact"/>
        <w:rPr>
          <w:rFonts w:ascii="Arial" w:cs="Arial" w:eastAsia="Arial" w:hAnsi="Arial"/>
          <w:sz w:val="18"/>
          <w:szCs w:val="18"/>
          <w:color w:val="auto"/>
        </w:rPr>
      </w:pPr>
    </w:p>
    <w:p>
      <w:pPr>
        <w:jc w:val="both"/>
        <w:ind w:left="1400" w:right="559" w:hanging="424"/>
        <w:spacing w:after="0" w:line="279" w:lineRule="auto"/>
        <w:tabs>
          <w:tab w:leader="none" w:pos="1404"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“founder shares” or “insider shares” refers to the 4,312,500 shares of common stock held by our co-sponsors, our directors, and affiliates of our management team prior to this offering (including up to an aggregate of 562,500 shares of common stock subject to forfeiture to the extent that the underwriters’ over-allotment option is not exercised in full or in part);</w:t>
      </w:r>
    </w:p>
    <w:p>
      <w:pPr>
        <w:spacing w:after="0" w:line="103" w:lineRule="exact"/>
        <w:rPr>
          <w:rFonts w:ascii="Arial" w:cs="Arial" w:eastAsia="Arial" w:hAnsi="Arial"/>
          <w:sz w:val="17"/>
          <w:szCs w:val="17"/>
          <w:color w:val="auto"/>
        </w:rPr>
      </w:pPr>
    </w:p>
    <w:p>
      <w:pPr>
        <w:ind w:left="1400" w:right="559" w:hanging="424"/>
        <w:spacing w:after="0" w:line="308" w:lineRule="auto"/>
        <w:tabs>
          <w:tab w:leader="none" w:pos="1634"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“private warrants” refers to the warrants we are selling privately to Ventoux Acquisition, Chardan Investments, and/or their designees upon consummation of this offering;</w:t>
      </w:r>
    </w:p>
    <w:p>
      <w:pPr>
        <w:spacing w:after="0" w:line="65" w:lineRule="exact"/>
        <w:rPr>
          <w:rFonts w:ascii="Arial" w:cs="Arial" w:eastAsia="Arial" w:hAnsi="Arial"/>
          <w:sz w:val="17"/>
          <w:szCs w:val="17"/>
          <w:color w:val="auto"/>
        </w:rPr>
      </w:pPr>
    </w:p>
    <w:p>
      <w:pPr>
        <w:jc w:val="both"/>
        <w:ind w:left="1400" w:right="559" w:hanging="424"/>
        <w:spacing w:after="0" w:line="263" w:lineRule="auto"/>
        <w:tabs>
          <w:tab w:leader="none" w:pos="1526"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“warrants” refers to our warrants, which includes the public warrants as well as the private warrants to the extent they are no longer held by the initial purchasers of the private warrants or their permitted transferees;</w:t>
      </w:r>
    </w:p>
    <w:p>
      <w:pPr>
        <w:spacing w:after="0" w:line="116" w:lineRule="exact"/>
        <w:rPr>
          <w:rFonts w:ascii="Arial" w:cs="Arial" w:eastAsia="Arial" w:hAnsi="Arial"/>
          <w:sz w:val="18"/>
          <w:szCs w:val="18"/>
          <w:color w:val="auto"/>
        </w:rPr>
      </w:pPr>
    </w:p>
    <w:p>
      <w:pPr>
        <w:ind w:left="1400" w:right="559" w:hanging="424"/>
        <w:spacing w:after="0" w:line="277" w:lineRule="auto"/>
        <w:tabs>
          <w:tab w:leader="none" w:pos="1431"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“rights” refers to the rights sold as part of the units in this offering (whether they are purchased in this offering or thereafter in the open market);</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“co-sponsors” refers to Ventoux Acquisition and Chardan Investments;</w:t>
      </w:r>
    </w:p>
    <w:p>
      <w:pPr>
        <w:spacing w:after="0" w:line="144" w:lineRule="exact"/>
        <w:rPr>
          <w:rFonts w:ascii="Arial" w:cs="Arial" w:eastAsia="Arial" w:hAnsi="Arial"/>
          <w:sz w:val="18"/>
          <w:szCs w:val="18"/>
          <w:color w:val="auto"/>
        </w:rPr>
      </w:pPr>
    </w:p>
    <w:p>
      <w:pPr>
        <w:ind w:left="1400" w:right="559" w:hanging="424"/>
        <w:spacing w:after="0" w:line="277" w:lineRule="auto"/>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“Ventoux Acquisition” refers to Ventoux Acquisition Holdings LLC, an entity affiliated with certain of our director and officers;</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526"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“Chardan Investments” refers to Chardan International Investments, LLC, an entity affiliated with certain of our investors and Chardan Capital Markets, LLC;</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48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“Chardan” or “Chardan Capital Markets, LLC” refers to Chardan Capital Markets, LLC, the representative of the underwriters;</w:t>
      </w:r>
    </w:p>
    <w:p>
      <w:pPr>
        <w:spacing w:after="0" w:line="89" w:lineRule="exact"/>
        <w:rPr>
          <w:rFonts w:ascii="Arial" w:cs="Arial" w:eastAsia="Arial" w:hAnsi="Arial"/>
          <w:sz w:val="18"/>
          <w:szCs w:val="18"/>
          <w:color w:val="auto"/>
        </w:rPr>
      </w:pPr>
    </w:p>
    <w:p>
      <w:pPr>
        <w:jc w:val="both"/>
        <w:ind w:left="1400" w:right="559" w:hanging="424"/>
        <w:spacing w:after="0" w:line="275" w:lineRule="auto"/>
        <w:tabs>
          <w:tab w:leader="none" w:pos="1499"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the term “public stockholders” means the holders of shares of common stock which are being sold as part of the units in this public offering, or “public shares,” whether they are purchased in the public offering or in the aftermarket, including any of our initial stockholders to the extent that they purchase such public shares (except that our initial stockholders will not have conversion or tender rights with respect to any public shares they own); and</w:t>
      </w:r>
    </w:p>
    <w:p>
      <w:pPr>
        <w:spacing w:after="0" w:line="108" w:lineRule="exact"/>
        <w:rPr>
          <w:rFonts w:ascii="Arial" w:cs="Arial" w:eastAsia="Arial" w:hAnsi="Arial"/>
          <w:sz w:val="17"/>
          <w:szCs w:val="17"/>
          <w:color w:val="auto"/>
        </w:rPr>
      </w:pPr>
    </w:p>
    <w:p>
      <w:pPr>
        <w:ind w:left="1400" w:right="559" w:hanging="424"/>
        <w:spacing w:after="0" w:line="277" w:lineRule="auto"/>
        <w:tabs>
          <w:tab w:leader="none" w:pos="15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information in this prospectus assumes that the underwriters will not exercise their over-allotment option (unless otherwise indicated).</w:t>
      </w:r>
    </w:p>
    <w:p>
      <w:pPr>
        <w:spacing w:after="0" w:line="103"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103" w:lineRule="exact"/>
        <w:rPr>
          <w:sz w:val="20"/>
          <w:szCs w:val="20"/>
          <w:color w:val="auto"/>
        </w:rPr>
      </w:pPr>
    </w:p>
    <w:p>
      <w:pPr>
        <w:jc w:val="both"/>
        <w:ind w:left="540" w:right="559" w:firstLine="432"/>
        <w:spacing w:after="0" w:line="311" w:lineRule="auto"/>
        <w:rPr>
          <w:sz w:val="20"/>
          <w:szCs w:val="20"/>
          <w:color w:val="auto"/>
        </w:rPr>
      </w:pPr>
      <w:r>
        <w:rPr>
          <w:rFonts w:ascii="Arial" w:cs="Arial" w:eastAsia="Arial" w:hAnsi="Arial"/>
          <w:sz w:val="16"/>
          <w:szCs w:val="16"/>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color w:val="auto"/>
        </w:rPr>
        <w:t>We are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throughout this prospectus as our initial business combination. While we may pursue an initial business combination in any region or sector, we intend to focus our efforts on businesses in North America within the hospitality, leisure, travel and dining sectors with an</w:t>
      </w:r>
    </w:p>
    <w:p>
      <w:pPr>
        <w:sectPr>
          <w:pgSz w:w="11900" w:h="16838" w:orient="portrait"/>
          <w:cols w:equalWidth="0" w:num="1">
            <w:col w:w="9019"/>
          </w:cols>
          <w:pgMar w:left="1440" w:top="274" w:right="1440"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 w:name="page7"/>
    <w:bookmarkEnd w:id="6"/>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93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8938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119" w:lineRule="exact"/>
        <w:rPr>
          <w:sz w:val="20"/>
          <w:szCs w:val="20"/>
          <w:color w:val="auto"/>
        </w:rPr>
      </w:pPr>
    </w:p>
    <w:p>
      <w:pPr>
        <w:jc w:val="both"/>
        <w:ind w:left="540" w:right="559" w:firstLine="432"/>
        <w:spacing w:after="0" w:line="275" w:lineRule="auto"/>
        <w:rPr>
          <w:sz w:val="20"/>
          <w:szCs w:val="20"/>
          <w:color w:val="auto"/>
        </w:rPr>
      </w:pPr>
      <w:r>
        <w:rPr>
          <w:rFonts w:ascii="Arial" w:cs="Arial" w:eastAsia="Arial" w:hAnsi="Arial"/>
          <w:sz w:val="17"/>
          <w:szCs w:val="17"/>
          <w:color w:val="auto"/>
        </w:rPr>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shareholders.</w:t>
      </w:r>
    </w:p>
    <w:p>
      <w:pPr>
        <w:spacing w:after="0" w:line="95" w:lineRule="exact"/>
        <w:rPr>
          <w:sz w:val="20"/>
          <w:szCs w:val="20"/>
          <w:color w:val="auto"/>
        </w:rPr>
      </w:pPr>
    </w:p>
    <w:p>
      <w:pPr>
        <w:jc w:val="both"/>
        <w:ind w:left="540" w:right="559" w:firstLine="432"/>
        <w:spacing w:after="0" w:line="311" w:lineRule="auto"/>
        <w:rPr>
          <w:sz w:val="20"/>
          <w:szCs w:val="20"/>
          <w:color w:val="auto"/>
        </w:rPr>
      </w:pPr>
      <w:r>
        <w:rPr>
          <w:rFonts w:ascii="Arial" w:cs="Arial" w:eastAsia="Arial" w:hAnsi="Arial"/>
          <w:sz w:val="16"/>
          <w:szCs w:val="16"/>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Co-Sponsors, Management, Board of Directors and Competitive Advantages</w:t>
      </w:r>
    </w:p>
    <w:p>
      <w:pPr>
        <w:spacing w:after="0" w:line="162" w:lineRule="exact"/>
        <w:rPr>
          <w:sz w:val="20"/>
          <w:szCs w:val="20"/>
          <w:color w:val="auto"/>
        </w:rPr>
      </w:pPr>
    </w:p>
    <w:p>
      <w:pPr>
        <w:jc w:val="both"/>
        <w:ind w:left="540" w:right="559" w:firstLine="432"/>
        <w:spacing w:after="0" w:line="270" w:lineRule="auto"/>
        <w:rPr>
          <w:sz w:val="20"/>
          <w:szCs w:val="20"/>
          <w:color w:val="auto"/>
        </w:rPr>
      </w:pPr>
      <w:r>
        <w:rPr>
          <w:rFonts w:ascii="Arial" w:cs="Arial" w:eastAsia="Arial" w:hAnsi="Arial"/>
          <w:sz w:val="17"/>
          <w:szCs w:val="17"/>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Acquisitions and Chardan Investments. Our management team, led by co-founders Mr. Edward Scheetz and Mr. Matthew MacDonald, have a combined 40 years of hospitality and investment experience. Together with our management team, Chardan Investments and its affiliate, Chardan Capital Markets, LLC, our board of directors and our Senior Advisor, Mr. Robert Martin, we are confident that the combined experience makes us well situated to identify, source, negotiate and execute an initial business combination in the hospitality, leisure, travel and dining sectors.</w:t>
      </w:r>
    </w:p>
    <w:p>
      <w:pPr>
        <w:spacing w:after="0" w:line="113" w:lineRule="exact"/>
        <w:rPr>
          <w:sz w:val="20"/>
          <w:szCs w:val="20"/>
          <w:color w:val="auto"/>
        </w:rPr>
      </w:pPr>
    </w:p>
    <w:p>
      <w:pPr>
        <w:jc w:val="both"/>
        <w:ind w:left="540" w:right="559" w:firstLine="432"/>
        <w:spacing w:after="0" w:line="287" w:lineRule="auto"/>
        <w:rPr>
          <w:sz w:val="20"/>
          <w:szCs w:val="20"/>
          <w:color w:val="auto"/>
        </w:rPr>
      </w:pPr>
      <w:r>
        <w:rPr>
          <w:rFonts w:ascii="Arial" w:cs="Arial" w:eastAsia="Arial" w:hAnsi="Arial"/>
          <w:sz w:val="16"/>
          <w:szCs w:val="16"/>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Corp. (NYSE: NRF), which he successfully took public in 2004. In 2005, Mr. Scheetz became the Chief Executive Officer of Morgans Hotel Group Co.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91"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119" w:lineRule="exact"/>
        <w:rPr>
          <w:sz w:val="20"/>
          <w:szCs w:val="20"/>
          <w:color w:val="auto"/>
        </w:rPr>
      </w:pPr>
    </w:p>
    <w:p>
      <w:pPr>
        <w:jc w:val="both"/>
        <w:ind w:left="540" w:right="559" w:firstLine="432"/>
        <w:spacing w:after="0" w:line="272" w:lineRule="auto"/>
        <w:rPr>
          <w:sz w:val="20"/>
          <w:szCs w:val="20"/>
          <w:color w:val="auto"/>
        </w:rPr>
      </w:pPr>
      <w:r>
        <w:rPr>
          <w:rFonts w:ascii="Arial" w:cs="Arial" w:eastAsia="Arial" w:hAnsi="Arial"/>
          <w:sz w:val="17"/>
          <w:szCs w:val="17"/>
          <w:color w:val="auto"/>
        </w:rPr>
        <w:t>Mr. MacDonald is our co-founder, Chief Financial Officer and Secretary, and has over a decade of experience in real estate, hospitality and leisure investments at public companies and private equity-backed ventures. Mr. MacDonald was responsible for corporate merger and acquisition transaction activity at Hyatt Hotel Corporation (NYSE: H), where, as part of Hyatt’s global platform, he oversaw merger and acquisition investments and underwrote public and private companies within the broader hotel and leisure sectors. Prior to his work at Hyatt, Mr. MacDonald worked in the Real Estate Investment Management and Acquisitions group at Starwood Hotels &amp; Resorts (NYSE: HOT).</w:t>
      </w:r>
    </w:p>
    <w:p>
      <w:pPr>
        <w:spacing w:after="0" w:line="110"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Mr. Brock Strasbourger is our Chief Operating Officer,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spent four years working in the Emerging Markets Fixed Income group at Barclays Capital (NYSE: BCS).</w:t>
      </w:r>
    </w:p>
    <w:p>
      <w:pPr>
        <w:spacing w:after="0" w:line="111"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Mr. Phatak is our Chief Investment Officer, and has over 17 years of experience in various finance and direct investment roles on Wall Street. Mr. Phatak founded his own investment firm, Tappan Street Partners LLC, where he has led a research driven investment process for a number of private funds over the past nine years. Additionally,</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 w:name="page8"/>
    <w:bookmarkEnd w:id="7"/>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05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10514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72" w:lineRule="auto"/>
        <w:rPr>
          <w:sz w:val="20"/>
          <w:szCs w:val="20"/>
          <w:color w:val="auto"/>
        </w:rPr>
      </w:pPr>
      <w:r>
        <w:rPr>
          <w:rFonts w:ascii="Arial" w:cs="Arial" w:eastAsia="Arial" w:hAnsi="Arial"/>
          <w:sz w:val="17"/>
          <w:szCs w:val="17"/>
          <w:color w:val="auto"/>
        </w:rPr>
        <w:t>Mr. Phatak was a Partner at Markley Capital Management from 2019 to 2020. Prior to Tappan Street, Mr. Phatak developed his investment expertise as a member of the US investment team at Eton Park Capital Management from 2005 to 2011, helping to deploy approximately $5 billion of capital as part of a six-member team. During his career, Mr. Phatak has underwritten investments in a variety of different sectors, including gaming, hospitality, and leisure. Mr. Phatak began his career at the Blackstone Group (NYSE: BX) as an analyst in the Restructuring and Reorganization Advisory group from 2003 to 2005, and later as a private equity associate at Madison Dearborn Partners during 2005.</w:t>
      </w:r>
    </w:p>
    <w:p>
      <w:pPr>
        <w:spacing w:after="0" w:line="110" w:lineRule="exact"/>
        <w:rPr>
          <w:sz w:val="20"/>
          <w:szCs w:val="20"/>
          <w:color w:val="auto"/>
        </w:rPr>
      </w:pPr>
    </w:p>
    <w:p>
      <w:pPr>
        <w:jc w:val="both"/>
        <w:ind w:left="540" w:right="559" w:firstLine="432"/>
        <w:spacing w:after="0" w:line="272" w:lineRule="auto"/>
        <w:rPr>
          <w:sz w:val="20"/>
          <w:szCs w:val="20"/>
          <w:color w:val="auto"/>
        </w:rPr>
      </w:pPr>
      <w:r>
        <w:rPr>
          <w:rFonts w:ascii="Arial" w:cs="Arial" w:eastAsia="Arial" w:hAnsi="Arial"/>
          <w:sz w:val="17"/>
          <w:szCs w:val="17"/>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will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pacing w:after="0" w:line="83" w:lineRule="exact"/>
        <w:rPr>
          <w:sz w:val="20"/>
          <w:szCs w:val="20"/>
          <w:color w:val="auto"/>
        </w:rPr>
      </w:pPr>
    </w:p>
    <w:p>
      <w:pPr>
        <w:jc w:val="both"/>
        <w:ind w:left="540" w:right="559" w:firstLine="432"/>
        <w:spacing w:after="0" w:line="287" w:lineRule="auto"/>
        <w:rPr>
          <w:sz w:val="20"/>
          <w:szCs w:val="20"/>
          <w:color w:val="auto"/>
        </w:rPr>
      </w:pPr>
      <w:r>
        <w:rPr>
          <w:rFonts w:ascii="Arial" w:cs="Arial" w:eastAsia="Arial" w:hAnsi="Arial"/>
          <w:sz w:val="16"/>
          <w:szCs w:val="16"/>
          <w:color w:val="auto"/>
        </w:rPr>
        <w:t>Chardan has an extensive track record in the SPAC market as underwriter, sponsor and advisor. Since 2004, Chardan has been lead or co-lead underwriter on 81 SPAC IPOs. Since 2018, Chardan has been merger and acquisition advisor to eleven SPACs, helping companies close transactions valued at approximately $5.1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founded seven SPACs, five of which have closed successful business combinations, one of which has announced a business combination and one of which is currently seeking an acquisition.</w:t>
      </w:r>
    </w:p>
    <w:p>
      <w:pPr>
        <w:spacing w:after="0" w:line="77"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color w:val="auto"/>
        </w:rPr>
        <w:t>Our board of directors will include Woodrow (“Woody”) H. Levin, Julie Atkinson and Christian (“Chris”) Ahrens.</w:t>
      </w:r>
    </w:p>
    <w:p>
      <w:pPr>
        <w:spacing w:after="0" w:line="89" w:lineRule="exact"/>
        <w:rPr>
          <w:sz w:val="20"/>
          <w:szCs w:val="20"/>
          <w:color w:val="auto"/>
        </w:rPr>
      </w:pPr>
    </w:p>
    <w:p>
      <w:pPr>
        <w:jc w:val="both"/>
        <w:ind w:left="540" w:right="559" w:firstLine="432"/>
        <w:spacing w:after="0" w:line="253" w:lineRule="auto"/>
        <w:rPr>
          <w:sz w:val="20"/>
          <w:szCs w:val="20"/>
          <w:color w:val="auto"/>
        </w:rPr>
      </w:pPr>
      <w:r>
        <w:rPr>
          <w:rFonts w:ascii="Arial" w:cs="Arial" w:eastAsia="Arial" w:hAnsi="Arial"/>
          <w:sz w:val="18"/>
          <w:szCs w:val="18"/>
          <w:color w:val="auto"/>
        </w:rPr>
        <w:t>Woody Levin is the founder and has served as Chief Executive Officer of Extend, Inc., which offers an API-first solution for merchants to offer extended warranties and protection plans, and 3.0 Capital GP, LLC, which is a multi-strategy crypto asset hedge fund. Mr. Levin also served as Vice President of Growth at DocuSign, Inc. (NASDAQ: DOCU), which allows organizations to digitally prepare, sign, act on, and manage agreements. In addition, Mr. Levin served as the founder and Chief Executive Officer of Estate Assist, Inc., a digital estate planning platform until its acquisition, and of BringIt, Inc., a virtual currency casino and arcade until its acquisition. Mr. Levin served as Director Emerging Business — Office of the CTO at International Game Technology PLC (NYSE: IGT), which manufactures and distributes slot machines and other gaming technology. Mr. Levin serves a member of the board of directors of DraftKings Inc. (NASDAQ: DKNG) and of Extend, Inc.</w:t>
      </w:r>
    </w:p>
    <w:p>
      <w:pPr>
        <w:spacing w:after="0" w:line="100" w:lineRule="exact"/>
        <w:rPr>
          <w:sz w:val="20"/>
          <w:szCs w:val="20"/>
          <w:color w:val="auto"/>
        </w:rPr>
      </w:pPr>
    </w:p>
    <w:p>
      <w:pPr>
        <w:jc w:val="both"/>
        <w:ind w:left="540" w:right="559" w:firstLine="432"/>
        <w:spacing w:after="0" w:line="253" w:lineRule="auto"/>
        <w:rPr>
          <w:sz w:val="20"/>
          <w:szCs w:val="20"/>
          <w:color w:val="auto"/>
        </w:rPr>
      </w:pPr>
      <w:r>
        <w:rPr>
          <w:rFonts w:ascii="Arial" w:cs="Arial" w:eastAsia="Arial" w:hAnsi="Arial"/>
          <w:sz w:val="18"/>
          <w:szCs w:val="18"/>
          <w:color w:val="auto"/>
        </w:rPr>
        <w:t>Julie Atkinson is the Chief Marketing Officer for Founders Table Restaurant Group, which includes the Chopt and Dos Toros restaurant brands.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00" w:lineRule="exact"/>
        <w:rPr>
          <w:sz w:val="20"/>
          <w:szCs w:val="20"/>
          <w:color w:val="auto"/>
        </w:rPr>
      </w:pPr>
    </w:p>
    <w:p>
      <w:pPr>
        <w:jc w:val="both"/>
        <w:ind w:left="540" w:right="559" w:firstLine="432"/>
        <w:spacing w:after="0" w:line="293" w:lineRule="auto"/>
        <w:rPr>
          <w:sz w:val="20"/>
          <w:szCs w:val="20"/>
          <w:color w:val="auto"/>
        </w:rPr>
      </w:pPr>
      <w:r>
        <w:rPr>
          <w:rFonts w:ascii="Arial" w:cs="Arial" w:eastAsia="Arial" w:hAnsi="Arial"/>
          <w:sz w:val="16"/>
          <w:szCs w:val="16"/>
          <w:color w:val="auto"/>
        </w:rPr>
        <w:t>Chris Ahrens is an Advisor with Certares Management LLC (“Certares”), a travel focused investment firm. Prior to joining Certares, he was a Managing Director of One Equity Partners (“OEP”), the private equity investment arm of JPMorgan Chase. He was active in OEP’s travel industry, technology and healthcare investments. Chris currently serves on the Board of Directors of Internova Travel Group, a leading premium corporate, leisure, franchise and consortia travel company operating under a variety of diversified divisions and brands, including Tzell Travel, Protravel International,Travel Leaders Network and Nexion.</w:t>
      </w:r>
    </w:p>
    <w:p>
      <w:pPr>
        <w:sectPr>
          <w:pgSz w:w="11900" w:h="16838" w:orient="portrait"/>
          <w:cols w:equalWidth="0" w:num="1">
            <w:col w:w="9019"/>
          </w:cols>
          <w:pgMar w:left="1440" w:top="274" w:right="1440"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 w:name="page9"/>
    <w:bookmarkEnd w:id="8"/>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56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4562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56" w:lineRule="exact"/>
        <w:rPr>
          <w:sz w:val="20"/>
          <w:szCs w:val="20"/>
          <w:color w:val="auto"/>
        </w:rPr>
      </w:pPr>
    </w:p>
    <w:p>
      <w:pPr>
        <w:jc w:val="both"/>
        <w:ind w:left="540" w:right="559" w:firstLine="432"/>
        <w:spacing w:after="0" w:line="253" w:lineRule="auto"/>
        <w:rPr>
          <w:sz w:val="20"/>
          <w:szCs w:val="20"/>
          <w:color w:val="auto"/>
        </w:rPr>
      </w:pPr>
      <w:r>
        <w:rPr>
          <w:rFonts w:ascii="Arial" w:cs="Arial" w:eastAsia="Arial" w:hAnsi="Arial"/>
          <w:sz w:val="18"/>
          <w:szCs w:val="18"/>
          <w:color w:val="auto"/>
        </w:rPr>
        <w:t>Mr. Robert Martin will serve as Senior Advisor to the management team. Mr. Martin is a Vice Chairman in JLL’s New York office, where he leads a ten member brokerage, advisory and consulting team that focuses on tenant representation in the New York Tri-state market. Mr. Martin is an accomplished real estate professional, having completed transactions involving more than 50 million square feet over his 35-year real estate career. Mr. Martin is also the principal and founder of RGM Holdings, a real estate investment firm that sources and invests in real estate assets in the New York metro area. RGM Holdings is the General Partner in a portfolio of real estate investments comprising over 690,000 square feet and a value in excess of $1.3 billion. Mr. Martin is also an early investor in a variety of ventures, including in the proptech and fintech sectors.</w:t>
      </w:r>
    </w:p>
    <w:p>
      <w:pPr>
        <w:spacing w:after="0" w:line="102"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Opportunity</w:t>
      </w:r>
    </w:p>
    <w:p>
      <w:pPr>
        <w:spacing w:after="0" w:line="135"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 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111" w:lineRule="exact"/>
        <w:rPr>
          <w:sz w:val="20"/>
          <w:szCs w:val="20"/>
          <w:color w:val="auto"/>
        </w:rPr>
      </w:pPr>
    </w:p>
    <w:p>
      <w:pPr>
        <w:jc w:val="both"/>
        <w:ind w:left="540" w:right="559" w:firstLine="432"/>
        <w:spacing w:after="0" w:line="273" w:lineRule="auto"/>
        <w:rPr>
          <w:sz w:val="20"/>
          <w:szCs w:val="20"/>
          <w:color w:val="auto"/>
        </w:rPr>
      </w:pPr>
      <w:r>
        <w:rPr>
          <w:rFonts w:ascii="Arial" w:cs="Arial" w:eastAsia="Arial" w:hAnsi="Arial"/>
          <w:sz w:val="17"/>
          <w:szCs w:val="17"/>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83"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COVID-19 has created a temporary valuation dislocation, and has adversely impacted the ability of companies and business divisions to access to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93"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color w:val="auto"/>
        </w:rPr>
        <w:t>Our management team’s objective is to generate attractive returns and create long-term value for our shareholders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25" w:lineRule="exact"/>
        <w:rPr>
          <w:sz w:val="20"/>
          <w:szCs w:val="20"/>
          <w:color w:val="auto"/>
        </w:rPr>
      </w:pPr>
    </w:p>
    <w:p>
      <w:pPr>
        <w:jc w:val="both"/>
        <w:ind w:left="540" w:right="559" w:firstLine="432"/>
        <w:spacing w:after="0" w:line="291" w:lineRule="auto"/>
        <w:rPr>
          <w:sz w:val="20"/>
          <w:szCs w:val="20"/>
          <w:color w:val="auto"/>
        </w:rPr>
      </w:pPr>
      <w:r>
        <w:rPr>
          <w:rFonts w:ascii="Arial" w:cs="Arial" w:eastAsia="Arial" w:hAnsi="Arial"/>
          <w:sz w:val="16"/>
          <w:szCs w:val="16"/>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ectPr>
          <w:pgSz w:w="11900" w:h="16838" w:orient="portrait"/>
          <w:cols w:equalWidth="0" w:num="1">
            <w:col w:w="9019"/>
          </w:cols>
          <w:pgMar w:left="1440" w:top="274" w:right="1440" w:bottom="1440" w:gutter="0" w:footer="0" w:header="0"/>
          <w:type w:val="continuous"/>
        </w:sect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 w:name="page10"/>
    <w:bookmarkEnd w:id="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65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7659370"/>
                    </a:xfrm>
                    <a:prstGeom prst="rect">
                      <a:avLst/>
                    </a:prstGeom>
                    <a:noFill/>
                  </pic:spPr>
                </pic:pic>
              </a:graphicData>
            </a:graphic>
          </wp:anchor>
        </w:drawing>
      </w:r>
    </w:p>
    <w:p>
      <w:pPr>
        <w:spacing w:after="0" w:line="3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management team, board and advisors have experience in:</w:t>
      </w:r>
    </w:p>
    <w:p>
      <w:pPr>
        <w:spacing w:after="0" w:line="158" w:lineRule="exact"/>
        <w:rPr>
          <w:sz w:val="20"/>
          <w:szCs w:val="20"/>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key activities of SPACs including, sponsoring, underwriting and M&amp;A advisory;</w:t>
      </w:r>
    </w:p>
    <w:p>
      <w:pPr>
        <w:spacing w:after="0" w:line="144" w:lineRule="exact"/>
        <w:rPr>
          <w:rFonts w:ascii="Arial" w:cs="Arial" w:eastAsia="Arial" w:hAnsi="Arial"/>
          <w:sz w:val="18"/>
          <w:szCs w:val="18"/>
          <w:color w:val="auto"/>
        </w:rPr>
      </w:pPr>
    </w:p>
    <w:p>
      <w:pPr>
        <w:ind w:left="1400" w:right="559" w:hanging="424"/>
        <w:spacing w:after="0" w:line="277" w:lineRule="auto"/>
        <w:tabs>
          <w:tab w:leader="none" w:pos="1445"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102" w:lineRule="exact"/>
        <w:rPr>
          <w:rFonts w:ascii="Arial" w:cs="Arial" w:eastAsia="Arial" w:hAnsi="Arial"/>
          <w:sz w:val="18"/>
          <w:szCs w:val="18"/>
          <w:color w:val="auto"/>
        </w:rPr>
      </w:pPr>
    </w:p>
    <w:p>
      <w:pPr>
        <w:jc w:val="both"/>
        <w:ind w:left="1400" w:right="559" w:hanging="424"/>
        <w:spacing w:after="0" w:line="263" w:lineRule="auto"/>
        <w:tabs>
          <w:tab w:leader="none" w:pos="1593"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16" w:lineRule="exact"/>
        <w:rPr>
          <w:rFonts w:ascii="Arial" w:cs="Arial" w:eastAsia="Arial" w:hAnsi="Arial"/>
          <w:sz w:val="18"/>
          <w:szCs w:val="18"/>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44" w:lineRule="exact"/>
        <w:rPr>
          <w:rFonts w:ascii="Arial" w:cs="Arial" w:eastAsia="Arial" w:hAnsi="Arial"/>
          <w:sz w:val="18"/>
          <w:szCs w:val="18"/>
          <w:color w:val="auto"/>
        </w:rPr>
      </w:pPr>
    </w:p>
    <w:p>
      <w:pPr>
        <w:ind w:left="1400" w:right="559" w:hanging="424"/>
        <w:spacing w:after="0" w:line="277" w:lineRule="auto"/>
        <w:tabs>
          <w:tab w:leader="none" w:pos="1404"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157" w:lineRule="exact"/>
        <w:rPr>
          <w:rFonts w:ascii="Arial" w:cs="Arial" w:eastAsia="Arial" w:hAnsi="Arial"/>
          <w:sz w:val="18"/>
          <w:szCs w:val="18"/>
          <w:color w:val="auto"/>
        </w:rPr>
      </w:pPr>
    </w:p>
    <w:p>
      <w:pPr>
        <w:ind w:left="1400" w:right="559" w:hanging="424"/>
        <w:spacing w:after="0" w:line="277" w:lineRule="auto"/>
        <w:tabs>
          <w:tab w:leader="none" w:pos="1418"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89"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Criteria</w:t>
      </w:r>
    </w:p>
    <w:p>
      <w:pPr>
        <w:spacing w:after="0" w:line="162" w:lineRule="exact"/>
        <w:rPr>
          <w:sz w:val="20"/>
          <w:szCs w:val="20"/>
          <w:color w:val="auto"/>
        </w:rPr>
      </w:pPr>
    </w:p>
    <w:p>
      <w:pPr>
        <w:jc w:val="both"/>
        <w:ind w:left="540" w:right="559" w:firstLine="432"/>
        <w:spacing w:after="0" w:line="275" w:lineRule="auto"/>
        <w:rPr>
          <w:sz w:val="20"/>
          <w:szCs w:val="20"/>
          <w:color w:val="auto"/>
        </w:rPr>
      </w:pPr>
      <w:r>
        <w:rPr>
          <w:rFonts w:ascii="Arial" w:cs="Arial" w:eastAsia="Arial" w:hAnsi="Arial"/>
          <w:sz w:val="17"/>
          <w:szCs w:val="17"/>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09" w:lineRule="exact"/>
        <w:rPr>
          <w:sz w:val="20"/>
          <w:szCs w:val="20"/>
          <w:color w:val="auto"/>
        </w:rPr>
      </w:pPr>
    </w:p>
    <w:p>
      <w:pPr>
        <w:ind w:left="1400" w:right="559" w:hanging="424"/>
        <w:spacing w:after="0" w:line="277" w:lineRule="auto"/>
        <w:tabs>
          <w:tab w:leader="none" w:pos="1418"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418"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102" w:lineRule="exact"/>
        <w:rPr>
          <w:rFonts w:ascii="Arial" w:cs="Arial" w:eastAsia="Arial" w:hAnsi="Arial"/>
          <w:sz w:val="18"/>
          <w:szCs w:val="18"/>
          <w:color w:val="auto"/>
        </w:rPr>
      </w:pPr>
    </w:p>
    <w:p>
      <w:pPr>
        <w:jc w:val="both"/>
        <w:ind w:left="1400" w:right="559" w:hanging="424"/>
        <w:spacing w:after="0" w:line="286" w:lineRule="auto"/>
        <w:tabs>
          <w:tab w:leader="none" w:pos="1634" w:val="left"/>
        </w:tabs>
        <w:numPr>
          <w:ilvl w:val="0"/>
          <w:numId w:val="5"/>
        </w:numPr>
        <w:rPr>
          <w:rFonts w:ascii="Arial" w:cs="Arial" w:eastAsia="Arial" w:hAnsi="Arial"/>
          <w:sz w:val="17"/>
          <w:szCs w:val="17"/>
          <w:color w:val="auto"/>
        </w:rPr>
      </w:pPr>
      <w:r>
        <w:rPr>
          <w:rFonts w:ascii="Arial" w:cs="Arial" w:eastAsia="Arial" w:hAnsi="Arial"/>
          <w:sz w:val="17"/>
          <w:szCs w:val="17"/>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97" w:lineRule="exact"/>
        <w:rPr>
          <w:rFonts w:ascii="Arial" w:cs="Arial" w:eastAsia="Arial" w:hAnsi="Arial"/>
          <w:sz w:val="17"/>
          <w:szCs w:val="17"/>
          <w:color w:val="auto"/>
        </w:rPr>
      </w:pPr>
    </w:p>
    <w:p>
      <w:pPr>
        <w:ind w:left="1400" w:right="559" w:hanging="424"/>
        <w:spacing w:after="0" w:line="277" w:lineRule="auto"/>
        <w:tabs>
          <w:tab w:leader="none" w:pos="1485"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 in these challenging times for the industry sectors;</w:t>
      </w:r>
    </w:p>
    <w:p>
      <w:pPr>
        <w:spacing w:after="0" w:line="89" w:lineRule="exact"/>
        <w:rPr>
          <w:rFonts w:ascii="Arial" w:cs="Arial" w:eastAsia="Arial" w:hAnsi="Arial"/>
          <w:sz w:val="18"/>
          <w:szCs w:val="18"/>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157" w:lineRule="exact"/>
        <w:rPr>
          <w:rFonts w:ascii="Arial" w:cs="Arial" w:eastAsia="Arial" w:hAnsi="Arial"/>
          <w:sz w:val="18"/>
          <w:szCs w:val="18"/>
          <w:color w:val="auto"/>
        </w:rPr>
      </w:pPr>
    </w:p>
    <w:p>
      <w:pPr>
        <w:ind w:left="1400" w:right="559" w:hanging="424"/>
        <w:spacing w:after="0" w:line="308" w:lineRule="auto"/>
        <w:tabs>
          <w:tab w:leader="none" w:pos="1539" w:val="left"/>
        </w:tabs>
        <w:numPr>
          <w:ilvl w:val="0"/>
          <w:numId w:val="5"/>
        </w:numPr>
        <w:rPr>
          <w:rFonts w:ascii="Arial" w:cs="Arial" w:eastAsia="Arial" w:hAnsi="Arial"/>
          <w:sz w:val="17"/>
          <w:szCs w:val="17"/>
          <w:color w:val="auto"/>
        </w:rPr>
      </w:pPr>
      <w:r>
        <w:rPr>
          <w:rFonts w:ascii="Arial" w:cs="Arial" w:eastAsia="Arial" w:hAnsi="Arial"/>
          <w:sz w:val="17"/>
          <w:szCs w:val="17"/>
          <w:color w:val="auto"/>
        </w:rPr>
        <w:t>has an operating model that has adapted or has an executable strategy to be able to meet the changing consumer or business behaviors in a COVID-19 or post-COVID 19 environment;</w:t>
      </w:r>
    </w:p>
    <w:p>
      <w:pPr>
        <w:spacing w:after="0" w:line="65" w:lineRule="exact"/>
        <w:rPr>
          <w:rFonts w:ascii="Arial" w:cs="Arial" w:eastAsia="Arial" w:hAnsi="Arial"/>
          <w:sz w:val="17"/>
          <w:szCs w:val="17"/>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157" w:lineRule="exact"/>
        <w:rPr>
          <w:rFonts w:ascii="Arial" w:cs="Arial" w:eastAsia="Arial" w:hAnsi="Arial"/>
          <w:sz w:val="18"/>
          <w:szCs w:val="18"/>
          <w:color w:val="auto"/>
        </w:rPr>
      </w:pPr>
    </w:p>
    <w:p>
      <w:pPr>
        <w:ind w:left="1400" w:right="559" w:hanging="424"/>
        <w:spacing w:after="0" w:line="277" w:lineRule="auto"/>
        <w:tabs>
          <w:tab w:leader="none" w:pos="1431" w:val="left"/>
        </w:tabs>
        <w:numPr>
          <w:ilvl w:val="0"/>
          <w:numId w:val="5"/>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 w:name="page11"/>
    <w:bookmarkEnd w:id="10"/>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45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firstLine="432"/>
        <w:spacing w:after="0" w:line="291"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materials or tender offer documents that we would file with the SEC.</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Acquisition Process</w:t>
      </w:r>
    </w:p>
    <w:p>
      <w:pPr>
        <w:spacing w:after="0" w:line="162" w:lineRule="exact"/>
        <w:rPr>
          <w:sz w:val="20"/>
          <w:szCs w:val="20"/>
          <w:color w:val="auto"/>
        </w:rPr>
      </w:pPr>
    </w:p>
    <w:p>
      <w:pPr>
        <w:jc w:val="both"/>
        <w:ind w:left="540" w:right="559" w:firstLine="432"/>
        <w:spacing w:after="0" w:line="291" w:lineRule="auto"/>
        <w:rPr>
          <w:sz w:val="20"/>
          <w:szCs w:val="20"/>
          <w:color w:val="auto"/>
        </w:rPr>
      </w:pPr>
      <w:r>
        <w:rPr>
          <w:rFonts w:ascii="Arial" w:cs="Arial" w:eastAsia="Arial" w:hAnsi="Arial"/>
          <w:sz w:val="16"/>
          <w:szCs w:val="16"/>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85"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We have not identified any business combination target and we have not, nor has anyone on our behalf, initiated any substantive discussions, directly or indirectly, with any business combination target. Our co-sponsors, all of the members of our management team and our board, our advisors, including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Creation Post Merger</w:t>
      </w:r>
    </w:p>
    <w:p>
      <w:pPr>
        <w:spacing w:after="0" w:line="162" w:lineRule="exact"/>
        <w:rPr>
          <w:sz w:val="20"/>
          <w:szCs w:val="20"/>
          <w:color w:val="auto"/>
        </w:rPr>
      </w:pPr>
    </w:p>
    <w:p>
      <w:pPr>
        <w:jc w:val="both"/>
        <w:ind w:left="540" w:right="559" w:firstLine="432"/>
        <w:spacing w:after="0" w:line="272" w:lineRule="auto"/>
        <w:rPr>
          <w:sz w:val="20"/>
          <w:szCs w:val="20"/>
          <w:color w:val="auto"/>
        </w:rPr>
      </w:pPr>
      <w:r>
        <w:rPr>
          <w:rFonts w:ascii="Arial" w:cs="Arial" w:eastAsia="Arial" w:hAnsi="Arial"/>
          <w:sz w:val="17"/>
          <w:szCs w:val="17"/>
          <w:color w:val="auto"/>
        </w:rPr>
        <w:t>After the initial business combination, our management team intends to apply a rigorous approach to enhancing shareholder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Initial Business Combination</w:t>
      </w:r>
    </w:p>
    <w:p>
      <w:pPr>
        <w:spacing w:after="0" w:line="162" w:lineRule="exact"/>
        <w:rPr>
          <w:sz w:val="20"/>
          <w:szCs w:val="20"/>
          <w:color w:val="auto"/>
        </w:rPr>
      </w:pPr>
    </w:p>
    <w:p>
      <w:pPr>
        <w:jc w:val="both"/>
        <w:ind w:left="540" w:right="559" w:firstLine="432"/>
        <w:spacing w:after="0" w:line="290"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Each business combination will be approved by a majority of our independent directors.</w:t>
      </w:r>
    </w:p>
    <w:p>
      <w:pPr>
        <w:spacing w:after="0" w:line="84" w:lineRule="exact"/>
        <w:rPr>
          <w:sz w:val="20"/>
          <w:szCs w:val="20"/>
          <w:color w:val="auto"/>
        </w:rPr>
      </w:pPr>
    </w:p>
    <w:p>
      <w:pPr>
        <w:jc w:val="both"/>
        <w:ind w:left="540" w:right="559" w:firstLine="432"/>
        <w:spacing w:after="0" w:line="268" w:lineRule="auto"/>
        <w:rPr>
          <w:sz w:val="20"/>
          <w:szCs w:val="20"/>
          <w:color w:val="auto"/>
        </w:rPr>
      </w:pPr>
      <w:r>
        <w:rPr>
          <w:rFonts w:ascii="Arial" w:cs="Arial" w:eastAsia="Arial" w:hAnsi="Arial"/>
          <w:sz w:val="17"/>
          <w:szCs w:val="17"/>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ectPr>
          <w:pgSz w:w="11900" w:h="16838" w:orient="portrait"/>
          <w:cols w:equalWidth="0" w:num="1">
            <w:col w:w="9019"/>
          </w:cols>
          <w:pgMar w:left="1440" w:top="274" w:right="1440" w:bottom="1440" w:gutter="0" w:footer="0" w:header="0"/>
          <w:type w:val="continuous"/>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 w:name="page12"/>
    <w:bookmarkEnd w:id="11"/>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391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4391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Private Placements</w:t>
      </w:r>
    </w:p>
    <w:p>
      <w:pPr>
        <w:spacing w:after="0" w:line="162" w:lineRule="exact"/>
        <w:rPr>
          <w:sz w:val="20"/>
          <w:szCs w:val="20"/>
          <w:color w:val="auto"/>
        </w:rPr>
      </w:pPr>
    </w:p>
    <w:p>
      <w:pPr>
        <w:jc w:val="both"/>
        <w:ind w:left="540" w:right="559" w:firstLine="432"/>
        <w:spacing w:after="0" w:line="286" w:lineRule="auto"/>
        <w:rPr>
          <w:sz w:val="20"/>
          <w:szCs w:val="20"/>
          <w:color w:val="auto"/>
        </w:rPr>
      </w:pPr>
      <w:r>
        <w:rPr>
          <w:rFonts w:ascii="Arial" w:cs="Arial" w:eastAsia="Arial" w:hAnsi="Arial"/>
          <w:sz w:val="16"/>
          <w:szCs w:val="16"/>
          <w:color w:val="auto"/>
        </w:rPr>
        <w:t>On September 19, 2019, Chardan Investments purchased 5,000,000 shares of common stock from us for $25,000. On July 23, 2020, Chardan Investments sold 3,250,000 shares of common stock back to us for $16,250.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As of the date hereof, Ventoux Acquisition holds 2,818,875 shares of common stock, of which Ventoux Acquisition intends to distribute 67,500 shares to certain of our directors prior to the consummation of the offering, resulting in Ventoux Acquisition holding a balance of 2,751,375 shares. The founder shares include an aggregate of up to 562,500 shares that are subject to forfeiture to the extent that the underwriters’ over-allotment option is not exercised in full or in part, so that our initial stockholders will collectively own 20% of our issued and outstanding shares after this offering (excluding the sale of the private warrants and assuming our initial stockholders do not purchase public units in this offering).</w:t>
      </w:r>
    </w:p>
    <w:p>
      <w:pPr>
        <w:spacing w:after="0" w:line="9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founder shares are identical to the public shares. However, our initial stockholders have agreed</w:t>
      </w:r>
    </w:p>
    <w:p>
      <w:pPr>
        <w:spacing w:after="0" w:line="46" w:lineRule="exact"/>
        <w:rPr>
          <w:sz w:val="20"/>
          <w:szCs w:val="20"/>
          <w:color w:val="auto"/>
        </w:rPr>
      </w:pPr>
    </w:p>
    <w:p>
      <w:pPr>
        <w:jc w:val="both"/>
        <w:ind w:left="540" w:right="559" w:firstLine="4"/>
        <w:spacing w:after="0" w:line="286" w:lineRule="auto"/>
        <w:tabs>
          <w:tab w:leader="none" w:pos="838"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vote their founder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15 months of the closing of this offering (or up to 18 months, as applicable), unless we provide public stockholders an opportunity to redeem their public shares in conjunction with any such amendment, (C) not to redeem any shares, including founder shares into the right to receive cash from the trust account in connection with a stockholder vote to approve our proposed initial business combination or sell any shares to us in any tender offer in connection with our proposed initial business combination, and (D) that the founder shares shall not participate in any liquidating distribution upon winding up if a business combination is not consummated.</w:t>
      </w:r>
    </w:p>
    <w:p>
      <w:pPr>
        <w:spacing w:after="0" w:line="102" w:lineRule="exact"/>
        <w:rPr>
          <w:sz w:val="20"/>
          <w:szCs w:val="20"/>
          <w:color w:val="auto"/>
        </w:rPr>
      </w:pPr>
    </w:p>
    <w:p>
      <w:pPr>
        <w:jc w:val="both"/>
        <w:ind w:left="540" w:right="559" w:firstLine="432"/>
        <w:spacing w:after="0" w:line="284" w:lineRule="auto"/>
        <w:rPr>
          <w:sz w:val="20"/>
          <w:szCs w:val="20"/>
          <w:color w:val="auto"/>
        </w:rPr>
      </w:pPr>
      <w:r>
        <w:rPr>
          <w:rFonts w:ascii="Arial" w:cs="Arial" w:eastAsia="Arial" w:hAnsi="Arial"/>
          <w:sz w:val="16"/>
          <w:szCs w:val="16"/>
          <w:color w:val="auto"/>
        </w:rPr>
        <w:t>On the date of this prospectus, the founder shares will be placed into an escrow account maintained by Continental Stock Transfer &amp; Trust Company acting as escrow agent. 50% of these shares will not be transferred, assigned, sold or released from escrow until the earlier of (i) 6 months after the date of the consummation of our initial business combination or (ii) the date on which the closing price of our shares of common stock equals or exceeds $12.50 per share (as adjusted for stock splits, stock dividends, reorganizations and recapitalizations) for any 20 trading days within any 30-trading day period commencing after our initial business combination, and the remaining 50% of the founder shares will not be transferred, assigned, sold or released from escrow until 6 months after the date of the consummation of our initial business combination, or earlier, in either case, if, subsequent to our initial business combination, we consummate a subsequent liquidation, merger, stock exchange or other similar transaction which results in all of our stockholders having the right to exchange their shares of common stock for cash, securities or other property. During the escrow period, the holders of these shares will not be able to sell or transfer their securities except (1) to any persons (including their affiliates and stockholders) participating in the private placement of the private warrants, officers, directors, stockholders, employees and members of our co-sponsors and their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562,500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 w:name="page13"/>
    <w:bookmarkEnd w:id="1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522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7522210"/>
                    </a:xfrm>
                    <a:prstGeom prst="rect">
                      <a:avLst/>
                    </a:prstGeom>
                    <a:noFill/>
                  </pic:spPr>
                </pic:pic>
              </a:graphicData>
            </a:graphic>
          </wp:anchor>
        </w:drawing>
      </w:r>
    </w:p>
    <w:p>
      <w:pPr>
        <w:spacing w:after="0" w:line="327" w:lineRule="exact"/>
        <w:rPr>
          <w:sz w:val="20"/>
          <w:szCs w:val="20"/>
          <w:color w:val="auto"/>
        </w:rPr>
      </w:pPr>
    </w:p>
    <w:p>
      <w:pPr>
        <w:jc w:val="both"/>
        <w:ind w:left="540" w:right="559" w:firstLine="432"/>
        <w:spacing w:after="0" w:line="284" w:lineRule="auto"/>
        <w:rPr>
          <w:sz w:val="20"/>
          <w:szCs w:val="20"/>
          <w:color w:val="auto"/>
        </w:rPr>
      </w:pPr>
      <w:r>
        <w:rPr>
          <w:rFonts w:ascii="Arial" w:cs="Arial" w:eastAsia="Arial" w:hAnsi="Arial"/>
          <w:sz w:val="16"/>
          <w:szCs w:val="16"/>
          <w:color w:val="auto"/>
        </w:rPr>
        <w:t>The private warrants and any shares of common stock issued upon conversion or exercise thereof are subject to transfer restrictions pursuant to lock-up provisions in a letter agreement with us to be entered into by Ventoux Acquisition, Chardan Investments, officers, directors and advisors of the Company. Those lock-up provisions provide that such securities are not transferable or salable until 30 days after the completion of our initial business combination, except (a) to our officers or directors, any affiliates or family members of any of our officers or directors, any members of Ventoux Acquisition or Chardan Investments, or any affiliates of Ventoux Acquisition or Chardan Investments;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Ventoux Acquisition or Chardan Investments,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Ventoux Acquisition, Chardan Investments, officers, directors and advisors of the Company, as the case may be, with respect to such securities (including provisions relating to voting, the trust account and liquidation distributions described elsewhere in this prospectus).</w:t>
      </w:r>
    </w:p>
    <w:p>
      <w:pPr>
        <w:spacing w:after="0" w:line="114" w:lineRule="exact"/>
        <w:rPr>
          <w:sz w:val="20"/>
          <w:szCs w:val="20"/>
          <w:color w:val="auto"/>
        </w:rPr>
      </w:pPr>
    </w:p>
    <w:p>
      <w:pPr>
        <w:jc w:val="both"/>
        <w:ind w:left="540" w:right="559" w:firstLine="432"/>
        <w:spacing w:after="0" w:line="287" w:lineRule="auto"/>
        <w:rPr>
          <w:sz w:val="20"/>
          <w:szCs w:val="20"/>
          <w:color w:val="auto"/>
        </w:rPr>
      </w:pPr>
      <w:r>
        <w:rPr>
          <w:rFonts w:ascii="Arial" w:cs="Arial" w:eastAsia="Arial" w:hAnsi="Arial"/>
          <w:sz w:val="16"/>
          <w:szCs w:val="16"/>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91" w:lineRule="exact"/>
        <w:rPr>
          <w:sz w:val="20"/>
          <w:szCs w:val="20"/>
          <w:color w:val="auto"/>
        </w:rPr>
      </w:pPr>
    </w:p>
    <w:p>
      <w:pPr>
        <w:jc w:val="both"/>
        <w:ind w:left="540" w:right="559" w:firstLine="432"/>
        <w:spacing w:after="0" w:line="275" w:lineRule="auto"/>
        <w:rPr>
          <w:sz w:val="20"/>
          <w:szCs w:val="20"/>
          <w:color w:val="auto"/>
        </w:rPr>
      </w:pPr>
      <w:r>
        <w:rPr>
          <w:rFonts w:ascii="Arial" w:cs="Arial" w:eastAsia="Arial" w:hAnsi="Arial"/>
          <w:sz w:val="17"/>
          <w:szCs w:val="17"/>
          <w:color w:val="auto"/>
        </w:rPr>
        <w:t>The proceeds from the private placement of the private warrants will be added to the proceeds of this offering and placed in a trust account in the United States maintained by Continental Stock Transfer &amp; Trust Company, as trustee. If we do not complete our initial business combination within 15 months (or up to 18 months, as applicable), the proceeds from the sale of the private warrants will be included in the liquidating distribution to the holders of our public shares.</w:t>
      </w:r>
    </w:p>
    <w:p>
      <w:pPr>
        <w:spacing w:after="0" w:line="109"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124"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If public units or shares of common stock are purchased by any of our directors, officers or initial stockholders, they will be entitled to funds from the trust account to the same extent as any public stockholder upon our liquidation but will not have redemption rights related thereto.</w:t>
      </w:r>
    </w:p>
    <w:p>
      <w:pPr>
        <w:spacing w:after="0" w:line="103"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color w:val="auto"/>
        </w:rPr>
        <w:t>Our executive offices are located at 1 East Putnam Avenue, Floor 4, Greenwich, CT, 06830, and our telephone number is 646-465-9000.</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 w:name="page14"/>
    <w:bookmarkEnd w:id="13"/>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511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9511030"/>
                    </a:xfrm>
                    <a:prstGeom prst="rect">
                      <a:avLst/>
                    </a:prstGeom>
                    <a:noFill/>
                  </pic:spPr>
                </pic:pic>
              </a:graphicData>
            </a:graphic>
          </wp:anchor>
        </w:drawing>
      </w:r>
    </w:p>
    <w:p>
      <w:pPr>
        <w:sectPr>
          <w:pgSz w:w="11900" w:h="16838" w:orient="portrait"/>
          <w:cols w:equalWidth="0" w:num="1">
            <w:col w:w="9019"/>
          </w:cols>
          <w:pgMar w:left="1440" w:top="274" w:right="1440" w:bottom="474"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jc w:val="both"/>
        <w:ind w:left="540" w:right="559" w:firstLine="432"/>
        <w:spacing w:after="0" w:line="273" w:lineRule="auto"/>
        <w:rPr>
          <w:sz w:val="20"/>
          <w:szCs w:val="20"/>
          <w:color w:val="auto"/>
        </w:rPr>
      </w:pPr>
      <w:r>
        <w:rPr>
          <w:rFonts w:ascii="Arial" w:cs="Arial" w:eastAsia="Arial" w:hAnsi="Arial"/>
          <w:sz w:val="17"/>
          <w:szCs w:val="17"/>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22 of this prospectus.</w:t>
      </w:r>
    </w:p>
    <w:p>
      <w:pPr>
        <w:spacing w:after="0" w:line="133" w:lineRule="exact"/>
        <w:rPr>
          <w:sz w:val="20"/>
          <w:szCs w:val="20"/>
          <w:color w:val="auto"/>
        </w:rPr>
      </w:pPr>
    </w:p>
    <w:p>
      <w:pPr>
        <w:ind w:left="540"/>
        <w:spacing w:after="0"/>
        <w:tabs>
          <w:tab w:leader="none" w:pos="324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6"/>
          <w:szCs w:val="16"/>
          <w:color w:val="auto"/>
        </w:rPr>
        <w:t>15,000,000 units, at $10.00 per unit, each unit consisting of one share</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of common stock, one right and one warrant. Each right entitles the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holder thereof to receive one-twentieth (1/20) of one share of common</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stock upon the consummation of an initial business combination. Each</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warrant entitles the holder thereof to purchase one-half of one share of</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common stock at a price of $11.50 per whole share, subject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adjustment as described in this prospectus.</w:t>
      </w:r>
    </w:p>
    <w:p>
      <w:pPr>
        <w:sectPr>
          <w:pgSz w:w="11900" w:h="16838" w:orient="portrait"/>
          <w:cols w:equalWidth="0" w:num="1">
            <w:col w:w="9019"/>
          </w:cols>
          <w:pgMar w:left="1440" w:top="274" w:right="1440" w:bottom="474" w:gutter="0" w:footer="0" w:header="0"/>
          <w:type w:val="continuous"/>
        </w:sectPr>
      </w:pPr>
    </w:p>
    <w:p>
      <w:pPr>
        <w:spacing w:after="0" w:line="180" w:lineRule="exact"/>
        <w:rPr>
          <w:sz w:val="20"/>
          <w:szCs w:val="20"/>
          <w:color w:val="auto"/>
        </w:rPr>
      </w:pPr>
    </w:p>
    <w:p>
      <w:pPr>
        <w:ind w:left="720" w:hanging="179"/>
        <w:spacing w:after="0" w:line="282" w:lineRule="auto"/>
        <w:rPr>
          <w:sz w:val="20"/>
          <w:szCs w:val="20"/>
          <w:color w:val="auto"/>
        </w:rPr>
      </w:pPr>
      <w:r>
        <w:rPr>
          <w:rFonts w:ascii="Arial" w:cs="Arial" w:eastAsia="Arial" w:hAnsi="Arial"/>
          <w:sz w:val="18"/>
          <w:szCs w:val="18"/>
          <w:b w:val="1"/>
          <w:bCs w:val="1"/>
          <w:color w:val="auto"/>
        </w:rPr>
        <w:t>Listing of our securities and proposed symbols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We anticipate the units and the shares of common stock, the rights and the warrants, once they begin separate trading, will be listed on Nasdaq under the symbols “VTAQU,” “VTAQ,” “VTAR” and “VTAQW,” respectively.</w:t>
      </w:r>
    </w:p>
    <w:p>
      <w:pPr>
        <w:spacing w:after="0" w:line="160" w:lineRule="exact"/>
        <w:rPr>
          <w:sz w:val="20"/>
          <w:szCs w:val="20"/>
          <w:color w:val="auto"/>
        </w:rPr>
      </w:pPr>
    </w:p>
    <w:p>
      <w:pPr>
        <w:jc w:val="both"/>
        <w:ind w:right="559"/>
        <w:spacing w:after="0" w:line="284" w:lineRule="auto"/>
        <w:rPr>
          <w:sz w:val="20"/>
          <w:szCs w:val="20"/>
          <w:color w:val="auto"/>
        </w:rPr>
      </w:pPr>
      <w:r>
        <w:rPr>
          <w:rFonts w:ascii="Arial" w:cs="Arial" w:eastAsia="Arial" w:hAnsi="Arial"/>
          <w:sz w:val="16"/>
          <w:szCs w:val="16"/>
          <w:color w:val="auto"/>
        </w:rPr>
        <w:t>Each of the shares of common stock, rights and warrants may trade separately on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after the date of this prospectus unless Chardan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allow separate trading of the shares of common stock, rights and warrants until we file an audited balance sheet reflecting our receipt of the gross proceeds of this offering.</w:t>
      </w:r>
    </w:p>
    <w:p>
      <w:pPr>
        <w:spacing w:after="0" w:line="146" w:lineRule="exact"/>
        <w:rPr>
          <w:sz w:val="20"/>
          <w:szCs w:val="20"/>
          <w:color w:val="auto"/>
        </w:rPr>
      </w:pPr>
    </w:p>
    <w:p>
      <w:pPr>
        <w:jc w:val="both"/>
        <w:ind w:right="559"/>
        <w:spacing w:after="0" w:line="254" w:lineRule="auto"/>
        <w:rPr>
          <w:sz w:val="20"/>
          <w:szCs w:val="20"/>
          <w:color w:val="auto"/>
        </w:rPr>
      </w:pPr>
      <w:r>
        <w:rPr>
          <w:rFonts w:ascii="Arial" w:cs="Arial" w:eastAsia="Arial" w:hAnsi="Arial"/>
          <w:sz w:val="18"/>
          <w:szCs w:val="18"/>
          <w:color w:val="auto"/>
        </w:rPr>
        <w:t>Once the shares of common stock, rights and warrants commence separate trading, holders will have the option to continue to hold units or separate their units into shares of common stock, rights and warrants. Holders will need to have their brokers contact our transfer agent, Continental Stock Transfer &amp; Trust Company, in order to separate the units into separately trading shares of common stock, rights and warrants.</w:t>
      </w:r>
    </w:p>
    <w:p>
      <w:pPr>
        <w:spacing w:after="0" w:line="168" w:lineRule="exact"/>
        <w:rPr>
          <w:sz w:val="20"/>
          <w:szCs w:val="20"/>
          <w:color w:val="auto"/>
        </w:rPr>
      </w:pPr>
    </w:p>
    <w:p>
      <w:pPr>
        <w:jc w:val="both"/>
        <w:ind w:right="559"/>
        <w:spacing w:after="0" w:line="266" w:lineRule="auto"/>
        <w:rPr>
          <w:sz w:val="20"/>
          <w:szCs w:val="20"/>
          <w:color w:val="auto"/>
        </w:rPr>
      </w:pPr>
      <w:r>
        <w:rPr>
          <w:rFonts w:ascii="Arial" w:cs="Arial" w:eastAsia="Arial" w:hAnsi="Arial"/>
          <w:sz w:val="17"/>
          <w:szCs w:val="17"/>
          <w:color w:val="auto"/>
        </w:rPr>
        <w:t>We will file a Current Report on Form 8-K with the SEC, including an audited balance sheet, promptly upon the consummation of this offering, which is anticipated to take place two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Form 8-K or a new Form 8-K to provide updated financial information to reflect the exercise of the over-allotment option. We will also include in the Form 8-K, or amendment thereto, or in a subsequent Form 8-K, information indicating if Chardan has allowed separate trading of the shares of common stock, rights and warrants prior to the 90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after the date of this prospectus.</w:t>
      </w:r>
    </w:p>
    <w:p>
      <w:pPr>
        <w:spacing w:after="0" w:line="154" w:lineRule="exact"/>
        <w:rPr>
          <w:sz w:val="20"/>
          <w:szCs w:val="20"/>
          <w:color w:val="auto"/>
        </w:rPr>
      </w:pPr>
    </w:p>
    <w:p>
      <w:pPr>
        <w:jc w:val="both"/>
        <w:ind w:right="579"/>
        <w:spacing w:after="0" w:line="286" w:lineRule="auto"/>
        <w:rPr>
          <w:sz w:val="20"/>
          <w:szCs w:val="20"/>
          <w:color w:val="auto"/>
        </w:rPr>
      </w:pPr>
      <w:r>
        <w:rPr>
          <w:rFonts w:ascii="Arial" w:cs="Arial" w:eastAsia="Arial" w:hAnsi="Arial"/>
          <w:sz w:val="17"/>
          <w:szCs w:val="17"/>
          <w:color w:val="auto"/>
        </w:rPr>
        <w:t>In connection with the completion of our initial business combination, we may, at our discretion, mandatorily separate all issued and outstanding units into shares of common stock, rights and warrants.</w:t>
      </w:r>
    </w:p>
    <w:p>
      <w:pPr>
        <w:spacing w:after="0" w:line="134" w:lineRule="exact"/>
        <w:rPr>
          <w:sz w:val="20"/>
          <w:szCs w:val="20"/>
          <w:color w:val="auto"/>
        </w:rPr>
      </w:pPr>
    </w:p>
    <w:p>
      <w:pPr>
        <w:sectPr>
          <w:pgSz w:w="11900" w:h="16838" w:orient="portrait"/>
          <w:cols w:equalWidth="0" w:num="2">
            <w:col w:w="2700" w:space="560"/>
            <w:col w:w="5759"/>
          </w:cols>
          <w:pgMar w:left="1440" w:top="274" w:right="1440" w:bottom="474" w:gutter="0" w:footer="0" w:header="0"/>
          <w:type w:val="continuous"/>
        </w:sectPr>
      </w:pPr>
    </w:p>
    <w:tbl>
      <w:tblPr>
        <w:tblLayout w:type="fixed"/>
        <w:tblInd w:w="54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Shares of common stock:</w:t>
            </w:r>
          </w:p>
        </w:tc>
        <w:tc>
          <w:tcPr>
            <w:tcW w:w="1540" w:type="dxa"/>
            <w:vAlign w:val="bottom"/>
          </w:tcPr>
          <w:p>
            <w:pPr>
              <w:spacing w:after="0"/>
              <w:rPr>
                <w:sz w:val="20"/>
                <w:szCs w:val="20"/>
                <w:color w:val="auto"/>
              </w:rPr>
            </w:pPr>
          </w:p>
        </w:tc>
      </w:tr>
      <w:tr>
        <w:trPr>
          <w:trHeight w:val="387"/>
        </w:trPr>
        <w:tc>
          <w:tcPr>
            <w:tcW w:w="2600" w:type="dxa"/>
            <w:vAlign w:val="bottom"/>
          </w:tcPr>
          <w:p>
            <w:pPr>
              <w:spacing w:after="0"/>
              <w:rPr>
                <w:sz w:val="20"/>
                <w:szCs w:val="20"/>
                <w:color w:val="auto"/>
              </w:rPr>
            </w:pPr>
            <w:r>
              <w:rPr>
                <w:rFonts w:ascii="Arial" w:cs="Arial" w:eastAsia="Arial" w:hAnsi="Arial"/>
                <w:sz w:val="18"/>
                <w:szCs w:val="18"/>
                <w:b w:val="1"/>
                <w:bCs w:val="1"/>
                <w:color w:val="auto"/>
                <w:w w:val="93"/>
              </w:rPr>
              <w:t>Number issued and outstanding</w:t>
            </w:r>
          </w:p>
        </w:tc>
        <w:tc>
          <w:tcPr>
            <w:tcW w:w="1540" w:type="dxa"/>
            <w:vAlign w:val="bottom"/>
          </w:tcPr>
          <w:p>
            <w:pPr>
              <w:spacing w:after="0"/>
              <w:rPr>
                <w:sz w:val="24"/>
                <w:szCs w:val="24"/>
                <w:color w:val="auto"/>
              </w:rPr>
            </w:pPr>
          </w:p>
        </w:tc>
      </w:tr>
      <w:tr>
        <w:trPr>
          <w:trHeight w:val="282"/>
        </w:trPr>
        <w:tc>
          <w:tcPr>
            <w:tcW w:w="2600" w:type="dxa"/>
            <w:vAlign w:val="bottom"/>
          </w:tcPr>
          <w:p>
            <w:pPr>
              <w:ind w:left="180"/>
              <w:spacing w:after="0"/>
              <w:rPr>
                <w:sz w:val="20"/>
                <w:szCs w:val="20"/>
                <w:color w:val="auto"/>
              </w:rPr>
            </w:pPr>
            <w:r>
              <w:rPr>
                <w:rFonts w:ascii="Arial" w:cs="Arial" w:eastAsia="Arial" w:hAnsi="Arial"/>
                <w:sz w:val="18"/>
                <w:szCs w:val="18"/>
                <w:b w:val="1"/>
                <w:bCs w:val="1"/>
                <w:color w:val="auto"/>
              </w:rPr>
              <w:t>before this offering</w:t>
            </w:r>
          </w:p>
        </w:tc>
        <w:tc>
          <w:tcPr>
            <w:tcW w:w="1540" w:type="dxa"/>
            <w:vAlign w:val="bottom"/>
          </w:tcPr>
          <w:p>
            <w:pPr>
              <w:ind w:left="120"/>
              <w:spacing w:after="0"/>
              <w:rPr>
                <w:sz w:val="20"/>
                <w:szCs w:val="20"/>
                <w:color w:val="auto"/>
              </w:rPr>
            </w:pPr>
            <w:r>
              <w:rPr>
                <w:rFonts w:ascii="Arial" w:cs="Arial" w:eastAsia="Arial" w:hAnsi="Arial"/>
                <w:sz w:val="18"/>
                <w:szCs w:val="18"/>
                <w:color w:val="auto"/>
                <w:w w:val="90"/>
              </w:rPr>
              <w:t>4,312,500 shares</w:t>
            </w:r>
            <w:r>
              <w:rPr>
                <w:rFonts w:ascii="Arial" w:cs="Arial" w:eastAsia="Arial" w:hAnsi="Arial"/>
                <w:sz w:val="20"/>
                <w:szCs w:val="20"/>
                <w:color w:val="auto"/>
                <w:w w:val="90"/>
                <w:vertAlign w:val="superscript"/>
              </w:rPr>
              <w:t>(1)</w:t>
            </w:r>
          </w:p>
        </w:tc>
      </w:tr>
      <w:tr>
        <w:trPr>
          <w:trHeight w:val="339"/>
        </w:trPr>
        <w:tc>
          <w:tcPr>
            <w:tcW w:w="2600" w:type="dxa"/>
            <w:vAlign w:val="bottom"/>
          </w:tcPr>
          <w:p>
            <w:pPr>
              <w:spacing w:after="0"/>
              <w:rPr>
                <w:sz w:val="20"/>
                <w:szCs w:val="20"/>
                <w:color w:val="auto"/>
              </w:rPr>
            </w:pPr>
            <w:r>
              <w:rPr>
                <w:rFonts w:ascii="Arial" w:cs="Arial" w:eastAsia="Arial" w:hAnsi="Arial"/>
                <w:sz w:val="18"/>
                <w:szCs w:val="18"/>
                <w:b w:val="1"/>
                <w:bCs w:val="1"/>
                <w:color w:val="auto"/>
              </w:rPr>
              <w:t>Number to be issued and</w:t>
            </w:r>
          </w:p>
        </w:tc>
        <w:tc>
          <w:tcPr>
            <w:tcW w:w="1540" w:type="dxa"/>
            <w:vAlign w:val="bottom"/>
          </w:tcPr>
          <w:p>
            <w:pPr>
              <w:spacing w:after="0"/>
              <w:rPr>
                <w:sz w:val="24"/>
                <w:szCs w:val="24"/>
                <w:color w:val="auto"/>
              </w:rPr>
            </w:pPr>
          </w:p>
        </w:tc>
      </w:tr>
      <w:tr>
        <w:trPr>
          <w:trHeight w:val="282"/>
        </w:trPr>
        <w:tc>
          <w:tcPr>
            <w:tcW w:w="2600" w:type="dxa"/>
            <w:vAlign w:val="bottom"/>
          </w:tcPr>
          <w:p>
            <w:pPr>
              <w:ind w:left="180"/>
              <w:spacing w:after="0"/>
              <w:rPr>
                <w:sz w:val="20"/>
                <w:szCs w:val="20"/>
                <w:color w:val="auto"/>
              </w:rPr>
            </w:pPr>
            <w:r>
              <w:rPr>
                <w:rFonts w:ascii="Arial" w:cs="Arial" w:eastAsia="Arial" w:hAnsi="Arial"/>
                <w:sz w:val="18"/>
                <w:szCs w:val="18"/>
                <w:b w:val="1"/>
                <w:bCs w:val="1"/>
                <w:color w:val="auto"/>
                <w:w w:val="93"/>
              </w:rPr>
              <w:t>outstanding after this offering</w:t>
            </w:r>
          </w:p>
        </w:tc>
        <w:tc>
          <w:tcPr>
            <w:tcW w:w="1540" w:type="dxa"/>
            <w:vAlign w:val="bottom"/>
          </w:tcPr>
          <w:p>
            <w:pPr>
              <w:ind w:left="120"/>
              <w:spacing w:after="0"/>
              <w:rPr>
                <w:sz w:val="20"/>
                <w:szCs w:val="20"/>
                <w:color w:val="auto"/>
              </w:rPr>
            </w:pPr>
            <w:r>
              <w:rPr>
                <w:rFonts w:ascii="Arial" w:cs="Arial" w:eastAsia="Arial" w:hAnsi="Arial"/>
                <w:sz w:val="18"/>
                <w:szCs w:val="18"/>
                <w:color w:val="auto"/>
                <w:w w:val="84"/>
              </w:rPr>
              <w:t>18,750,000 shares</w:t>
            </w:r>
            <w:r>
              <w:rPr>
                <w:rFonts w:ascii="Arial" w:cs="Arial" w:eastAsia="Arial" w:hAnsi="Arial"/>
                <w:sz w:val="20"/>
                <w:szCs w:val="20"/>
                <w:color w:val="auto"/>
                <w:w w:val="84"/>
                <w:vertAlign w:val="superscript"/>
              </w:rPr>
              <w:t>(2)</w:t>
            </w:r>
          </w:p>
        </w:tc>
      </w:tr>
    </w:tbl>
    <w:p>
      <w:pPr>
        <w:spacing w:after="0" w:line="200" w:lineRule="exact"/>
        <w:rPr>
          <w:sz w:val="20"/>
          <w:szCs w:val="20"/>
          <w:color w:val="auto"/>
        </w:rPr>
      </w:pPr>
    </w:p>
    <w:p>
      <w:pPr>
        <w:sectPr>
          <w:pgSz w:w="11900" w:h="16838" w:orient="portrait"/>
          <w:cols w:equalWidth="0" w:num="1">
            <w:col w:w="9019"/>
          </w:cols>
          <w:pgMar w:left="1440" w:top="274" w:right="1440" w:bottom="474"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474" w:gutter="0" w:footer="0" w:header="0"/>
          <w:type w:val="continuous"/>
        </w:sectPr>
      </w:pPr>
    </w:p>
    <w:bookmarkStart w:id="14" w:name="page15"/>
    <w:bookmarkEnd w:id="14"/>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090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9090660"/>
                    </a:xfrm>
                    <a:prstGeom prst="rect">
                      <a:avLst/>
                    </a:prstGeom>
                    <a:noFill/>
                  </pic:spPr>
                </pic:pic>
              </a:graphicData>
            </a:graphic>
          </wp:anchor>
        </w:drawing>
      </w:r>
    </w:p>
    <w:p>
      <w:pPr>
        <w:sectPr>
          <w:pgSz w:w="11900" w:h="16838" w:orient="portrait"/>
          <w:cols w:equalWidth="0" w:num="1">
            <w:col w:w="9019"/>
          </w:cols>
          <w:pgMar w:left="1440" w:top="274" w:right="1440" w:bottom="1114" w:gutter="0" w:footer="0" w:header="0"/>
        </w:sectPr>
      </w:pPr>
    </w:p>
    <w:p>
      <w:pPr>
        <w:spacing w:after="0" w:line="200" w:lineRule="exact"/>
        <w:rPr>
          <w:sz w:val="20"/>
          <w:szCs w:val="20"/>
          <w:color w:val="auto"/>
        </w:rPr>
      </w:pPr>
    </w:p>
    <w:p>
      <w:pPr>
        <w:spacing w:after="0" w:line="341"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Rights:</w:t>
            </w:r>
          </w:p>
        </w:tc>
        <w:tc>
          <w:tcPr>
            <w:tcW w:w="1040" w:type="dxa"/>
            <w:vAlign w:val="bottom"/>
          </w:tcPr>
          <w:p>
            <w:pPr>
              <w:spacing w:after="0"/>
              <w:rPr>
                <w:sz w:val="20"/>
                <w:szCs w:val="20"/>
                <w:color w:val="auto"/>
              </w:rPr>
            </w:pPr>
          </w:p>
        </w:tc>
      </w:tr>
      <w:tr>
        <w:trPr>
          <w:trHeight w:val="387"/>
        </w:trPr>
        <w:tc>
          <w:tcPr>
            <w:tcW w:w="2600" w:type="dxa"/>
            <w:vAlign w:val="bottom"/>
          </w:tcPr>
          <w:p>
            <w:pPr>
              <w:spacing w:after="0"/>
              <w:rPr>
                <w:sz w:val="20"/>
                <w:szCs w:val="20"/>
                <w:color w:val="auto"/>
              </w:rPr>
            </w:pPr>
            <w:r>
              <w:rPr>
                <w:rFonts w:ascii="Arial" w:cs="Arial" w:eastAsia="Arial" w:hAnsi="Arial"/>
                <w:sz w:val="18"/>
                <w:szCs w:val="18"/>
                <w:b w:val="1"/>
                <w:bCs w:val="1"/>
                <w:color w:val="auto"/>
                <w:w w:val="93"/>
              </w:rPr>
              <w:t>Number issued and outstanding</w:t>
            </w:r>
          </w:p>
        </w:tc>
        <w:tc>
          <w:tcPr>
            <w:tcW w:w="1040" w:type="dxa"/>
            <w:vAlign w:val="bottom"/>
          </w:tcPr>
          <w:p>
            <w:pPr>
              <w:spacing w:after="0"/>
              <w:rPr>
                <w:sz w:val="24"/>
                <w:szCs w:val="24"/>
                <w:color w:val="auto"/>
              </w:rPr>
            </w:pPr>
          </w:p>
        </w:tc>
      </w:tr>
      <w:tr>
        <w:trPr>
          <w:trHeight w:val="248"/>
        </w:trPr>
        <w:tc>
          <w:tcPr>
            <w:tcW w:w="2600" w:type="dxa"/>
            <w:vAlign w:val="bottom"/>
          </w:tcPr>
          <w:p>
            <w:pPr>
              <w:ind w:left="180"/>
              <w:spacing w:after="0"/>
              <w:rPr>
                <w:sz w:val="20"/>
                <w:szCs w:val="20"/>
                <w:color w:val="auto"/>
              </w:rPr>
            </w:pPr>
            <w:r>
              <w:rPr>
                <w:rFonts w:ascii="Arial" w:cs="Arial" w:eastAsia="Arial" w:hAnsi="Arial"/>
                <w:sz w:val="18"/>
                <w:szCs w:val="18"/>
                <w:b w:val="1"/>
                <w:bCs w:val="1"/>
                <w:color w:val="auto"/>
              </w:rPr>
              <w:t>before this offering</w:t>
            </w:r>
          </w:p>
        </w:tc>
        <w:tc>
          <w:tcPr>
            <w:tcW w:w="1040" w:type="dxa"/>
            <w:vAlign w:val="bottom"/>
          </w:tcPr>
          <w:p>
            <w:pPr>
              <w:ind w:left="120"/>
              <w:spacing w:after="0"/>
              <w:rPr>
                <w:sz w:val="20"/>
                <w:szCs w:val="20"/>
                <w:color w:val="auto"/>
              </w:rPr>
            </w:pPr>
            <w:r>
              <w:rPr>
                <w:rFonts w:ascii="Arial" w:cs="Arial" w:eastAsia="Arial" w:hAnsi="Arial"/>
                <w:sz w:val="18"/>
                <w:szCs w:val="18"/>
                <w:color w:val="auto"/>
              </w:rPr>
              <w:t>0 rights</w:t>
            </w:r>
          </w:p>
        </w:tc>
      </w:tr>
      <w:tr>
        <w:trPr>
          <w:trHeight w:val="400"/>
        </w:trPr>
        <w:tc>
          <w:tcPr>
            <w:tcW w:w="2600" w:type="dxa"/>
            <w:vAlign w:val="bottom"/>
          </w:tcPr>
          <w:p>
            <w:pPr>
              <w:spacing w:after="0"/>
              <w:rPr>
                <w:sz w:val="20"/>
                <w:szCs w:val="20"/>
                <w:color w:val="auto"/>
              </w:rPr>
            </w:pPr>
            <w:r>
              <w:rPr>
                <w:rFonts w:ascii="Arial" w:cs="Arial" w:eastAsia="Arial" w:hAnsi="Arial"/>
                <w:sz w:val="18"/>
                <w:szCs w:val="18"/>
                <w:b w:val="1"/>
                <w:bCs w:val="1"/>
                <w:color w:val="auto"/>
              </w:rPr>
              <w:t>Number to be issued and</w:t>
            </w:r>
          </w:p>
        </w:tc>
        <w:tc>
          <w:tcPr>
            <w:tcW w:w="1040" w:type="dxa"/>
            <w:vAlign w:val="bottom"/>
          </w:tcPr>
          <w:p>
            <w:pPr>
              <w:spacing w:after="0"/>
              <w:rPr>
                <w:sz w:val="24"/>
                <w:szCs w:val="24"/>
                <w:color w:val="auto"/>
              </w:rPr>
            </w:pPr>
          </w:p>
        </w:tc>
      </w:tr>
      <w:tr>
        <w:trPr>
          <w:trHeight w:val="282"/>
        </w:trPr>
        <w:tc>
          <w:tcPr>
            <w:tcW w:w="2600" w:type="dxa"/>
            <w:vAlign w:val="bottom"/>
          </w:tcPr>
          <w:p>
            <w:pPr>
              <w:ind w:left="180"/>
              <w:spacing w:after="0"/>
              <w:rPr>
                <w:sz w:val="20"/>
                <w:szCs w:val="20"/>
                <w:color w:val="auto"/>
              </w:rPr>
            </w:pPr>
            <w:r>
              <w:rPr>
                <w:rFonts w:ascii="Arial" w:cs="Arial" w:eastAsia="Arial" w:hAnsi="Arial"/>
                <w:sz w:val="18"/>
                <w:szCs w:val="18"/>
                <w:b w:val="1"/>
                <w:bCs w:val="1"/>
                <w:color w:val="auto"/>
                <w:w w:val="93"/>
              </w:rPr>
              <w:t>outstanding after this offering</w:t>
            </w:r>
          </w:p>
        </w:tc>
        <w:tc>
          <w:tcPr>
            <w:tcW w:w="1040" w:type="dxa"/>
            <w:vAlign w:val="bottom"/>
          </w:tcPr>
          <w:p>
            <w:pPr>
              <w:ind w:left="120"/>
              <w:spacing w:after="0"/>
              <w:rPr>
                <w:sz w:val="20"/>
                <w:szCs w:val="20"/>
                <w:color w:val="auto"/>
              </w:rPr>
            </w:pPr>
            <w:r>
              <w:rPr>
                <w:rFonts w:ascii="Arial" w:cs="Arial" w:eastAsia="Arial" w:hAnsi="Arial"/>
                <w:sz w:val="18"/>
                <w:szCs w:val="18"/>
                <w:color w:val="auto"/>
                <w:w w:val="84"/>
              </w:rPr>
              <w:t>15,000,000</w:t>
            </w:r>
            <w:r>
              <w:rPr>
                <w:rFonts w:ascii="Arial" w:cs="Arial" w:eastAsia="Arial" w:hAnsi="Arial"/>
                <w:sz w:val="20"/>
                <w:szCs w:val="20"/>
                <w:color w:val="auto"/>
                <w:w w:val="84"/>
                <w:vertAlign w:val="superscript"/>
              </w:rPr>
              <w:t>(3)</w:t>
            </w:r>
          </w:p>
        </w:tc>
      </w:tr>
      <w:tr>
        <w:trPr>
          <w:trHeight w:val="357"/>
        </w:trPr>
        <w:tc>
          <w:tcPr>
            <w:tcW w:w="2600" w:type="dxa"/>
            <w:vAlign w:val="bottom"/>
          </w:tcPr>
          <w:p>
            <w:pPr>
              <w:spacing w:after="0"/>
              <w:rPr>
                <w:sz w:val="20"/>
                <w:szCs w:val="20"/>
                <w:color w:val="auto"/>
              </w:rPr>
            </w:pPr>
            <w:r>
              <w:rPr>
                <w:rFonts w:ascii="Arial" w:cs="Arial" w:eastAsia="Arial" w:hAnsi="Arial"/>
                <w:sz w:val="18"/>
                <w:szCs w:val="18"/>
                <w:b w:val="1"/>
                <w:bCs w:val="1"/>
                <w:color w:val="auto"/>
              </w:rPr>
              <w:t>Redeemable Warrants:</w:t>
            </w:r>
          </w:p>
        </w:tc>
        <w:tc>
          <w:tcPr>
            <w:tcW w:w="1040" w:type="dxa"/>
            <w:vAlign w:val="bottom"/>
          </w:tcPr>
          <w:p>
            <w:pPr>
              <w:spacing w:after="0"/>
              <w:rPr>
                <w:sz w:val="24"/>
                <w:szCs w:val="24"/>
                <w:color w:val="auto"/>
              </w:rPr>
            </w:pPr>
          </w:p>
        </w:tc>
      </w:tr>
    </w:tbl>
    <w:p>
      <w:pPr>
        <w:spacing w:after="0" w:line="171" w:lineRule="exact"/>
        <w:rPr>
          <w:sz w:val="20"/>
          <w:szCs w:val="20"/>
          <w:color w:val="auto"/>
        </w:rPr>
      </w:pPr>
    </w:p>
    <w:p>
      <w:pPr>
        <w:sectPr>
          <w:pgSz w:w="11900" w:h="16838" w:orient="portrait"/>
          <w:cols w:equalWidth="0" w:num="1">
            <w:col w:w="9019"/>
          </w:cols>
          <w:pgMar w:left="1440" w:top="274" w:right="1440" w:bottom="1114" w:gutter="0" w:footer="0" w:header="0"/>
          <w:type w:val="continuous"/>
        </w:sectPr>
      </w:pPr>
    </w:p>
    <w:p>
      <w:pPr>
        <w:ind w:left="720" w:right="40" w:hanging="179"/>
        <w:spacing w:after="0" w:line="386" w:lineRule="auto"/>
        <w:rPr>
          <w:sz w:val="20"/>
          <w:szCs w:val="20"/>
          <w:color w:val="auto"/>
        </w:rPr>
      </w:pPr>
      <w:r>
        <w:rPr>
          <w:rFonts w:ascii="Arial" w:cs="Arial" w:eastAsia="Arial" w:hAnsi="Arial"/>
          <w:sz w:val="15"/>
          <w:szCs w:val="15"/>
          <w:b w:val="1"/>
          <w:bCs w:val="1"/>
          <w:color w:val="auto"/>
        </w:rPr>
        <w:t>Number issued and outstanding before this offering</w:t>
      </w:r>
    </w:p>
    <w:p>
      <w:pPr>
        <w:spacing w:after="0" w:line="66" w:lineRule="exact"/>
        <w:rPr>
          <w:sz w:val="20"/>
          <w:szCs w:val="20"/>
          <w:color w:val="auto"/>
        </w:rPr>
      </w:pPr>
    </w:p>
    <w:p>
      <w:pPr>
        <w:ind w:left="720" w:hanging="179"/>
        <w:spacing w:after="0" w:line="314" w:lineRule="auto"/>
        <w:rPr>
          <w:sz w:val="20"/>
          <w:szCs w:val="20"/>
          <w:color w:val="auto"/>
        </w:rPr>
      </w:pPr>
      <w:r>
        <w:rPr>
          <w:rFonts w:ascii="Arial" w:cs="Arial" w:eastAsia="Arial" w:hAnsi="Arial"/>
          <w:sz w:val="16"/>
          <w:szCs w:val="16"/>
          <w:b w:val="1"/>
          <w:bCs w:val="1"/>
          <w:color w:val="auto"/>
        </w:rPr>
        <w:t>Number to be issued and outstanding after this offering and sale of private warrants</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Exercisability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0 warrants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15,000,000 public warrants and 6,000,000 private warrants</w:t>
      </w:r>
      <w:r>
        <w:rPr>
          <w:rFonts w:ascii="Arial" w:cs="Arial" w:eastAsia="Arial" w:hAnsi="Arial"/>
          <w:sz w:val="20"/>
          <w:szCs w:val="20"/>
          <w:color w:val="auto"/>
          <w:vertAlign w:val="superscript"/>
        </w:rPr>
        <w:t>(4)</w:t>
      </w:r>
    </w:p>
    <w:p>
      <w:pPr>
        <w:spacing w:after="0" w:line="175" w:lineRule="exact"/>
        <w:rPr>
          <w:sz w:val="20"/>
          <w:szCs w:val="20"/>
          <w:color w:val="auto"/>
        </w:rPr>
      </w:pPr>
    </w:p>
    <w:p>
      <w:pPr>
        <w:jc w:val="both"/>
        <w:ind w:right="579"/>
        <w:spacing w:after="0" w:line="296" w:lineRule="auto"/>
        <w:rPr>
          <w:sz w:val="20"/>
          <w:szCs w:val="20"/>
          <w:color w:val="auto"/>
        </w:rPr>
      </w:pPr>
      <w:r>
        <w:rPr>
          <w:rFonts w:ascii="Arial" w:cs="Arial" w:eastAsia="Arial" w:hAnsi="Arial"/>
          <w:sz w:val="16"/>
          <w:szCs w:val="16"/>
          <w:color w:val="auto"/>
        </w:rPr>
        <w:t>Each redeemable public warrant entitles the holder thereof to purchase one-half of one share of common stock. We will not issue fractional shares. As a result, you must have two warrants to receive a share of common stock when exercising your warrants. Each private warrant entitles the holder thereof to purchase one share of common stock.</w:t>
      </w:r>
    </w:p>
    <w:p>
      <w:pPr>
        <w:spacing w:after="0" w:line="130" w:lineRule="exact"/>
        <w:rPr>
          <w:sz w:val="20"/>
          <w:szCs w:val="20"/>
          <w:color w:val="auto"/>
        </w:rPr>
      </w:pPr>
    </w:p>
    <w:p>
      <w:pPr>
        <w:sectPr>
          <w:pgSz w:w="11900" w:h="16838" w:orient="portrait"/>
          <w:cols w:equalWidth="0" w:num="2">
            <w:col w:w="3020" w:space="240"/>
            <w:col w:w="5759"/>
          </w:cols>
          <w:pgMar w:left="1440" w:top="274" w:right="1440" w:bottom="1114" w:gutter="0" w:footer="0" w:header="0"/>
          <w:type w:val="continuous"/>
        </w:sectPr>
      </w:pPr>
    </w:p>
    <w:p>
      <w:pPr>
        <w:ind w:left="540"/>
        <w:spacing w:after="0"/>
        <w:tabs>
          <w:tab w:leader="none" w:pos="3240" w:val="left"/>
        </w:tabs>
        <w:rPr>
          <w:sz w:val="20"/>
          <w:szCs w:val="20"/>
          <w:color w:val="auto"/>
        </w:rPr>
      </w:pPr>
      <w:r>
        <w:rPr>
          <w:rFonts w:ascii="Arial" w:cs="Arial" w:eastAsia="Arial" w:hAnsi="Arial"/>
          <w:sz w:val="18"/>
          <w:szCs w:val="18"/>
          <w:b w:val="1"/>
          <w:bCs w:val="1"/>
          <w:color w:val="auto"/>
        </w:rPr>
        <w:t>Exercise price</w:t>
      </w:r>
      <w:r>
        <w:rPr>
          <w:sz w:val="20"/>
          <w:szCs w:val="20"/>
          <w:color w:val="auto"/>
        </w:rPr>
        <w:tab/>
      </w:r>
      <w:r>
        <w:rPr>
          <w:rFonts w:ascii="Arial" w:cs="Arial" w:eastAsia="Arial" w:hAnsi="Arial"/>
          <w:sz w:val="16"/>
          <w:szCs w:val="16"/>
          <w:color w:val="auto"/>
        </w:rPr>
        <w:t>$11.50 per whole share, subject to adjustment as described herein. If we</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issue additional shares of common stock or equity-linked securities for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capital raising purposes in connection with the closing of our initial</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business combination at an issue price or effective issue price of less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than $9.20 per share of common stock (with such issue price or</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effective issue price to be determined in good faith by our board of</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directors  and,  in  the  case  of  any  such  issuance  to  our  initial</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stockholders or their affiliates, without taking into account any founder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shares or private warrants held by them, as applicable, prior to such</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issuance) (the “newly issued price”), the exercise price of the warrants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will be adjusted (to the nearest cent) to be equal to 115% of the newly</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issued price and the $16.50 per share redemption trigger price described</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below under “— Redemption (Warrants)” will be adjusted (to the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nearest cent) to be equal to 165% of the market value (the volume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weighted average trading price of the common stock during the 20</w:t>
      </w:r>
    </w:p>
    <w:p>
      <w:pPr>
        <w:spacing w:after="0" w:line="21" w:lineRule="exact"/>
        <w:rPr>
          <w:sz w:val="20"/>
          <w:szCs w:val="20"/>
          <w:color w:val="auto"/>
        </w:rPr>
      </w:pPr>
    </w:p>
    <w:p>
      <w:pPr>
        <w:ind w:left="3260"/>
        <w:spacing w:after="0"/>
        <w:tabs>
          <w:tab w:leader="none" w:pos="3900" w:val="left"/>
          <w:tab w:leader="none" w:pos="4320" w:val="left"/>
          <w:tab w:leader="none" w:pos="4920" w:val="left"/>
          <w:tab w:leader="none" w:pos="5620" w:val="left"/>
          <w:tab w:leader="none" w:pos="5960" w:val="left"/>
          <w:tab w:leader="none" w:pos="6340" w:val="left"/>
          <w:tab w:leader="none" w:pos="7000" w:val="left"/>
          <w:tab w:leader="none" w:pos="7420" w:val="left"/>
          <w:tab w:leader="none" w:pos="7920" w:val="left"/>
          <w:tab w:leader="none" w:pos="8200" w:val="left"/>
        </w:tabs>
        <w:rPr>
          <w:sz w:val="20"/>
          <w:szCs w:val="20"/>
          <w:color w:val="auto"/>
        </w:rPr>
      </w:pPr>
      <w:r>
        <w:rPr>
          <w:rFonts w:ascii="Arial" w:cs="Arial" w:eastAsia="Arial" w:hAnsi="Arial"/>
          <w:sz w:val="18"/>
          <w:szCs w:val="18"/>
          <w:color w:val="auto"/>
        </w:rPr>
        <w:t>trading</w:t>
        <w:tab/>
        <w:t>day</w:t>
        <w:tab/>
        <w:t>period</w:t>
        <w:tab/>
        <w:t>starting</w:t>
        <w:tab/>
        <w:t>on</w:t>
        <w:tab/>
        <w:t>the</w:t>
        <w:tab/>
        <w:t>trading</w:t>
        <w:tab/>
        <w:t>day</w:t>
        <w:tab/>
        <w:t>prior</w:t>
        <w:tab/>
        <w:t>to</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consummation of an initial business combination).</w:t>
      </w:r>
    </w:p>
    <w:p>
      <w:pPr>
        <w:spacing w:after="0" w:line="10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No public warrants will be exercisable for cash unless we have an</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effective and current registration statement covering the shares of</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common stock issuable upon exercise of the warrants and a current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prospectus relating to such shares of common stock. It is our current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intention  to  have  an  effective  and  current  registration  statement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covering the shares of common stock issuable upon exercise of the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public warrants and a current prospectus relating to such shares of</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common stock in effect promptly following consummation of an initial</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business combination. Notwithstanding the foregoing, if a registration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statement covering the shares of common stock issuable upon exercise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of the public warrants is not effective within 120 days following the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consummation of our initial business combination, public warrant</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holders may, until such</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980" w:right="559" w:hanging="436"/>
        <w:spacing w:after="0" w:line="284" w:lineRule="auto"/>
        <w:tabs>
          <w:tab w:leader="none" w:pos="1018" w:val="left"/>
        </w:tabs>
        <w:numPr>
          <w:ilvl w:val="0"/>
          <w:numId w:val="7"/>
        </w:numPr>
        <w:rPr>
          <w:rFonts w:ascii="Arial" w:cs="Arial" w:eastAsia="Arial" w:hAnsi="Arial"/>
          <w:sz w:val="15"/>
          <w:szCs w:val="15"/>
          <w:color w:val="auto"/>
        </w:rPr>
      </w:pPr>
      <w:r>
        <w:rPr>
          <w:rFonts w:ascii="Arial" w:cs="Arial" w:eastAsia="Arial" w:hAnsi="Arial"/>
          <w:sz w:val="15"/>
          <w:szCs w:val="15"/>
          <w:color w:val="auto"/>
        </w:rPr>
        <w:t>This number includes an aggregate of up to 562,500 shares of common stock held by our initial stockholders that are subject to forfeiture if the over-allotment option is not fully exercised by the underwriters.</w:t>
      </w:r>
    </w:p>
    <w:p>
      <w:pPr>
        <w:jc w:val="both"/>
        <w:ind w:left="980" w:right="559" w:hanging="436"/>
        <w:spacing w:after="0" w:line="264" w:lineRule="auto"/>
        <w:tabs>
          <w:tab w:leader="none" w:pos="1032"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562,500 shares of common stock held by our initial stockholders have been forfeited. If the over-allotment option is exercised in full, there will be a total of 21,562,500 shares of common stock issued and outstanding.</w:t>
      </w:r>
    </w:p>
    <w:p>
      <w:pPr>
        <w:ind w:left="980" w:right="559" w:hanging="436"/>
        <w:spacing w:after="0" w:line="264" w:lineRule="auto"/>
        <w:tabs>
          <w:tab w:leader="none" w:pos="971"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If the over-allotment option is exercised, there would be 17,250,000 rights outstanding.</w:t>
      </w:r>
    </w:p>
    <w:p>
      <w:pPr>
        <w:ind w:left="980" w:right="559" w:hanging="436"/>
        <w:spacing w:after="0" w:line="288" w:lineRule="auto"/>
        <w:tabs>
          <w:tab w:leader="none" w:pos="971"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If the over-allotment option is exercised, there would be 17,250,000 public warrants outstanding and 6,675,000 private warrants outstanding.</w:t>
      </w:r>
    </w:p>
    <w:p>
      <w:pPr>
        <w:sectPr>
          <w:pgSz w:w="11900" w:h="16838" w:orient="portrait"/>
          <w:cols w:equalWidth="0" w:num="1">
            <w:col w:w="9019"/>
          </w:cols>
          <w:pgMar w:left="1440" w:top="274" w:right="1440" w:bottom="1114" w:gutter="0" w:footer="0" w:header="0"/>
          <w:type w:val="continuous"/>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114" w:gutter="0" w:footer="0" w:header="0"/>
          <w:type w:val="continuous"/>
        </w:sectPr>
      </w:pPr>
    </w:p>
    <w:bookmarkStart w:id="15" w:name="page16"/>
    <w:bookmarkEnd w:id="15"/>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905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990536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time as there is an effective registration statement and during any period</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when  we  shall  have  failed  to  maintain  an  effective  registration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statement, exercise warrants on a cashless basis pursuant to an available</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exemption from registration under the Securities Act. In such event,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each holder would pay the exercise price by surrendering the whole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warrants for that number of shares of common stock equal to the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quotient obtained by dividing (x) the product of the number of shares of</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common stock underlying the warrants, multiplied by the difference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between the exercise price of the warrants and the “fair market value”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by (y) the fair market value. The “fair market value” shall mean the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average reported last sale price of the shares of common stock for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10 trading days ending on the day prior to the date of exercise. For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example, if a holder held 300 warrants to purchase 150 shares and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fair market value on the date prior to exercise was $15.00, that holder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would receive 35 shares without the payment of any additional cash</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consideration.</w:t>
      </w:r>
    </w:p>
    <w:p>
      <w:pPr>
        <w:spacing w:after="0" w:line="166" w:lineRule="exact"/>
        <w:rPr>
          <w:sz w:val="20"/>
          <w:szCs w:val="20"/>
          <w:color w:val="auto"/>
        </w:rPr>
      </w:pPr>
    </w:p>
    <w:p>
      <w:pPr>
        <w:ind w:left="540"/>
        <w:spacing w:after="0"/>
        <w:tabs>
          <w:tab w:leader="none" w:pos="3240" w:val="left"/>
        </w:tabs>
        <w:rPr>
          <w:sz w:val="20"/>
          <w:szCs w:val="20"/>
          <w:color w:val="auto"/>
        </w:rPr>
      </w:pPr>
      <w:r>
        <w:rPr>
          <w:rFonts w:ascii="Arial" w:cs="Arial" w:eastAsia="Arial" w:hAnsi="Arial"/>
          <w:sz w:val="18"/>
          <w:szCs w:val="18"/>
          <w:b w:val="1"/>
          <w:bCs w:val="1"/>
          <w:color w:val="auto"/>
        </w:rPr>
        <w:t>Exercise period</w:t>
      </w:r>
      <w:r>
        <w:rPr>
          <w:sz w:val="20"/>
          <w:szCs w:val="20"/>
          <w:color w:val="auto"/>
        </w:rPr>
        <w:tab/>
      </w:r>
      <w:r>
        <w:rPr>
          <w:rFonts w:ascii="Arial" w:cs="Arial" w:eastAsia="Arial" w:hAnsi="Arial"/>
          <w:sz w:val="16"/>
          <w:szCs w:val="16"/>
          <w:color w:val="auto"/>
        </w:rPr>
        <w:t>The warrants will become exercisable on the later of one year after the</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closing of this offering or the consummation of an initial business</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combination. The warrants will expire at 5:00 p.m., New York City</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time, on the fifth anniversary of our completion of an initial business</w:t>
      </w:r>
    </w:p>
    <w:p>
      <w:pPr>
        <w:spacing w:after="0" w:line="21" w:lineRule="exact"/>
        <w:rPr>
          <w:sz w:val="20"/>
          <w:szCs w:val="20"/>
          <w:color w:val="auto"/>
        </w:rPr>
      </w:pPr>
    </w:p>
    <w:p>
      <w:pPr>
        <w:ind w:left="3260"/>
        <w:spacing w:after="0"/>
        <w:tabs>
          <w:tab w:leader="none" w:pos="4320" w:val="left"/>
          <w:tab w:leader="none" w:pos="4620" w:val="left"/>
          <w:tab w:leader="none" w:pos="5220" w:val="left"/>
          <w:tab w:leader="none" w:pos="5740" w:val="left"/>
          <w:tab w:leader="none" w:pos="6740" w:val="left"/>
          <w:tab w:leader="none" w:pos="7160" w:val="left"/>
          <w:tab w:leader="none" w:pos="7820" w:val="left"/>
        </w:tabs>
        <w:rPr>
          <w:sz w:val="20"/>
          <w:szCs w:val="20"/>
          <w:color w:val="auto"/>
        </w:rPr>
      </w:pPr>
      <w:r>
        <w:rPr>
          <w:rFonts w:ascii="Arial" w:cs="Arial" w:eastAsia="Arial" w:hAnsi="Arial"/>
          <w:sz w:val="18"/>
          <w:szCs w:val="18"/>
          <w:color w:val="auto"/>
        </w:rPr>
        <w:t>combination,</w:t>
        <w:tab/>
        <w:t>or</w:t>
        <w:tab/>
        <w:t>earlier</w:t>
        <w:tab/>
        <w:t>upon</w:t>
        <w:tab/>
        <w:t>redemption.</w:t>
        <w:tab/>
        <w:t>The</w:t>
        <w:tab/>
        <w:t>private</w:t>
      </w:r>
      <w:r>
        <w:rPr>
          <w:sz w:val="20"/>
          <w:szCs w:val="20"/>
          <w:color w:val="auto"/>
        </w:rPr>
        <w:tab/>
      </w:r>
      <w:r>
        <w:rPr>
          <w:rFonts w:ascii="Arial" w:cs="Arial" w:eastAsia="Arial" w:hAnsi="Arial"/>
          <w:sz w:val="16"/>
          <w:szCs w:val="16"/>
          <w:color w:val="auto"/>
        </w:rPr>
        <w:t>warrants</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purchased by Chardan Investments will not be exercisable more than</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five years from the effective date of the registration statement, of which</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this prospectus forms a part, in accordance with FINRA Rule 5110(g)</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(8), as long as Chardan Capital Markets, LLC or any of its related</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persons beneficially own these private warrants.</w:t>
      </w:r>
    </w:p>
    <w:p>
      <w:pPr>
        <w:spacing w:after="0" w:line="180" w:lineRule="exact"/>
        <w:rPr>
          <w:sz w:val="20"/>
          <w:szCs w:val="20"/>
          <w:color w:val="auto"/>
        </w:rPr>
      </w:pPr>
    </w:p>
    <w:p>
      <w:pPr>
        <w:ind w:left="540"/>
        <w:spacing w:after="0"/>
        <w:tabs>
          <w:tab w:leader="none" w:pos="3240" w:val="left"/>
        </w:tabs>
        <w:rPr>
          <w:sz w:val="20"/>
          <w:szCs w:val="20"/>
          <w:color w:val="auto"/>
        </w:rPr>
      </w:pPr>
      <w:r>
        <w:rPr>
          <w:rFonts w:ascii="Arial" w:cs="Arial" w:eastAsia="Arial" w:hAnsi="Arial"/>
          <w:sz w:val="18"/>
          <w:szCs w:val="18"/>
          <w:b w:val="1"/>
          <w:bCs w:val="1"/>
          <w:color w:val="auto"/>
        </w:rPr>
        <w:t>Redemption (Warrants)</w:t>
      </w:r>
      <w:r>
        <w:rPr>
          <w:sz w:val="20"/>
          <w:szCs w:val="20"/>
          <w:color w:val="auto"/>
        </w:rPr>
        <w:tab/>
      </w:r>
      <w:r>
        <w:rPr>
          <w:rFonts w:ascii="Arial" w:cs="Arial" w:eastAsia="Arial" w:hAnsi="Arial"/>
          <w:sz w:val="17"/>
          <w:szCs w:val="17"/>
          <w:color w:val="auto"/>
        </w:rPr>
        <w:t>We  may  redeem  the  outstanding  warrants  (excluding  the  private</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warrants), in whole and not in part, at a price of $0.01 per warrant:</w:t>
      </w:r>
    </w:p>
    <w:p>
      <w:pPr>
        <w:spacing w:after="0" w:line="114"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  at any time while the warrants are exercisable,</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  upon a minimum of 30 days’ prior written notice of redemption,</w:t>
      </w:r>
    </w:p>
    <w:p>
      <w:pPr>
        <w:spacing w:after="0" w:line="129" w:lineRule="exact"/>
        <w:rPr>
          <w:sz w:val="20"/>
          <w:szCs w:val="20"/>
          <w:color w:val="auto"/>
        </w:rPr>
      </w:pPr>
    </w:p>
    <w:p>
      <w:pPr>
        <w:ind w:left="3480"/>
        <w:spacing w:after="0"/>
        <w:tabs>
          <w:tab w:leader="none" w:pos="3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if, and only if, the last sales price of our common stock equals or</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exceeds $16.50 per share for any 20 trading days within a 30</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trading day period ending three business days before we send the</w:t>
      </w:r>
    </w:p>
    <w:p>
      <w:pPr>
        <w:spacing w:after="0" w:line="3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notice of redemption, and</w:t>
      </w:r>
    </w:p>
    <w:p>
      <w:pPr>
        <w:spacing w:after="0" w:line="103" w:lineRule="exact"/>
        <w:rPr>
          <w:sz w:val="20"/>
          <w:szCs w:val="20"/>
          <w:color w:val="auto"/>
        </w:rPr>
      </w:pPr>
    </w:p>
    <w:p>
      <w:pPr>
        <w:ind w:left="3480"/>
        <w:spacing w:after="0"/>
        <w:tabs>
          <w:tab w:leader="none" w:pos="3700" w:val="left"/>
        </w:tabs>
        <w:rPr>
          <w:sz w:val="20"/>
          <w:szCs w:val="20"/>
          <w:color w:val="auto"/>
        </w:rPr>
      </w:pPr>
      <w:r>
        <w:rPr>
          <w:rFonts w:ascii="Arial" w:cs="Arial" w:eastAsia="Arial" w:hAnsi="Arial"/>
          <w:sz w:val="17"/>
          <w:szCs w:val="17"/>
          <w:color w:val="auto"/>
        </w:rPr>
        <w:t>•</w:t>
        <w:tab/>
        <w:t>if, and only if, there is a current registration statement in effect</w:t>
      </w:r>
    </w:p>
    <w:p>
      <w:pPr>
        <w:spacing w:after="0" w:line="3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with respect to the shares of common stock underlying such</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warrants at the time of redemption and for the entire 30-day</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trading  period  referred  to  above  and  continuing  each  day</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thereafter until the date of redemption.</w:t>
      </w:r>
    </w:p>
    <w:p>
      <w:pPr>
        <w:spacing w:after="0" w:line="10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If the foregoing conditions are satisfied and we issue a notice of</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redemption, each warrant holder can exercise his, her or its warrant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prior to the scheduled redemption date. However, the price of our</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common stock may fall below the $16.50 trigger price, as well as the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$11.50 warrant exercise price, after the redemption notice is issued.</w:t>
      </w:r>
    </w:p>
    <w:p>
      <w:pPr>
        <w:spacing w:after="0" w:line="114"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The redemption criteria for our warrants have been established at a</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price which is intended to provide warrant holders a reasonable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premium to the initial exercise price and provide a sufficient differential</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between the then-prevailing share price and the warrant exercise price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so that if the share price declines as a result of our redemption call,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redemption will not cause the share price to drop below the exercise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price of the warrants.</w:t>
      </w:r>
    </w:p>
    <w:p>
      <w:pPr>
        <w:spacing w:after="0" w:line="10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If  we  call  the  warrants  for  redemption  as  described  above,  our</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management will have the option to require all holders that wish to</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exercise warrants to do so on a “cashless basis.” In such event, each</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holder would pay the exercise price by surrendering the whole warrants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for that number of shares of common stock equal to the quotient</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obtained by dividing (x) the product of the number of shares of</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common stock underlying the warrants, multiplied by the difference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between the exercise price of the warrants and the “fair market value”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by (y) the fair market value. The “fair market value” shall mean the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average reported last sale price of the shares of common stock for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10 trading days ending on the third trading day prior to the date on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which</w:t>
      </w:r>
    </w:p>
    <w:p>
      <w:pPr>
        <w:sectPr>
          <w:pgSz w:w="11900" w:h="16838" w:orient="portrait"/>
          <w:cols w:equalWidth="0" w:num="1">
            <w:col w:w="9019"/>
          </w:cols>
          <w:pgMar w:left="1440" w:top="27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type w:val="continuous"/>
        </w:sectPr>
      </w:pPr>
    </w:p>
    <w:bookmarkStart w:id="16" w:name="page17"/>
    <w:bookmarkEnd w:id="16"/>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836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983678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Terms of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0" w:hanging="179"/>
        <w:spacing w:after="0" w:line="282" w:lineRule="auto"/>
        <w:rPr>
          <w:sz w:val="20"/>
          <w:szCs w:val="20"/>
          <w:color w:val="auto"/>
        </w:rPr>
      </w:pPr>
      <w:r>
        <w:rPr>
          <w:rFonts w:ascii="Arial" w:cs="Arial" w:eastAsia="Arial" w:hAnsi="Arial"/>
          <w:sz w:val="18"/>
          <w:szCs w:val="18"/>
          <w:b w:val="1"/>
          <w:bCs w:val="1"/>
          <w:color w:val="auto"/>
        </w:rPr>
        <w:t>Offering proceeds to be held in trust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both"/>
        <w:ind w:right="559"/>
        <w:spacing w:after="0" w:line="273" w:lineRule="auto"/>
        <w:rPr>
          <w:sz w:val="20"/>
          <w:szCs w:val="20"/>
          <w:color w:val="auto"/>
        </w:rPr>
      </w:pPr>
      <w:r>
        <w:rPr>
          <w:rFonts w:ascii="Arial" w:cs="Arial" w:eastAsia="Arial" w:hAnsi="Arial"/>
          <w:sz w:val="17"/>
          <w:szCs w:val="17"/>
          <w:color w:val="auto"/>
        </w:rPr>
        <w:t>the notice of redemption is sent to the holders of warrants. Whether we will exercise our option to require all holders to exercise their warrants on a “cashless basis” will depend on a variety of factors including the price of our shares of common stock at the time the warrants are called for redemption, our cash needs at such time and concerns regarding dilutive share issuances.</w:t>
      </w:r>
    </w:p>
    <w:p>
      <w:pPr>
        <w:spacing w:after="0" w:line="137" w:lineRule="exact"/>
        <w:rPr>
          <w:sz w:val="20"/>
          <w:szCs w:val="20"/>
          <w:color w:val="auto"/>
        </w:rPr>
      </w:pPr>
    </w:p>
    <w:p>
      <w:pPr>
        <w:jc w:val="both"/>
        <w:ind w:right="559"/>
        <w:spacing w:after="0" w:line="268" w:lineRule="auto"/>
        <w:rPr>
          <w:sz w:val="20"/>
          <w:szCs w:val="20"/>
          <w:color w:val="auto"/>
        </w:rPr>
      </w:pPr>
      <w:r>
        <w:rPr>
          <w:rFonts w:ascii="Arial" w:cs="Arial" w:eastAsia="Arial" w:hAnsi="Arial"/>
          <w:sz w:val="17"/>
          <w:szCs w:val="17"/>
          <w:color w:val="auto"/>
        </w:rPr>
        <w:t>Each holder of a right will receive one-twentieth (1/20) of a share of common stock upon consummation of our initial business combination. In the event we will not be the survivor upon completion of our initial business combination, each holder of a right will be required to affirmatively convert his, her or its rights in order to receive the one-twentieth (1/20) share underlying each right (without paying any additional consideration) upon consummation of the business combination. If we are unable to complete an initial business combination within the required time period and we liquidate the funds held in the trust account, holders of rights will not receive any of such funds for their rights, and the rights will expire worthless. No fractional shares will be issued upon conversion of any rights. As a result, you must have 20 rights to receive a share of common stock at the closing of the initial business combination.</w:t>
      </w:r>
    </w:p>
    <w:p>
      <w:pPr>
        <w:spacing w:after="0" w:line="373" w:lineRule="exact"/>
        <w:rPr>
          <w:sz w:val="20"/>
          <w:szCs w:val="20"/>
          <w:color w:val="auto"/>
        </w:rPr>
      </w:pPr>
    </w:p>
    <w:p>
      <w:pPr>
        <w:jc w:val="both"/>
        <w:ind w:right="559"/>
        <w:spacing w:after="0" w:line="286" w:lineRule="auto"/>
        <w:rPr>
          <w:sz w:val="20"/>
          <w:szCs w:val="20"/>
          <w:color w:val="auto"/>
        </w:rPr>
      </w:pPr>
      <w:r>
        <w:rPr>
          <w:rFonts w:ascii="Arial" w:cs="Arial" w:eastAsia="Arial" w:hAnsi="Arial"/>
          <w:sz w:val="16"/>
          <w:szCs w:val="16"/>
          <w:color w:val="auto"/>
        </w:rPr>
        <w:t>$151,500,000 of the net proceeds of this offering (or $174,225,000 if the over-allotment option is exercised in full), including $6,000,000 we will receive from the sale of the private warrants (or $6,675,000 if the over-allotment option is exercised in full), or $10.10 per unit sold to the public in this offering (regardless of whether or not the over-allotment option is exercised in full or part) will be placed in a trust account at Morgan Stanley, maintained by Continental Stock Transfer &amp; Trust Company, acting as trustee pursuant to an agreement to be signed on the date of this prospectus.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47" w:lineRule="exact"/>
        <w:rPr>
          <w:sz w:val="20"/>
          <w:szCs w:val="20"/>
          <w:color w:val="auto"/>
        </w:rPr>
      </w:pPr>
    </w:p>
    <w:p>
      <w:pPr>
        <w:jc w:val="both"/>
        <w:ind w:right="559"/>
        <w:spacing w:after="0" w:line="288" w:lineRule="auto"/>
        <w:rPr>
          <w:sz w:val="20"/>
          <w:szCs w:val="20"/>
          <w:color w:val="auto"/>
        </w:rPr>
      </w:pPr>
      <w:r>
        <w:rPr>
          <w:rFonts w:ascii="Arial" w:cs="Arial" w:eastAsia="Arial" w:hAnsi="Arial"/>
          <w:sz w:val="16"/>
          <w:szCs w:val="16"/>
          <w:color w:val="auto"/>
        </w:rPr>
        <w:t>Except as set forth below, the proceeds in the trust account will not be released until the earlier of: (1) the completion of an initial business combination within the required time period and (2) our redemption of 100% of the outstanding public shares if we have not completed a business combination in the required time period. Therefore, unless and until our initial business combination is consummated, the proceeds held in the trust account will not be available for our use for any expenses related to this offering or expenses which we may incur related to the investigation and selection of a target business and the negotiation of an agreement to acquire a target business.</w:t>
      </w:r>
    </w:p>
    <w:p>
      <w:pPr>
        <w:spacing w:after="0" w:line="141" w:lineRule="exact"/>
        <w:rPr>
          <w:sz w:val="20"/>
          <w:szCs w:val="20"/>
          <w:color w:val="auto"/>
        </w:rPr>
      </w:pPr>
    </w:p>
    <w:p>
      <w:pPr>
        <w:jc w:val="both"/>
        <w:ind w:right="559"/>
        <w:spacing w:after="0" w:line="284" w:lineRule="auto"/>
        <w:rPr>
          <w:sz w:val="20"/>
          <w:szCs w:val="20"/>
          <w:color w:val="auto"/>
        </w:rPr>
      </w:pPr>
      <w:r>
        <w:rPr>
          <w:rFonts w:ascii="Arial" w:cs="Arial" w:eastAsia="Arial" w:hAnsi="Arial"/>
          <w:sz w:val="16"/>
          <w:szCs w:val="16"/>
          <w:color w:val="auto"/>
        </w:rPr>
        <w:t>Notwithstanding the foregoing, there can be released to us, from time to time, any interest earned on the funds in the trust account that we may need to pay our tax obligations. With this exception, expenses incurred by us may be paid prior to a business combination only from the net proceeds of this offering not held in the trust account of approximately $1,000,000 provided, however, that in order 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w:t>
      </w:r>
    </w:p>
    <w:p>
      <w:pPr>
        <w:spacing w:after="0" w:line="200" w:lineRule="exact"/>
        <w:rPr>
          <w:sz w:val="20"/>
          <w:szCs w:val="20"/>
          <w:color w:val="auto"/>
        </w:rPr>
      </w:pPr>
    </w:p>
    <w:p>
      <w:pPr>
        <w:sectPr>
          <w:pgSz w:w="11900" w:h="16838" w:orient="portrait"/>
          <w:cols w:equalWidth="0" w:num="2">
            <w:col w:w="2720" w:space="540"/>
            <w:col w:w="5759"/>
          </w:cols>
          <w:pgMar w:left="1440" w:top="274" w:right="1440" w:bottom="0" w:gutter="0" w:footer="0" w:header="0"/>
          <w:type w:val="continuous"/>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type w:val="continuous"/>
        </w:sectPr>
      </w:pPr>
    </w:p>
    <w:bookmarkStart w:id="17" w:name="page18"/>
    <w:bookmarkEnd w:id="17"/>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2278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9227820"/>
                    </a:xfrm>
                    <a:prstGeom prst="rect">
                      <a:avLst/>
                    </a:prstGeom>
                    <a:noFill/>
                  </pic:spPr>
                </pic:pic>
              </a:graphicData>
            </a:graphic>
          </wp:anchor>
        </w:drawing>
      </w:r>
    </w:p>
    <w:p>
      <w:pPr>
        <w:sectPr>
          <w:pgSz w:w="11900" w:h="16838" w:orient="portrait"/>
          <w:cols w:equalWidth="0" w:num="1">
            <w:col w:w="9019"/>
          </w:cols>
          <w:pgMar w:left="1440" w:top="274" w:right="1440" w:bottom="898" w:gutter="0" w:footer="0" w:header="0"/>
        </w:sectPr>
      </w:pPr>
    </w:p>
    <w:p>
      <w:pPr>
        <w:spacing w:after="0" w:line="200" w:lineRule="exact"/>
        <w:rPr>
          <w:sz w:val="20"/>
          <w:szCs w:val="20"/>
          <w:color w:val="auto"/>
        </w:rPr>
      </w:pPr>
    </w:p>
    <w:p>
      <w:pPr>
        <w:spacing w:after="0" w:line="345" w:lineRule="exact"/>
        <w:rPr>
          <w:sz w:val="20"/>
          <w:szCs w:val="20"/>
          <w:color w:val="auto"/>
        </w:rPr>
      </w:pPr>
    </w:p>
    <w:p>
      <w:pPr>
        <w:jc w:val="both"/>
        <w:ind w:left="3260" w:right="559"/>
        <w:spacing w:after="0" w:line="253" w:lineRule="auto"/>
        <w:rPr>
          <w:sz w:val="20"/>
          <w:szCs w:val="20"/>
          <w:color w:val="auto"/>
        </w:rPr>
      </w:pPr>
      <w:r>
        <w:rPr>
          <w:rFonts w:ascii="Arial" w:cs="Arial" w:eastAsia="Arial" w:hAnsi="Arial"/>
          <w:sz w:val="18"/>
          <w:szCs w:val="18"/>
          <w:color w:val="auto"/>
        </w:rPr>
        <w:t>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will only be repaid with funds not held in the trust account, to the extent available.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26" w:lineRule="exact"/>
        <w:rPr>
          <w:sz w:val="20"/>
          <w:szCs w:val="20"/>
          <w:color w:val="auto"/>
        </w:rPr>
      </w:pPr>
    </w:p>
    <w:p>
      <w:pPr>
        <w:jc w:val="both"/>
        <w:ind w:left="3260" w:right="559" w:hanging="2713"/>
        <w:spacing w:after="0" w:line="255" w:lineRule="auto"/>
        <w:tabs>
          <w:tab w:leader="none" w:pos="3240" w:val="left"/>
        </w:tabs>
        <w:rPr>
          <w:sz w:val="20"/>
          <w:szCs w:val="20"/>
          <w:color w:val="auto"/>
        </w:rPr>
      </w:pPr>
      <w:r>
        <w:rPr>
          <w:rFonts w:ascii="Arial" w:cs="Arial" w:eastAsia="Arial" w:hAnsi="Arial"/>
          <w:sz w:val="18"/>
          <w:szCs w:val="18"/>
          <w:b w:val="1"/>
          <w:bCs w:val="1"/>
          <w:color w:val="auto"/>
        </w:rPr>
        <w:t>Limited payments to insiders</w:t>
      </w:r>
      <w:r>
        <w:rPr>
          <w:sz w:val="20"/>
          <w:szCs w:val="20"/>
          <w:color w:val="auto"/>
        </w:rPr>
        <w:tab/>
      </w:r>
      <w:r>
        <w:rPr>
          <w:rFonts w:ascii="Arial" w:cs="Arial" w:eastAsia="Arial" w:hAnsi="Arial"/>
          <w:sz w:val="18"/>
          <w:szCs w:val="18"/>
          <w:color w:val="auto"/>
        </w:rPr>
        <w:t>Prior to the consummation of a business combination, there will be no fees, reimbursements or other cash payments paid to our initial stockholders, officers, directors or their affiliates prior to, or for any services they render in order to effectuate, the consummation of a business combination (regardless of the type of transaction that it is) other than:</w:t>
      </w:r>
    </w:p>
    <w:p>
      <w:pPr>
        <w:spacing w:after="0" w:line="115" w:lineRule="exact"/>
        <w:rPr>
          <w:sz w:val="20"/>
          <w:szCs w:val="20"/>
          <w:color w:val="auto"/>
        </w:rPr>
      </w:pPr>
    </w:p>
    <w:p>
      <w:pPr>
        <w:ind w:left="3680" w:right="579" w:hanging="207"/>
        <w:spacing w:after="0" w:line="277" w:lineRule="auto"/>
        <w:tabs>
          <w:tab w:leader="none" w:pos="3716"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repayment of loans of up to $1,000,000 made to us by our co-sponsors;</w:t>
      </w:r>
    </w:p>
    <w:p>
      <w:pPr>
        <w:spacing w:after="0" w:line="102" w:lineRule="exact"/>
        <w:rPr>
          <w:rFonts w:ascii="Arial" w:cs="Arial" w:eastAsia="Arial" w:hAnsi="Arial"/>
          <w:sz w:val="18"/>
          <w:szCs w:val="18"/>
          <w:color w:val="auto"/>
        </w:rPr>
      </w:pPr>
    </w:p>
    <w:p>
      <w:pPr>
        <w:jc w:val="both"/>
        <w:ind w:left="3680" w:right="579" w:hanging="207"/>
        <w:spacing w:after="0" w:line="263" w:lineRule="auto"/>
        <w:tabs>
          <w:tab w:leader="none" w:pos="3675"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 of $10,000 per month to Chardan Capital Markets, LLC for office space and related services, subject to deferral as described herein;</w:t>
      </w:r>
    </w:p>
    <w:p>
      <w:pPr>
        <w:spacing w:after="0" w:line="116" w:lineRule="exact"/>
        <w:rPr>
          <w:rFonts w:ascii="Arial" w:cs="Arial" w:eastAsia="Arial" w:hAnsi="Arial"/>
          <w:sz w:val="18"/>
          <w:szCs w:val="18"/>
          <w:color w:val="auto"/>
        </w:rPr>
      </w:pPr>
    </w:p>
    <w:p>
      <w:pPr>
        <w:jc w:val="both"/>
        <w:ind w:left="3680" w:right="559" w:hanging="207"/>
        <w:spacing w:after="0" w:line="259" w:lineRule="auto"/>
        <w:tabs>
          <w:tab w:leader="none" w:pos="3689"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repayment of loans which may be made by our insiders, officers, directors or any of its or their affiliates to finance transaction costs in connection with an initial business combination, the terms of which have not been determined;</w:t>
      </w:r>
    </w:p>
    <w:p>
      <w:pPr>
        <w:spacing w:after="0" w:line="105" w:lineRule="exact"/>
        <w:rPr>
          <w:rFonts w:ascii="Arial" w:cs="Arial" w:eastAsia="Arial" w:hAnsi="Arial"/>
          <w:sz w:val="18"/>
          <w:szCs w:val="18"/>
          <w:color w:val="auto"/>
        </w:rPr>
      </w:pPr>
    </w:p>
    <w:p>
      <w:pPr>
        <w:jc w:val="both"/>
        <w:ind w:left="3680" w:right="559" w:hanging="207"/>
        <w:spacing w:after="0" w:line="259" w:lineRule="auto"/>
        <w:tabs>
          <w:tab w:leader="none" w:pos="3756" w:val="left"/>
        </w:tabs>
        <w:numPr>
          <w:ilvl w:val="0"/>
          <w:numId w:val="8"/>
        </w:numPr>
        <w:rPr>
          <w:rFonts w:ascii="Arial" w:cs="Arial" w:eastAsia="Arial" w:hAnsi="Arial"/>
          <w:sz w:val="18"/>
          <w:szCs w:val="18"/>
          <w:color w:val="auto"/>
        </w:rPr>
      </w:pPr>
      <w:r>
        <w:rPr>
          <w:rFonts w:ascii="Arial" w:cs="Arial" w:eastAsia="Arial" w:hAnsi="Arial"/>
          <w:sz w:val="18"/>
          <w:szCs w:val="18"/>
          <w:color w:val="auto"/>
        </w:rPr>
        <w:t>reimbursement of out-of-pocket expenses incurred by them in connection with certain activities on our behalf, such as identifying and investigating possible business targets and business combinations; and</w:t>
      </w:r>
    </w:p>
    <w:p>
      <w:pPr>
        <w:spacing w:after="0" w:line="119" w:lineRule="exact"/>
        <w:rPr>
          <w:rFonts w:ascii="Arial" w:cs="Arial" w:eastAsia="Arial" w:hAnsi="Arial"/>
          <w:sz w:val="18"/>
          <w:szCs w:val="18"/>
          <w:color w:val="auto"/>
        </w:rPr>
      </w:pPr>
    </w:p>
    <w:p>
      <w:pPr>
        <w:jc w:val="both"/>
        <w:ind w:left="3680" w:right="559" w:hanging="207"/>
        <w:spacing w:after="0" w:line="257" w:lineRule="auto"/>
        <w:tabs>
          <w:tab w:leader="none" w:pos="3959"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repayment upon consummation of our initial business combination of any loans which may be made by our initial stockholders or their affiliates or our officers and directors to finance transaction costs in connection with an intended initial business combination.</w:t>
      </w:r>
    </w:p>
    <w:p>
      <w:pPr>
        <w:spacing w:after="0" w:line="120" w:lineRule="exact"/>
        <w:rPr>
          <w:sz w:val="20"/>
          <w:szCs w:val="20"/>
          <w:color w:val="auto"/>
        </w:rPr>
      </w:pPr>
    </w:p>
    <w:p>
      <w:pPr>
        <w:jc w:val="both"/>
        <w:ind w:left="3260" w:right="559"/>
        <w:spacing w:after="0" w:line="269" w:lineRule="auto"/>
        <w:rPr>
          <w:sz w:val="20"/>
          <w:szCs w:val="20"/>
          <w:color w:val="auto"/>
        </w:rPr>
      </w:pPr>
      <w:r>
        <w:rPr>
          <w:rFonts w:ascii="Arial" w:cs="Arial" w:eastAsia="Arial" w:hAnsi="Arial"/>
          <w:sz w:val="17"/>
          <w:szCs w:val="17"/>
          <w:color w:val="auto"/>
        </w:rPr>
        <w:t>We have also engaged Chardan Capital Markets, LLC as an advisor in connection with our initial business combination pursuant to the business combination marketing agreement described under “Underwriting (Conflicts of Interest) — Business Combination Marketing Agreement.” We will pay Chardan Capital Markets, LLC a marketing fee for such services upon the consummation of our initial business combination in an amount equal to, in the aggregate, 3.5% of the gross proceeds of this offering, including any proceeds from the full or partial exercise of the over-allotment option. As a result, Chardan Capital Markets, LLC will not be entitled to such fee unless we consummate our initial business combination.</w:t>
      </w:r>
    </w:p>
    <w:p>
      <w:pPr>
        <w:spacing w:after="0" w:line="101" w:lineRule="exact"/>
        <w:rPr>
          <w:sz w:val="20"/>
          <w:szCs w:val="20"/>
          <w:color w:val="auto"/>
        </w:rPr>
      </w:pPr>
    </w:p>
    <w:p>
      <w:pPr>
        <w:jc w:val="both"/>
        <w:ind w:left="3260" w:right="559"/>
        <w:spacing w:after="0" w:line="287" w:lineRule="auto"/>
        <w:rPr>
          <w:sz w:val="20"/>
          <w:szCs w:val="20"/>
          <w:color w:val="auto"/>
        </w:rPr>
      </w:pPr>
      <w:r>
        <w:rPr>
          <w:rFonts w:ascii="Arial" w:cs="Arial" w:eastAsia="Arial" w:hAnsi="Arial"/>
          <w:sz w:val="16"/>
          <w:szCs w:val="16"/>
          <w:color w:val="auto"/>
        </w:rPr>
        <w:t>There is no limit on the amount of out-of-pocket expenses reimbursable by us; provided, however, that to the extent such expenses exceed the available proceeds not deposited in the trust account and the interest income earned on the amounts held in the trust account available to us, such expenses would not be reimbursed by us unless we consummate an initial business combination. Our audit committee will review and approve all reimbursements and payments made to any initial stockholder or member of our management team, or their respective affiliates, and any reimbursements and payments made to members of our audit committee will be reviewed and approved by our board of directors, with any interested director abstaining from such review and approval.</w:t>
      </w:r>
    </w:p>
    <w:p>
      <w:pPr>
        <w:sectPr>
          <w:pgSz w:w="11900" w:h="16838" w:orient="portrait"/>
          <w:cols w:equalWidth="0" w:num="1">
            <w:col w:w="9019"/>
          </w:cols>
          <w:pgMar w:left="1440" w:top="274" w:right="1440" w:bottom="898"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898" w:gutter="0" w:footer="0" w:header="0"/>
          <w:type w:val="continuous"/>
        </w:sectPr>
      </w:pPr>
    </w:p>
    <w:bookmarkStart w:id="18" w:name="page19"/>
    <w:bookmarkEnd w:id="18"/>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85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858520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720" w:hanging="179"/>
        <w:spacing w:after="0" w:line="282" w:lineRule="auto"/>
        <w:rPr>
          <w:sz w:val="20"/>
          <w:szCs w:val="20"/>
          <w:color w:val="auto"/>
        </w:rPr>
      </w:pPr>
      <w:r>
        <w:rPr>
          <w:rFonts w:ascii="Arial" w:cs="Arial" w:eastAsia="Arial" w:hAnsi="Arial"/>
          <w:sz w:val="18"/>
          <w:szCs w:val="18"/>
          <w:b w:val="1"/>
          <w:bCs w:val="1"/>
          <w:color w:val="auto"/>
        </w:rPr>
        <w:t>Potential revisions to agreements with insiders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right="100" w:hanging="179"/>
        <w:spacing w:after="0" w:line="281" w:lineRule="auto"/>
        <w:rPr>
          <w:sz w:val="20"/>
          <w:szCs w:val="20"/>
          <w:color w:val="auto"/>
        </w:rPr>
      </w:pPr>
      <w:r>
        <w:rPr>
          <w:rFonts w:ascii="Arial" w:cs="Arial" w:eastAsia="Arial" w:hAnsi="Arial"/>
          <w:sz w:val="17"/>
          <w:szCs w:val="17"/>
          <w:b w:val="1"/>
          <w:bCs w:val="1"/>
          <w:color w:val="auto"/>
        </w:rPr>
        <w:t>Stockholder approval of, tender offer or redemption in connection with,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559"/>
        <w:spacing w:after="0" w:line="285" w:lineRule="auto"/>
        <w:rPr>
          <w:sz w:val="20"/>
          <w:szCs w:val="20"/>
          <w:color w:val="auto"/>
        </w:rPr>
      </w:pPr>
      <w:r>
        <w:rPr>
          <w:rFonts w:ascii="Arial" w:cs="Arial" w:eastAsia="Arial" w:hAnsi="Arial"/>
          <w:sz w:val="16"/>
          <w:szCs w:val="16"/>
          <w:color w:val="auto"/>
        </w:rPr>
        <w:t>We could seek to amend certain agreements made by our management team disclosed in this prospectus without the approval of stockholders, although we have no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pacing w:after="0" w:line="200" w:lineRule="exact"/>
        <w:rPr>
          <w:sz w:val="20"/>
          <w:szCs w:val="20"/>
          <w:color w:val="auto"/>
        </w:rPr>
      </w:pPr>
    </w:p>
    <w:p>
      <w:pPr>
        <w:spacing w:after="0" w:line="241" w:lineRule="exact"/>
        <w:rPr>
          <w:sz w:val="20"/>
          <w:szCs w:val="20"/>
          <w:color w:val="auto"/>
        </w:rPr>
      </w:pPr>
    </w:p>
    <w:p>
      <w:pPr>
        <w:jc w:val="both"/>
        <w:ind w:right="559"/>
        <w:spacing w:after="0" w:line="283"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public stockholders may seek to convert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 If enough stockholders tender their shares so that we are unable to satisfy any applicable closing condition set forth in the definitive agreement related to our initial business combination, or we are unable to maintain net tangible assets of at least $5,000,001 (so that we are not subject to the SEC’s “penny stock” rules), we will not consummate such initial business combination. 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the business combination.</w:t>
      </w:r>
    </w:p>
    <w:p>
      <w:pPr>
        <w:spacing w:after="0" w:line="200" w:lineRule="exact"/>
        <w:rPr>
          <w:sz w:val="20"/>
          <w:szCs w:val="20"/>
          <w:color w:val="auto"/>
        </w:rPr>
      </w:pPr>
    </w:p>
    <w:p>
      <w:pPr>
        <w:sectPr>
          <w:pgSz w:w="11900" w:h="16838" w:orient="portrait"/>
          <w:cols w:equalWidth="0" w:num="2">
            <w:col w:w="3080" w:space="180"/>
            <w:col w:w="5759"/>
          </w:cols>
          <w:pgMar w:left="1440" w:top="274" w:right="1440"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 w:name="page20"/>
    <w:bookmarkEnd w:id="19"/>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42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54202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both"/>
        <w:ind w:left="3260" w:right="559"/>
        <w:spacing w:after="0" w:line="287" w:lineRule="auto"/>
        <w:rPr>
          <w:sz w:val="20"/>
          <w:szCs w:val="20"/>
          <w:color w:val="auto"/>
        </w:rPr>
      </w:pPr>
      <w:r>
        <w:rPr>
          <w:rFonts w:ascii="Arial" w:cs="Arial" w:eastAsia="Arial" w:hAnsi="Arial"/>
          <w:sz w:val="16"/>
          <w:szCs w:val="16"/>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 There will be no redemption rights upon the completion of our initial business combination with respect to our rights or warrants.</w:t>
      </w:r>
    </w:p>
    <w:p>
      <w:pPr>
        <w:spacing w:after="0" w:line="127" w:lineRule="exact"/>
        <w:rPr>
          <w:sz w:val="20"/>
          <w:szCs w:val="20"/>
          <w:color w:val="auto"/>
        </w:rPr>
      </w:pPr>
    </w:p>
    <w:p>
      <w:pPr>
        <w:jc w:val="both"/>
        <w:ind w:left="3260" w:right="559"/>
        <w:spacing w:after="0" w:line="268" w:lineRule="auto"/>
        <w:rPr>
          <w:sz w:val="20"/>
          <w:szCs w:val="20"/>
          <w:color w:val="auto"/>
        </w:rPr>
      </w:pPr>
      <w:r>
        <w:rPr>
          <w:rFonts w:ascii="Arial" w:cs="Arial" w:eastAsia="Arial" w:hAnsi="Arial"/>
          <w:sz w:val="17"/>
          <w:szCs w:val="17"/>
          <w:color w:val="auto"/>
        </w:rPr>
        <w:t>We have determined not to consummate any business combination unless we have net tangible assets of at least $5,000,001 upon such consummation in order to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20" w:lineRule="exact"/>
        <w:rPr>
          <w:sz w:val="20"/>
          <w:szCs w:val="20"/>
          <w:color w:val="auto"/>
        </w:rPr>
      </w:pPr>
    </w:p>
    <w:p>
      <w:pPr>
        <w:jc w:val="both"/>
        <w:ind w:left="3260" w:right="579"/>
        <w:spacing w:after="0" w:line="291" w:lineRule="auto"/>
        <w:rPr>
          <w:sz w:val="20"/>
          <w:szCs w:val="20"/>
          <w:color w:val="auto"/>
        </w:rPr>
      </w:pPr>
      <w:r>
        <w:rPr>
          <w:rFonts w:ascii="Arial" w:cs="Arial" w:eastAsia="Arial" w:hAnsi="Arial"/>
          <w:sz w:val="16"/>
          <w:szCs w:val="16"/>
          <w:color w:val="auto"/>
        </w:rPr>
        <w:t>Our initial stockholders have agreed (A) to vote their founder shares and any public shares in favor of any proposed business combination,</w:t>
      </w:r>
    </w:p>
    <w:p>
      <w:pPr>
        <w:jc w:val="both"/>
        <w:ind w:left="3260" w:right="559" w:hanging="3"/>
        <w:spacing w:after="0" w:line="283" w:lineRule="auto"/>
        <w:tabs>
          <w:tab w:leader="none" w:pos="3576" w:val="left"/>
        </w:tabs>
        <w:numPr>
          <w:ilvl w:val="0"/>
          <w:numId w:val="9"/>
        </w:numPr>
        <w:rPr>
          <w:rFonts w:ascii="Arial" w:cs="Arial" w:eastAsia="Arial" w:hAnsi="Arial"/>
          <w:sz w:val="16"/>
          <w:szCs w:val="16"/>
          <w:color w:val="auto"/>
        </w:rPr>
      </w:pPr>
      <w:r>
        <w:rPr>
          <w:rFonts w:ascii="Arial" w:cs="Arial" w:eastAsia="Arial" w:hAnsi="Arial"/>
          <w:sz w:val="16"/>
          <w:szCs w:val="16"/>
          <w:color w:val="auto"/>
        </w:rPr>
        <w:t>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15 months (or up to 18 months, as applicable) unless we provide public stockholders an opportunity to redeem their public shares in conjunction with any such amendment, (C) not to convert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10b-5 of the Exchange Act, which are rules designed to stop potential manipulation of a company’s stock or purchasing shares when the buyer is in possession of material non-public information about the Company.</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 w:name="page21"/>
    <w:bookmarkEnd w:id="20"/>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9877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89877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Conditions to completing our</w:t>
      </w:r>
    </w:p>
    <w:p>
      <w:pPr>
        <w:spacing w:after="0" w:line="27" w:lineRule="exact"/>
        <w:rPr>
          <w:sz w:val="20"/>
          <w:szCs w:val="20"/>
          <w:color w:val="auto"/>
        </w:rPr>
      </w:pPr>
    </w:p>
    <w:p>
      <w:pPr>
        <w:ind w:left="720"/>
        <w:spacing w:after="0"/>
        <w:tabs>
          <w:tab w:leader="none" w:pos="3240" w:val="left"/>
        </w:tabs>
        <w:rPr>
          <w:sz w:val="20"/>
          <w:szCs w:val="20"/>
          <w:color w:val="auto"/>
        </w:rPr>
      </w:pPr>
      <w:r>
        <w:rPr>
          <w:rFonts w:ascii="Arial" w:cs="Arial" w:eastAsia="Arial" w:hAnsi="Arial"/>
          <w:sz w:val="18"/>
          <w:szCs w:val="18"/>
          <w:b w:val="1"/>
          <w:bCs w:val="1"/>
          <w:color w:val="auto"/>
        </w:rPr>
        <w:t>initial business combination</w:t>
      </w:r>
      <w:r>
        <w:rPr>
          <w:sz w:val="20"/>
          <w:szCs w:val="20"/>
          <w:color w:val="auto"/>
        </w:rPr>
        <w:tab/>
      </w:r>
      <w:r>
        <w:rPr>
          <w:rFonts w:ascii="Arial" w:cs="Arial" w:eastAsia="Arial" w:hAnsi="Arial"/>
          <w:sz w:val="17"/>
          <w:szCs w:val="17"/>
          <w:color w:val="auto"/>
        </w:rPr>
        <w:t>There is no limitation on our ability to raise funds privately or through</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loans  in  connection  with  our  initial  business  combination.  Each</w:t>
      </w:r>
    </w:p>
    <w:p>
      <w:pPr>
        <w:spacing w:after="0" w:line="21" w:lineRule="exact"/>
        <w:rPr>
          <w:sz w:val="20"/>
          <w:szCs w:val="20"/>
          <w:color w:val="auto"/>
        </w:rPr>
      </w:pPr>
    </w:p>
    <w:p>
      <w:pPr>
        <w:ind w:left="3260"/>
        <w:spacing w:after="0"/>
        <w:tabs>
          <w:tab w:leader="none" w:pos="4000" w:val="left"/>
          <w:tab w:leader="none" w:pos="5040" w:val="left"/>
          <w:tab w:leader="none" w:pos="5460" w:val="left"/>
          <w:tab w:leader="none" w:pos="5780" w:val="left"/>
          <w:tab w:leader="none" w:pos="6600" w:val="left"/>
          <w:tab w:leader="none" w:pos="6920" w:val="left"/>
          <w:tab w:leader="none" w:pos="7140" w:val="left"/>
          <w:tab w:leader="none" w:pos="7900" w:val="left"/>
          <w:tab w:leader="none" w:pos="8200" w:val="left"/>
        </w:tabs>
        <w:rPr>
          <w:sz w:val="20"/>
          <w:szCs w:val="20"/>
          <w:color w:val="auto"/>
        </w:rPr>
      </w:pPr>
      <w:r>
        <w:rPr>
          <w:rFonts w:ascii="Arial" w:cs="Arial" w:eastAsia="Arial" w:hAnsi="Arial"/>
          <w:sz w:val="18"/>
          <w:szCs w:val="18"/>
          <w:color w:val="auto"/>
        </w:rPr>
        <w:t>business</w:t>
        <w:tab/>
        <w:t>combination</w:t>
        <w:tab/>
        <w:t>will</w:t>
        <w:tab/>
        <w:t>be</w:t>
        <w:tab/>
        <w:t>approved</w:t>
        <w:tab/>
        <w:t>by</w:t>
        <w:tab/>
        <w:t>a</w:t>
        <w:tab/>
        <w:t>majority</w:t>
        <w:tab/>
        <w:t>of</w:t>
      </w:r>
      <w:r>
        <w:rPr>
          <w:sz w:val="20"/>
          <w:szCs w:val="20"/>
          <w:color w:val="auto"/>
        </w:rPr>
        <w:tab/>
      </w:r>
      <w:r>
        <w:rPr>
          <w:rFonts w:ascii="Arial" w:cs="Arial" w:eastAsia="Arial" w:hAnsi="Arial"/>
          <w:sz w:val="16"/>
          <w:szCs w:val="16"/>
          <w:color w:val="auto"/>
        </w:rPr>
        <w:t>our</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independent directors. Our initial business combination must occur with</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one or more target businesses that together have an aggregate fair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market value of at least 80% of the value of the trust account (excluding</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any taxes payable on the income earned on the trust account) at the time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of the agreement to enter into the initial business combination. If we are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no longer listed on Nasdaq, we will not be required to satisfy the 80%</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test.</w:t>
      </w:r>
    </w:p>
    <w:p>
      <w:pPr>
        <w:spacing w:after="0" w:line="143"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If our board is not able to independently determine the fair market value</w:t>
      </w:r>
    </w:p>
    <w:p>
      <w:pPr>
        <w:spacing w:after="0" w:line="46"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of the target business or businesses, we may obtain an opinion from an</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independent investment banking or accounting firm as to the fair</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market value of the target business. We will complete our initial</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business combination only if the post-transaction company in which our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public stockholders own shares will own or acquire 50% or more of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outstanding voting securities of the target or otherwise acquires a</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controlling interest in the target sufficient for it not to be required to</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register as an investment company under the Investment Company Act.</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Even if the post-transaction company owns 50% or more of the voting</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securities  of  the  target,  our  stockholders  prior  to  the  business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combination may collectively own a minority interest in the post-</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business combination company, depending on valuations ascribed to the</w:t>
      </w:r>
    </w:p>
    <w:p>
      <w:pPr>
        <w:spacing w:after="0" w:line="32"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target and us in the business combination transaction. If less than 100%</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of the equity interests or assets of a target business or businesses are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owned or acquired by the post-transaction company, the portion of such</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business or businesses that is owned or acquired is what will be valued</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for purposes of the 80% test, provided that in the event that the business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combination involves more than one target business, the 80% test will</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be based on the aggregate value of all of the target businesses.</w:t>
      </w:r>
    </w:p>
    <w:p>
      <w:pPr>
        <w:spacing w:after="0" w:line="166" w:lineRule="exact"/>
        <w:rPr>
          <w:sz w:val="20"/>
          <w:szCs w:val="20"/>
          <w:color w:val="auto"/>
        </w:rPr>
      </w:pPr>
    </w:p>
    <w:p>
      <w:pPr>
        <w:ind w:left="540"/>
        <w:spacing w:after="0"/>
        <w:tabs>
          <w:tab w:leader="none" w:pos="3240" w:val="left"/>
        </w:tabs>
        <w:rPr>
          <w:sz w:val="20"/>
          <w:szCs w:val="20"/>
          <w:color w:val="auto"/>
        </w:rPr>
      </w:pPr>
      <w:r>
        <w:rPr>
          <w:rFonts w:ascii="Arial" w:cs="Arial" w:eastAsia="Arial" w:hAnsi="Arial"/>
          <w:sz w:val="18"/>
          <w:szCs w:val="18"/>
          <w:b w:val="1"/>
          <w:bCs w:val="1"/>
          <w:color w:val="auto"/>
        </w:rPr>
        <w:t>Conversion rights</w:t>
      </w:r>
      <w:r>
        <w:rPr>
          <w:sz w:val="20"/>
          <w:szCs w:val="20"/>
          <w:color w:val="auto"/>
        </w:rPr>
        <w:tab/>
      </w:r>
      <w:r>
        <w:rPr>
          <w:rFonts w:ascii="Arial" w:cs="Arial" w:eastAsia="Arial" w:hAnsi="Arial"/>
          <w:sz w:val="18"/>
          <w:szCs w:val="18"/>
          <w:color w:val="auto"/>
        </w:rPr>
        <w:t>In connection with any stockholder meeting called to approve a</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proposed initial business combination, each public stockholder will</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have the right, regardless of whether he, she or it is voting for or against</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such proposed business combination, to demand that we convert his,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 xml:space="preserve">her or its public shares into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 upon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consummation of the business combination.</w:t>
      </w:r>
    </w:p>
    <w:p>
      <w:pPr>
        <w:spacing w:after="0" w:line="14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We may require public stockholders wishing to exercise conversion</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rights, whether they are a record holder or hold their shares in “street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name,” to either tender the certificates they are seeking to convert to</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our transfer agent or to deliver the shares they are seeking to convert to</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the transfer agent electronically using Depository Trust Company’s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DWAC (Deposit/Withdrawal At Custodian) System, at the holder’s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option, at any time at or prior to the vote on the business combination.</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There is a nominal cost associated with this tendering process and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act of certificating the shares or delivering them through the DWAC</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System. The transfer agent will typically charge the tendering broker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$45, and it would be up to the broker whether or not to pass this cost on</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to  the  converting  holder.  However,  this  fee  would  be  incurred</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regardless of whether or not we require holders to deliver their shares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prior to the vote on the business combination in order to exercise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conversion rights. This is because a holder would need to deliver shares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to exercise conversion rights regardless of the timing of when such</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delivery  must  be  effectuated.  However,  in  the  event  we  require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stockholders to deliver their shares prior to the vote on the proposed</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business combination and the proposed business combination is not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consummated, this may result in an increased cost to stockholders.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conversion rights will include the requirement that a beneficial holder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must identify itself in order to validly redeem its shares.</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 w:name="page22"/>
    <w:bookmarkEnd w:id="21"/>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68275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682752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179"/>
        <w:spacing w:after="0" w:line="289" w:lineRule="auto"/>
        <w:rPr>
          <w:sz w:val="20"/>
          <w:szCs w:val="20"/>
          <w:color w:val="auto"/>
        </w:rPr>
      </w:pPr>
      <w:r>
        <w:rPr>
          <w:rFonts w:ascii="Arial" w:cs="Arial" w:eastAsia="Arial" w:hAnsi="Arial"/>
          <w:sz w:val="17"/>
          <w:szCs w:val="17"/>
          <w:b w:val="1"/>
          <w:bCs w:val="1"/>
          <w:color w:val="auto"/>
        </w:rPr>
        <w:t>Release of funds in trust account upon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jc w:val="both"/>
        <w:ind w:right="559"/>
        <w:spacing w:after="0" w:line="270" w:lineRule="auto"/>
        <w:rPr>
          <w:sz w:val="20"/>
          <w:szCs w:val="20"/>
          <w:color w:val="auto"/>
        </w:rPr>
      </w:pPr>
      <w:r>
        <w:rPr>
          <w:rFonts w:ascii="Arial" w:cs="Arial" w:eastAsia="Arial" w:hAnsi="Arial"/>
          <w:sz w:val="17"/>
          <w:szCs w:val="17"/>
          <w:color w:val="auto"/>
        </w:rPr>
        <w:t xml:space="preserve">Under Delaware law, we may be required to give a minimum of only ten days’ notice for each general meeting. As a result, if we require public stockholders who wish to convert their shares of common stock into the right to receive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w:t>
      </w:r>
    </w:p>
    <w:p>
      <w:pPr>
        <w:spacing w:after="0" w:line="113"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If we require public stockholders who wish to convert their shares of common stock to comply with specific delivery requirements for conversion described above and such proposed business combination is not consummated, we will promptly return such certificates to the tendering public stockholders.</w:t>
      </w:r>
    </w:p>
    <w:p>
      <w:pPr>
        <w:spacing w:after="0" w:line="200" w:lineRule="exact"/>
        <w:rPr>
          <w:sz w:val="20"/>
          <w:szCs w:val="20"/>
          <w:color w:val="auto"/>
        </w:rPr>
      </w:pPr>
    </w:p>
    <w:p>
      <w:pPr>
        <w:spacing w:after="0" w:line="379" w:lineRule="exact"/>
        <w:rPr>
          <w:sz w:val="20"/>
          <w:szCs w:val="20"/>
          <w:color w:val="auto"/>
        </w:rPr>
      </w:pPr>
    </w:p>
    <w:p>
      <w:pPr>
        <w:jc w:val="both"/>
        <w:ind w:right="559"/>
        <w:spacing w:after="0" w:line="285" w:lineRule="auto"/>
        <w:rPr>
          <w:sz w:val="20"/>
          <w:szCs w:val="20"/>
          <w:color w:val="auto"/>
        </w:rPr>
      </w:pPr>
      <w:r>
        <w:rPr>
          <w:rFonts w:ascii="Arial" w:cs="Arial" w:eastAsia="Arial" w:hAnsi="Arial"/>
          <w:sz w:val="16"/>
          <w:szCs w:val="16"/>
          <w:color w:val="auto"/>
        </w:rPr>
        <w:t>On the completion of our initial business combination, all amounts held in the trust account will be released to us. We will use these funds to pay amounts due to any public stockholders who exercise their conversion rights as described above under “— Conversion rights” to pay all or a portion of the consideration payable to the target or targets or owners of the target or targets of our initial business combination and to pay other expenses associated with our initial business combination. If our initial business combination is paid for using stock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45" w:lineRule="exact"/>
        <w:rPr>
          <w:sz w:val="20"/>
          <w:szCs w:val="20"/>
          <w:color w:val="auto"/>
        </w:rPr>
      </w:pPr>
    </w:p>
    <w:p>
      <w:pPr>
        <w:sectPr>
          <w:pgSz w:w="11900" w:h="16838" w:orient="portrait"/>
          <w:cols w:equalWidth="0" w:num="2">
            <w:col w:w="3040" w:space="220"/>
            <w:col w:w="5759"/>
          </w:cols>
          <w:pgMar w:left="1440" w:top="274" w:right="1440" w:bottom="1440" w:gutter="0" w:footer="0" w:header="0"/>
          <w:type w:val="continuous"/>
        </w:sectPr>
      </w:pPr>
    </w:p>
    <w:p>
      <w:pPr>
        <w:ind w:left="540"/>
        <w:spacing w:after="0"/>
        <w:rPr>
          <w:sz w:val="20"/>
          <w:szCs w:val="20"/>
          <w:color w:val="auto"/>
        </w:rPr>
      </w:pPr>
      <w:r>
        <w:rPr>
          <w:rFonts w:ascii="Arial" w:cs="Arial" w:eastAsia="Arial" w:hAnsi="Arial"/>
          <w:sz w:val="18"/>
          <w:szCs w:val="18"/>
          <w:b w:val="1"/>
          <w:bCs w:val="1"/>
          <w:color w:val="auto"/>
        </w:rPr>
        <w:t>Insider purchases of public</w:t>
      </w:r>
    </w:p>
    <w:p>
      <w:pPr>
        <w:spacing w:after="0" w:line="27" w:lineRule="exact"/>
        <w:rPr>
          <w:sz w:val="20"/>
          <w:szCs w:val="20"/>
          <w:color w:val="auto"/>
        </w:rPr>
      </w:pPr>
    </w:p>
    <w:p>
      <w:pPr>
        <w:jc w:val="both"/>
        <w:ind w:left="3260" w:right="559" w:hanging="2539"/>
        <w:spacing w:after="0" w:line="268" w:lineRule="auto"/>
        <w:tabs>
          <w:tab w:leader="none" w:pos="3240" w:val="left"/>
        </w:tabs>
        <w:rPr>
          <w:sz w:val="20"/>
          <w:szCs w:val="20"/>
          <w:color w:val="auto"/>
        </w:rPr>
      </w:pPr>
      <w:r>
        <w:rPr>
          <w:rFonts w:ascii="Arial" w:cs="Arial" w:eastAsia="Arial" w:hAnsi="Arial"/>
          <w:sz w:val="17"/>
          <w:szCs w:val="17"/>
          <w:b w:val="1"/>
          <w:bCs w:val="1"/>
          <w:color w:val="auto"/>
        </w:rPr>
        <w:t>securities</w:t>
      </w:r>
      <w:r>
        <w:rPr>
          <w:sz w:val="20"/>
          <w:szCs w:val="20"/>
          <w:color w:val="auto"/>
        </w:rPr>
        <w:tab/>
      </w:r>
      <w:r>
        <w:rPr>
          <w:rFonts w:ascii="Arial" w:cs="Arial" w:eastAsia="Arial" w:hAnsi="Arial"/>
          <w:sz w:val="17"/>
          <w:szCs w:val="17"/>
          <w:color w:val="auto"/>
        </w:rPr>
        <w:t>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 w:name="page23"/>
    <w:bookmarkEnd w:id="2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350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7350760"/>
                    </a:xfrm>
                    <a:prstGeom prst="rect">
                      <a:avLst/>
                    </a:prstGeom>
                    <a:noFill/>
                  </pic:spPr>
                </pic:pic>
              </a:graphicData>
            </a:graphic>
          </wp:anchor>
        </w:drawing>
      </w:r>
    </w:p>
    <w:p>
      <w:pPr>
        <w:spacing w:after="0" w:line="36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Liquidation if no business</w:t>
      </w:r>
    </w:p>
    <w:p>
      <w:pPr>
        <w:spacing w:after="0" w:line="27" w:lineRule="exact"/>
        <w:rPr>
          <w:sz w:val="20"/>
          <w:szCs w:val="20"/>
          <w:color w:val="auto"/>
        </w:rPr>
      </w:pPr>
    </w:p>
    <w:p>
      <w:pPr>
        <w:jc w:val="both"/>
        <w:ind w:left="3260" w:right="559" w:hanging="2539"/>
        <w:spacing w:after="0" w:line="281" w:lineRule="auto"/>
        <w:tabs>
          <w:tab w:leader="none" w:pos="3240" w:val="left"/>
        </w:tabs>
        <w:rPr>
          <w:sz w:val="20"/>
          <w:szCs w:val="20"/>
          <w:color w:val="auto"/>
        </w:rPr>
      </w:pPr>
      <w:r>
        <w:rPr>
          <w:rFonts w:ascii="Arial" w:cs="Arial" w:eastAsia="Arial" w:hAnsi="Arial"/>
          <w:sz w:val="16"/>
          <w:szCs w:val="16"/>
          <w:b w:val="1"/>
          <w:bCs w:val="1"/>
          <w:color w:val="auto"/>
        </w:rPr>
        <w:t>combination</w:t>
      </w:r>
      <w:r>
        <w:rPr>
          <w:sz w:val="20"/>
          <w:szCs w:val="20"/>
          <w:color w:val="auto"/>
        </w:rPr>
        <w:tab/>
      </w:r>
      <w:r>
        <w:rPr>
          <w:rFonts w:ascii="Arial" w:cs="Arial" w:eastAsia="Arial" w:hAnsi="Arial"/>
          <w:sz w:val="16"/>
          <w:szCs w:val="16"/>
          <w:color w:val="auto"/>
        </w:rPr>
        <w:t>If we are unable to complete our initial business combination within 15 months (or up to 18 months, as applicable) from the closing of this offering, we will (i) cease all operations except for the purpose of winding up, (ii) as promptly as reasonably possible but not more than five business days thereafter, redeem 100% of the outstanding public shares (including any public units in this offering or any public units or shares that our initial stockholders or their affiliates purchased in this offering or later acquired in the open market or in private transactions),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our remaining holders of common stock and our board of directors, proceed to commence a voluntary liquidation and thereby a formal dissolution of the Company, subject (in the case of (ii) and</w:t>
      </w:r>
    </w:p>
    <w:p>
      <w:pPr>
        <w:spacing w:after="0" w:line="9" w:lineRule="exact"/>
        <w:rPr>
          <w:sz w:val="20"/>
          <w:szCs w:val="20"/>
          <w:color w:val="auto"/>
        </w:rPr>
      </w:pPr>
    </w:p>
    <w:p>
      <w:pPr>
        <w:jc w:val="both"/>
        <w:ind w:left="3260" w:right="559" w:hanging="3"/>
        <w:spacing w:after="0" w:line="283" w:lineRule="auto"/>
        <w:tabs>
          <w:tab w:leader="none" w:pos="3581"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above) to our obligations to provide for claims of creditors and the requirements of applicable law. However, if we anticipate that we may not be able to consummate our initial business combination within 15 months, our initial stockholders or their affiliates may, but are not obligated to, extend the period of time to consummate a business combination one time by up to an additional three months (for a total of up to 18 months to complete our initial business combination) without the need for a separate stockholder vote.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without the need for a separate stockholder vote is for our initial stockholders or their affiliates or designees, upon five days’ advance notice prior to the applicable deadline, to deposit into the trust account $1,500,000, or $1,725,000 if the underwriters’ over-allotment option is exercised in full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w:t>
      </w:r>
    </w:p>
    <w:p>
      <w:pPr>
        <w:spacing w:after="0" w:line="140" w:lineRule="exact"/>
        <w:rPr>
          <w:sz w:val="20"/>
          <w:szCs w:val="20"/>
          <w:color w:val="auto"/>
        </w:rPr>
      </w:pPr>
    </w:p>
    <w:p>
      <w:pPr>
        <w:jc w:val="both"/>
        <w:ind w:left="3260" w:right="559"/>
        <w:spacing w:after="0" w:line="287" w:lineRule="auto"/>
        <w:rPr>
          <w:sz w:val="20"/>
          <w:szCs w:val="20"/>
          <w:color w:val="auto"/>
        </w:rPr>
      </w:pPr>
      <w:r>
        <w:rPr>
          <w:rFonts w:ascii="Arial" w:cs="Arial" w:eastAsia="Arial" w:hAnsi="Arial"/>
          <w:sz w:val="16"/>
          <w:szCs w:val="16"/>
          <w:color w:val="auto"/>
        </w:rPr>
        <w:t>In the event that they elected to extend the time to complete a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613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9613900"/>
                    </a:xfrm>
                    <a:prstGeom prst="rect">
                      <a:avLst/>
                    </a:prstGeom>
                    <a:noFill/>
                  </pic:spPr>
                </pic:pic>
              </a:graphicData>
            </a:graphic>
          </wp:anchor>
        </w:drawing>
      </w:r>
    </w:p>
    <w:p>
      <w:pPr>
        <w:sectPr>
          <w:pgSz w:w="11900" w:h="16838" w:orient="portrait"/>
          <w:cols w:equalWidth="0" w:num="1">
            <w:col w:w="9019"/>
          </w:cols>
          <w:pgMar w:left="1440" w:top="274" w:right="1440" w:bottom="291" w:gutter="0" w:footer="0" w:header="0"/>
        </w:sectPr>
      </w:pPr>
    </w:p>
    <w:p>
      <w:pPr>
        <w:spacing w:after="0" w:line="200" w:lineRule="exact"/>
        <w:rPr>
          <w:sz w:val="20"/>
          <w:szCs w:val="20"/>
          <w:color w:val="auto"/>
        </w:rPr>
      </w:pPr>
    </w:p>
    <w:p>
      <w:pPr>
        <w:spacing w:after="0" w:line="345"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In connection with our redemption of 100% of our outstanding public</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shares for a portion of the funds held in the trust account, each holder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will receive a pro rata portion of the amount then in the trust account,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plus any pro rata interest earned on the funds held in the trust account</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and not necessary to pay our taxes payable on such funds. Holders of</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rights or warrants will receive no proceeds in connection with the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liquidation with respect to such rights or warrants, which will expire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worthless.</w:t>
      </w:r>
    </w:p>
    <w:p>
      <w:pPr>
        <w:spacing w:after="0" w:line="14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We may not have funds sufficient to pay or provide for all creditors’</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claims. Although we will seek to have all third parties (including any</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vendors or other entities we engage after this offering) and any</w:t>
      </w:r>
    </w:p>
    <w:p>
      <w:pPr>
        <w:spacing w:after="0" w:line="9" w:lineRule="exact"/>
        <w:rPr>
          <w:sz w:val="20"/>
          <w:szCs w:val="20"/>
          <w:color w:val="auto"/>
        </w:rPr>
      </w:pPr>
    </w:p>
    <w:p>
      <w:pPr>
        <w:ind w:left="3260"/>
        <w:spacing w:after="0"/>
        <w:tabs>
          <w:tab w:leader="none" w:pos="4220" w:val="left"/>
          <w:tab w:leader="none" w:pos="4780" w:val="left"/>
          <w:tab w:leader="none" w:pos="5700" w:val="left"/>
          <w:tab w:leader="none" w:pos="6220" w:val="left"/>
          <w:tab w:leader="none" w:pos="6660" w:val="left"/>
          <w:tab w:leader="none" w:pos="7180" w:val="left"/>
          <w:tab w:leader="none" w:pos="7580" w:val="left"/>
        </w:tabs>
        <w:rPr>
          <w:sz w:val="20"/>
          <w:szCs w:val="20"/>
          <w:color w:val="auto"/>
        </w:rPr>
      </w:pPr>
      <w:r>
        <w:rPr>
          <w:rFonts w:ascii="Arial" w:cs="Arial" w:eastAsia="Arial" w:hAnsi="Arial"/>
          <w:sz w:val="18"/>
          <w:szCs w:val="18"/>
          <w:color w:val="auto"/>
        </w:rPr>
        <w:t>prospective</w:t>
        <w:tab/>
        <w:t>target</w:t>
        <w:tab/>
        <w:t>businesses</w:t>
        <w:tab/>
        <w:t>enter</w:t>
        <w:tab/>
        <w:t>into</w:t>
        <w:tab/>
        <w:t>valid</w:t>
        <w:tab/>
        <w:t>and</w:t>
      </w:r>
      <w:r>
        <w:rPr>
          <w:sz w:val="20"/>
          <w:szCs w:val="20"/>
          <w:color w:val="auto"/>
        </w:rPr>
        <w:tab/>
      </w:r>
      <w:r>
        <w:rPr>
          <w:rFonts w:ascii="Arial" w:cs="Arial" w:eastAsia="Arial" w:hAnsi="Arial"/>
          <w:sz w:val="16"/>
          <w:szCs w:val="16"/>
          <w:color w:val="auto"/>
        </w:rPr>
        <w:t>enforceable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agreements with us waiving any right, title, interest or claim of any kind</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in or to any monies held in the trust account, there is no guarantee that</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they will execute such agreements. There is also no guarantee that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third parties would not challenge the enforceability of these waivers and</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bring claims against the trust account for monies owed them.</w:t>
      </w:r>
    </w:p>
    <w:p>
      <w:pPr>
        <w:spacing w:after="0" w:line="14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The holders of the founder shares and private warrants will not</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participate in any redemption distribution with respect to their founder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shares and private warrants, but may have any public shares redeemed</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upon liquidation.</w:t>
      </w:r>
    </w:p>
    <w:p>
      <w:pPr>
        <w:spacing w:after="0" w:line="170"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If we are unable to conclude our initial business combination and we</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expend all of the net proceeds of this offering not deposited in the trust</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account, without taking into account any interest earned on the trust</w:t>
      </w:r>
    </w:p>
    <w:p>
      <w:pPr>
        <w:spacing w:after="0" w:line="21"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account, we expect that the initial per-share redemption price will be</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approximately $10.10. The proceeds deposited in the trust account</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could, however, become subject to claims of our creditors that are in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preference  to  the  claims  of  our  stockholders.  Furthermore,  our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underwriters may seek recourse against the proceeds in the trust</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account relating to any future claims they may have against us. In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addition, if we are forced to file a bankruptcy case or an involuntary</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bankruptcy case is filed against us that is not dismissed, the proceeds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held in the trust account could be subject to applicable bankruptcy law,</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and may be included in our bankruptcy estate and subject to the claims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of third parties with priority over the claims of our stockholders.</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Therefore, the actual per-share redemption price may be less than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estimated $10.10. We will pay the costs of any subsequent liquidation</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from our remaining assets outside of the trust account. If such funds are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insufficient, our co-sponsors have agreed to pay the funds necessary to</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complete such liquidation and has agreed not to seek repayment for</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such expenses. We currently do not anticipate that such funds will be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insufficient.</w:t>
      </w:r>
    </w:p>
    <w:p>
      <w:pPr>
        <w:spacing w:after="0" w:line="180" w:lineRule="exact"/>
        <w:rPr>
          <w:sz w:val="20"/>
          <w:szCs w:val="20"/>
          <w:color w:val="auto"/>
        </w:rPr>
      </w:pPr>
    </w:p>
    <w:p>
      <w:pPr>
        <w:ind w:left="540"/>
        <w:spacing w:after="0"/>
        <w:tabs>
          <w:tab w:leader="none" w:pos="3240" w:val="left"/>
        </w:tabs>
        <w:rPr>
          <w:sz w:val="20"/>
          <w:szCs w:val="20"/>
          <w:color w:val="auto"/>
        </w:rPr>
      </w:pPr>
      <w:r>
        <w:rPr>
          <w:rFonts w:ascii="Arial" w:cs="Arial" w:eastAsia="Arial" w:hAnsi="Arial"/>
          <w:sz w:val="18"/>
          <w:szCs w:val="18"/>
          <w:b w:val="1"/>
          <w:bCs w:val="1"/>
          <w:color w:val="auto"/>
        </w:rPr>
        <w:t>Conflict of Interest</w:t>
      </w:r>
      <w:r>
        <w:rPr>
          <w:sz w:val="20"/>
          <w:szCs w:val="20"/>
          <w:color w:val="auto"/>
        </w:rPr>
        <w:tab/>
      </w:r>
      <w:r>
        <w:rPr>
          <w:rFonts w:ascii="Arial" w:cs="Arial" w:eastAsia="Arial" w:hAnsi="Arial"/>
          <w:sz w:val="16"/>
          <w:szCs w:val="16"/>
          <w:color w:val="auto"/>
        </w:rPr>
        <w:t>Chardan Capital Markets, LLC, the representative of the underwriters</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in this offering and an affiliate of one of our co-sponsors and one of our</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directors, is a beneficial owner of our co-sponsor, Chardan Investments.</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As a result, Chardan Capital Markets, LLC is deemed to have a</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“conflict  of  interest”  within  the  meaning  of  FINRA  Rule  5121</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(“Rule 5121”). Accordingly, this offering is being made in compliance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with the applicable requirements of Rule 5121.</w:t>
      </w:r>
    </w:p>
    <w:p>
      <w:pPr>
        <w:spacing w:after="0" w:line="14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Rule 5121 requires that a “qualified independent underwriter,” as</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defined in Rule 5121, participate in the preparation of the registration</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statement and prospectus and exercise the usual standards of due</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diligence with respect thereto. B. Riley Securities, Inc. has agreed to act</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as a “qualified independent underwriter” for this offering. B. Riley</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Securities,  Inc.  will  receive  $100,000  for  acting  as  a  qualified</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independent  underwriter.  We  have  agreed  to  indemnify  B.  Riley</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Securities, Inc. against certain liabilities incurred in connection with</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acting as a “qualified independent underwriter,” including liabilities</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under the Securities Act. In addition, no underwriter with a conflict of</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interest will confirm sales to any account over which it exercises</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discretionary authority without the specific prior written approval of the</w:t>
      </w:r>
    </w:p>
    <w:p>
      <w:pPr>
        <w:spacing w:after="0" w:line="3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account holder.</w:t>
      </w:r>
    </w:p>
    <w:p>
      <w:pPr>
        <w:sectPr>
          <w:pgSz w:w="11900" w:h="16838" w:orient="portrait"/>
          <w:cols w:equalWidth="0" w:num="1">
            <w:col w:w="9019"/>
          </w:cols>
          <w:pgMar w:left="1440" w:top="274" w:right="1440" w:bottom="291"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291" w:gutter="0" w:footer="0" w:header="0"/>
          <w:type w:val="continuous"/>
        </w:sectPr>
      </w:pPr>
    </w:p>
    <w:bookmarkStart w:id="24" w:name="page25"/>
    <w:bookmarkEnd w:id="2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4648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546481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w:t>
      </w:r>
    </w:p>
    <w:p>
      <w:pPr>
        <w:spacing w:after="0" w:line="162" w:lineRule="exact"/>
        <w:rPr>
          <w:sz w:val="20"/>
          <w:szCs w:val="20"/>
          <w:color w:val="auto"/>
        </w:rPr>
      </w:pPr>
    </w:p>
    <w:p>
      <w:pPr>
        <w:jc w:val="both"/>
        <w:ind w:left="540" w:right="559" w:firstLine="432"/>
        <w:spacing w:after="0" w:line="288" w:lineRule="auto"/>
        <w:rPr>
          <w:sz w:val="20"/>
          <w:szCs w:val="20"/>
          <w:color w:val="auto"/>
        </w:rPr>
      </w:pPr>
      <w:r>
        <w:rPr>
          <w:rFonts w:ascii="Arial" w:cs="Arial" w:eastAsia="Arial" w:hAnsi="Arial"/>
          <w:sz w:val="16"/>
          <w:szCs w:val="16"/>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this offering, please see “</w:t>
      </w:r>
      <w:r>
        <w:rPr>
          <w:rFonts w:ascii="Arial" w:cs="Arial" w:eastAsia="Arial" w:hAnsi="Arial"/>
          <w:sz w:val="16"/>
          <w:szCs w:val="16"/>
          <w:i w:val="1"/>
          <w:iCs w:val="1"/>
          <w:color w:val="auto"/>
        </w:rPr>
        <w:t>Proposed Business — Comparison to Offerings of Blank Check</w:t>
      </w:r>
      <w:r>
        <w:rPr>
          <w:rFonts w:ascii="Arial" w:cs="Arial" w:eastAsia="Arial" w:hAnsi="Arial"/>
          <w:sz w:val="16"/>
          <w:szCs w:val="16"/>
          <w:color w:val="auto"/>
        </w:rPr>
        <w:t xml:space="preserve"> </w:t>
      </w:r>
      <w:r>
        <w:rPr>
          <w:rFonts w:ascii="Arial" w:cs="Arial" w:eastAsia="Arial" w:hAnsi="Arial"/>
          <w:sz w:val="16"/>
          <w:szCs w:val="16"/>
          <w:i w:val="1"/>
          <w:iCs w:val="1"/>
          <w:color w:val="auto"/>
        </w:rPr>
        <w:t>Companies Subject to Rule 419</w:t>
      </w:r>
      <w:r>
        <w:rPr>
          <w:rFonts w:ascii="Arial" w:cs="Arial" w:eastAsia="Arial" w:hAnsi="Arial"/>
          <w:sz w:val="16"/>
          <w:szCs w:val="16"/>
          <w:color w:val="auto"/>
        </w:rPr>
        <w:t>.” You should carefully consider these and the other risks set forth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entitled “Risk Factors” beginning on page 22 of this prospectus.</w:t>
      </w:r>
    </w:p>
    <w:p>
      <w:pPr>
        <w:spacing w:after="0" w:line="101"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A brief summary of some of the risk factors that make an investment in us speculative or risky include:</w:t>
      </w:r>
    </w:p>
    <w:p>
      <w:pPr>
        <w:spacing w:after="0" w:line="167" w:lineRule="exact"/>
        <w:rPr>
          <w:sz w:val="20"/>
          <w:szCs w:val="20"/>
          <w:color w:val="auto"/>
        </w:rPr>
      </w:pPr>
    </w:p>
    <w:p>
      <w:pPr>
        <w:ind w:left="1400" w:right="559" w:hanging="424"/>
        <w:spacing w:after="0" w:line="277" w:lineRule="auto"/>
        <w:tabs>
          <w:tab w:leader="none" w:pos="152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we will be able to complete our initial business combination, particularly in light of disruption that may result from limitations imposed by the COVID-19 pandemic;</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5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we will be successful in retaining or recruiting, or making changes required in, our officers, key employees or directors following our initial business combination;</w:t>
      </w:r>
    </w:p>
    <w:p>
      <w:pPr>
        <w:spacing w:after="0" w:line="102" w:lineRule="exact"/>
        <w:rPr>
          <w:rFonts w:ascii="Arial" w:cs="Arial" w:eastAsia="Arial" w:hAnsi="Arial"/>
          <w:sz w:val="18"/>
          <w:szCs w:val="18"/>
          <w:color w:val="auto"/>
        </w:rPr>
      </w:pPr>
    </w:p>
    <w:p>
      <w:pPr>
        <w:jc w:val="both"/>
        <w:ind w:left="1400" w:right="559" w:hanging="424"/>
        <w:spacing w:after="0" w:line="263" w:lineRule="auto"/>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How much time our officers and directors allocate to us and potentially having conflicts of interest with our business or in approving our initial business combination, as a result of which they would then receive expense reimbursements and other benefits;</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Whether we will need to obtain additional financing to complete our initial business combination;</w:t>
      </w:r>
    </w:p>
    <w:p>
      <w:pPr>
        <w:spacing w:after="0" w:line="180" w:lineRule="exact"/>
        <w:rPr>
          <w:rFonts w:ascii="Arial" w:cs="Arial" w:eastAsia="Arial" w:hAnsi="Arial"/>
          <w:sz w:val="16"/>
          <w:szCs w:val="16"/>
          <w:color w:val="auto"/>
        </w:rPr>
      </w:pPr>
    </w:p>
    <w:p>
      <w:pPr>
        <w:ind w:left="1400" w:right="559" w:hanging="424"/>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there is a sufficient pool of prospective target businesses for us to acquire, given competition;</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6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our officers and directors are able to generate a number of potential investment opportunities;</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4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our securities are delisted from Nasdaq prior to our business combination or an inability to have our securities listed on Nasdaq following a business combination;</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fact that we may have limited liquidity in our securities;</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fact there has not previously been a market for our securities; and</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financial performance following our business combination.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404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7310" cy="540448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FINANCIAL DATA</w:t>
      </w:r>
    </w:p>
    <w:p>
      <w:pPr>
        <w:spacing w:after="0" w:line="162"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4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4"/>
          </w:tcPr>
          <w:p>
            <w:pPr>
              <w:jc w:val="right"/>
              <w:ind w:right="675"/>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gridSpan w:val="3"/>
          </w:tcPr>
          <w:p>
            <w:pPr>
              <w:jc w:val="right"/>
              <w:ind w:right="975"/>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93"/>
              </w:rPr>
              <w:t>Actual</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Actual</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9"/>
              </w:rPr>
              <w:t>As Adjusted</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93"/>
              <w:spacing w:after="0"/>
              <w:rPr>
                <w:sz w:val="20"/>
                <w:szCs w:val="20"/>
                <w:color w:val="auto"/>
              </w:rPr>
            </w:pPr>
            <w:r>
              <w:rPr>
                <w:rFonts w:ascii="Arial" w:cs="Arial" w:eastAsia="Arial" w:hAnsi="Arial"/>
                <w:sz w:val="16"/>
                <w:szCs w:val="16"/>
                <w:color w:val="auto"/>
                <w:w w:val="98"/>
              </w:rPr>
              <w:t>(Audited)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6"/>
                <w:szCs w:val="16"/>
                <w:color w:val="auto"/>
                <w:w w:val="95"/>
              </w:rPr>
              <w:t>(Unaudited)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Arial" w:cs="Arial" w:eastAsia="Arial" w:hAnsi="Arial"/>
                <w:sz w:val="18"/>
                <w:szCs w:val="18"/>
                <w:color w:val="auto"/>
              </w:rPr>
              <w:t>Working capital (deficit)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23,550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(88,378)</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   152,523,465</w:t>
            </w:r>
          </w:p>
        </w:tc>
        <w:tc>
          <w:tcPr>
            <w:tcW w:w="0" w:type="dxa"/>
            <w:vAlign w:val="bottom"/>
          </w:tcPr>
          <w:p>
            <w:pPr>
              <w:spacing w:after="0"/>
              <w:rPr>
                <w:sz w:val="1"/>
                <w:szCs w:val="1"/>
                <w:color w:val="auto"/>
              </w:rPr>
            </w:pPr>
          </w:p>
        </w:tc>
      </w:tr>
      <w:tr>
        <w:trPr>
          <w:trHeight w:val="40"/>
        </w:trPr>
        <w:tc>
          <w:tcPr>
            <w:tcW w:w="40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177,483</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152,523,465</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154,018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Value of shares of common stock subject to possible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conversion/tender</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147,523,458</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23,465</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5,000,007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980" w:right="559" w:hanging="436"/>
        <w:spacing w:after="0" w:line="293" w:lineRule="auto"/>
        <w:tabs>
          <w:tab w:leader="none" w:pos="10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the $6,000,000 we will receive from the sale of the private warrants (without exercise of over-allotment option).</w:t>
      </w:r>
    </w:p>
    <w:p>
      <w:pPr>
        <w:spacing w:after="0" w:line="100"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The “as adjusted” information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07"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The “as adjusted” working capital and total assets amounts include the $151,500,000 (without exercise of over-allotment option) to be held in the trust account, which, except for limited situations described in this prospectus, will be available to us only upon the consummation of our initial business combination within the time period described in this prospectus.</w:t>
      </w:r>
    </w:p>
    <w:p>
      <w:pPr>
        <w:spacing w:after="0" w:line="119"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upon such consummation and a majority of the outstanding shares of common stock voted are voted in favor of the business combination (if a vote is required or being obtained).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225" w:lineRule="exact"/>
        <w:rPr>
          <w:sz w:val="20"/>
          <w:szCs w:val="20"/>
          <w:color w:val="auto"/>
        </w:rPr>
      </w:pPr>
    </w:p>
    <w:p>
      <w:pPr>
        <w:jc w:val="both"/>
        <w:ind w:left="460" w:right="479"/>
        <w:spacing w:after="0" w:line="312" w:lineRule="auto"/>
        <w:rPr>
          <w:sz w:val="20"/>
          <w:szCs w:val="20"/>
          <w:color w:val="auto"/>
        </w:rPr>
      </w:pPr>
      <w:r>
        <w:rPr>
          <w:rFonts w:ascii="Arial" w:cs="Arial" w:eastAsia="Arial" w:hAnsi="Arial"/>
          <w:sz w:val="17"/>
          <w:szCs w:val="17"/>
          <w:b w:val="1"/>
          <w:bCs w:val="1"/>
          <w:color w:val="auto"/>
        </w:rPr>
        <w:t>We are a newly formed blank check company in the early stage with no operating history and no revenues, and you have no basis on which to evaluate our ability to achieve our business objective.</w:t>
      </w:r>
    </w:p>
    <w:p>
      <w:pPr>
        <w:spacing w:after="0" w:line="7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are a newly formed blank check company with no operating results, and we will not commence operations until obtaining funding through this offering and consummating our initial business combination.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our initial business combination, and may be unable to complete our initial business combination. If we fail to complete our initial business combination, we will never generate any operating revenues.</w:t>
      </w:r>
    </w:p>
    <w:p>
      <w:pPr>
        <w:spacing w:after="0" w:line="173"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12"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COVID-19 outbreak has resulted, and a significant outbreak of other infectious diseases could result, in a widespread health crisis that has affected, or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 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176" w:lineRule="exact"/>
        <w:rPr>
          <w:sz w:val="20"/>
          <w:szCs w:val="20"/>
          <w:color w:val="auto"/>
        </w:rPr>
      </w:pPr>
    </w:p>
    <w:p>
      <w:pPr>
        <w:jc w:val="both"/>
        <w:ind w:left="460" w:right="459"/>
        <w:spacing w:after="0" w:line="258" w:lineRule="auto"/>
        <w:rPr>
          <w:sz w:val="20"/>
          <w:szCs w:val="20"/>
          <w:color w:val="auto"/>
        </w:rPr>
      </w:pPr>
      <w:r>
        <w:rPr>
          <w:rFonts w:ascii="Arial" w:cs="Arial" w:eastAsia="Arial" w:hAnsi="Arial"/>
          <w:sz w:val="18"/>
          <w:szCs w:val="18"/>
          <w:b w:val="1"/>
          <w:bCs w:val="1"/>
          <w:color w:val="auto"/>
        </w:rPr>
        <w:t>The requirement that the target business or businesses that we acquire must collectively have a fair market value equal to at least 80% of the balance of the funds in the trust account (excluding any taxes payable on the income earned on the trust account) at the time of the execution of a definitive agreement for our initial business combination may limit the type and number of companies with which we may complete such a business combination.</w:t>
      </w:r>
    </w:p>
    <w:p>
      <w:pPr>
        <w:spacing w:after="0" w:line="10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Pursuant to Nasdaq listing rules, the target business or businesses that we acquire must collectively have a fair market value equal to at least 80% of the balance of the funds in the trust account (excluding any taxes payable on the income earned on the trust account)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 which may be less than $10.10 per share.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Our public stockholders may not be afforded an opportunity to vote on our proposed business combination, which means we may consummate our initial business combination even though a majority of our public stockholders do not support such a combination.</w:t>
      </w:r>
    </w:p>
    <w:p>
      <w:pPr>
        <w:spacing w:after="0" w:line="9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If a stockholder vote is not required, we may conduct redemptions via a tender offer. Accordingly, we may consummate our initial business combination even if holders of a majority of our public shares do not approve the business combination.</w:t>
      </w:r>
    </w:p>
    <w:p>
      <w:pPr>
        <w:spacing w:after="0" w:line="180"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7"/>
          <w:szCs w:val="17"/>
          <w:b w:val="1"/>
          <w:bCs w:val="1"/>
          <w:color w:val="auto"/>
        </w:rPr>
        <w:t>Your only opportunity to affect the investment decision regarding a potential business combination may be limited to the exercise of your right to redeem your shares from us for cash.</w:t>
      </w:r>
    </w:p>
    <w:p>
      <w:pPr>
        <w:spacing w:after="0" w:line="7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one or more target businesses. Because our board of directors may consummate our initial business combination without seeking stockholder approval, public stockholders may not have the right or opportunity to vote on the business combination.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business combination.</w:t>
      </w:r>
    </w:p>
    <w:p>
      <w:pPr>
        <w:spacing w:after="0" w:line="173"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The ability of our public stockholders to redeem their shares for cash may make our financial condition unattractive to potential business combination targets, which may make it difficult for us to enter into our initial business combination with a target.</w:t>
      </w:r>
    </w:p>
    <w:p>
      <w:pPr>
        <w:spacing w:after="0" w:line="11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may enter into a transaction agreement with a prospective target that requires as a closing condition that we have a minimum net worth or a certain amount of cash. If too many public stockholders exercise their redemption rights, we may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would be aware of these risks and, thus, may be reluctant to enter into our initial business combination transaction with us.</w:t>
      </w:r>
    </w:p>
    <w:p>
      <w:pPr>
        <w:spacing w:after="0" w:line="181"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The ability of a large number of our stockholders to exercise redemption rights may not allow us to consummate the most desirable business combination or optimize our capital structure.</w:t>
      </w:r>
    </w:p>
    <w:p>
      <w:pPr>
        <w:spacing w:after="0" w:line="8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connection with the consummation of our business combination, we may redeem up to that number of shares of common stock that would permit us to maintain net tangible assets of $5,000,001. If our business combination requires us to use substantially all of our cash to pay the purchase price, the redemption threshold may be further limited. Alternatively, we may need to arrange third party financing to help fund our business combination in case a larger percentage of stockholders exercises its redemption rights than we expect. If the acquisition involves the issuance of our shares as consideration, we may be required to issue a higher percentage of our shares to the target or its stockholders to make up for the failure to satisfy a minimum cash requirement.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81"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The requirement that we maintain a minimum net worth or retain a certain amount of cash could increase the probability that we cannot consummate our business combination and that you would have to wait for liquidation in order to redeem your shares.</w:t>
      </w:r>
    </w:p>
    <w:p>
      <w:pPr>
        <w:spacing w:after="0" w:line="11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If, pursuant to the terms of our proposed business combination, we are required to maintain a minimum net worth or retain a certain amount of cash in trust in order to consummate the business combination, regardless of whether we proceed with redemptions under the tender offer or proxy rules, the probability that we cannot consummate our business combination is increased. If we do not consummate our business combination, you would not receive your pro rata portion of the trust account until we liquidate. If you are in need of immediate liquidity, you could attempt to sell your shares in the open market; however, at such time our shares may trade at a discount to the pro rata amount in our trust account. In either situation, you may suffer a material loss on your investment or lose the benefit of funds expected in connection with a redemption until we liquidate or you are able to sell your shares in the open market.</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The requirement that we complete our initial business combination within 15 months (or up to 18 months, as applicable) from the closing of this offering may give potential target businesses leverage over us in negotiating our initial business combination.</w:t>
      </w:r>
    </w:p>
    <w:p>
      <w:pPr>
        <w:spacing w:after="0" w:line="9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Any potential target business with which we enter into negotiations concerning our initial business combination will be aware that we must consummate our initial business combination within 15 months (or up to 18 months, as applicable) from the closing of this offering. Consequently, such target business may obtain leverage over us in negotiating our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61"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11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co-sponsors, officers and directors have agreed that we must complete our initial business combination within 15 months (or up to 18 months, as applicable) from the closing of this offering. We may not be able to find a suitable target business and consummate our initial business combination within such time period. If we are unable to consummate our initial business combination within the required time period, we will, as promptly as reasonably possible but not more than five business days thereafter (subject to our certificate of incorporation and Delaware law), distribute the aggregate amount then on deposit in the trust account (net of taxes payable), pro rata to our public stockholders by way of redemption and cease all operations except for the purposes of winding up of our affairs, as further described herein. This redemption of public stockholders from the trust account shall be effected as required by our certificate of incorporation and Delaware law, prior to any voluntary winding up.</w:t>
      </w:r>
    </w:p>
    <w:p>
      <w:pPr>
        <w:spacing w:after="0" w:line="181"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7"/>
          <w:szCs w:val="17"/>
          <w:b w:val="1"/>
          <w:bCs w:val="1"/>
          <w:color w:val="auto"/>
        </w:rPr>
        <w:t>If we seek stockholder approval of our business combination, our co-sponsors, directors, officers, advisors and their affiliates may elect to purchase shares from stockholders, in which case they may influence a vote in favor of a proposed business combination that you do not support.</w:t>
      </w:r>
    </w:p>
    <w:p>
      <w:pPr>
        <w:spacing w:after="0" w:line="9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we seek stockholder approval of our business combination and we do not conduct redemptions in connection with our business combination pursuant to the tender offer rules, our co-sponsors, directors, officers, advisors or their affiliates may purchase shares in privately negotiated transactions either prior to or following the consummation of our initial business combination. Such purchases will not be made if our co-sponsors, directors, officers, advisors or their affiliates are in possession of any material non-public information that has not been disclosed to the selling stockholder. Such a purchase would include a contractual acknowledgement that such stockholder, although still the record holder of our shares, is no longer the beneficial owner thereof and therefore agrees not to exercise its redemption rights. In the event that our co-sponsors,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It is intended that, if Rule 10b-18 under the Exchange Act would apply to purchases by our initial stockholders, directors, officers, advisors or their affiliates, then such purchases will comply with Rule 10b-18, to the extent it applies, which provides a safe harbor for purchased made under certain conditions, including with respect to timing, pricing and volume of purchases.</w:t>
      </w:r>
    </w:p>
    <w:p>
      <w:pPr>
        <w:spacing w:after="0" w:line="90"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purpose of such purchases would be to (1) increase the likelihood of obtaining stockholder approval of the business combination or (2) satisfy a closing condition in an agreement with a target that requires us to have a minimum net worth or a certain amount of cash at the closing of the initial business combination, where it appears that such requirement would otherwise not be met. This may result in the consummation of an initial business combination that may not otherwise have been possible.</w:t>
      </w:r>
    </w:p>
    <w:p>
      <w:pPr>
        <w:spacing w:after="0" w:line="172"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8"/>
          <w:szCs w:val="18"/>
          <w:b w:val="1"/>
          <w:bCs w:val="1"/>
          <w:color w:val="auto"/>
        </w:rPr>
        <w:t>Purchases of shares of common stock in the open market or in privately negotiated transactions by our co-sponsors, directors, officers, advisors or their affiliates may make it difficult for us to maintain the listing of our shares on a national securities exchange following the consummation of an initial business combination.</w:t>
      </w:r>
    </w:p>
    <w:p>
      <w:pPr>
        <w:spacing w:after="0" w:line="11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our co-sponsors, directors, officers, advisors or their affiliates purchase shares of common stock in the open market or in privately negotiated transactions, the public “float” of our shares of common stock and the number of beneficial holders of our securities would both be reduced, possibly making it difficult to maintain the listing or trading of our securities on a national securities exchange following consummation of the business combination.</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9" w:name="page30"/>
    <w:bookmarkEnd w:id="2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To liquidate your investment, therefore, you may be forced to sell your public shares, rights or warrants, potentially at a loss.</w:t>
      </w:r>
    </w:p>
    <w:p>
      <w:pPr>
        <w:spacing w:after="0" w:line="9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Our public stockholders are entitled to receive funds from the trust account only in the event of a redemption to public stockholders prior to any winding up in the event we do not consummate our initial business combination or our liquidation, if they redeem their shares in connection with an initial business combination that we consummate, or if we seek to amend our certificate of incorporation to affect the substance or timing of our redemption obligation to redeem all public shares if we cannot complete an initial business combination within 15 months (or up to 18 months, as applicable) of the closing of this offering.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 In no other circumstances will a stockholder have any right or interest of any kind to the funds in the trust account. Accordingly, to liquidate your investment, you may be forced to sell your public shares, rights or warrants, potentially at a loss.</w:t>
      </w:r>
    </w:p>
    <w:p>
      <w:pPr>
        <w:spacing w:after="0" w:line="178"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9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Because the net proceeds of this offering are intended to be used to complete our initial business combination with a target business that has not been identified, we may be deemed to be a “blank check” company under the United States securities laws. However, because we will have net tangible assets in excess of $5,000,000 upon the consummation of this offering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companies have that are subject to Rule 419. Moreover, offerings subject to Rule 419 would prohibit the release of any interest earned on funds held in the trust account to us. For a more detailed comparison of our offering to offerings that comply with Rule 419, please see “Proposed Business — Comparison to Offerings of Blank Check Companies Subject to Rule 419.”</w:t>
      </w:r>
    </w:p>
    <w:p>
      <w:pPr>
        <w:spacing w:after="0" w:line="175"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8"/>
          <w:szCs w:val="18"/>
          <w:b w:val="1"/>
          <w:bCs w:val="1"/>
          <w:color w:val="auto"/>
        </w:rPr>
        <w:t>If we seek stockholder approval of our business combination and we do not conduct redemptions pursuant to the tender offer rules, and if you or a “group” of stockholders are deemed to hold in excess of 20% of our shares of common stock, you will lose the ability to redeem all such shares in excess of 20% of our shares of common stock.</w:t>
      </w:r>
    </w:p>
    <w:p>
      <w:pPr>
        <w:spacing w:after="0" w:line="11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business combination pursuant to the tender offer rules, our certificate of incorporation provides that a public stockholder, individually or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Your inability to redeem more than an aggregate of 20% of the shares sold in this offering will reduce your influence over our ability to consummate our initial business combination and you could suffer a material loss on your investment in us if you sell such excess shares in open market transactions. As a result, you will continue to hold that number of shares exceeding 20% and, in order to dispose of such shares, you would be required to sell your shares in open market transaction, potentially at a loss. Furthermore,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If the net proceeds of this offering not being held in the trust account are insufficient to allow us to operate for at least the next 15 months (or up to 18 months, as applicable), we may be unable to complete our initial business combination.</w:t>
      </w:r>
    </w:p>
    <w:p>
      <w:pPr>
        <w:spacing w:after="0" w:line="9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 funds available to us outside of the trust account may not be sufficient to allow us to operate for at least the next 15 months (or up to 18 months, as applicable), assuming that our initial business combination is not consummated during that time.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are unable to fund such down payments or “no shop” provisions, our ability to close a contemplated transaction could be impaired.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only receive a pro rata portion of the amount then in the trust account (which may be less than $10.10 per share) (whether or not the underwriters’ over-allotment option is exercised in full) on our redemption, and our rights and warrants will expire worthless.</w:t>
      </w:r>
    </w:p>
    <w:p>
      <w:pPr>
        <w:spacing w:after="0" w:line="163"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Subsequent to our consummation of our initial business combination, we may be required to take write-downs or write-offs, restructuring and impairment or other charges.</w:t>
      </w:r>
    </w:p>
    <w:p>
      <w:pPr>
        <w:spacing w:after="0" w:line="9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Even if we conduct thorough due diligence on a target business with which we combine, this diligence may not surface all material issues that may be present inside a particular target business. Even with thorough due diligence, we may not be able to uncover all material issues, and there may be factors outside of the target business and outside of our control that may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175"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Our directors may decide not to enforce indemnification obligations against our co-sponsors, resulting in a reduction in the amount of funds in the trust account available for distribution to our public stockholders.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In the event that the proceeds in the trust account are reduced below $10.10 per share (whether or not the underwriters’ overallotment option is exercised in full) and either of our co-sponsors asserts that it is unable to satisfy its obligations or that it has no indemnification obligations related to a particular claim, our independent directors would determine on our behalf whether to take legal action against such co-sponsor to enforce its indemnification obligations. While we currently expect that our independent directors would take legal action on our behalf against either co-sponsor to enforce its indemnification obligations to us, it is possible that our independent directors in exercising their business judgment may choose not to do so in any particular instance. If our independent directors choose not to enforce these indemnification obligations on our behalf, the amount of funds in the trust account available for distribution to our public stockholders may be reduced below $10.10 per share.</w:t>
      </w:r>
    </w:p>
    <w:p>
      <w:pPr>
        <w:spacing w:after="0" w:line="190"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 restrictions on the nature of our investments and restrictions on the issuance of securities, each of which may make it difficult for us to complete our initial business combination. In addition, we may have imposed upon us burdensome requirements, including registration as an investment company, adoption of a specific form of corporate structure and reporting, record keeping, voting, proxy and disclosure requirements and other rules and regulations.</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1" w:name="page32"/>
    <w:bookmarkEnd w:id="3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If we were deemed to be subject to the Investment Company Act, compliance with these additional regulatory burdens would require additional expenses for which we have not allotted funds and may hinder our ability to consummate our initial business combination.</w:t>
      </w:r>
    </w:p>
    <w:p>
      <w:pPr>
        <w:spacing w:after="0" w:line="180"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If we are unable to consummate our initial business combination, our public stockholders may be forced to wait up to 15 months (or up to 18 months, as applicable) or longer before redemption from our trust account.</w:t>
      </w:r>
    </w:p>
    <w:p>
      <w:pPr>
        <w:spacing w:after="0" w:line="11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we are unable to consummate our initial business combination within 15 months (or up to 18 months, as applicable) from the closing of this offering, we will, as promptly as reasonably possible but not more than five business days thereafter (subject to our certificate of incorporation and applicable law), distribute the aggregate amount then on deposit in the trust account (net of taxes payable), pro rata to our public stockholders by way of redemption and cease all operations except for the purposes of winding up of our affairs by way of a voluntary liquidation, as further described herein. Any redemption of public stockholders from the trust account shall be effected as required by our certificate of incorporation prior to our commencing any voluntary liquidation. Except as otherwise described herein, we have no obligation to return funds to investors prior to the date of any redemption required as a result of our failure to consummate our initial business combination within the period described above or our liquidation, unless we consummate our initial business combination prior thereto and only then in cases where investors have sought to redeem their shares of common stock. Only upon any such redemption of public shares as we are required to effect or any liquidation will public stockholders be entitled to distributions if we are unable to complete our initial business combination.</w:t>
      </w:r>
    </w:p>
    <w:p>
      <w:pPr>
        <w:spacing w:after="0" w:line="170"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The grant of registration rights to our initial stockholders may make it more difficult to complete our initial business combination, and the future exercise of such rights may adversely affect the market price of our shares of common stock.</w:t>
      </w:r>
    </w:p>
    <w:p>
      <w:pPr>
        <w:spacing w:after="0" w:line="112"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Pursuant to an agreement to be entered into on the date of this prospectus, our initial stockholders, our co-sponsors (and/or our co-sponsors’ designees) and their permitted transferees can demand that we register the founder shares and the private warrants and the underlying securities. We will bear the cost of registering these securities. The registration and availability of such a significant number of securities for trading in the public market may have an adverse effect on the market price of our shares of common stock. In addition, the existence of the registration rights may make our initial business combination more costly or difficult to conclude. This is because the stockholder of the target business may increase the equity stake they seek in the combined entity or ask for more cash consideration to offset the negative impact on the market price of our shares of common stock that is expected when the securities owned by our co-sponsors, holders of our private units or their respective permitted transferees are registered. Chardan Capital Markets, LLC and its related persons may not, with respect to the private warrants (and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87"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Because we have not selected a particular business or specific geographic location or any specific target businesses with which to pursue our initial business combination, you will be unable to ascertain the merits or risks of any particular target business’ operations.</w:t>
      </w:r>
    </w:p>
    <w:p>
      <w:pPr>
        <w:spacing w:after="0" w:line="9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Although we have a stated focus on certain target businesses in a specific geographic location as indicated elsewhere in this prospectus, we may pursue acquisition opportunities in any geographic region. While we may pursue an acquisition opportunity in any business industry or sector, we intend to initially focus on those industries or sectors that complement our management team’s background. Except for the limitations that a target business have a fair market value of at least 80% of the value of the trust account (excluding any taxes payable on the income earned on the trust account) and that we are not permitted to effectuate our initial business combination with another blank check company or similar company with nominal operations, we will have virtually unrestricted flexibility in identifying and selecting a prospective acquisition candidate. Because we have not yet identified or approached any specific target business with respect to our initial business combination, there is no basis to evaluate the possible merits or risks of any particular target business’s operations, results of operations, cash flows, liquidity, financial condition or prospects. To the extent we consummate our initial business combination, we may be affected by numerous risks inherent in the business operations with which we combine. For example, if we combine with a financially unstable business or an</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2" w:name="page33"/>
    <w:bookmarkEnd w:id="3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we may not have adequate time to complete due diligence with respect to the target business and its industry. Furthermore, some of these risks may be outside of our control and leave us with no ability to control or reduce the chances that those risks will adversely impact a target business. In addition, investors will be relying on the business judgment of our board of directors, which will have significant discretion in choosing the standard used to establish the fair market value of a particular target business. An investment in our units may not ultimately prove to be more favorable to investors than a direct investment, if such opportunity were available, in an acquisition target.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Completing a Business Combination</w:t>
      </w:r>
    </w:p>
    <w:p>
      <w:pPr>
        <w:spacing w:after="0" w:line="225"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The ability of our public stockholders to exercise their redemption rights may not allow us to effectuate the most desirable business combination or optimize our capital structure.</w:t>
      </w:r>
    </w:p>
    <w:p>
      <w:pPr>
        <w:spacing w:after="0" w:line="9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our initial business combination requires us to use substantially all of our cash to pay the purchase price, because we will not know how many public stockholders may exercise redemption rights, we may either need to reserve part of the trust account for possible payment upon such redemption, or we may need to arrange third party financing to help fund our initial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74"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A public stockholder who fails to vote either in favor of or against a proposed business combination may not be able to have his, her or its shares redeemed for cash.</w:t>
      </w:r>
    </w:p>
    <w:p>
      <w:pPr>
        <w:spacing w:after="0" w:line="9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7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7"/>
          <w:szCs w:val="17"/>
          <w:b w:val="1"/>
          <w:bCs w:val="1"/>
          <w:color w:val="auto"/>
        </w:rPr>
        <w:t>We will require public stockholders who wish to redeem their shares of common stock in connection with a proposed business combination or amendment to our certificate of incorporation to effect the substance or timing of their redemption obligation if we fail to timely complete a business combination to comply with specific requirements for redemption that may make it more difficult for them to exercise their redemption rights prior to the deadline for exercising their rights.</w:t>
      </w:r>
    </w:p>
    <w:p>
      <w:pPr>
        <w:spacing w:after="0" w:line="91"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We will require our public stockholders seeking to exercise their redemption rights, whether they are record holders or hold their shares in “street name,” to either tender their certificates to our transfer agent prior to the expiration date set forth in the tender offer documents mailed to such holders, or in the event we distribute proxy materials, up to two business days prior to the vote on the proposal to approve the business combination or amendment to our certificate of incorporation to affect the substance or timing of our redemption obligation to redeem all public shares if we cannot complete an initial business combination, or to deliver their shares to the transfer agent electronically using Depository Trust Company’s DWAC (Deposit/Withdrawal At Custodian) System, at the holder’s option.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Delaware law, we are required to provide at least 10 days’ advance notice of any stockholder meeting, which would be the minimum amount of time a stockholder would have to determine whether to exercise redemption rights. Accordingly, if it takes longer than we anticipate for stockholders to deliver their shares, stockholders who wish to redeem may be unable to meet the deadline for exercising their redemption rights and thus may be unable to redeem their shares.</w:t>
      </w:r>
    </w:p>
    <w:p>
      <w:pPr>
        <w:sectPr>
          <w:pgSz w:w="11900" w:h="16838" w:orient="portrait"/>
          <w:cols w:equalWidth="0" w:num="1">
            <w:col w:w="9019"/>
          </w:cols>
          <w:pgMar w:left="1440" w:top="274"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3" w:name="page34"/>
    <w:bookmarkEnd w:id="3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Redeeming stockholders may be unable to sell their securities when they wish to in the event that the proposed business combination is not approved.</w:t>
      </w:r>
    </w:p>
    <w:p>
      <w:pPr>
        <w:spacing w:after="0" w:line="8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We will require public stockholders who wish to redeem their shares of common stock in connection with any proposed business combination to comply with the delivery requirements discussed above for redemption. If such proposed business combination is not consummated, we will promptly return such certificates to the tendering public stockholders. Accordingly, investors who attempted to redeem their shares in such a circumstance will be unable to sell their securities after the failed acquisition until we have returned their securities to them. The market price for our shares of common stock may decline during this time, and you may not be able to sell your securities when you wish, even while other stockholders that did not seek redemption may be able to sell their securities.</w:t>
      </w:r>
    </w:p>
    <w:p>
      <w:pPr>
        <w:spacing w:after="0" w:line="174"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Because of our structure, other companies may have a competitive advantage and we may not be able to consummate an attractive business combination.</w:t>
      </w:r>
    </w:p>
    <w:p>
      <w:pPr>
        <w:spacing w:after="0" w:line="9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acquiring certain sizable target businesses may be limited by our available financial resources. This inherent competitive limitation gives others an advantage in pursuing the acquisition of certain target businesses. Furthermore, seeking stockholder approval of our initial business combination may delay the consummation of a transaction. Any of the foregoing may place us at a competitive disadvantage in successfully negotiating our initial business combination.</w:t>
      </w:r>
    </w:p>
    <w:p>
      <w:pPr>
        <w:spacing w:after="0" w:line="178"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Our Certificate of Incorporation contains provisions that prohibit our engaging in business combinations with interested stockholders in certain circumstances.</w:t>
      </w:r>
    </w:p>
    <w:p>
      <w:pPr>
        <w:spacing w:after="0" w:line="9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06" w:lineRule="exact"/>
        <w:rPr>
          <w:sz w:val="20"/>
          <w:szCs w:val="20"/>
          <w:color w:val="auto"/>
        </w:rPr>
      </w:pPr>
    </w:p>
    <w:p>
      <w:pPr>
        <w:ind w:left="1320" w:right="459" w:hanging="434"/>
        <w:spacing w:after="0" w:line="277" w:lineRule="auto"/>
        <w:tabs>
          <w:tab w:leader="none" w:pos="16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5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66⅔% of the outstanding voting stock that is not owned by the interested stockholder.</w:t>
      </w:r>
    </w:p>
    <w:p>
      <w:pPr>
        <w:spacing w:after="0" w:line="103"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with the interested stockholder. Subject to certain exceptions, an “interested stockholder” is a person who, together with that person’s affiliates and associates, owns, or within the previous three years owned, 20% or more of our voting stock</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amended and restated certificate of incorporation provides that our co-sponsors and their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3" w:lineRule="exact"/>
        <w:rPr>
          <w:sz w:val="20"/>
          <w:szCs w:val="20"/>
          <w:color w:val="auto"/>
        </w:rPr>
      </w:pPr>
    </w:p>
    <w:p>
      <w:pPr>
        <w:jc w:val="both"/>
        <w:ind w:left="460" w:right="459"/>
        <w:spacing w:after="0" w:line="256"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stockholders may only receive $10.10 per share or even less (whether or not the underwriters’ over-allotment option is exercised in full) on our redemption, and the rights and warrants will expire worthless.</w:t>
      </w:r>
    </w:p>
    <w:p>
      <w:pPr>
        <w:spacing w:after="0" w:line="124"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Although we believe that the net proceeds of this offering will be sufficient to allow us to consummate our initial business combination, because we have not yet identified any prospective target business we cannot ascertain the capital requirements for any particular transaction or our costs to operate or locate a transaction. If the net proceeds of this offering prove to be insufficient, either because of the size of our initial business combination, the depletion of the available net proceeds in search of a target business, the obligation to repurchase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Financing may not be available on acceptable terms, if at all. The current economic environment, including due to the effects of the COVID-19 pandemic, has made it especially difficult for companies to obtain acquisition financing. To the extent that additional financing proves to be unavailable when needed to consummate our initial business combination, we would be compelled to either restructure the transaction or abandon that particular initial business combination and seek an alternative target business candidate. If we are unable to complete our initial business combination, our public stockholders may only receive $10.10 per share or even less (whether or not the underwriters’ over-allotment option is exercised in full) on our redemption, and the rights and warrants will expire worthless. In addition, even if we do not need additional financing to consummate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81" w:lineRule="exact"/>
        <w:rPr>
          <w:sz w:val="20"/>
          <w:szCs w:val="20"/>
          <w:color w:val="auto"/>
        </w:rPr>
      </w:pPr>
    </w:p>
    <w:p>
      <w:pPr>
        <w:jc w:val="both"/>
        <w:ind w:left="460" w:right="479"/>
        <w:spacing w:after="0" w:line="312" w:lineRule="auto"/>
        <w:rPr>
          <w:sz w:val="20"/>
          <w:szCs w:val="20"/>
          <w:color w:val="auto"/>
        </w:rPr>
      </w:pPr>
      <w:r>
        <w:rPr>
          <w:rFonts w:ascii="Arial" w:cs="Arial" w:eastAsia="Arial" w:hAnsi="Arial"/>
          <w:sz w:val="17"/>
          <w:szCs w:val="17"/>
          <w:b w:val="1"/>
          <w:bCs w:val="1"/>
          <w:color w:val="auto"/>
        </w:rPr>
        <w:t>Our co-sponsors control a substantial interest in us and thus may exert a substantial influence on actions requiring a stockholder vote, potentially in a manner that you do not support.</w:t>
      </w:r>
    </w:p>
    <w:p>
      <w:pPr>
        <w:spacing w:after="0" w:line="76"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Upon closing of this offering, our initial stockholders and co-sponsors (and/or their designees) collectively will own 20% of our issued and outstanding shares of common stock (assuming they do not purchase any units in this offering). Accordingly, they may exert a substantial influence on actions requiring a stockholder vote, potentially in a manner that you do not support, including amendments to our certificate of incorporation. If our co-sponsors purchase any units in this offering or if our co-sponsors purchase any additional shares of common stock in the aftermarket or in privately negotiated transactions, this would increase their control. Factors that would be considered in making such additional purchases would include consideration of the current trading price of our shares of common stock.</w:t>
      </w:r>
    </w:p>
    <w:p>
      <w:pPr>
        <w:spacing w:after="0" w:line="174"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7"/>
          <w:szCs w:val="17"/>
          <w:b w:val="1"/>
          <w:bCs w:val="1"/>
          <w:color w:val="auto"/>
        </w:rPr>
        <w:t>Our initial stockholders paid an aggregate of $25,000 for their shares, and, accordingly, you will experience immediate and substantial dilution from the purchase of our shares of common stock.</w:t>
      </w:r>
    </w:p>
    <w:p>
      <w:pPr>
        <w:spacing w:after="0" w:line="6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shares of common stock included in a unit and none to the rights and warrants included in a unit) and the pro forma net tangible book value per share after this offering constitutes the dilution to you and the other investors in this offering. Our initial stockholders acquired the founder shares at a nominal price, significantly contributing to this dilution. Upon closing of this offering, you and the other public stockholders will incur an immediate and substantial dilution of approximately 89.3% or $8.50 per share (the difference between the pro forma net tangible book value per share of $1.02 and the initial offering price of $9.52 per share immediately upon the closing of this offering (including the shares of common stock issuable upon conversion of rights)), or approximately 90.6% dilution or $8.62 per share (the difference between the pro forma net tangible book value per share of $0.90 and the initial offering price of $9.52 per share (including the shares of common stock issuable upon conversion of rights)) if the over-allotment is fully exercised.</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5" w:name="page36"/>
    <w:bookmarkEnd w:id="3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A provision of our warrant agreement may make it more difficult for use to consummate an initial business combination.</w:t>
      </w:r>
    </w:p>
    <w:p>
      <w:pPr>
        <w:spacing w:after="0" w:line="8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Unlike most blank check companies, if we issue additional shares of common stock or equity-linked securities for capital raising purposes in connection with the closing of our initial business combination at a newly issued price of less than $9.20 per share of common stock, then the exercise price of the warrants will be adjusted to be equal to 115% of the newly issued price and the $16.50 per share redemption trigger price will be adjusted (to the nearest cent) to be equal to 165% of the market value (the volume weighted average trading price of the common stock during the 20 trading day period starting on the trading day prior to the consummation of an initial business combination). This may make it more difficult for us to consummate an initial business combination with a target business.</w:t>
      </w:r>
    </w:p>
    <w:p>
      <w:pPr>
        <w:spacing w:after="0" w:line="174" w:lineRule="exact"/>
        <w:rPr>
          <w:sz w:val="20"/>
          <w:szCs w:val="20"/>
          <w:color w:val="auto"/>
        </w:rPr>
      </w:pPr>
    </w:p>
    <w:p>
      <w:pPr>
        <w:jc w:val="both"/>
        <w:ind w:left="460" w:right="459"/>
        <w:spacing w:after="0" w:line="258" w:lineRule="auto"/>
        <w:rPr>
          <w:sz w:val="20"/>
          <w:szCs w:val="20"/>
          <w:color w:val="auto"/>
        </w:rPr>
      </w:pPr>
      <w:r>
        <w:rPr>
          <w:rFonts w:ascii="Arial" w:cs="Arial" w:eastAsia="Arial" w:hAnsi="Arial"/>
          <w:sz w:val="18"/>
          <w:szCs w:val="18"/>
          <w:b w:val="1"/>
          <w:bCs w:val="1"/>
          <w:color w:val="auto"/>
        </w:rPr>
        <w:t>Although we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2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Although we have identified specific criteria and guidelines for evaluating prospective target businesses, it is possible that a target business with which we enter into our initial business combination will not have all of these attributes. If we consummate our initial business combination with a target that does not meet some or all of these guidelines, such combination may not be as successful as a combination with a business that does meet all of our general criteria and guidelines. In addition, if we announce our initial business combination with a target that does not meet our general criteria and guidelines, a greater number of stockholders may exercise its redemption rights, which may make it difficult for us to meet any closing condition with a target business that requires us to have a minimum net worth or a certain amount of cash. In addition, if stockholder approval of the transaction is required by law or Nasdaq,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only receive $10.10 per share or even less (whether or not the underwriters’ over-allotment option is exercised in full) on our redemption, and our rights and warrants will expire worthless.</w:t>
      </w:r>
    </w:p>
    <w:p>
      <w:pPr>
        <w:spacing w:after="0" w:line="180" w:lineRule="exact"/>
        <w:rPr>
          <w:sz w:val="20"/>
          <w:szCs w:val="20"/>
          <w:color w:val="auto"/>
        </w:rPr>
      </w:pPr>
    </w:p>
    <w:p>
      <w:pPr>
        <w:jc w:val="both"/>
        <w:ind w:left="460" w:right="459"/>
        <w:spacing w:after="0" w:line="314" w:lineRule="auto"/>
        <w:rPr>
          <w:sz w:val="20"/>
          <w:szCs w:val="20"/>
          <w:color w:val="auto"/>
        </w:rPr>
      </w:pPr>
      <w:r>
        <w:rPr>
          <w:rFonts w:ascii="Arial" w:cs="Arial" w:eastAsia="Arial" w:hAnsi="Arial"/>
          <w:sz w:val="16"/>
          <w:szCs w:val="16"/>
          <w:b w:val="1"/>
          <w:bCs w:val="1"/>
          <w:color w:val="auto"/>
        </w:rPr>
        <w:t>Management’s flexibility in identifying and selecting a prospective acquisition candidate, along with our management’s financial interest in consummating our initial business combination, may lead management to enter into an acquisition agreement that is not in the best interest of our stockholders.</w:t>
      </w:r>
    </w:p>
    <w:p>
      <w:pPr>
        <w:spacing w:after="0" w:line="7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we will have virtually unrestricted flexibility in identifying and selecting a prospective acquisition candidate. Investors will be relying on management’s ability to identify business combinations, evaluate their merits, conduct or monitor diligence and conduct negotiations. Management’s flexibility in identifying and selecting a prospective acquisition candidate, along with management’s financial interest in consummating our initial business combination, may lead management to enter into an acquisition agreement that is not in the best interest of our stockholders, which would be the case if the trading price of our shares of common stock after giving effect to such business combination was less than the per-share trust liquidation value that our stockholders would have received if we had dissolved without consummating our initial business combination.</w:t>
      </w:r>
    </w:p>
    <w:p>
      <w:pPr>
        <w:spacing w:after="0" w:line="175" w:lineRule="exact"/>
        <w:rPr>
          <w:sz w:val="20"/>
          <w:szCs w:val="20"/>
          <w:color w:val="auto"/>
        </w:rPr>
      </w:pPr>
    </w:p>
    <w:p>
      <w:pPr>
        <w:jc w:val="both"/>
        <w:ind w:left="460" w:right="459"/>
        <w:spacing w:after="0" w:line="314" w:lineRule="auto"/>
        <w:rPr>
          <w:sz w:val="20"/>
          <w:szCs w:val="20"/>
          <w:color w:val="auto"/>
        </w:rPr>
      </w:pPr>
      <w:r>
        <w:rPr>
          <w:rFonts w:ascii="Arial" w:cs="Arial" w:eastAsia="Arial" w:hAnsi="Arial"/>
          <w:sz w:val="16"/>
          <w:szCs w:val="16"/>
          <w:b w:val="1"/>
          <w:bCs w:val="1"/>
          <w:color w:val="auto"/>
        </w:rPr>
        <w:t>We are not required to obtain an opinion from an independent investment banking firm in connection with a business combination, and consequently, an independent source may not confirm that the price we are paying for the business is fair to our stockholders from a financial point of view.</w:t>
      </w:r>
    </w:p>
    <w:p>
      <w:pPr>
        <w:spacing w:after="0" w:line="65"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Unless we consummate our initial business combination with an affiliated entity, we are not required to obtain an opinion from an independent investment banking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6" w:name="page37"/>
    <w:bookmarkEnd w:id="3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386" w:lineRule="auto"/>
        <w:rPr>
          <w:sz w:val="20"/>
          <w:szCs w:val="20"/>
          <w:color w:val="auto"/>
        </w:rPr>
      </w:pPr>
      <w:r>
        <w:rPr>
          <w:rFonts w:ascii="Arial" w:cs="Arial" w:eastAsia="Arial" w:hAnsi="Arial"/>
          <w:sz w:val="15"/>
          <w:szCs w:val="15"/>
          <w:b w:val="1"/>
          <w:bCs w:val="1"/>
          <w:color w:val="auto"/>
        </w:rPr>
        <w:t>We may seek investment opportunities outside our management’s area of expertise and our management may not be able to adequately ascertain or assess all significant risks associated with the target company.</w:t>
      </w:r>
    </w:p>
    <w:p>
      <w:pPr>
        <w:spacing w:after="0" w:line="1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There is no limitation on the industry or business sector we may consider when contemplating our initial business combination. We may therefore be presented with a business combination candidate in an industry unfamiliar to our management team, but determine that such candidate offers an attractive investment opportunity for our company. In the event we elect to pursue an investment outside of our management’s expertise, our management’s experience may not be directly applicable to the target business or the evaluation of its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Resources could be wasted in researching acquisitions that are not consummated.</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only receive $10.10 per share or even less (whether or not the underwriters’ over-allotment option is exercised in full) on our redemption, and our rights and warrants will expire worthless.</w:t>
      </w:r>
    </w:p>
    <w:p>
      <w:pPr>
        <w:spacing w:after="0" w:line="178"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largely dependent upon the efforts of our officers, directors and key personnel, some of whom may join us following our initial business combination.</w:t>
      </w:r>
    </w:p>
    <w:p>
      <w:pPr>
        <w:spacing w:after="0" w:line="11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operations are dependent upon a relatively small group of individuals and, in particular, our officers and directors. We believe that our success depends on the continued service of our officers and directors, at least until we have consummated our initial business combination. In addition, our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w:t>
      </w:r>
    </w:p>
    <w:p>
      <w:pPr>
        <w:spacing w:after="0" w:line="97"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 role of such persons in the target business, however, cannot presently be ascertained. Although some of such persons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our assessment of these individuals may not prove to be correct. These individuals may be unfamiliar with the requirements of operating a company regulated by the SEC, which could cause us to have to expend time and resources helping them become familiar with such requirements.</w:t>
      </w:r>
    </w:p>
    <w:p>
      <w:pPr>
        <w:spacing w:after="0" w:line="162" w:lineRule="exact"/>
        <w:rPr>
          <w:sz w:val="20"/>
          <w:szCs w:val="20"/>
          <w:color w:val="auto"/>
        </w:rPr>
      </w:pPr>
    </w:p>
    <w:p>
      <w:pPr>
        <w:jc w:val="both"/>
        <w:ind w:left="460" w:right="459"/>
        <w:spacing w:after="0" w:line="303" w:lineRule="auto"/>
        <w:rPr>
          <w:sz w:val="20"/>
          <w:szCs w:val="20"/>
          <w:color w:val="auto"/>
        </w:rPr>
      </w:pPr>
      <w:r>
        <w:rPr>
          <w:rFonts w:ascii="Arial" w:cs="Arial" w:eastAsia="Arial" w:hAnsi="Arial"/>
          <w:sz w:val="16"/>
          <w:szCs w:val="16"/>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87"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Our key personnel may be able to remain with us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the business combination. The personal and financial interests of such individuals may influence their motivation in identifying and selecting a target business. However, we believe the ability of such individuals to remain with us after the consummation of our initial business combination will not be the determining factor in our decision as to whether or not we will proceed with any potential business combination. There is no certainty, however, that any of our key personnel will remain with us after the consummation of our initial business combination. Our key personnel may not remain in senior management or advisory positions with us. The determination as to whether any of our key personnel will remain with us will be made at the time of our initial business combination.</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7" w:name="page38"/>
    <w:bookmarkEnd w:id="3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effectuate our initial business combination with a target business whose management may not have the skills, qualifications or abilities to manage a public company.</w:t>
      </w:r>
    </w:p>
    <w:p>
      <w:pPr>
        <w:spacing w:after="0" w:line="9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expected skills, qualifications or abilities. Should the target’s management not possess the skills, qualifications or abilities necessary to manage a public company, the operations and profitability of the post-combination business may be negatively impacted.</w:t>
      </w:r>
    </w:p>
    <w:p>
      <w:pPr>
        <w:spacing w:after="0" w:line="174"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The officers and directors of an acquisition candidate may resign upon consummation of our initial business combination. The loss of an acquisition target’s key personnel could negatively impact the operations and profitability of our post-combination business.</w:t>
      </w:r>
    </w:p>
    <w:p>
      <w:pPr>
        <w:spacing w:after="0" w:line="11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role of an acquisition candidate’s key personnel upon the consummation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some members of the management team of an acquisition candidate will not wish to remain in place.</w:t>
      </w:r>
    </w:p>
    <w:p>
      <w:pPr>
        <w:spacing w:after="0" w:line="184" w:lineRule="exact"/>
        <w:rPr>
          <w:sz w:val="20"/>
          <w:szCs w:val="20"/>
          <w:color w:val="auto"/>
        </w:rPr>
      </w:pPr>
    </w:p>
    <w:p>
      <w:pPr>
        <w:jc w:val="both"/>
        <w:ind w:left="460" w:right="479"/>
        <w:spacing w:after="0" w:line="314" w:lineRule="auto"/>
        <w:rPr>
          <w:sz w:val="20"/>
          <w:szCs w:val="20"/>
          <w:color w:val="auto"/>
        </w:rPr>
      </w:pPr>
      <w:r>
        <w:rPr>
          <w:rFonts w:ascii="Arial" w:cs="Arial" w:eastAsia="Arial" w:hAnsi="Arial"/>
          <w:sz w:val="16"/>
          <w:szCs w:val="16"/>
          <w:b w:val="1"/>
          <w:bCs w:val="1"/>
          <w:color w:val="auto"/>
        </w:rPr>
        <w:t>Certain of our officers and directors are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7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Following the completion of this offering and until we consummate our business combination, we intend to engage in the business of identifying and combining with one or more businesses. Certain of our executive officers and directors are affiliated with entities that are engaged in a similar business.</w:t>
      </w:r>
    </w:p>
    <w:p>
      <w:pPr>
        <w:spacing w:after="0" w:line="84"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Our officers and directors may become aware of business opportunities which may be appropriate for presentation to us and the other entities to which they owe certain fiduciary duties. Accordingly, they may have conflicts of interest in determining to which entity a particular business opportunity should be presented.</w:t>
      </w:r>
    </w:p>
    <w:p>
      <w:pPr>
        <w:spacing w:after="0" w:line="8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For example, Messrs. Grossman and Weil are affiliated with Chardan Capital Markets, LLC, which is also the underwriter in this offering. Each of Mr. Grossman and Mr. Weil owes a pre-existing fiduciary duty to Chardan Capital Markets, LLC, meaning that each may present opportunities to Chardan Capital Markets, LLC prior to presenting them to us, if, for example, a potential target company is open to either raising funds in an offering or engaging in a transaction with a blank check company. This may limit the number of potential targets these individuals present to us for purposes of completing a business combination. Furthermore, Mr. Grossman is a director of each of LifeSci Acquisition Corp. and Chardan Healthcare Acquisition 2 Corp., and an officer of Chardan Healthcare Acquisition 2 Corp. Mr. Levin is a director of 10X Capital Venture Acquisition Corp. Each of LifeSci Acquisition Corp., Chardan Healthcare Acquisition 2 Corp. and 10X Capital Venture Acquisition Corp. is a special purpose acquisition company that is seeking a target for a business combination. These entities may have priority over us in connection with potential target business identified by each of them. These affiliations may limit the number of potential targets these individuals present to us for purposes of completing a business combination.</w:t>
      </w:r>
    </w:p>
    <w:p>
      <w:pPr>
        <w:spacing w:after="0" w:line="11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Any conflict of interest may not be resolved in our favor, and potential target businesses may be presented to another entity prior to their presentation to us.</w:t>
      </w:r>
    </w:p>
    <w:p>
      <w:pPr>
        <w:spacing w:after="0" w:line="166" w:lineRule="exact"/>
        <w:rPr>
          <w:sz w:val="20"/>
          <w:szCs w:val="20"/>
          <w:color w:val="auto"/>
        </w:rPr>
      </w:pPr>
    </w:p>
    <w:p>
      <w:pPr>
        <w:jc w:val="both"/>
        <w:ind w:left="460" w:right="479"/>
        <w:spacing w:after="0" w:line="289" w:lineRule="auto"/>
        <w:rPr>
          <w:sz w:val="20"/>
          <w:szCs w:val="20"/>
          <w:color w:val="auto"/>
        </w:rPr>
      </w:pPr>
      <w:r>
        <w:rPr>
          <w:rFonts w:ascii="Arial" w:cs="Arial" w:eastAsia="Arial" w:hAnsi="Arial"/>
          <w:sz w:val="17"/>
          <w:szCs w:val="17"/>
          <w:b w:val="1"/>
          <w:bCs w:val="1"/>
          <w:color w:val="auto"/>
        </w:rPr>
        <w:t>Certain shares beneficially owned by our officers and directors will not participate in liquidation distributions and, therefore, our officers and directors may have a conflict of interest in determining whether a particular target business is appropriate for our initial business combination.</w:t>
      </w:r>
    </w:p>
    <w:p>
      <w:pPr>
        <w:spacing w:after="0" w:line="8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officers and directors have waived their right to redeem any shares in connection with our initial business combination, or to receive distributions with respect to their founder shares upon our liquidation if we are unable to consummate our initial business combination. Accordingly, these securities will be worthless if we do not consummate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our initial business combination. Any warrants they hold, like those held by the public, will also be worthless if we do not consummate an initial business combination. 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60"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We may engage in our initial business combination with one or more target businesses that have relationships with entities that may be affiliated with our executive officers, directors or existing holders, which may raise potential conflicts of interest.</w:t>
      </w:r>
    </w:p>
    <w:p>
      <w:pPr>
        <w:spacing w:after="0" w:line="11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light of the involvement of our co-sponsors, officers and directors with other entities, we may decide to acquire one or more businesses affiliated with our co-sponsors, officers and directors. Our directors also serve as officers and board members for other entities. Our co-sponsors, officers and directors are not currently aware of any specific opportunities for us to consummate our initial business combination with any entities with which they are affiliated, and there have been no preliminary discussions concerning a business combination with any entity or entities. Although we will not be specifically focusing on, or targeting, any transaction with any affiliated entities, we would pursue such a transaction if we determined that such affiliated entity met our criteria for our initial business combination as set forth in “Proposed Business — Investment Criteria” and such transaction was approved by a majority of our disinterested directors. Despite our agreement to obtain an opinion in connection with such transaction from an independent investment banking firm, or another independent entity that commonly renders valuation opinions on the type of target business we seek to acquire, regarding the fairness to our stockholders from a financial point of view of a business combination with one or more domestic or international businesses affiliated with our executive officers, directors or existing holders, potential conflicts of interest still may exist and, as a result, the terms of the business combination may not be as advantageous to our public stockholders as they would be absent any conflicts of interest. Our directors have a fiduciary duty to act in the best interests of our stockholders, whether or not a conflict of interest may exist.</w:t>
      </w:r>
    </w:p>
    <w:p>
      <w:pPr>
        <w:spacing w:after="0" w:line="165" w:lineRule="exact"/>
        <w:rPr>
          <w:sz w:val="20"/>
          <w:szCs w:val="20"/>
          <w:color w:val="auto"/>
        </w:rPr>
      </w:pPr>
    </w:p>
    <w:p>
      <w:pPr>
        <w:jc w:val="both"/>
        <w:ind w:left="460" w:right="479"/>
        <w:spacing w:after="0" w:line="261" w:lineRule="auto"/>
        <w:rPr>
          <w:sz w:val="20"/>
          <w:szCs w:val="20"/>
          <w:color w:val="auto"/>
        </w:rPr>
      </w:pPr>
      <w:r>
        <w:rPr>
          <w:rFonts w:ascii="Arial" w:cs="Arial" w:eastAsia="Arial" w:hAnsi="Arial"/>
          <w:sz w:val="18"/>
          <w:szCs w:val="18"/>
          <w:b w:val="1"/>
          <w:bCs w:val="1"/>
          <w:color w:val="auto"/>
        </w:rPr>
        <w:t>Because our co-sponsors will lose their entire initial investment in us if our initial business combination is not consummated and our officers and directors have significant financial interests in us, a conflict of interest may arise in determining whether a particular acquisition target is appropriate for our initial business combination.</w:t>
      </w:r>
    </w:p>
    <w:p>
      <w:pPr>
        <w:spacing w:after="0" w:line="116"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On September 19, 2019, Chardan Investments purchased 5,000,000 shares of common stock from us for $25,000. On July 23, 2020, Chardan Investments sold 3,250,000 shares of common stock back to us for</w:t>
      </w:r>
    </w:p>
    <w:p>
      <w:pPr>
        <w:jc w:val="both"/>
        <w:ind w:left="460" w:right="459"/>
        <w:spacing w:after="0" w:line="284" w:lineRule="auto"/>
        <w:rPr>
          <w:sz w:val="20"/>
          <w:szCs w:val="20"/>
          <w:color w:val="auto"/>
        </w:rPr>
      </w:pPr>
      <w:r>
        <w:rPr>
          <w:rFonts w:ascii="Arial" w:cs="Arial" w:eastAsia="Arial" w:hAnsi="Arial"/>
          <w:sz w:val="16"/>
          <w:szCs w:val="16"/>
          <w:color w:val="auto"/>
        </w:rPr>
        <w:t>$16,250.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As of the date hereof, Ventoux Acquisition holds 2,818,875 shares of common stock, of which Ventoux Acquisition intends to distribute 67,500 shares to certain of our directors prior to the consummation of the offering, resulting in Ventoux Acquisition holding a balance of 2,751,375 shares. The founder shares include an aggregate of up to 562,500 shares that are subject to forfeiture to the extent that the underwriters’ over-allotment option is not exercised in full or in part. The founder shares will be worthless if we do not consummate an initial business combination. In addition, Ventoux Acquisition has committed to purchase from us an aggregate of 4,000,000 warrants (or 4,450,000 warrants if the over-allotment option is exercised in full), and Chardan Investments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The founder shares, private warrants and warrants will be worthless if we do not consummate an initial business combination.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our initial business combination, which may adversely affect our financial condition and thus negatively impact the value of our stockholders’ investment in us.</w:t>
      </w:r>
    </w:p>
    <w:p>
      <w:pPr>
        <w:spacing w:after="0" w:line="9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we may choose to incur substantial debt to complete our initial business combination. If we incur any indebtedness without a waiver from any lender of any right, title, interest or claim of any kind in or to any monies held in the trust account, the incurrence of debt could have a variety of negative effects, including:</w:t>
      </w:r>
    </w:p>
    <w:p>
      <w:pPr>
        <w:spacing w:after="0" w:line="120" w:lineRule="exact"/>
        <w:rPr>
          <w:sz w:val="20"/>
          <w:szCs w:val="20"/>
          <w:color w:val="auto"/>
        </w:rPr>
      </w:pPr>
    </w:p>
    <w:p>
      <w:pPr>
        <w:ind w:left="1320" w:right="479" w:hanging="434"/>
        <w:spacing w:after="0" w:line="277" w:lineRule="auto"/>
        <w:tabs>
          <w:tab w:leader="none" w:pos="13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our initial business combination are insufficient to repay our debt obligations;</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3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02" w:lineRule="exact"/>
        <w:rPr>
          <w:rFonts w:ascii="Arial" w:cs="Arial" w:eastAsia="Arial" w:hAnsi="Arial"/>
          <w:sz w:val="18"/>
          <w:szCs w:val="18"/>
          <w:color w:val="auto"/>
        </w:rPr>
      </w:pPr>
    </w:p>
    <w:p>
      <w:pPr>
        <w:ind w:left="1320" w:right="459" w:hanging="434"/>
        <w:spacing w:after="0" w:line="308" w:lineRule="auto"/>
        <w:tabs>
          <w:tab w:leader="none" w:pos="1567"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pay dividends on our shares of common stock;</w:t>
      </w:r>
    </w:p>
    <w:p>
      <w:pPr>
        <w:spacing w:after="0" w:line="144" w:lineRule="exact"/>
        <w:rPr>
          <w:rFonts w:ascii="Arial" w:cs="Arial" w:eastAsia="Arial" w:hAnsi="Arial"/>
          <w:sz w:val="18"/>
          <w:szCs w:val="18"/>
          <w:color w:val="auto"/>
        </w:rPr>
      </w:pPr>
    </w:p>
    <w:p>
      <w:pPr>
        <w:jc w:val="both"/>
        <w:ind w:left="1320" w:right="459" w:hanging="434"/>
        <w:spacing w:after="0" w:line="286" w:lineRule="auto"/>
        <w:tabs>
          <w:tab w:leader="none" w:pos="1419" w:val="left"/>
        </w:tabs>
        <w:numPr>
          <w:ilvl w:val="0"/>
          <w:numId w:val="14"/>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shares of common stock if declared, expenses, capital expenditures, acquisitions and other general corporate purposes;</w:t>
      </w:r>
    </w:p>
    <w:p>
      <w:pPr>
        <w:spacing w:after="0" w:line="97" w:lineRule="exact"/>
        <w:rPr>
          <w:rFonts w:ascii="Arial" w:cs="Arial" w:eastAsia="Arial" w:hAnsi="Arial"/>
          <w:sz w:val="17"/>
          <w:szCs w:val="17"/>
          <w:color w:val="auto"/>
        </w:rPr>
      </w:pPr>
    </w:p>
    <w:p>
      <w:pPr>
        <w:ind w:left="1320" w:right="479" w:hanging="434"/>
        <w:spacing w:after="0" w:line="277" w:lineRule="auto"/>
        <w:tabs>
          <w:tab w:leader="none" w:pos="14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89" w:lineRule="exact"/>
        <w:rPr>
          <w:rFonts w:ascii="Arial" w:cs="Arial" w:eastAsia="Arial" w:hAnsi="Arial"/>
          <w:sz w:val="18"/>
          <w:szCs w:val="18"/>
          <w:color w:val="auto"/>
        </w:rPr>
      </w:pPr>
    </w:p>
    <w:p>
      <w:pPr>
        <w:jc w:val="both"/>
        <w:ind w:left="1320" w:right="479" w:hanging="434"/>
        <w:spacing w:after="0" w:line="263" w:lineRule="auto"/>
        <w:tabs>
          <w:tab w:leader="none" w:pos="16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80" w:lineRule="exact"/>
        <w:rPr>
          <w:sz w:val="20"/>
          <w:szCs w:val="20"/>
          <w:color w:val="auto"/>
        </w:rPr>
      </w:pPr>
    </w:p>
    <w:p>
      <w:pPr>
        <w:jc w:val="both"/>
        <w:ind w:left="460" w:right="459"/>
        <w:spacing w:after="0" w:line="314" w:lineRule="auto"/>
        <w:rPr>
          <w:sz w:val="20"/>
          <w:szCs w:val="20"/>
          <w:color w:val="auto"/>
        </w:rPr>
      </w:pPr>
      <w:r>
        <w:rPr>
          <w:rFonts w:ascii="Arial" w:cs="Arial" w:eastAsia="Arial" w:hAnsi="Arial"/>
          <w:sz w:val="16"/>
          <w:szCs w:val="16"/>
          <w:b w:val="1"/>
          <w:bCs w:val="1"/>
          <w:color w:val="auto"/>
        </w:rPr>
        <w:t>We may only be able to complete one business combination with the proceeds of this offering, which will cause us to be solely dependent on a single business, which may have a limited number of products or services. This lack of diversification may negatively impact our operations and profitability.</w:t>
      </w:r>
    </w:p>
    <w:p>
      <w:pPr>
        <w:spacing w:after="0" w:line="78"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The net proceeds from this offering together with the funds we will receive from the sale of the private warrants (excluding $1,000,000 of net proceeds that will not be held in the trust account) will provide us with approximately $151,500,000 (or approximately $174,225,000 if the underwriters’ over-allotment option is exercised in full) that we may use to complete our initial business combination.</w:t>
      </w:r>
    </w:p>
    <w:p>
      <w:pPr>
        <w:spacing w:after="0" w:line="10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 solely dependent upon the performance of a single business, property or asset, or dependent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upon the development or market acceptance of a single or limited number of products or services. 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183"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7"/>
          <w:szCs w:val="17"/>
          <w:b w:val="1"/>
          <w:bCs w:val="1"/>
          <w:color w:val="auto"/>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p>
    <w:p>
      <w:pPr>
        <w:spacing w:after="0" w:line="9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61"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We may attempt to consummate our initial business combination with a private company about which little information is available.</w:t>
      </w:r>
    </w:p>
    <w:p>
      <w:pPr>
        <w:spacing w:after="0" w:line="9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By definition, very little public information exists about private companies, and we could be required to make our decision on whether to pursue a potential initial business combination on the basis of limited information, which may result in our initial business combination with a company that is not as profitable as we suspected, if at all.</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We may not be able to maintain control of a target business after our initial business combination.</w:t>
      </w:r>
    </w:p>
    <w:p>
      <w:pPr>
        <w:spacing w:after="0" w:line="160"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may structure our initial business combination to acquire less than 100% of the equity interests or assets of a target business, but we will only consummate such business combination if we will become the majority stockholder of the target (or control the target through contractual arrangements in limited circumstances for regulatory compliance purposes)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Even though we may own a majority interest in the target, our stockholders prior to the business combination may collectively own a minority interest in the post-business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acquire a 100% controlling interest in the target. However, as a result of the issuance of a substantial number of new shares, our stockholders immediately prior to such transaction could own less than a majority of our outstanding shares subsequent to such transaction. In addition, other minority stockholders may subsequently combine their holdings resulting in a single person or group obtaining a larger share of the company’s stock than we initially acquired. Accordingly, this may make it more likely that we will not be able to maintain our control of the target business.</w:t>
      </w:r>
    </w:p>
    <w:p>
      <w:pPr>
        <w:spacing w:after="0" w:line="172"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prepared in accordance with United States generally accepted accounting principles or international financial reporting standards, we may lose the ability to complete an otherwise advantageous initial business combination with some prospective target businesses.</w:t>
      </w:r>
    </w:p>
    <w:p>
      <w:pPr>
        <w:spacing w:after="0" w:line="116" w:lineRule="exact"/>
        <w:rPr>
          <w:sz w:val="20"/>
          <w:szCs w:val="20"/>
          <w:color w:val="auto"/>
        </w:rPr>
      </w:pPr>
    </w:p>
    <w:p>
      <w:pPr>
        <w:jc w:val="both"/>
        <w:ind w:left="460" w:right="479" w:firstLine="432"/>
        <w:spacing w:after="0" w:line="270" w:lineRule="auto"/>
        <w:rPr>
          <w:sz w:val="20"/>
          <w:szCs w:val="20"/>
          <w:color w:val="auto"/>
        </w:rPr>
      </w:pPr>
      <w:r>
        <w:rPr>
          <w:rFonts w:ascii="Arial" w:cs="Arial" w:eastAsia="Arial" w:hAnsi="Arial"/>
          <w:sz w:val="17"/>
          <w:szCs w:val="17"/>
          <w:color w:val="auto"/>
        </w:rPr>
        <w:t>The federal proxy rules, which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 circumstances, and the historical financial statements may be required to be audited in accordance with the standards of the Public Company Accounting Oversight Board (United States), or PCAOB. We will include substantially the same financial statement disclosure in connection with any tender offer documents we use, whether or not they are</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1" w:name="page42"/>
    <w:bookmarkEnd w:id="4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Our Securities</w:t>
      </w:r>
    </w:p>
    <w:p>
      <w:pPr>
        <w:spacing w:after="0" w:line="225" w:lineRule="exact"/>
        <w:rPr>
          <w:sz w:val="20"/>
          <w:szCs w:val="20"/>
          <w:color w:val="auto"/>
        </w:rPr>
      </w:pPr>
    </w:p>
    <w:p>
      <w:pPr>
        <w:jc w:val="both"/>
        <w:ind w:left="460" w:right="479"/>
        <w:spacing w:after="0" w:line="347" w:lineRule="auto"/>
        <w:rPr>
          <w:sz w:val="20"/>
          <w:szCs w:val="20"/>
          <w:color w:val="auto"/>
        </w:rPr>
      </w:pPr>
      <w:r>
        <w:rPr>
          <w:rFonts w:ascii="Arial" w:cs="Arial" w:eastAsia="Arial" w:hAnsi="Arial"/>
          <w:sz w:val="16"/>
          <w:szCs w:val="16"/>
          <w:b w:val="1"/>
          <w:bCs w:val="1"/>
          <w:color w:val="auto"/>
        </w:rPr>
        <w:t>The determination of the offering price of our units and the size of this offering is more arbitrary than the pricing of securities and size of an offering of an operating company in a particular industry.</w:t>
      </w:r>
    </w:p>
    <w:p>
      <w:pPr>
        <w:spacing w:after="0" w:line="5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units and the terms of the rights and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shares of common stock, rights and warrants underlying the units, include:</w:t>
      </w:r>
    </w:p>
    <w:p>
      <w:pPr>
        <w:spacing w:after="0" w:line="110" w:lineRule="exact"/>
        <w:rPr>
          <w:sz w:val="20"/>
          <w:szCs w:val="20"/>
          <w:color w:val="auto"/>
        </w:rPr>
      </w:pPr>
    </w:p>
    <w:p>
      <w:pPr>
        <w:ind w:left="1320" w:right="479" w:hanging="434"/>
        <w:spacing w:after="0" w:line="277" w:lineRule="auto"/>
        <w:tabs>
          <w:tab w:leader="none" w:pos="15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assessment of our management and their experience in identifying operating companies;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338"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including with respect to the impact from the COVID-19 pandemic;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80"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Holders of rights or warrants will not participate in liquidating distributions if we are unable to complete an initial business combination within the required time period.</w:t>
      </w:r>
    </w:p>
    <w:p>
      <w:pPr>
        <w:spacing w:after="0" w:line="9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If we are unable to complete an initial business combination within the required time period and we liquidate the funds held in the trust account, the rights and warrants will expire, and holders will not receive any of such proceeds with respect to the rights or warrants. The foregoing may provide a financial incentive to public stockholders to vote in favor of any proposed initial business combination as each of their rights and warrants would entitle the holder to receive or purchase additional shares of common stock, resulting in an increase in their overall economic stake in us. If a business combination is not approved, the rights and warrants will expire and be worthless.</w:t>
      </w:r>
    </w:p>
    <w:p>
      <w:pPr>
        <w:spacing w:after="0" w:line="191" w:lineRule="exact"/>
        <w:rPr>
          <w:sz w:val="20"/>
          <w:szCs w:val="20"/>
          <w:color w:val="auto"/>
        </w:rPr>
      </w:pPr>
    </w:p>
    <w:p>
      <w:pPr>
        <w:jc w:val="both"/>
        <w:ind w:left="460" w:right="459"/>
        <w:spacing w:after="0" w:line="261" w:lineRule="auto"/>
        <w:rPr>
          <w:sz w:val="20"/>
          <w:szCs w:val="20"/>
          <w:color w:val="auto"/>
        </w:rPr>
      </w:pPr>
      <w:r>
        <w:rPr>
          <w:rFonts w:ascii="Arial" w:cs="Arial" w:eastAsia="Arial" w:hAnsi="Arial"/>
          <w:sz w:val="18"/>
          <w:szCs w:val="18"/>
          <w:b w:val="1"/>
          <w:bCs w:val="1"/>
          <w:color w:val="auto"/>
        </w:rPr>
        <w:t>If we do not maintain a current and effective prospectus relating to the shares of common stock issuable upon exercise of the warrants, public holders will only be able to exercise such warrants on a “cashless basis” which would result in a fewer number of shares being issued to the holder had such holder exercised the warrants for cash.</w:t>
      </w:r>
    </w:p>
    <w:p>
      <w:pPr>
        <w:spacing w:after="0" w:line="10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we do not maintain a current and effective prospectus relating to the shares of common stock issuable upon exercise of the public warrants at the time that holders wish to exercise such warrants, they will only be able to exercise them on a “cashless basis” provided that an exemption from registration is available. As a result, the number of shares of common stock that a holder will receive upon exercise of its public warrants will be fewer than it would have been had such holder exercised its warrant for cash. Further, if an exemption from registration is not available, holders would not be able to exercise their warrants on a cashless basis and would only be able to exercise their warrants for cash if a current and effective prospectus relating to the shares of common stock issuable upon exercise of the warrants</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2" w:name="page43"/>
    <w:bookmarkEnd w:id="4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is available. Under the terms of the warrant agreement, we have agreed to use our best efforts to meet these conditions and to maintain a current and effective prospectus relating to the shares of common stock issuable upon exercise of the warrants until the expiration of the warrants. However, we cannot assure you that we will be able to do so. If we are unable to do so, the potential benefit of the holder’s investment in us may be reduced, and the warrants may expire worthless. Notwithstanding the foregoing, the private warrants may be exercisable for unregistered shares of common stock for cash even if the prospectus relating to the shares of common stock issuable upon exercise of the warrants is not current and effective.</w:t>
      </w:r>
    </w:p>
    <w:p>
      <w:pPr>
        <w:spacing w:after="0" w:line="173"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An investor will only be able to exercise a warrant for cash if the issuance of common stock upon such exercise has been registered or qualified or is deemed exempt under the securities laws of the state of residence of the holder of the warrants.</w:t>
      </w:r>
    </w:p>
    <w:p>
      <w:pPr>
        <w:spacing w:after="0" w:line="11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No public warrants will be exercisable for cash, and we will not be obligated to issue shares of common stock unless the shares of common stock issuable upon such exercise has been registered or qualified or deemed to be exempt under the securities laws of the state of residence of the holder of the warrants. At the time that the warrants become exercisable, we expect to continue to be listed on a national securities exchange, which would provide an exemption from registration in every state. However, we cannot assure you of this fact. If the common shares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161"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7"/>
          <w:szCs w:val="17"/>
          <w:b w:val="1"/>
          <w:b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9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If we call our public warrants for redemption after the redemption criteria described elsewhere in this prospectus have been satisfied, our management will have the option to require any holder that wishes to exercise his warrant (including any warrants held by Ventoux Acquisition, Chardan Investments and/or their respective permitted transferees)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benefit of the holder’s investment in our company.</w:t>
      </w:r>
    </w:p>
    <w:p>
      <w:pPr>
        <w:spacing w:after="0" w:line="173" w:lineRule="exact"/>
        <w:rPr>
          <w:sz w:val="20"/>
          <w:szCs w:val="20"/>
          <w:color w:val="auto"/>
        </w:rPr>
      </w:pPr>
    </w:p>
    <w:p>
      <w:pPr>
        <w:jc w:val="both"/>
        <w:ind w:left="460" w:right="479"/>
        <w:spacing w:after="0" w:line="347" w:lineRule="auto"/>
        <w:rPr>
          <w:sz w:val="20"/>
          <w:szCs w:val="20"/>
          <w:color w:val="auto"/>
        </w:rPr>
      </w:pPr>
      <w:r>
        <w:rPr>
          <w:rFonts w:ascii="Arial" w:cs="Arial" w:eastAsia="Arial" w:hAnsi="Arial"/>
          <w:sz w:val="16"/>
          <w:szCs w:val="16"/>
          <w:b w:val="1"/>
          <w:bCs w:val="1"/>
          <w:color w:val="auto"/>
        </w:rPr>
        <w:t>We may amend the terms of the rights or warrants, respectively in a way that may be adverse to holders with the approval by the holders of a majority of the then outstanding rights or warrants, respectively.</w:t>
      </w:r>
    </w:p>
    <w:p>
      <w:pPr>
        <w:spacing w:after="0" w:line="3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rights will be issued in registered form under a rights agreement, and our warrants will be issued in registered form under a warrant agreement, each between Continental Stock Transfer &amp; Trust Company, as rights or warrant agent, as applicable, and us. Each of the rights agreement and the warrant agreement provides that the terms of the rights or warrants, as applicable, may be amended without the consent of any holder to cure any ambiguity or correct any defective provision. Each of the rights and the warrant agreement requires the approval by the holders of a majority of the then outstanding rights or warrants (including the private warrants), as applicable, in order to make any change that adversely affects the interests of the registered holders of the rights or warrants, as applicable.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We have no obligation to net cash settle the warrants.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In no event will we have any obligation to net cash settle the warrants. Accordingly, the warrants may expire worthless.</w:t>
      </w:r>
    </w:p>
    <w:p>
      <w:pPr>
        <w:spacing w:after="0" w:line="166"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98"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As of the date of this prospectus there is currently no market for our securities. Prospective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Once listed on Nasdaq, an active trading market for our securities may never develop or, if developed, it may not be sustained. Additionally, if our securities become delisted from Nasdaq for any reason, and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are quoted on the OTC Bulletin Board, an inter-dealer automated quotation system for equity securities not listed on a national exchange, the liquidity and price of our securities may be more limited than if we were listed on Nasdaq or another national exchange. You may be unable to sell your securities unless a market can be established and sustained.</w:t>
      </w:r>
    </w:p>
    <w:p>
      <w:pPr>
        <w:spacing w:after="0" w:line="183" w:lineRule="exact"/>
        <w:rPr>
          <w:sz w:val="20"/>
          <w:szCs w:val="20"/>
          <w:color w:val="auto"/>
        </w:rPr>
      </w:pPr>
    </w:p>
    <w:p>
      <w:pPr>
        <w:jc w:val="both"/>
        <w:ind w:left="460" w:right="459"/>
        <w:spacing w:after="0" w:line="303" w:lineRule="auto"/>
        <w:rPr>
          <w:sz w:val="20"/>
          <w:szCs w:val="20"/>
          <w:color w:val="auto"/>
        </w:rPr>
      </w:pPr>
      <w:r>
        <w:rPr>
          <w:rFonts w:ascii="Arial" w:cs="Arial" w:eastAsia="Arial" w:hAnsi="Arial"/>
          <w:sz w:val="16"/>
          <w:szCs w:val="16"/>
          <w:b w:val="1"/>
          <w:b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our company or our company’s directors, officers or other employees.</w:t>
      </w:r>
    </w:p>
    <w:p>
      <w:pPr>
        <w:spacing w:after="0" w:line="87"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is not be deemed to be a waiver by our stockholders of our obligation to comply with federal securities laws, rules and regulations, and the provisions of this paragraph in our amended and restated certificate of incorporation will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any shares of our capital stock shall be deemed to have notice of and to have consented to the forum provisions in our amended and restated certificate of incorporation. If any action the subject matter of which is within the scope the forum provisions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forum provisions (an “enforcement action”), and (y) having service of process made upon such stockholder in any such enforcement action by service upon such stockholder’s counsel in the foreign action as agent for such stockholder.</w:t>
      </w:r>
    </w:p>
    <w:p>
      <w:pPr>
        <w:spacing w:after="0" w:line="10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This choice-of-forum provision may limit a stockholder’s ability to bring a claim in a judicial forum that it finds favorable for disputes with our company or its directors, officers or other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Acquiring and Operating a Business outside of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We may effect our initial business combination with a company located outside of the United States.</w:t>
      </w:r>
    </w:p>
    <w:p>
      <w:pPr>
        <w:spacing w:after="0" w:line="171"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116" w:lineRule="exact"/>
        <w:rPr>
          <w:sz w:val="20"/>
          <w:szCs w:val="20"/>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rules and regulations or currency redemption or corporate withholding taxes on individuals;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ectPr>
          <w:pgSz w:w="11900" w:h="16838" w:orient="portrait"/>
          <w:cols w:equalWidth="0" w:num="1">
            <w:col w:w="9019"/>
          </w:cols>
          <w:pgMar w:left="1440" w:top="274"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4" w:name="page45"/>
    <w:bookmarkEnd w:id="4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tax issues, such as tax law changes and variations in tax laws as compared to the United States;</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3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We may not be able to adequately address these additional risks. If we were unable to do so, our operations might suffer.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There are costs and difficulties inherent in managing cross-border business operations.</w:t>
      </w:r>
    </w:p>
    <w:p>
      <w:pPr>
        <w:spacing w:after="0" w:line="162" w:lineRule="exact"/>
        <w:rPr>
          <w:sz w:val="20"/>
          <w:szCs w:val="20"/>
          <w:color w:val="auto"/>
        </w:rPr>
      </w:pPr>
    </w:p>
    <w:p>
      <w:pPr>
        <w:jc w:val="both"/>
        <w:ind w:left="460" w:right="479" w:firstLine="432"/>
        <w:spacing w:after="0" w:line="293" w:lineRule="auto"/>
        <w:rPr>
          <w:sz w:val="20"/>
          <w:szCs w:val="20"/>
          <w:color w:val="auto"/>
        </w:rPr>
      </w:pPr>
      <w:r>
        <w:rPr>
          <w:rFonts w:ascii="Arial" w:cs="Arial" w:eastAsia="Arial" w:hAnsi="Arial"/>
          <w:sz w:val="16"/>
          <w:szCs w:val="16"/>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160"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9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180"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Many countries have difficult and unpredictable legal systems and underdeveloped laws and regulations that are unclear and subject to corruption and inexperience.</w:t>
      </w:r>
    </w:p>
    <w:p>
      <w:pPr>
        <w:spacing w:after="0" w:line="9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9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180"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If relations between the United States and foreign governments deteriorate, it could cause potential target businesses or their goods and services to become less attractive.</w:t>
      </w:r>
    </w:p>
    <w:p>
      <w:pPr>
        <w:spacing w:after="0" w:line="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relationship between the United States and foreign governments could be subject to sudden fluctuation and periodic tension. For instance, the United States may announce its intention to impose quotas on certain imports or become involved in trade wars with other nations. Such import quotas or trade wars may adversely affect political relations between the two countries and result in retaliatory countermeasures by the foreign government in industries that may affect our ultimate target business. Changes in political conditions in foreign countries and changes in the</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5" w:name="page46"/>
    <w:bookmarkEnd w:id="4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96" w:lineRule="auto"/>
        <w:rPr>
          <w:sz w:val="20"/>
          <w:szCs w:val="20"/>
          <w:color w:val="auto"/>
        </w:rPr>
      </w:pPr>
      <w:r>
        <w:rPr>
          <w:rFonts w:ascii="Arial" w:cs="Arial" w:eastAsia="Arial" w:hAnsi="Arial"/>
          <w:sz w:val="16"/>
          <w:szCs w:val="16"/>
          <w:color w:val="auto"/>
        </w:rPr>
        <w:t>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157" w:lineRule="exact"/>
        <w:rPr>
          <w:sz w:val="20"/>
          <w:szCs w:val="20"/>
          <w:color w:val="auto"/>
        </w:rPr>
      </w:pPr>
    </w:p>
    <w:p>
      <w:pPr>
        <w:jc w:val="both"/>
        <w:ind w:left="460" w:right="479"/>
        <w:spacing w:after="0" w:line="312" w:lineRule="auto"/>
        <w:rPr>
          <w:sz w:val="20"/>
          <w:szCs w:val="20"/>
          <w:color w:val="auto"/>
        </w:rPr>
      </w:pPr>
      <w:r>
        <w:rPr>
          <w:rFonts w:ascii="Arial" w:cs="Arial" w:eastAsia="Arial" w:hAnsi="Arial"/>
          <w:sz w:val="17"/>
          <w:szCs w:val="17"/>
          <w:b w:val="1"/>
          <w:bCs w:val="1"/>
          <w:color w:val="auto"/>
        </w:rPr>
        <w:t>If our management following our initial business combination is unfamiliar with United States securities laws, they may have to expend time and resources becoming familiar with such laws.</w:t>
      </w:r>
    </w:p>
    <w:p>
      <w:pPr>
        <w:spacing w:after="0" w:line="3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188"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Currency policies may cause a target business’ ability to succeed in the international markets to be diminished.</w:t>
      </w:r>
    </w:p>
    <w:p>
      <w:pPr>
        <w:spacing w:after="0" w:line="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77"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Because foreign law could govern our material agreements, we may not be able to enforce our rights within such jurisdiction or elsewhere.</w:t>
      </w:r>
    </w:p>
    <w:p>
      <w:pPr>
        <w:spacing w:after="0" w:line="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Foreign law could govern our material agreements. The target business may not be able to enforce any of its material agreements or remedies may not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Once initially listed on Nasdaq, our securities may not continue to be listed on Nasdaq in the future, which could limit investors’ ability to make transactions in our securities and subject us to additional trading restrictions.</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anticipate that our securities will be initially listed on Nasdaq upon consummation of this offering. However, we cannot assure you of this or that our securities will continue to be listed on Nasdaq in the future. Additionally, in connection with our business combination, Nasdaq may require us to file a new initial listing application and meet its initial listing requirements as opposed to its more lenient continued listing requirements. We cannot assure you that we will be able to meet those initial listing requirements at that time. If Nasdaq delists our securities from trading on its exchange, we could face significant material adverse consequences, including:</w:t>
      </w:r>
    </w:p>
    <w:p>
      <w:pPr>
        <w:spacing w:after="0" w:line="127" w:lineRule="exact"/>
        <w:rPr>
          <w:sz w:val="20"/>
          <w:szCs w:val="20"/>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reduced liquidity with respect to our securities;</w:t>
      </w:r>
    </w:p>
    <w:p>
      <w:pPr>
        <w:spacing w:after="0" w:line="144" w:lineRule="exact"/>
        <w:rPr>
          <w:rFonts w:ascii="Arial" w:cs="Arial" w:eastAsia="Arial" w:hAnsi="Arial"/>
          <w:sz w:val="18"/>
          <w:szCs w:val="18"/>
          <w:color w:val="auto"/>
        </w:rPr>
      </w:pPr>
    </w:p>
    <w:p>
      <w:pPr>
        <w:jc w:val="both"/>
        <w:ind w:left="1320" w:right="479" w:hanging="434"/>
        <w:spacing w:after="0" w:line="311" w:lineRule="auto"/>
        <w:tabs>
          <w:tab w:leader="none" w:pos="140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determination that our shares of common stock are a “penny stock,” which will require brokers trading in our shares of common stock to adhere to more stringent rules, possibly resulting in a reduced level of trading activity in the secondary trading market for our shares of common stock;</w:t>
      </w:r>
    </w:p>
    <w:p>
      <w:pPr>
        <w:sectPr>
          <w:pgSz w:w="11900" w:h="16838" w:orient="portrait"/>
          <w:cols w:equalWidth="0" w:num="1">
            <w:col w:w="9019"/>
          </w:cols>
          <w:pgMar w:left="1440" w:top="274" w:right="1440"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6" w:name="page47"/>
    <w:bookmarkEnd w:id="4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investments and results of operations.</w:t>
      </w:r>
    </w:p>
    <w:p>
      <w:pPr>
        <w:spacing w:after="0" w:line="9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are subject to laws and regulations enacted by national, regional and local governments and agencies, in particular, the Securities Exchange and Commission. Compliance with, and monitoring of, applicable laws and regulations may be difficult, time consuming and costly. Those laws and regulations and their interpretation and application also may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91"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Compliance obligations under the Sarbanes-Oxley Act of 2002 may make it more difficult for us to effectuate our initial business combination, require substantial financial and management resources, and increase the time and costs of completing an acquisition.</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Section 404 of the Sarbanes-Oxley Act of 2002, or the Sarbanes-Oxley Act, requires that we evaluate and report on our system of internal controls beginning with our Annual Report on Form 10-K for the year ending December 31, 2021. The fact that we are a blank check company makes compliance with the requirements of the Sarbanes-Oxley Act particularly burdensome on us because a target company with which we seek to complete our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spacing w:after="0" w:line="188" w:lineRule="exact"/>
        <w:rPr>
          <w:sz w:val="20"/>
          <w:szCs w:val="20"/>
          <w:color w:val="auto"/>
        </w:rPr>
      </w:pPr>
    </w:p>
    <w:p>
      <w:pPr>
        <w:jc w:val="both"/>
        <w:ind w:left="460" w:right="479"/>
        <w:spacing w:after="0" w:line="347" w:lineRule="auto"/>
        <w:rPr>
          <w:sz w:val="20"/>
          <w:szCs w:val="20"/>
          <w:color w:val="auto"/>
        </w:rPr>
      </w:pPr>
      <w:r>
        <w:rPr>
          <w:rFonts w:ascii="Arial" w:cs="Arial" w:eastAsia="Arial" w:hAnsi="Arial"/>
          <w:sz w:val="16"/>
          <w:szCs w:val="16"/>
          <w:b w:val="1"/>
          <w:bCs w:val="1"/>
          <w:color w:val="auto"/>
        </w:rPr>
        <w:t>We are an “emerging growth company” and we cannot be certain if the reduced disclosure requirements applicable to emerging growth companies will make our securities less attractive to investors.</w:t>
      </w:r>
    </w:p>
    <w:p>
      <w:pPr>
        <w:spacing w:after="0" w:line="52"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for up to five years. However, if our non-convertible debt issued within a three-year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being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w:t>
      </w:r>
    </w:p>
    <w:p>
      <w:pPr>
        <w:spacing w:after="0" w:line="9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new accounting standard is issued or revised and it has different application dates for public or private companies, we, as an emerging growth company, will not adopt the new or revised standard until the time private companies are required to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 As such, our financial statements may not be comparable to companies that comply with public company effective dates. We cannot predict if investors will find our shares less attractive because we may rely on the provisions of the JOBS Act. If some investors find our shares less attractive as a result of, there may be a less active trading market for our shares and our share price may be more volatile.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Certain statements contained in this prospectus, which reflect our current views with respect to future events and financial performance, and any other statements of a future or forward-looking nature, constitute “forward-looking statements” for the purpose of the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114" w:lineRule="exact"/>
        <w:rPr>
          <w:sz w:val="20"/>
          <w:szCs w:val="20"/>
          <w:color w:val="auto"/>
        </w:rPr>
      </w:pPr>
    </w:p>
    <w:p>
      <w:pPr>
        <w:ind w:left="1320" w:right="479" w:hanging="434"/>
        <w:spacing w:after="0" w:line="277" w:lineRule="auto"/>
        <w:tabs>
          <w:tab w:leader="none" w:pos="13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particularly in light of disruption that may result from limitations imposed by the COVID-19 pandemic;</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potential ability to obtain additional financing to complete our initial business combination;</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ability of our officers and directors to generate a number of potential investment opportunities;</w:t>
      </w:r>
    </w:p>
    <w:p>
      <w:pPr>
        <w:spacing w:after="0" w:line="180" w:lineRule="exact"/>
        <w:rPr>
          <w:rFonts w:ascii="Arial" w:cs="Arial" w:eastAsia="Arial" w:hAnsi="Arial"/>
          <w:sz w:val="16"/>
          <w:szCs w:val="16"/>
          <w:color w:val="auto"/>
        </w:rPr>
      </w:pPr>
    </w:p>
    <w:p>
      <w:pPr>
        <w:ind w:left="1320" w:right="459" w:hanging="434"/>
        <w:spacing w:after="0" w:line="277" w:lineRule="auto"/>
        <w:tabs>
          <w:tab w:leader="none" w:pos="14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delisting of our securities from Nasdaq or an inability to have our securities listed on Nasdaq following a business combination;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lack of a market for our securities;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5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beginning on page 22.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are offering 15,000,000 units at a price of $10.00 per unit. We estimate that the net proceeds of this offering, together with the funds we receive from the sale of the private warrants (all of which will be deposited into the trust account), will be used as set forth in the following table:</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7"/>
              </w:rPr>
              <w:t>Without</w:t>
            </w:r>
          </w:p>
        </w:tc>
        <w:tc>
          <w:tcPr>
            <w:tcW w:w="160" w:type="dxa"/>
            <w:vAlign w:val="bottom"/>
          </w:tcPr>
          <w:p>
            <w:pPr>
              <w:spacing w:after="0"/>
              <w:rPr>
                <w:sz w:val="17"/>
                <w:szCs w:val="17"/>
                <w:color w:val="auto"/>
              </w:rPr>
            </w:pPr>
          </w:p>
        </w:tc>
        <w:tc>
          <w:tcPr>
            <w:tcW w:w="116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Over-</w:t>
            </w:r>
          </w:p>
        </w:tc>
        <w:tc>
          <w:tcPr>
            <w:tcW w:w="160" w:type="dxa"/>
            <w:vAlign w:val="bottom"/>
          </w:tcPr>
          <w:p>
            <w:pPr>
              <w:spacing w:after="0"/>
              <w:rPr>
                <w:sz w:val="17"/>
                <w:szCs w:val="17"/>
                <w:color w:val="auto"/>
              </w:rPr>
            </w:pPr>
          </w:p>
        </w:tc>
        <w:tc>
          <w:tcPr>
            <w:tcW w:w="116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4"/>
              </w:rPr>
              <w:t>Allotment</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4"/>
              </w:rPr>
              <w:t>Allotment</w:t>
            </w:r>
          </w:p>
        </w:tc>
        <w:tc>
          <w:tcPr>
            <w:tcW w:w="160" w:type="dxa"/>
            <w:vAlign w:val="bottom"/>
          </w:tcPr>
          <w:p>
            <w:pPr>
              <w:spacing w:after="0"/>
              <w:rPr>
                <w:sz w:val="17"/>
                <w:szCs w:val="17"/>
                <w:color w:val="auto"/>
              </w:rPr>
            </w:pPr>
          </w:p>
        </w:tc>
        <w:tc>
          <w:tcPr>
            <w:tcW w:w="116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6"/>
              </w:rPr>
              <w:t>Option</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6"/>
              </w:rPr>
              <w:t>Option</w:t>
            </w:r>
          </w:p>
        </w:tc>
        <w:tc>
          <w:tcPr>
            <w:tcW w:w="160" w:type="dxa"/>
            <w:vAlign w:val="bottom"/>
          </w:tcPr>
          <w:p>
            <w:pPr>
              <w:spacing w:after="0"/>
              <w:rPr>
                <w:sz w:val="18"/>
                <w:szCs w:val="18"/>
                <w:color w:val="auto"/>
              </w:rPr>
            </w:pPr>
          </w:p>
        </w:tc>
        <w:tc>
          <w:tcPr>
            <w:tcW w:w="116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87"/>
              </w:rPr>
              <w:t>Exercised</w:t>
            </w:r>
          </w:p>
        </w:tc>
        <w:tc>
          <w:tcPr>
            <w:tcW w:w="0" w:type="dxa"/>
            <w:vAlign w:val="bottom"/>
          </w:tcPr>
          <w:p>
            <w:pPr>
              <w:spacing w:after="0"/>
              <w:rPr>
                <w:sz w:val="1"/>
                <w:szCs w:val="1"/>
                <w:color w:val="auto"/>
              </w:rPr>
            </w:pPr>
          </w:p>
        </w:tc>
      </w:tr>
      <w:tr>
        <w:trPr>
          <w:trHeight w:val="46"/>
        </w:trPr>
        <w:tc>
          <w:tcPr>
            <w:tcW w:w="55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From offering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150,000,000</w:t>
            </w:r>
          </w:p>
        </w:tc>
        <w:tc>
          <w:tcPr>
            <w:tcW w:w="100" w:type="dxa"/>
            <w:vAlign w:val="bottom"/>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w w:val="97"/>
              </w:rPr>
              <w:t>172,500,000</w:t>
            </w: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From sale of private warrants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6,675,000</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180"/>
              <w:spacing w:after="0"/>
              <w:rPr>
                <w:sz w:val="20"/>
                <w:szCs w:val="20"/>
                <w:color w:val="auto"/>
              </w:rPr>
            </w:pPr>
            <w:r>
              <w:rPr>
                <w:rFonts w:ascii="Arial" w:cs="Arial" w:eastAsia="Arial" w:hAnsi="Arial"/>
                <w:sz w:val="18"/>
                <w:szCs w:val="18"/>
                <w:color w:val="auto"/>
              </w:rPr>
              <w:t>Total gross proceeds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5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156,000,000</w:t>
            </w:r>
          </w:p>
        </w:tc>
        <w:tc>
          <w:tcPr>
            <w:tcW w:w="100" w:type="dxa"/>
            <w:vAlign w:val="bottom"/>
          </w:tcPr>
          <w:p>
            <w:pPr>
              <w:spacing w:after="0"/>
              <w:rPr>
                <w:sz w:val="24"/>
                <w:szCs w:val="24"/>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w w:val="97"/>
              </w:rPr>
              <w:t>179,175,000</w:t>
            </w:r>
          </w:p>
        </w:tc>
        <w:tc>
          <w:tcPr>
            <w:tcW w:w="0" w:type="dxa"/>
            <w:vAlign w:val="bottom"/>
          </w:tcPr>
          <w:p>
            <w:pPr>
              <w:spacing w:after="0"/>
              <w:rPr>
                <w:sz w:val="1"/>
                <w:szCs w:val="1"/>
                <w:color w:val="auto"/>
              </w:rPr>
            </w:pPr>
          </w:p>
        </w:tc>
      </w:tr>
      <w:tr>
        <w:trPr>
          <w:trHeight w:val="271"/>
        </w:trPr>
        <w:tc>
          <w:tcPr>
            <w:tcW w:w="55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500" w:type="dxa"/>
            <w:vAlign w:val="bottom"/>
          </w:tcPr>
          <w:p>
            <w:pPr>
              <w:spacing w:after="0"/>
              <w:rPr>
                <w:sz w:val="20"/>
                <w:szCs w:val="20"/>
                <w:color w:val="auto"/>
              </w:rPr>
            </w:pPr>
            <w:r>
              <w:rPr>
                <w:rFonts w:ascii="Arial" w:cs="Arial" w:eastAsia="Arial" w:hAnsi="Arial"/>
                <w:sz w:val="18"/>
                <w:szCs w:val="18"/>
                <w:i w:val="1"/>
                <w:iCs w:val="1"/>
                <w:color w:val="auto"/>
              </w:rPr>
              <w:t>Offering expenses</w:t>
            </w:r>
            <w:r>
              <w:rPr>
                <w:rFonts w:ascii="Arial" w:cs="Arial" w:eastAsia="Arial" w:hAnsi="Arial"/>
                <w:sz w:val="20"/>
                <w:szCs w:val="20"/>
                <w:i w:val="1"/>
                <w:iCs w:val="1"/>
                <w:color w:val="auto"/>
                <w:vertAlign w:val="superscript"/>
              </w:rPr>
              <w:t>(1)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3,450,000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Initial Trustee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Nasdaq listing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filing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26,375</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18,820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18,820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78,305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78,305</w:t>
            </w:r>
          </w:p>
        </w:tc>
        <w:tc>
          <w:tcPr>
            <w:tcW w:w="0" w:type="dxa"/>
            <w:vAlign w:val="bottom"/>
          </w:tcPr>
          <w:p>
            <w:pPr>
              <w:spacing w:after="0"/>
              <w:rPr>
                <w:sz w:val="1"/>
                <w:szCs w:val="1"/>
                <w:color w:val="auto"/>
              </w:rPr>
            </w:pPr>
          </w:p>
        </w:tc>
      </w:tr>
      <w:tr>
        <w:trPr>
          <w:trHeight w:val="224"/>
        </w:trPr>
        <w:tc>
          <w:tcPr>
            <w:tcW w:w="5500" w:type="dxa"/>
            <w:vAlign w:val="bottom"/>
          </w:tcPr>
          <w:p>
            <w:pPr>
              <w:ind w:left="180"/>
              <w:spacing w:after="0"/>
              <w:rPr>
                <w:sz w:val="20"/>
                <w:szCs w:val="20"/>
                <w:color w:val="auto"/>
              </w:rPr>
            </w:pPr>
            <w:r>
              <w:rPr>
                <w:rFonts w:ascii="Arial" w:cs="Arial" w:eastAsia="Arial" w:hAnsi="Arial"/>
                <w:sz w:val="18"/>
                <w:szCs w:val="18"/>
                <w:color w:val="auto"/>
              </w:rPr>
              <w:t>Total offering expenses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i w:val="1"/>
                <w:iCs w:val="1"/>
                <w:color w:val="auto"/>
              </w:rPr>
              <w:t>Net proceeds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Held in trust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151,500,000</w:t>
            </w:r>
            <w:r>
              <w:rPr>
                <w:rFonts w:ascii="Arial" w:cs="Arial" w:eastAsia="Arial" w:hAnsi="Arial"/>
                <w:sz w:val="20"/>
                <w:szCs w:val="20"/>
                <w:color w:val="auto"/>
                <w:w w:val="87"/>
                <w:vertAlign w:val="superscript"/>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174,225,000</w:t>
            </w:r>
            <w:r>
              <w:rPr>
                <w:rFonts w:ascii="Arial" w:cs="Arial" w:eastAsia="Arial" w:hAnsi="Arial"/>
                <w:sz w:val="20"/>
                <w:szCs w:val="20"/>
                <w:color w:val="auto"/>
                <w:w w:val="94"/>
                <w:vertAlign w:val="superscript"/>
              </w:rPr>
              <w:t>(2)</w:t>
            </w:r>
          </w:p>
        </w:tc>
        <w:tc>
          <w:tcPr>
            <w:tcW w:w="0" w:type="dxa"/>
            <w:vAlign w:val="bottom"/>
          </w:tcPr>
          <w:p>
            <w:pPr>
              <w:spacing w:after="0"/>
              <w:rPr>
                <w:sz w:val="1"/>
                <w:szCs w:val="1"/>
                <w:color w:val="auto"/>
              </w:rPr>
            </w:pPr>
          </w:p>
        </w:tc>
      </w:tr>
      <w:tr>
        <w:trPr>
          <w:trHeight w:val="284"/>
        </w:trPr>
        <w:tc>
          <w:tcPr>
            <w:tcW w:w="5500" w:type="dxa"/>
            <w:vAlign w:val="bottom"/>
          </w:tcPr>
          <w:p>
            <w:pPr>
              <w:spacing w:after="0"/>
              <w:rPr>
                <w:sz w:val="20"/>
                <w:szCs w:val="20"/>
                <w:color w:val="auto"/>
              </w:rPr>
            </w:pPr>
            <w:r>
              <w:rPr>
                <w:rFonts w:ascii="Arial" w:cs="Arial" w:eastAsia="Arial" w:hAnsi="Arial"/>
                <w:sz w:val="18"/>
                <w:szCs w:val="18"/>
                <w:color w:val="auto"/>
              </w:rPr>
              <w:t>Not held in trust</w:t>
            </w: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1,000,000</w:t>
            </w:r>
            <w:r>
              <w:rPr>
                <w:rFonts w:ascii="Arial" w:cs="Arial" w:eastAsia="Arial" w:hAnsi="Arial"/>
                <w:sz w:val="20"/>
                <w:szCs w:val="20"/>
                <w:color w:val="auto"/>
                <w:vertAlign w:val="superscript"/>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1,000,000</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net proceeds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152,500,000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7"/>
              </w:rPr>
              <w:t>175,225,000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Use of net proceeds not held in the trust account</w:t>
            </w:r>
            <w:r>
              <w:rPr>
                <w:rFonts w:ascii="Arial" w:cs="Arial" w:eastAsia="Arial" w:hAnsi="Arial"/>
                <w:sz w:val="20"/>
                <w:szCs w:val="20"/>
                <w:color w:val="auto"/>
                <w:vertAlign w:val="superscript"/>
              </w:rPr>
              <w:t>(3) (4)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500" w:type="dxa"/>
            <w:vAlign w:val="bottom"/>
          </w:tcPr>
          <w:p>
            <w:pPr>
              <w:spacing w:after="0" w:line="201" w:lineRule="exact"/>
              <w:rPr>
                <w:sz w:val="20"/>
                <w:szCs w:val="20"/>
                <w:color w:val="auto"/>
              </w:rPr>
            </w:pPr>
            <w:r>
              <w:rPr>
                <w:rFonts w:ascii="Arial" w:cs="Arial" w:eastAsia="Arial" w:hAnsi="Arial"/>
                <w:sz w:val="18"/>
                <w:szCs w:val="18"/>
                <w:color w:val="auto"/>
                <w:w w:val="94"/>
              </w:rPr>
              <w:t>Legal, accounting and other third party expenses attendant to the search</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w w:val="94"/>
              </w:rPr>
              <w:t>for target businesses and to the due diligence investigation, structuring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and negotiation of a business combination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Due diligence of prospective target businesses by officers, directors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initial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Payment of administrative fee to Chardan Capital Markets, LLC ($10,000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per month for up to 15 months), subject to deferral as described herein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5500" w:type="dxa"/>
            <w:vAlign w:val="bottom"/>
          </w:tcPr>
          <w:p>
            <w:pPr>
              <w:spacing w:after="0" w:line="201" w:lineRule="exact"/>
              <w:rPr>
                <w:sz w:val="20"/>
                <w:szCs w:val="20"/>
                <w:color w:val="auto"/>
              </w:rPr>
            </w:pPr>
            <w:r>
              <w:rPr>
                <w:rFonts w:ascii="Arial" w:cs="Arial" w:eastAsia="Arial" w:hAnsi="Arial"/>
                <w:sz w:val="18"/>
                <w:szCs w:val="18"/>
                <w:color w:val="auto"/>
                <w:w w:val="92"/>
              </w:rPr>
              <w:t>Working capital to cover miscellaneous expenses, D&amp;O insurance, general</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500" w:type="dxa"/>
            <w:vAlign w:val="bottom"/>
          </w:tcPr>
          <w:p>
            <w:pPr>
              <w:ind w:left="180"/>
              <w:spacing w:after="0"/>
              <w:rPr>
                <w:sz w:val="20"/>
                <w:szCs w:val="20"/>
                <w:color w:val="auto"/>
              </w:rPr>
            </w:pPr>
            <w:r>
              <w:rPr>
                <w:rFonts w:ascii="Arial" w:cs="Arial" w:eastAsia="Arial" w:hAnsi="Arial"/>
                <w:sz w:val="18"/>
                <w:szCs w:val="18"/>
                <w:color w:val="auto"/>
              </w:rPr>
              <w:t>corporate purposes, liquidation obligations and reserves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710,000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880" w:right="459" w:hanging="426"/>
        <w:spacing w:after="0" w:line="282" w:lineRule="auto"/>
        <w:tabs>
          <w:tab w:leader="none" w:pos="985"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portion of the offering expenses, including the SEC registration fee, the FINRA filing fee, the non-refundable portion of the Nasdaq listing fee and a portion of the legal and audit fees, have been paid from the funds we borrowed from Ventoux Acquisition, as further described below. These funds will be repaid out of the proceeds of this offering available to us. In the event that offering expenses are less than as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2" w:lineRule="exact"/>
        <w:rPr>
          <w:rFonts w:ascii="Arial" w:cs="Arial" w:eastAsia="Arial" w:hAnsi="Arial"/>
          <w:sz w:val="15"/>
          <w:szCs w:val="15"/>
          <w:color w:val="auto"/>
        </w:rPr>
      </w:pPr>
    </w:p>
    <w:p>
      <w:pPr>
        <w:jc w:val="both"/>
        <w:ind w:left="880" w:right="459" w:hanging="426"/>
        <w:spacing w:after="0" w:line="268" w:lineRule="auto"/>
        <w:tabs>
          <w:tab w:leader="none" w:pos="877"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funds held in the trust account will be used to acquire a target business, to pay holders who wish to convert or sell their shares for a portion of the funds held in the trust account and potentially to pay our expenses relating thereto. Our expenses relating to the acquisition of a target business would either come from the funds held in the trust account or additional funds otherwise available to us outside of the trust account, including cash held by the target business. Any remaining funds will be disbursed to the combined company and be used as working capital to finance the operations of the target business.</w:t>
      </w:r>
    </w:p>
    <w:p>
      <w:pPr>
        <w:sectPr>
          <w:pgSz w:w="11900" w:h="16838" w:orient="portrait"/>
          <w:cols w:equalWidth="0" w:num="1">
            <w:col w:w="9019"/>
          </w:cols>
          <w:pgMar w:left="1440" w:top="274" w:right="1440" w:bottom="1101"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101" w:gutter="0" w:footer="0" w:header="0"/>
          <w:type w:val="continuous"/>
        </w:sectPr>
      </w:pPr>
    </w:p>
    <w:bookmarkStart w:id="49" w:name="page50"/>
    <w:bookmarkEnd w:id="4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hanging="426"/>
        <w:spacing w:after="0"/>
        <w:tabs>
          <w:tab w:leader="none" w:pos="8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amount of proceeds not held in trust will remain constant at $1,000,000 even if the over-allotment is exercised.</w:t>
      </w:r>
    </w:p>
    <w:p>
      <w:pPr>
        <w:spacing w:after="0" w:line="24" w:lineRule="exact"/>
        <w:rPr>
          <w:rFonts w:ascii="Arial" w:cs="Arial" w:eastAsia="Arial" w:hAnsi="Arial"/>
          <w:sz w:val="15"/>
          <w:szCs w:val="15"/>
          <w:color w:val="auto"/>
        </w:rPr>
      </w:pPr>
    </w:p>
    <w:p>
      <w:pPr>
        <w:jc w:val="both"/>
        <w:ind w:left="880" w:right="459" w:hanging="426"/>
        <w:spacing w:after="0" w:line="290" w:lineRule="auto"/>
        <w:tabs>
          <w:tab w:leader="none" w:pos="961"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91"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payment to Chardan Capital Markets, LLC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Chardan Capital Markets, LLC for our benefit. We believe that the fee charged by Chardan Capital Markets, LLC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0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 total of $10.10 per unit (whether or not the underwriters’ over-allotment option is exercised in full) of the net proceeds from this offering and the sale of the private warrants described in this prospectus will be placed in a trust account in the United States at Morgan Stanley, maintained by Continental Stock Transfer &amp; Trust Company acting as trustee and will be invested only in U.S. government treasury bills, notes and bonds with a maturity of 183 days or less or in money market funds meeting certain conditions under Rule 2a-7 under the Investment Company Act and which invest solely in U.S. Treasuries. Except for all interest income that may be released to us to pay our tax obligations, as discussed below, none of the funds held in the trust account will be released from the trust account until the earlier of: (i) the consummation of our initial business combination within 15 months (or up to 18 months, as applicable) from the closing of this offering and (ii) a redemption to public stockholders prior to any voluntary winding-up in the event we do not consummate our initial business combination within the applicable period.</w:t>
      </w:r>
    </w:p>
    <w:p>
      <w:pPr>
        <w:spacing w:after="0" w:line="11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w:t>
      </w:r>
    </w:p>
    <w:p>
      <w:pPr>
        <w:spacing w:after="0" w:line="9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0" w:name="page51"/>
    <w:bookmarkEnd w:id="5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August 20, 2020, we issued an unsecured promissory note to Ventoux Acquisition, pursuant to which the Company may borrow up to an aggregate principal amount of $250,000. The promissory note is non-interest bearing and will be payable promptly after consummation of this offering or the date on which we determine not to conduct this offering. As of September 30, 2020, there was $153,018 outstanding under the promissory note.</w:t>
      </w:r>
    </w:p>
    <w:p>
      <w:pPr>
        <w:spacing w:after="0" w:line="120" w:lineRule="exact"/>
        <w:rPr>
          <w:sz w:val="20"/>
          <w:szCs w:val="20"/>
          <w:color w:val="auto"/>
        </w:rPr>
      </w:pPr>
    </w:p>
    <w:p>
      <w:pPr>
        <w:jc w:val="both"/>
        <w:ind w:left="460" w:right="479" w:firstLine="432"/>
        <w:spacing w:after="0" w:line="269"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co-sponsors or an affiliate of our co-sponsors or our officers and directors may, but are not obligated to, loan us funds as may be required. If we consummate our initial business combination, we would repay such loaned amounts.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11"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In no event will we redeem our public shares in an amount that would cause our net tangible assets to be less than $5,000,001. Furthermore, the redemption threshold may be further limited by the terms and conditions of our initial business combination. In such case, we would not proceed with the redemption of our public shares or the business combination, and instead may search for an alternate business combination.</w:t>
      </w:r>
    </w:p>
    <w:p>
      <w:pPr>
        <w:spacing w:after="0" w:line="7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15 months (or up to 18 months, as applicable) following the closing of this offering, subject to applicable law, or</w:t>
      </w:r>
    </w:p>
    <w:p>
      <w:pPr>
        <w:spacing w:after="0" w:line="2" w:lineRule="exact"/>
        <w:rPr>
          <w:sz w:val="20"/>
          <w:szCs w:val="20"/>
          <w:color w:val="auto"/>
        </w:rPr>
      </w:pPr>
    </w:p>
    <w:p>
      <w:pPr>
        <w:jc w:val="both"/>
        <w:ind w:left="460" w:right="459" w:hanging="6"/>
        <w:spacing w:after="0" w:line="267" w:lineRule="auto"/>
        <w:tabs>
          <w:tab w:leader="none" w:pos="79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we seek to amend our certificate of incorporation to affect the substance or timing of our obligation to redeem all public shares if we cannot complete an initial business combination within 15 months (or up to 18 months, as applicable) of the closing of this offering and such amendment is duly approved. In no other circumstances will a public stockholder have any right or interest of any kind to or in the trust account.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1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initial stockholders have agreed to waive their redemption rights with respect to any shares they own in connection with the consummation of our initial business combination, including their founder shares and public shares that they have purchased during or after the offering, if any. In addition, our initial stockholders have agreed to waive their rights to liquidating distributions with respect to its founder shares if we fail to consummate our initial business combination within 15 months (or up to 18 months, as applicable)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warrants). Further, if we incur any indebtedness in connection with our initial business combination, our ability to declare dividends may be limited by restrictive covenants we may agree to in connection therewith.</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35"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The difference between the public offering price per share, assuming no value is attributed to the rights and warrants included in the units we are offering by this prospectus, and the pro forma net tangible book value per share after this offering constitutes the dilution to investors in this offering. Such calculation does not reflect any dilution associated with the sale and exercise of warrants, including the private warrants.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8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At September 30, 2020, our net tangible book value deficit was $88,378 or approximately $(0.02) per share. For the purposes of the dilution calculation, in order to present the maximum estimated dilution as a result of this offering, we have assumed (i) the issuance of 0.05 of a share for each right outstanding, as such issuance will occur upon a business combination without the payment of additional consideration and (ii) the number of shares included in the units offered hereby will be deemed to be 15,750,000 (consisting of 15,000,000 shares included in the units we are offering by this prospectus and 750,000 shares for the outstanding rights), and the price per share in this offering will be deemed to be $9.52. After giving effect to the sale of 15,000,000 shares of common stock included in the units we are offering by this prospectus and the proceeds received from the sale of the private warrants the deduction of underwriting discounts and estimated expenses of this offering, our pro forma net tangible book value at September 30, 2020 would have been $5,000,007 or $1.02 per share, representing an immediate increase in net tangible book value of $1.04 per share to the initial stockholders and an immediate dilution of 89.3% per share or $8.50 to new investors not exercising their conversion/tender rights. For purposes of presentation, our pro forma net tangible book value after this offering is $147,523,458 less than it otherwise would have been because, if we effect a business combination, the ability of public stockholders to exercise conversion rights or sell their shares to us in any tender offer may result in the conversion or tender of up to 14,606,283 shares sold in this offering.</w:t>
      </w:r>
    </w:p>
    <w:p>
      <w:pPr>
        <w:spacing w:after="0" w:line="95"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illustrates the dilution to the new investors on a per-share basis, assuming no value is attributed to the rights or redeemable warrants, including the private warrants: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Increase attributable to new investors, private sales and capital contribution</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4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new investors</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5"/>
              </w:rPr>
              <w:t>8.50</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Percentage of dilution to new investors</w:t>
            </w: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w w:val="93"/>
              </w:rPr>
              <w:t>89.3%</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information with respect to our initial stockholders and the new investors:</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2480" w:type="dxa"/>
            <w:vAlign w:val="bottom"/>
            <w:gridSpan w:val="5"/>
            <w:vMerge w:val="restart"/>
          </w:tcPr>
          <w:p>
            <w:pPr>
              <w:ind w:left="580"/>
              <w:spacing w:after="0"/>
              <w:rPr>
                <w:sz w:val="20"/>
                <w:szCs w:val="20"/>
                <w:color w:val="auto"/>
              </w:rPr>
            </w:pPr>
            <w:r>
              <w:rPr>
                <w:rFonts w:ascii="Arial" w:cs="Arial" w:eastAsia="Arial" w:hAnsi="Arial"/>
                <w:sz w:val="16"/>
                <w:szCs w:val="16"/>
                <w:b w:val="1"/>
                <w:bCs w:val="1"/>
                <w:color w:val="auto"/>
              </w:rPr>
              <w:t>Shares Purchased</w:t>
            </w:r>
          </w:p>
        </w:tc>
        <w:tc>
          <w:tcPr>
            <w:tcW w:w="160" w:type="dxa"/>
            <w:vAlign w:val="bottom"/>
          </w:tcPr>
          <w:p>
            <w:pPr>
              <w:spacing w:after="0"/>
              <w:rPr>
                <w:sz w:val="17"/>
                <w:szCs w:val="17"/>
                <w:color w:val="auto"/>
              </w:rPr>
            </w:pPr>
          </w:p>
        </w:tc>
        <w:tc>
          <w:tcPr>
            <w:tcW w:w="2240" w:type="dxa"/>
            <w:vAlign w:val="bottom"/>
            <w:gridSpan w:val="4"/>
            <w:vMerge w:val="restart"/>
          </w:tcPr>
          <w:p>
            <w:pPr>
              <w:jc w:val="right"/>
              <w:ind w:right="410"/>
              <w:spacing w:after="0"/>
              <w:rPr>
                <w:sz w:val="20"/>
                <w:szCs w:val="20"/>
                <w:color w:val="auto"/>
              </w:rPr>
            </w:pPr>
            <w:r>
              <w:rPr>
                <w:rFonts w:ascii="Arial" w:cs="Arial" w:eastAsia="Arial" w:hAnsi="Arial"/>
                <w:sz w:val="16"/>
                <w:szCs w:val="16"/>
                <w:b w:val="1"/>
                <w:bCs w:val="1"/>
                <w:color w:val="auto"/>
              </w:rPr>
              <w:t>Total Consideration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55"/>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75"/>
        </w:trPr>
        <w:tc>
          <w:tcPr>
            <w:tcW w:w="1860" w:type="dxa"/>
            <w:vAlign w:val="bottom"/>
          </w:tcPr>
          <w:p>
            <w:pPr>
              <w:spacing w:after="0"/>
              <w:rPr>
                <w:sz w:val="6"/>
                <w:szCs w:val="6"/>
                <w:color w:val="auto"/>
              </w:rPr>
            </w:pPr>
          </w:p>
        </w:tc>
        <w:tc>
          <w:tcPr>
            <w:tcW w:w="248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224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vMerge w:val="restart"/>
          </w:tcPr>
          <w:p>
            <w:pPr>
              <w:jc w:val="center"/>
              <w:ind w:right="155"/>
              <w:spacing w:after="0"/>
              <w:rPr>
                <w:sz w:val="20"/>
                <w:szCs w:val="20"/>
                <w:color w:val="auto"/>
              </w:rPr>
            </w:pPr>
            <w:r>
              <w:rPr>
                <w:rFonts w:ascii="Arial" w:cs="Arial" w:eastAsia="Arial" w:hAnsi="Arial"/>
                <w:sz w:val="16"/>
                <w:szCs w:val="16"/>
                <w:b w:val="1"/>
                <w:bCs w:val="1"/>
                <w:color w:val="auto"/>
                <w:w w:val="91"/>
              </w:rPr>
              <w:t>Price</w:t>
            </w:r>
          </w:p>
        </w:tc>
        <w:tc>
          <w:tcPr>
            <w:tcW w:w="0" w:type="dxa"/>
            <w:vAlign w:val="bottom"/>
          </w:tcPr>
          <w:p>
            <w:pPr>
              <w:spacing w:after="0"/>
              <w:rPr>
                <w:sz w:val="1"/>
                <w:szCs w:val="1"/>
                <w:color w:val="auto"/>
              </w:rPr>
            </w:pPr>
          </w:p>
        </w:tc>
      </w:tr>
      <w:tr>
        <w:trPr>
          <w:trHeight w:val="47"/>
        </w:trPr>
        <w:tc>
          <w:tcPr>
            <w:tcW w:w="18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w:t>
            </w:r>
          </w:p>
        </w:tc>
        <w:tc>
          <w:tcPr>
            <w:tcW w:w="1260" w:type="dxa"/>
            <w:vAlign w:val="bottom"/>
            <w:gridSpan w:val="3"/>
          </w:tcPr>
          <w:p>
            <w:pPr>
              <w:ind w:left="200"/>
              <w:spacing w:after="0"/>
              <w:rPr>
                <w:sz w:val="20"/>
                <w:szCs w:val="20"/>
                <w:color w:val="auto"/>
              </w:rPr>
            </w:pPr>
            <w:r>
              <w:rPr>
                <w:rFonts w:ascii="Arial" w:cs="Arial" w:eastAsia="Arial" w:hAnsi="Arial"/>
                <w:sz w:val="16"/>
                <w:szCs w:val="16"/>
                <w:b w:val="1"/>
                <w:bCs w:val="1"/>
                <w:color w:val="auto"/>
              </w:rPr>
              <w:t>Percentage</w:t>
            </w:r>
          </w:p>
        </w:tc>
        <w:tc>
          <w:tcPr>
            <w:tcW w:w="16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18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rPr>
              <w:t>Percentage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5"/>
              <w:spacing w:after="0"/>
              <w:rPr>
                <w:sz w:val="20"/>
                <w:szCs w:val="20"/>
                <w:color w:val="auto"/>
              </w:rPr>
            </w:pPr>
            <w:r>
              <w:rPr>
                <w:rFonts w:ascii="Arial" w:cs="Arial" w:eastAsia="Arial" w:hAnsi="Arial"/>
                <w:sz w:val="16"/>
                <w:szCs w:val="16"/>
                <w:b w:val="1"/>
                <w:bCs w:val="1"/>
                <w:color w:val="auto"/>
                <w:w w:val="90"/>
              </w:rPr>
              <w:t>Per Share</w:t>
            </w:r>
          </w:p>
        </w:tc>
        <w:tc>
          <w:tcPr>
            <w:tcW w:w="0" w:type="dxa"/>
            <w:vAlign w:val="bottom"/>
          </w:tcPr>
          <w:p>
            <w:pPr>
              <w:spacing w:after="0"/>
              <w:rPr>
                <w:sz w:val="1"/>
                <w:szCs w:val="1"/>
                <w:color w:val="auto"/>
              </w:rPr>
            </w:pPr>
          </w:p>
        </w:tc>
      </w:tr>
      <w:tr>
        <w:trPr>
          <w:trHeight w:val="47"/>
        </w:trPr>
        <w:tc>
          <w:tcPr>
            <w:tcW w:w="18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0.007</w:t>
            </w:r>
          </w:p>
        </w:tc>
        <w:tc>
          <w:tcPr>
            <w:tcW w:w="0" w:type="dxa"/>
            <w:vAlign w:val="bottom"/>
          </w:tcPr>
          <w:p>
            <w:pPr>
              <w:spacing w:after="0"/>
              <w:rPr>
                <w:sz w:val="1"/>
                <w:szCs w:val="1"/>
                <w:color w:val="auto"/>
              </w:rPr>
            </w:pPr>
          </w:p>
        </w:tc>
      </w:tr>
      <w:tr>
        <w:trPr>
          <w:trHeight w:val="284"/>
        </w:trPr>
        <w:tc>
          <w:tcPr>
            <w:tcW w:w="1860" w:type="dxa"/>
            <w:vAlign w:val="bottom"/>
          </w:tcPr>
          <w:p>
            <w:pPr>
              <w:spacing w:after="0"/>
              <w:rPr>
                <w:sz w:val="20"/>
                <w:szCs w:val="20"/>
                <w:color w:val="auto"/>
              </w:rPr>
            </w:pPr>
            <w:r>
              <w:rPr>
                <w:rFonts w:ascii="Arial" w:cs="Arial" w:eastAsia="Arial" w:hAnsi="Arial"/>
                <w:sz w:val="18"/>
                <w:szCs w:val="18"/>
                <w:color w:val="auto"/>
              </w:rPr>
              <w:t>New investors</w:t>
            </w:r>
            <w:r>
              <w:rPr>
                <w:rFonts w:ascii="Arial" w:cs="Arial" w:eastAsia="Arial" w:hAnsi="Arial"/>
                <w:sz w:val="20"/>
                <w:szCs w:val="20"/>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15,750,000</w:t>
            </w:r>
          </w:p>
        </w:tc>
        <w:tc>
          <w:tcPr>
            <w:tcW w:w="8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150,000,000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99.98%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43"/>
        </w:trPr>
        <w:tc>
          <w:tcPr>
            <w:tcW w:w="18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150,025,000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79" w:hanging="426"/>
        <w:spacing w:after="0" w:line="266" w:lineRule="auto"/>
        <w:tabs>
          <w:tab w:leader="none" w:pos="891"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562,500 shares of common stock held by our initial stockholders have been forfeited as a result thereof.</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Assumes the issuance of an additional 750,000 shares underlying the rights included in the public units.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pro forma net tangible book value after the offering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140970</wp:posOffset>
            </wp:positionV>
            <wp:extent cx="514350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Numerator:</w:t>
      </w:r>
      <w:r>
        <w:rPr>
          <w:rFonts w:ascii="Arial" w:cs="Arial" w:eastAsia="Arial" w:hAnsi="Arial"/>
          <w:sz w:val="20"/>
          <w:szCs w:val="20"/>
          <w:color w:val="auto"/>
          <w:vertAlign w:val="superscript"/>
        </w:rPr>
        <w:t>(1)</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tangible book value before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proceeds from this offering and private placement of private warrants</w:t>
      </w:r>
    </w:p>
    <w:p>
      <w:pPr>
        <w:spacing w:after="0" w:line="50" w:lineRule="exact"/>
        <w:rPr>
          <w:sz w:val="20"/>
          <w:szCs w:val="20"/>
          <w:color w:val="auto"/>
        </w:rPr>
      </w:pPr>
    </w:p>
    <w:p>
      <w:pPr>
        <w:ind w:left="640" w:hanging="179"/>
        <w:spacing w:after="0" w:line="277" w:lineRule="auto"/>
        <w:rPr>
          <w:sz w:val="20"/>
          <w:szCs w:val="20"/>
          <w:color w:val="auto"/>
        </w:rPr>
      </w:pPr>
      <w:r>
        <w:rPr>
          <w:rFonts w:ascii="Arial" w:cs="Arial" w:eastAsia="Arial" w:hAnsi="Arial"/>
          <w:sz w:val="18"/>
          <w:szCs w:val="18"/>
          <w:color w:val="auto"/>
        </w:rPr>
        <w:t>Plus: Offering costs accrued for and paid in advance, excluded from tangible book value before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5715</wp:posOffset>
            </wp:positionV>
            <wp:extent cx="514350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Less: Proceeds held in trust subject to conversion/tender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220345</wp:posOffset>
            </wp:positionV>
            <wp:extent cx="5143500" cy="197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of common stock issued and outstanding prior to this offering</w:t>
      </w:r>
      <w:r>
        <w:rPr>
          <w:rFonts w:ascii="Arial" w:cs="Arial" w:eastAsia="Arial" w:hAnsi="Arial"/>
          <w:sz w:val="20"/>
          <w:szCs w:val="20"/>
          <w:color w:val="auto"/>
          <w:vertAlign w:val="superscript"/>
        </w:rPr>
        <w:t>(1)</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of common stock to be sold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right="640"/>
        <w:spacing w:after="0" w:line="355" w:lineRule="auto"/>
        <w:rPr>
          <w:sz w:val="20"/>
          <w:szCs w:val="20"/>
          <w:color w:val="auto"/>
        </w:rPr>
      </w:pPr>
      <w:r>
        <w:rPr>
          <w:rFonts w:ascii="Arial" w:cs="Arial" w:eastAsia="Arial" w:hAnsi="Arial"/>
          <w:sz w:val="18"/>
          <w:szCs w:val="18"/>
          <w:color w:val="auto"/>
        </w:rPr>
        <w:t>Shares of common stock underlying the rights to be included in the public units Less: Shares subject to conversion/tender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-36195</wp:posOffset>
            </wp:positionV>
            <wp:extent cx="5143500"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8" w:hanging="548"/>
        <w:spacing w:after="0"/>
        <w:tabs>
          <w:tab w:leader="none" w:pos="5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(88,378)</w:t>
      </w:r>
    </w:p>
    <w:p>
      <w:pPr>
        <w:spacing w:after="0" w:line="99" w:lineRule="exact"/>
        <w:rPr>
          <w:rFonts w:ascii="Arial" w:cs="Arial" w:eastAsia="Arial" w:hAnsi="Arial"/>
          <w:sz w:val="16"/>
          <w:szCs w:val="16"/>
          <w:color w:val="auto"/>
        </w:rPr>
      </w:pPr>
    </w:p>
    <w:p>
      <w:pPr>
        <w:ind w:left="208"/>
        <w:spacing w:after="0"/>
        <w:rPr>
          <w:rFonts w:ascii="Arial" w:cs="Arial" w:eastAsia="Arial" w:hAnsi="Arial"/>
          <w:sz w:val="16"/>
          <w:szCs w:val="16"/>
          <w:color w:val="auto"/>
        </w:rPr>
      </w:pPr>
      <w:r>
        <w:rPr>
          <w:rFonts w:ascii="Arial" w:cs="Arial" w:eastAsia="Arial" w:hAnsi="Arial"/>
          <w:sz w:val="17"/>
          <w:szCs w:val="17"/>
          <w:color w:val="auto"/>
        </w:rPr>
        <w:t>152,500,000</w:t>
      </w:r>
    </w:p>
    <w:p>
      <w:pPr>
        <w:spacing w:after="0" w:line="277"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111,843</w:t>
      </w:r>
    </w:p>
    <w:p>
      <w:pPr>
        <w:spacing w:after="0" w:line="77"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(147,523,458)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029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70" w:lineRule="exact"/>
        <w:rPr>
          <w:sz w:val="20"/>
          <w:szCs w:val="20"/>
          <w:color w:val="auto"/>
        </w:rPr>
      </w:pPr>
    </w:p>
    <w:p>
      <w:pPr>
        <w:ind w:left="388" w:hanging="388"/>
        <w:spacing w:after="0"/>
        <w:tabs>
          <w:tab w:leader="none" w:pos="388" w:val="left"/>
        </w:tabs>
        <w:numPr>
          <w:ilvl w:val="0"/>
          <w:numId w:val="26"/>
        </w:numPr>
        <w:rPr>
          <w:rFonts w:ascii="Arial" w:cs="Arial" w:eastAsia="Arial" w:hAnsi="Arial"/>
          <w:sz w:val="17"/>
          <w:szCs w:val="17"/>
          <w:color w:val="auto"/>
        </w:rPr>
      </w:pPr>
      <w:r>
        <w:rPr>
          <w:rFonts w:ascii="Arial" w:cs="Arial" w:eastAsia="Arial" w:hAnsi="Arial"/>
          <w:sz w:val="17"/>
          <w:szCs w:val="17"/>
          <w:color w:val="auto"/>
        </w:rPr>
        <w:t>5,000,007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029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3,750,000</w:t>
      </w:r>
    </w:p>
    <w:p>
      <w:pPr>
        <w:spacing w:after="0" w:line="77"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15,000,000</w:t>
      </w:r>
    </w:p>
    <w:p>
      <w:pPr>
        <w:spacing w:after="0" w:line="77"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750,000</w:t>
      </w:r>
    </w:p>
    <w:p>
      <w:pPr>
        <w:spacing w:after="0" w:line="77"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(14,606,283)</w:t>
      </w:r>
    </w:p>
    <w:p>
      <w:pPr>
        <w:spacing w:after="0" w:line="90"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4,893,717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029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418" w:lineRule="exact"/>
        <w:rPr>
          <w:sz w:val="20"/>
          <w:szCs w:val="20"/>
          <w:color w:val="auto"/>
        </w:rPr>
      </w:pPr>
    </w:p>
    <w:p>
      <w:pPr>
        <w:sectPr>
          <w:pgSz w:w="11900" w:h="16838" w:orient="portrait"/>
          <w:cols w:equalWidth="0" w:num="2">
            <w:col w:w="6820" w:space="492"/>
            <w:col w:w="1707"/>
          </w:cols>
          <w:pgMar w:left="1440" w:top="274" w:right="1440" w:bottom="1440" w:gutter="0" w:footer="0" w:header="0"/>
        </w:sectPr>
      </w:pPr>
    </w:p>
    <w:p>
      <w:pPr>
        <w:ind w:left="880" w:right="479" w:hanging="426"/>
        <w:spacing w:after="0" w:line="293" w:lineRule="auto"/>
        <w:tabs>
          <w:tab w:leader="none" w:pos="891"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562,500 shares of common stock held by our initial stockholders have been forfeited by us as a result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4" w:name="page55"/>
    <w:bookmarkEnd w:id="5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following table sets forth our capitalization at September 30, 2020 and as adjusted to give effect to the sale of our units and the private warrants and the application of the estimated net proceeds derived from the sale of such securities.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September 30, 2020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560"/>
              <w:spacing w:after="0" w:line="182" w:lineRule="exact"/>
              <w:rPr>
                <w:sz w:val="20"/>
                <w:szCs w:val="20"/>
                <w:color w:val="auto"/>
              </w:rPr>
            </w:pPr>
            <w:r>
              <w:rPr>
                <w:rFonts w:ascii="Arial" w:cs="Arial" w:eastAsia="Arial" w:hAnsi="Arial"/>
                <w:sz w:val="16"/>
                <w:szCs w:val="16"/>
                <w:b w:val="1"/>
                <w:bCs w:val="1"/>
                <w:color w:val="auto"/>
              </w:rPr>
              <w:t>As</w:t>
            </w:r>
          </w:p>
        </w:tc>
        <w:tc>
          <w:tcPr>
            <w:tcW w:w="0" w:type="dxa"/>
            <w:vAlign w:val="bottom"/>
          </w:tcPr>
          <w:p>
            <w:pPr>
              <w:spacing w:after="0"/>
              <w:rPr>
                <w:sz w:val="1"/>
                <w:szCs w:val="1"/>
                <w:color w:val="auto"/>
              </w:rPr>
            </w:pPr>
          </w:p>
        </w:tc>
      </w:tr>
      <w:tr>
        <w:trPr>
          <w:trHeight w:val="253"/>
        </w:trPr>
        <w:tc>
          <w:tcPr>
            <w:tcW w:w="5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3"/>
          </w:tcPr>
          <w:p>
            <w:pPr>
              <w:ind w:left="120"/>
              <w:spacing w:after="0"/>
              <w:rPr>
                <w:sz w:val="20"/>
                <w:szCs w:val="20"/>
                <w:color w:val="auto"/>
              </w:rPr>
            </w:pPr>
            <w:r>
              <w:rPr>
                <w:rFonts w:ascii="Arial" w:cs="Arial" w:eastAsia="Arial" w:hAnsi="Arial"/>
                <w:sz w:val="16"/>
                <w:szCs w:val="16"/>
                <w:b w:val="1"/>
                <w:bCs w:val="1"/>
                <w:color w:val="auto"/>
              </w:rPr>
              <w:t>Actual</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68"/>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Promissory note – related party</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153,018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6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5600" w:type="dxa"/>
            <w:vAlign w:val="bottom"/>
          </w:tcPr>
          <w:p>
            <w:pPr>
              <w:spacing w:after="0" w:line="182" w:lineRule="exact"/>
              <w:rPr>
                <w:sz w:val="20"/>
                <w:szCs w:val="20"/>
                <w:color w:val="auto"/>
              </w:rPr>
            </w:pPr>
            <w:r>
              <w:rPr>
                <w:rFonts w:ascii="Arial" w:cs="Arial" w:eastAsia="Arial" w:hAnsi="Arial"/>
                <w:sz w:val="18"/>
                <w:szCs w:val="18"/>
                <w:color w:val="auto"/>
                <w:w w:val="94"/>
              </w:rPr>
              <w:t>Shares of common stock, $0.0001 par value, none and 14,606,283 shares</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are subject to possible conversion/tender, respectively</w:t>
            </w: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147,523,458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Shares of common stock, $0.0001 par value, 5,000,000 shares authorized,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actual; 50,000,000 shares authorized, as adjusted; 4,312,500 shares issued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w w:val="99"/>
              </w:rPr>
              <w:t>and outstanding, actual; 4,143,717 shares issued and outstanding</w:t>
            </w:r>
            <w:r>
              <w:rPr>
                <w:rFonts w:ascii="Arial" w:cs="Arial" w:eastAsia="Arial" w:hAnsi="Arial"/>
                <w:sz w:val="20"/>
                <w:szCs w:val="20"/>
                <w:color w:val="auto"/>
                <w:w w:val="99"/>
                <w:vertAlign w:val="superscript"/>
              </w:rPr>
              <w:t>(2)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(excluding 14,606,283 shares subject to possible conversion/tender),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adjusted</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6"/>
              </w:rPr>
              <w:t>Shares of preferred stock, $0.001 par value, 0 shares authorized, actual;</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1,000,000 shares authorized, as adjusted; no shares issued and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outstanding (actual and as adjusted)</w:t>
            </w: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24,569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5,001,128</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capitalization</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176,483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89"/>
              </w:rPr>
              <w:t>$  152,523,465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79" w:hanging="426"/>
        <w:spacing w:after="0" w:line="266" w:lineRule="auto"/>
        <w:tabs>
          <w:tab w:leader="none" w:pos="907"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the $6,000,000 we will receive from the sale of the private warrants (assumes the over-allotment option has not been exercised).</w:t>
      </w:r>
    </w:p>
    <w:p>
      <w:pPr>
        <w:spacing w:after="0" w:line="1" w:lineRule="exact"/>
        <w:rPr>
          <w:rFonts w:ascii="Arial" w:cs="Arial" w:eastAsia="Arial" w:hAnsi="Arial"/>
          <w:sz w:val="16"/>
          <w:szCs w:val="16"/>
          <w:color w:val="auto"/>
        </w:rPr>
      </w:pPr>
    </w:p>
    <w:p>
      <w:pPr>
        <w:ind w:left="880" w:right="479" w:hanging="426"/>
        <w:spacing w:after="0" w:line="288" w:lineRule="auto"/>
        <w:tabs>
          <w:tab w:leader="none" w:pos="891"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562,500 shares of common stock held by our initial stockholders have been forfeited as a result thereof.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3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were incorporated on July 10, 2019 as a Delaware corporation to serve as a vehicle to effect a merger, share exchange, asset acquisition, share purchase, recapitalization, reorganization or similar business combination with one or more target businesses. Our efforts to identify a prospective target business will not be limited to a particular industry or geographic location. We intend to utilize cash derived from the proceeds of this offering, our securities, debt or a combination of cash, securities and debt, in effecting a business combination. The issuance of additional shares in our business combination:</w:t>
      </w:r>
    </w:p>
    <w:p>
      <w:pPr>
        <w:spacing w:after="0" w:line="110" w:lineRule="exact"/>
        <w:rPr>
          <w:sz w:val="20"/>
          <w:szCs w:val="20"/>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 significantly reduce the equity interest of our stockholders;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4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89" w:lineRule="exact"/>
        <w:rPr>
          <w:rFonts w:ascii="Arial" w:cs="Arial" w:eastAsia="Arial" w:hAnsi="Arial"/>
          <w:sz w:val="18"/>
          <w:szCs w:val="18"/>
          <w:color w:val="auto"/>
        </w:rPr>
      </w:pPr>
    </w:p>
    <w:p>
      <w:pPr>
        <w:jc w:val="both"/>
        <w:ind w:left="1320" w:right="459" w:hanging="434"/>
        <w:spacing w:after="0" w:line="259" w:lineRule="auto"/>
        <w:tabs>
          <w:tab w:leader="none" w:pos="14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144" w:lineRule="exact"/>
        <w:rPr>
          <w:sz w:val="20"/>
          <w:szCs w:val="20"/>
          <w:color w:val="auto"/>
        </w:rPr>
      </w:pPr>
    </w:p>
    <w:p>
      <w:pPr>
        <w:ind w:left="1320" w:right="479" w:hanging="434"/>
        <w:spacing w:after="0" w:line="277" w:lineRule="auto"/>
        <w:tabs>
          <w:tab w:leader="none" w:pos="1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 business combination are insufficient to pay our debt obligations;</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4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89" w:lineRule="exact"/>
        <w:rPr>
          <w:rFonts w:ascii="Arial" w:cs="Arial" w:eastAsia="Arial" w:hAnsi="Arial"/>
          <w:sz w:val="18"/>
          <w:szCs w:val="18"/>
          <w:color w:val="auto"/>
        </w:rPr>
      </w:pPr>
    </w:p>
    <w:p>
      <w:pPr>
        <w:ind w:left="1320" w:right="479" w:hanging="434"/>
        <w:spacing w:after="0" w:line="308" w:lineRule="auto"/>
        <w:tabs>
          <w:tab w:leader="none" w:pos="1459"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inability to obtain additional financing, if necessary, if the debt security contains covenants restricting our ability to obtain additional financing while such security is outstanding.</w:t>
      </w:r>
    </w:p>
    <w:p>
      <w:pPr>
        <w:spacing w:after="0" w:line="7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As indicated in the accompanying financial statements, at September 30, 2020, we had $65,640 in cash and $111,843 in deferred offering costs. Further, we expect to continue to incur significant costs in the pursuit of our acquisition plans. Our plans to raise capital or to consummate our initial business combination may not be successful.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As indicated in the accompanying financial statements, at September 30, 2020, we had $65,640 in cash and a working capital deficit of $88,378. Further, we have incurred and expect to continue to incur significant costs in pursuit of our financing and acquisition plans. Management’s plans to address this uncertainty through this offering are discussed above. Our plans to raise capital or to consummate our initial business combination may not be successful. These factors, among others, raise substantial doubt about our ability to continue as a going concern.</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6" w:name="page57"/>
    <w:bookmarkEnd w:id="5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Our liquidity needs have been satisfied to date through receipt of $25,000 from the sale of the insider shares. We estimate that the net proceeds from (1) the sale of the units in this offering, after deducting offering expenses of approximately $3,500,000 (or $3,950,000 if the over-allotment option is exercised in full) including underwriting fees and qualified independent underwriter fees of $3,000,000 (or $3,450,000 if the over-allotment option is exercised in full) and (2) the sale of the private warrants for a purchase price of $6,000,000 will be $152,500,000 (or $175,225,000 if the over-allotment option is exercised in full). Of this amount, $151,500,000 (or $174,225,000 if the over-allotment option is exercised in full), or “the net offering proceeds,” will be held in the trust account. The remaining $1,000,000 (whether or not the over-allotment option is exercised in full) will not be held in the trust account.</w:t>
      </w:r>
    </w:p>
    <w:p>
      <w:pPr>
        <w:spacing w:after="0" w:line="113"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Over the next 15 months (or up to 18 months, as applicable),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114" w:lineRule="exact"/>
        <w:rPr>
          <w:sz w:val="20"/>
          <w:szCs w:val="20"/>
          <w:color w:val="auto"/>
        </w:rPr>
      </w:pPr>
    </w:p>
    <w:p>
      <w:pPr>
        <w:jc w:val="both"/>
        <w:ind w:left="1320" w:right="459" w:hanging="434"/>
        <w:spacing w:after="0" w:line="263" w:lineRule="auto"/>
        <w:tabs>
          <w:tab w:leader="none" w:pos="14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$70,000 of expenses for the search for target businesses and for the legal, accounting and other third-party expenses attendant to the due diligence investigations, structuring and negotiating of a business combination;</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4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$30,000 of expenses for the due diligence and investigation of a target business by our officers, directors and initial stockholders;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$40,000 of expenses in legal and accounting fees relating to our SEC reporting obligations;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$150,000 for the payment of the administrative fee to Chardan Capital Markets, LLC (of $10,000 per month for up to 15 months), subject to deferral as described herein;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5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$710,000 for general working capital that will be used for miscellaneous expenses, including director and officer liability insurance premiums.</w:t>
      </w:r>
    </w:p>
    <w:p>
      <w:pPr>
        <w:spacing w:after="0" w:line="103"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Transactions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August 20, 2020, we issued an unsecured promissory note to Ventoux Acquisition, pursuant to which the Company may borrow up to an aggregate principal amount of $250,000. The promissory note is non-interest bearing and will be payable promptly after consummation of this offering or the date on which we determine not to conduct this offering. As of September 30, 2020, there was $153,018 outstanding under the promissory note.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0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engaged Chardan Capital Markets, LLC as an advisor in connection with our initial business combination, pursuant to the business combination marketing agreement described under “Underwriting (Conflicts of Interest) — Business Combination Marketing Agreement.” We will pay Chardan Capital Markets, LLC a marketing fee for such services upon the consummation of our initial business combination in an amount equal to, in the aggregate, 3.5% of the gross proceeds of this offering, including any proceeds from the full or partial exercise of the over-allotment option. As a result, Chardan Capital Markets, LLC will not be entitled to such fee unless we consummate our initial business combination.</w:t>
      </w:r>
    </w:p>
    <w:p>
      <w:pPr>
        <w:spacing w:after="0" w:line="110"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If needed to finance transaction costs in connection with searching for a target business or consummating an intended initial business combination, our initial stockholders,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We believe the purchase price of these private warrants will approximate the fair value of such private warrants when issued. However, if it is determined, at the time of issuance, that the fair value of such private warrants exceeds the purchase price, we would record compensation expense for the excess of the fair value of the private warrants on the day of issuance over the purchase price in accordance with Accounting Standards Codification (“ASC”) 718 — Compensation — Stock Compensation.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As of the date of this prospectus, we have not completed an assessment, nor have our auditors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Target businesses we may consider for our initial business combination may have internal controls that need improvement in areas such as:</w:t>
      </w:r>
    </w:p>
    <w:p>
      <w:pPr>
        <w:spacing w:after="0" w:line="118" w:lineRule="exact"/>
        <w:rPr>
          <w:sz w:val="20"/>
          <w:szCs w:val="20"/>
          <w:color w:val="auto"/>
        </w:rPr>
      </w:pPr>
    </w:p>
    <w:p>
      <w:pPr>
        <w:ind w:left="1300" w:hanging="414"/>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staffing for financial, accounting and external reporting areas, including segregation of duties;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11"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or if, required by Section 404. The independent auditors may identify additional issues concerning a target business’s internal controls while performing their audit of internal control over financial reporting.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treasury bills, bonds or notes having a maturity of 183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7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As of September 30, 2020, we did not have any off-balance sheet arrangements as defined in Item 303(a) (4)(ii) of Regulation S-K and did not have any commitments or contractual obligations. No unaudited quarterly operating data is included in this prospectus as we have conducted no operations to date.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9" w:name="page60"/>
    <w:bookmarkEnd w:id="5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throughout this prospectus as our initial business combination. We have not identified any business combination target and we have not, nor has anyone on our behalf, initiated any substantive discussions, directly or indirectly, with any business combination target.</w:t>
      </w:r>
    </w:p>
    <w:p>
      <w:pPr>
        <w:spacing w:after="0" w:line="125"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9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shareholders.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Co-Sponsors, Management, Board of Directors and Competitive Advantages</w:t>
      </w:r>
    </w:p>
    <w:p>
      <w:pPr>
        <w:spacing w:after="0" w:line="14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Acquisitions and Chardan Investments. Our management team, led by co-founders Mr. Edward Scheetz and Mr. Matthew MacDonald, have a combined 40 years of hospitality and investment experience. Together with our management team, Chardan Investments and its affiliate, Chardan Capital Markets, LLC, our board of directors and our Senior Advisor, Mr. Robert Martin, we are confident that the combined experience makes us well situated to identify, source, negotiate and execute an initial business combination in the hospitality, leisure, travel and dining sectors.</w:t>
      </w:r>
    </w:p>
    <w:p>
      <w:pPr>
        <w:spacing w:after="0" w:line="113" w:lineRule="exact"/>
        <w:rPr>
          <w:sz w:val="20"/>
          <w:szCs w:val="20"/>
          <w:color w:val="auto"/>
        </w:rPr>
      </w:pPr>
    </w:p>
    <w:p>
      <w:pPr>
        <w:jc w:val="both"/>
        <w:ind w:left="460" w:right="479" w:firstLine="432"/>
        <w:spacing w:after="0" w:line="284" w:lineRule="auto"/>
        <w:rPr>
          <w:sz w:val="20"/>
          <w:szCs w:val="20"/>
          <w:color w:val="auto"/>
        </w:rPr>
      </w:pPr>
      <w:r>
        <w:rPr>
          <w:rFonts w:ascii="Arial" w:cs="Arial" w:eastAsia="Arial" w:hAnsi="Arial"/>
          <w:sz w:val="16"/>
          <w:szCs w:val="16"/>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Corp. (NYSE: NRF), which he successfully took public in</w:t>
      </w:r>
    </w:p>
    <w:p>
      <w:pPr>
        <w:spacing w:after="0" w:line="2"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2004. In 2005, Mr. Scheetz became the Chief Executive Officer of Morgans Hotel Group Co.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12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10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Mr. MacDonald is our co-founder, Chief Financial Officer and Secretary, and has over a decade of experience in real estate, hospitality and leisure investments at public companies and private equity-backed ventures. Mr. MacDonald was responsible for corporate M&amp;A transaction activity at Hyatt Hotel Corporation (NYSE: H), where, as part of Hyatt’s global platform, he oversaw M&amp;A investments and underwrote public and private companies within the broader hotel and leisure sectors. Mr. MacDonald joined Hyatt in 2017 through Hyatt’s acquisition of Miraval Group, a KSL Capital portfolio company. In 2018, Mr. MacDonald led the company’s $450 million acquisition of Two Roads Hospitality, which included management contracts for 75 hotel properties across five hotel brands in 23 global markets; the acquisition anchored Hyatt’s Global Lifestyle Division. Additionally, Mr. MacDonald led the development of two of Hyatt’s brands in the wellness space, Miraval and Exhale. With respect to Exhale, Mr. MacDonald led strategic consideration, due diligence and acquisition of the 25-unit spa and class-based fitness company for Hyatt’s Wellness</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0" w:name="page61"/>
    <w:bookmarkEnd w:id="6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platform, and subsequently led integration of the company, units and 1,000 employees into Hyatt. Mr. MacDonald joined Miraval and KSL in 2016. Prior to 2016, Mr. MacDonald was in the Real Estate Investment Management and Acquisitions group at Starwood Hotels &amp; Resorts (NYSE: HOT).</w:t>
      </w:r>
    </w:p>
    <w:p>
      <w:pPr>
        <w:spacing w:after="0" w:line="116"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Mr. Strasbourger is our Chief Operating Officer,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worked in the Emerging Markets Fixed Income group at Barclays Capital (NYSE: BCS).</w:t>
      </w:r>
    </w:p>
    <w:p>
      <w:pPr>
        <w:spacing w:after="0" w:line="72" w:lineRule="exact"/>
        <w:rPr>
          <w:sz w:val="20"/>
          <w:szCs w:val="20"/>
          <w:color w:val="auto"/>
        </w:rPr>
      </w:pPr>
    </w:p>
    <w:p>
      <w:pPr>
        <w:jc w:val="both"/>
        <w:ind w:left="460" w:right="479" w:firstLine="432"/>
        <w:spacing w:after="0" w:line="269" w:lineRule="auto"/>
        <w:rPr>
          <w:sz w:val="20"/>
          <w:szCs w:val="20"/>
          <w:color w:val="auto"/>
        </w:rPr>
      </w:pPr>
      <w:r>
        <w:rPr>
          <w:rFonts w:ascii="Arial" w:cs="Arial" w:eastAsia="Arial" w:hAnsi="Arial"/>
          <w:sz w:val="17"/>
          <w:szCs w:val="17"/>
          <w:color w:val="auto"/>
        </w:rPr>
        <w:t>Mr. Phatak is our Chief Investment Officer, and has over 17 years of experience in various finance and direct investment roles on Wall Street. Mr. Phatak founded his own investment firm, Tappan Street Partners LLC, where he has led a research driven investment process for a number of private funds over the past nine years. Additionally, Mr. Phatak was a Partner at Markley Capital Management from 2019 to 2020. Prior to Tappan Street, Mr. Phatak developed his investment expertise as a member of the US investment team at Eton Park Capital Management from 2005 to 2011, helping to deploy approximately $5 billion of capital as part of a six-member team. During his career, Mr. Phatak has underwritten investments in a variety of different sectors, including gaming, hospitality, and leisure. Mr. Phatak began his career at the Blackstone Group (NYSE: BX) as an analyst in the Restructuring and Reorganization Advisory group from 2003 to 2005, and later as a private equity associate at Madison Dearborn Partners during 2005.</w:t>
      </w:r>
    </w:p>
    <w:p>
      <w:pPr>
        <w:spacing w:after="0" w:line="10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will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pacing w:after="0" w:line="8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Chardan has an extensive track record in the SPAC market as underwriter, sponsor and advisor. Since 2004, Chardan has been lead or co-lead underwriter on 81 SPAC IPOs. Since 2018, Chardan has been merger and acquisition advisor to eleven SPACs, helping companies close transactions valued at approximately $5.1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founded seven SPACs, five of which have closed successful business combinations, one of which has announced a business combination and one of which is currently seeking an acquisition.</w:t>
      </w:r>
    </w:p>
    <w:p>
      <w:pPr>
        <w:spacing w:after="0" w:line="77"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Mr. Jonas Grossman is a partner, the President and Head of Capital Markets for Chardan Capital Markets, LLC, a New York headquartered broker/dealer, established in 2003. Since 2003, Mr. Grossman has overseen the firm’s investment banking and capital markets activities and initiatives. He has extensive transactional experience having led or managed more than 400 transactions during his tenure at Chardan.</w:t>
      </w:r>
    </w:p>
    <w:p>
      <w:pPr>
        <w:spacing w:after="0" w:line="9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Mr. Grossman has nearly two decades of SPAC expertise. Mr. Grossman has provided underwriting and business combination advisory services to more than 80 SPACs in a variety of industries and has been a founder and CEO and President of two SPACs and a nonexecutive board member of an additional SPACs. Mr. Grossman was the Chief Executive Officer and President of Chardan Healthcare Acquisition Corp. from March 2018 until its merger in October 2019 with BiomX (NYSE: PHGE). Mr. Grossman is currently a director of BiomX and since March 2020 is also a director of LifeSci Acquisition Corp. which recently announced a business combination with Vincera Pharma, Inc. Since April 2020, Mr. Grossman has been the Chief Executive Officer and President of Chardan Healthcare Acquisition 2 Corp.</w:t>
      </w:r>
    </w:p>
    <w:p>
      <w:pPr>
        <w:spacing w:after="0" w:line="97"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Mr. Alex Weil is currently co-head of FinTech investment banking at Chardan. Mr. Weil has spent his career, which spans over two decades, providing strategic advisory services to global companies, senior executives, boards of directors, and investors. Mr. Weil’s background in strategic advisory work was built during his career at both global companies, as a leader in Citi’s corporate strategy and M&amp;A group, UBS Financial Institutions Group’s investment bank, and General Electric’s corporate development group, and at boutique investment banking advisors, such as Lazard Middle Market and William Blair.</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1" w:name="page62"/>
    <w:bookmarkEnd w:id="6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Mr. Weil has advised on billions of dollars of transactions ranging from corporate divestitures and spin offs, innovative technology company acquisitions to larger, more complex M&amp;A transactions. Mr. Weil has participated or led a variety of transactions, such as: Genworth’s spin-off IPO from General Electric; Citi-related transactions including a variety of technology and capital markets businesses (e.g. Lava Trading, Knight Options Market Making, and Automated Trading Desk) along with the creation of Citi Holdings and subsequent sales of Nikko Asset Management and its subprime auto finance business; Schwab’s acquisition of OptionsXpress; and CVC’s majority investment in Alix Partners. Mr. Weil’s extensive financial and M&amp;A expertise will help put us in a strong position to structure profitable investments.</w:t>
      </w:r>
    </w:p>
    <w:p>
      <w:pPr>
        <w:spacing w:after="0" w:line="11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believe the partnership between Ventoux Acquisition and Chardan offers investors a differentiated investment opportunity which brings together a management team with deep and proven industry focus with one of the leading and most successful SPAC advisors that provides deep sector expertise, an expansive network of relationships, and decades of M&amp;A transaction experience.</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board of directors will include Woody H. Levin, Julie Atkinson and Chris Ahrens.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Woody Levin is the founder and has served as Chief Executive Officer of Extend, Inc., which offers an API-first solution for merchants to offer extended warranties and protection plans, and 3.0 Capital GP, LLC, which is a multi-strategy crypto asset hedge fund. Mr. Levin also served as Vice President of Growth at DocuSign, Inc. (NASDAQ: DOCU), which allows organizations to digitally prepare, sign, act on, and manage agreements. In addition, Mr. Levin served as the founder and Chief Executive Officer of Estate Assist, Inc., a digital estate planning platform until its acquisition, and of BringIt, Inc., a virtual currency casino and arcade until its acquisition. Mr. Levin served as Director Emerging Business — Office of the CTO at International Game Technology PLC (NYSE: IGT), which manufactures and distributes slot machines and other gaming technology. Mr. Levin serves a member of the board of directors of DraftKings Inc. (NASDAQ: DKNG) and of Extend, Inc.</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Julie Atkinson is the Chief Marketing Officer for Founders Table Restaurant Group, which includes the Chopt and Dos Toros restaurant brands.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27"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Chris Ahrens is an Advisor with Certares, a travel focused investment firm. Prior to joining Certares, he was a Managing Director of One Equity Partners (“OEP”), the private equity investment arm of JPMorgan Chase. He was active in OEP’s travel industry, technology and healthcare investments. Chris currently serves on the Board of Directors of Internova Travel Group, a leading premium corporate, leisure, franchise and consortia travel company operating under a variety of diversified divisions and brands, including Tzell Travel, Protravel International,Travel Leaders Network and Nexion.</w:t>
      </w:r>
    </w:p>
    <w:p>
      <w:pPr>
        <w:spacing w:after="0" w:line="97"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Mr. Robert Martin will serve as a Senior Advisor to the management team. Mr. Martin is a Vice Chairman in JLL’s New York office, where he leads a ten member brokerage, advisory and consulting team that focuses on tenant representation in the New York Tri-state market. Mr. Martin is an accomplished real estate professional, having completed transactions involving more than 50 million square feet over his 35-year real estate career. Mr. Martin is also the principal and founder of RGM Holdings, a real estate investment firm that sources and invests in real estate assets in the New York metro area. RGM Holdings is the General Partner in a portfolio of real estate investments comprising over 690,000 square feet and a value in excess of $1.3 billion. Mr. Martin is also an early investor in a variety of ventures, including in the proptech and fintech sectors.</w:t>
      </w:r>
    </w:p>
    <w:p>
      <w:pPr>
        <w:spacing w:after="0" w:line="9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 Opportunities will be sourced through our established and proprietary networks of senior executives, investors, investment banks, and advisors. With our focus on value creation, we will be driven by a disciplined investment strategy that will conduct comprehensive due diligence, thorough underwriting and thoughtful strategic analysis, resulting in a thorough evaluation of each investment opportunity.</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2" w:name="page63"/>
    <w:bookmarkEnd w:id="6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With respect to the foregoing experiences of our management, directors, and Chardan, past performance is not a guarantee (i) that we will be able to identify a suitable candidate for our initial business combination or</w:t>
      </w:r>
    </w:p>
    <w:p>
      <w:pPr>
        <w:jc w:val="both"/>
        <w:ind w:left="460" w:right="479" w:hanging="6"/>
        <w:spacing w:after="0" w:line="255" w:lineRule="auto"/>
        <w:tabs>
          <w:tab w:leader="none" w:pos="756" w:val="left"/>
        </w:tabs>
        <w:numPr>
          <w:ilvl w:val="0"/>
          <w:numId w:val="34"/>
        </w:numPr>
        <w:rPr>
          <w:rFonts w:ascii="Arial" w:cs="Arial" w:eastAsia="Arial" w:hAnsi="Arial"/>
          <w:sz w:val="18"/>
          <w:szCs w:val="18"/>
          <w:color w:val="auto"/>
        </w:rPr>
      </w:pPr>
      <w:r>
        <w:rPr>
          <w:rFonts w:ascii="Arial" w:cs="Arial" w:eastAsia="Arial" w:hAnsi="Arial"/>
          <w:sz w:val="18"/>
          <w:szCs w:val="18"/>
          <w:color w:val="auto"/>
        </w:rPr>
        <w:t>of success with respect to any business combination we may consummate. You should not rely on the historical record of our management’s, directors’, or Chardan’s performance as indicative of our future performance.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Opportunity</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 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12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9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COVID-19 has created a temporary valuation dislocation, and has adversely impacted the ability of companies and business divisions to access to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120"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Strategy</w:t>
      </w:r>
    </w:p>
    <w:p>
      <w:pPr>
        <w:spacing w:after="0" w:line="13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management team’s objective is to generate attractive returns and create long-term value for our shareholders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1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management team, board and advisors have experience in:</w:t>
      </w:r>
    </w:p>
    <w:p>
      <w:pPr>
        <w:spacing w:after="0" w:line="131" w:lineRule="exact"/>
        <w:rPr>
          <w:sz w:val="20"/>
          <w:szCs w:val="20"/>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key activities of SPACs including, sponsoring, underwriting and M&amp;A advisory;</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4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75" w:lineRule="exact"/>
        <w:rPr>
          <w:rFonts w:ascii="Arial" w:cs="Arial" w:eastAsia="Arial" w:hAnsi="Arial"/>
          <w:sz w:val="18"/>
          <w:szCs w:val="18"/>
          <w:color w:val="auto"/>
        </w:rPr>
      </w:pPr>
    </w:p>
    <w:p>
      <w:pPr>
        <w:jc w:val="both"/>
        <w:ind w:left="1320" w:right="479" w:hanging="434"/>
        <w:spacing w:after="0" w:line="263" w:lineRule="auto"/>
        <w:tabs>
          <w:tab w:leader="none" w:pos="15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ectPr>
          <w:pgSz w:w="11900" w:h="16838" w:orient="portrait"/>
          <w:cols w:equalWidth="0" w:num="1">
            <w:col w:w="9019"/>
          </w:cols>
          <w:pgMar w:left="1440" w:top="274"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3" w:name="page64"/>
    <w:bookmarkEnd w:id="6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1320" w:right="479" w:hanging="434"/>
        <w:spacing w:after="0" w:line="277" w:lineRule="auto"/>
        <w:tabs>
          <w:tab w:leader="none" w:pos="14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4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76"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Investment Criteria</w:t>
      </w:r>
    </w:p>
    <w:p>
      <w:pPr>
        <w:spacing w:after="0" w:line="13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07" w:lineRule="exact"/>
        <w:rPr>
          <w:sz w:val="20"/>
          <w:szCs w:val="20"/>
          <w:color w:val="auto"/>
        </w:rPr>
      </w:pPr>
    </w:p>
    <w:p>
      <w:pPr>
        <w:ind w:left="1320" w:right="479" w:hanging="434"/>
        <w:spacing w:after="0" w:line="277" w:lineRule="auto"/>
        <w:tabs>
          <w:tab w:leader="none" w:pos="14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75" w:lineRule="exact"/>
        <w:rPr>
          <w:rFonts w:ascii="Arial" w:cs="Arial" w:eastAsia="Arial" w:hAnsi="Arial"/>
          <w:sz w:val="18"/>
          <w:szCs w:val="18"/>
          <w:color w:val="auto"/>
        </w:rPr>
      </w:pPr>
    </w:p>
    <w:p>
      <w:pPr>
        <w:jc w:val="both"/>
        <w:ind w:left="1320" w:right="479" w:hanging="434"/>
        <w:spacing w:after="0" w:line="286" w:lineRule="auto"/>
        <w:tabs>
          <w:tab w:leader="none" w:pos="1365" w:val="left"/>
        </w:tabs>
        <w:numPr>
          <w:ilvl w:val="0"/>
          <w:numId w:val="37"/>
        </w:numPr>
        <w:rPr>
          <w:rFonts w:ascii="Arial" w:cs="Arial" w:eastAsia="Arial" w:hAnsi="Arial"/>
          <w:sz w:val="17"/>
          <w:szCs w:val="17"/>
          <w:color w:val="auto"/>
        </w:rPr>
      </w:pPr>
      <w:r>
        <w:rPr>
          <w:rFonts w:ascii="Arial" w:cs="Arial" w:eastAsia="Arial" w:hAnsi="Arial"/>
          <w:sz w:val="17"/>
          <w:szCs w:val="17"/>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84" w:lineRule="exact"/>
        <w:rPr>
          <w:rFonts w:ascii="Arial" w:cs="Arial" w:eastAsia="Arial" w:hAnsi="Arial"/>
          <w:sz w:val="17"/>
          <w:szCs w:val="17"/>
          <w:color w:val="auto"/>
        </w:rPr>
      </w:pPr>
    </w:p>
    <w:p>
      <w:pPr>
        <w:ind w:left="1320" w:right="479" w:hanging="434"/>
        <w:spacing w:after="0" w:line="277" w:lineRule="auto"/>
        <w:tabs>
          <w:tab w:leader="none" w:pos="1473"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 in these challenging times for the industry sectors;</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130"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an operating model that has adapted to meet the changing consumer or business behaviors in a post-COVID 19 environment;</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130"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pacing w:after="0" w:line="76"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materials or tender offer documents that we would file with the SEC.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 Process</w:t>
      </w:r>
    </w:p>
    <w:p>
      <w:pPr>
        <w:spacing w:after="0" w:line="14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ectPr>
          <w:pgSz w:w="11900" w:h="16838" w:orient="portrait"/>
          <w:cols w:equalWidth="0" w:num="1">
            <w:col w:w="9019"/>
          </w:cols>
          <w:pgMar w:left="1440" w:top="274"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4" w:name="page65"/>
    <w:bookmarkEnd w:id="6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have not identified any business combination target and we have not, nor has anyone on our behalf, initiated any substantive discussions, directly or indirectly, with any business combination target. Our co-sponsors, all of the members of our management team and our board, our advisors, including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Value Creation Post Merger</w:t>
      </w:r>
    </w:p>
    <w:p>
      <w:pPr>
        <w:spacing w:after="0" w:line="162"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After the initial business combination, our management team intends to apply a rigorous approach to enhancing shareholder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4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warrants, our shares, rights,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113" w:lineRule="exact"/>
        <w:rPr>
          <w:sz w:val="20"/>
          <w:szCs w:val="20"/>
          <w:color w:val="auto"/>
        </w:rPr>
      </w:pPr>
    </w:p>
    <w:p>
      <w:pPr>
        <w:jc w:val="both"/>
        <w:ind w:left="460" w:right="479" w:firstLine="432"/>
        <w:spacing w:after="0" w:line="254" w:lineRule="auto"/>
        <w:rPr>
          <w:sz w:val="20"/>
          <w:szCs w:val="20"/>
          <w:color w:val="auto"/>
        </w:rPr>
      </w:pPr>
      <w:r>
        <w:rPr>
          <w:rFonts w:ascii="Arial" w:cs="Arial" w:eastAsia="Arial" w:hAnsi="Arial"/>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27"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We have not identified any acquisition targets. From the period prior to our formation through the date of this prospectus, there have been no communications, evaluations or discussions between any of our officers, directors or our co-sponsors and any of their contacts or relationships regarding a potential initial business combination. Additionally, we have not engaged or retained any agent or other representative to identify or locate any suitable acquisition candidate. 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0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5" w:name="page66"/>
    <w:bookmarkEnd w:id="6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may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32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co-sponsors,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on the type of target business we seek to acquire that such an initial business combination is fair to our stockholders from a financial point of view.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144"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our management will have virtually unrestricted flexibility in identifying and selecting one or more prospective target businesses. In any case, we will only consummate an initial business combination in which we become the majority shareholder of the target (or control the target through contractual arrangements in limited circumstances for regulatory compliance purposes as discussed below)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There is no basis for investors in this offering to evaluate the possible merits or risks of any target business with which we may ultimately complete our initial business combination. To the extent we effect our initial business combination with a company or business that may be financially unstable or in its early stages of development or growth (such as a company that has begun operations but is not yet at the stage of commercial manufacturing and sales), we may be affected by numerous risks inherent in such company or business. Although our management will endeavor to evaluate the risks inherent in a particular target business, we may not properly ascertain or assess all significant risk factors.</w:t>
      </w:r>
    </w:p>
    <w:p>
      <w:pPr>
        <w:spacing w:after="0" w:line="12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made available to us.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6" w:name="page67"/>
    <w:bookmarkEnd w:id="6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Market Value of Target Business or Businesses</w:t>
      </w:r>
    </w:p>
    <w:p>
      <w:pPr>
        <w:spacing w:after="0" w:line="158"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The target business or businesses or assets with which we effect our initial business combination must have a collective fair market value equal to at least 80% of the value of the trust account (excluding any taxes payable on the income earned on the trust account) at the time of the agreement to enter into such initial business combination. If we acquire less than 100% of one or more target businesses in our initial business combination, the aggregate fair market value of the portion or portions we acquire must equal at least 80% of the value of the trust account at the time of the agreement to enter into such initial business combination. However, we will always acquire at least a controlling interest in a target business. The fair market value of a portion of a target business or assets will likely be calculated by multiplying the fair market value of the entire business by the percentage of the target we acquire. We may seek to consummate our initial business combination with an initial target business or businesses with a collective fair market value in excess of the balance in the trust account. In order to consummate such an initial business combination, we may issue a significant amount of debt, equity or other securities to the sellers of such business and/or seek to raise additional funds through a private offering of debt, equity or other securities. If we issue securities in order to consummate such an initial business combination, our stockholders could end up owning a minority of the combined company’s voting securities as there is no requirement that our stockholders own a certain percentage of our company (or, depending on the structure of the initial business combination, an ultimate parent company that may be formed) after our business combination. Because we have no specific business combination under consideration, we have not entered into any such arrangement to issue our debt or equity securities and have no current intention of doing so.</w:t>
      </w:r>
    </w:p>
    <w:p>
      <w:pPr>
        <w:spacing w:after="0" w:line="121"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 fair market value of a target business or businesses or assets will be determined by our board of directors based upon standards generally accepted by the financial community, such as actual and potential gross margins, the values of comparable businesses, earnings and cash flow, book value, enterprise value and, where appropriate, upon the advice of appraisers or other professional consultants. Investors will be relying on the business judgment of our board of directors, which will have significant discretion in choosing the standard used to establish the fair market value of a particular target business. If our board of directors is not able to independently determine that the target business or assets has a sufficient fair market value to meet the threshold criterion, we will obtain an opinion from an unaffiliated, independent investment banking firm or another independent entity that commonly renders valuation opinions on the type of target business we seek to acquire with respect to the satisfaction of such criterion. Notwithstanding the foregoing, unless we consummate a business combination with an affiliated entity, we are not required to obtain an opinion from an independent investment banking firm, or another independent entity that commonly renders valuation opinions on the type of target business we seek to acquire, that the price we are paying is fair to our stockholders.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25" w:lineRule="exact"/>
        <w:rPr>
          <w:sz w:val="20"/>
          <w:szCs w:val="20"/>
          <w:color w:val="auto"/>
        </w:rPr>
      </w:pPr>
    </w:p>
    <w:p>
      <w:pPr>
        <w:jc w:val="both"/>
        <w:ind w:left="1320" w:right="459" w:hanging="434"/>
        <w:spacing w:after="0" w:line="263" w:lineRule="auto"/>
        <w:tabs>
          <w:tab w:leader="none" w:pos="13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11"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to ascertain that additional managers will have the requisite skills, knowledge or experience necessary to enhance the incumbent management.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In connection with any proposed business combination, we will either (1) seek stockholder approval of our initial business combination at a meeting called for such purpose at which public stockholders may seek to convert their public shares, regardless of whether they vote for or against the proposed business combination,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(net of taxes payable) or</w:t>
      </w:r>
    </w:p>
    <w:p>
      <w:pPr>
        <w:spacing w:after="0" w:line="1" w:lineRule="exact"/>
        <w:rPr>
          <w:sz w:val="20"/>
          <w:szCs w:val="20"/>
          <w:color w:val="auto"/>
        </w:rPr>
      </w:pPr>
    </w:p>
    <w:p>
      <w:pPr>
        <w:jc w:val="both"/>
        <w:ind w:left="460" w:right="459" w:hanging="6"/>
        <w:spacing w:after="0" w:line="252" w:lineRule="auto"/>
        <w:tabs>
          <w:tab w:leader="none" w:pos="7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provide our public stockholders with the opportunity to sell their public shares to us by means of a tender offer (and thereby avoid the need for a stockholder vote) for an amount equal to 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aggregate amount then on deposit in the trust account.</w:t>
      </w:r>
    </w:p>
    <w:p>
      <w:pPr>
        <w:spacing w:after="0" w:line="11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1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If we determine to engage in a tender offer, such tender offer will be structured so that each stockholder may tender any or all of his, her or its public shares rather than some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solely if we seek stockholder approval, a majority of the issued and outstanding shares of common stock voted are voted in favor of the business combination.</w:t>
      </w:r>
    </w:p>
    <w:p>
      <w:pPr>
        <w:spacing w:after="0" w:line="11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chose our net tangible asset threshold of $5,000,001 to ensure that we are not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or sold to us), and may force us to seek third party financing which may not be available on terms acceptable</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8" w:name="page69"/>
    <w:bookmarkEnd w:id="6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 xml:space="preserve">to us or at all. As a result, we may not be able to consummate such initial business combination and we may not be able to locate another suitable target within the applicable time period, if at all. Public stockholders may therefore have to wait 15 months (or up to 18 months, as applicable) from the closing of this offering in order to be able to receive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trust account.</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Our initial stockholders and our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 As a result, if we sought stockholder approval of a proposed transaction, we would need only 937,001 of our public shares (or approximately 5.1% of our public shares) to be voted in favor of the transaction in order to have such transaction approved (assuming that only a quorum was present at the meeting, that the over-allotment option is not exercised and that the initial stockholders do not purchase any units in this offering or units or shares in the after-market).</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Conversion/Tender Rights</w:t>
      </w:r>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In connection with any meeting called to approve an initial business combination, public stockholders may seek to convert their public shares, regardless of whether they vote for or against the proposed business combination,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less any taxes then due but not yet paid. A public stockholder may be required to vote for or against a proposed business combination in order to have his, her or its shares of common stock redeemed for cash. If required to do so, and the stockholder fails to vote for or against a proposed business combination, that stockholder would not be able to have his, her or its shares of common stock redeemed. Notwithstanding the foregoing, our initial stockholders have agreed, pursuant to written letter agreements with us, not to convert any public shares held by them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If we hold a meeting to approve an initial business combination, a holder will always have the ability to vote against a proposed business combination and not seek conversion of his, her or its shares.</w:t>
      </w:r>
    </w:p>
    <w:p>
      <w:pPr>
        <w:spacing w:after="0" w:line="7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Alternatively, if we engage in a tender offer, each public stockholder will be provided the opportunity to sell its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9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initial stockholders, officers and directors will not have conversion rights with respect to any shares of common stock owned by them, directly or indirectly, whether acquired prior to this offering or purchased by them in this offering or in the aftermarket.</w:t>
      </w:r>
    </w:p>
    <w:p>
      <w:pPr>
        <w:spacing w:after="0" w:line="10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her or its shares if the holder wishes to seek to exercise his conversion rights. Under Delaware law, we are required to provide at least 10 days’ advance notice of any stockholder meeting, which would be the minimum amount of time a stockholder would have to determine whether to exercise conversion rights. As a result, if we require public stockholders who wish to convert their shares of common stock into the right to receive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 The conversion rights will include the requirement that a beneficial holder must identify itself in order to validly redeem its shares.</w:t>
      </w:r>
    </w:p>
    <w:p>
      <w:pPr>
        <w:sectPr>
          <w:pgSz w:w="11900" w:h="16838" w:orient="portrait"/>
          <w:cols w:equalWidth="0" w:num="1">
            <w:col w:w="9019"/>
          </w:cols>
          <w:pgMar w:left="1440" w:top="27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9" w:name="page70"/>
    <w:bookmarkEnd w:id="6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9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Any request to convert or tender such shares, once made, may be withdrawn at any time up to the vote on the proposed business combination or expiration of the tender offer. Furthermore, if a holder of a public share delivered its certificate in connection with an election of their conversion or tender and subsequently decides prior to the vote on the business combination or the expiration of the tender offer not to elect to exercise such rights, it may simply request that the transfer agent return the certificate (physically or electronically).</w:t>
      </w:r>
    </w:p>
    <w:p>
      <w:pPr>
        <w:spacing w:after="0" w:line="9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If the initial business combination is not approved or completed for any reason, then our public stockholders who elected to exercise their conversion or tender rights would not be entitled to convert their shares for the applicable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trust account. In such case, we will promptly return any shares delivered by public holders.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144"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If we do not complete a business combination within 15 months (or up to 18 months, as applicable)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w:t>
      </w:r>
    </w:p>
    <w:p>
      <w:pPr>
        <w:spacing w:after="0" w:line="2" w:lineRule="exact"/>
        <w:rPr>
          <w:sz w:val="20"/>
          <w:szCs w:val="20"/>
          <w:color w:val="auto"/>
        </w:rPr>
      </w:pPr>
    </w:p>
    <w:p>
      <w:pPr>
        <w:jc w:val="both"/>
        <w:ind w:left="460" w:right="459" w:hanging="6"/>
        <w:spacing w:after="0" w:line="302" w:lineRule="auto"/>
        <w:tabs>
          <w:tab w:leader="none" w:pos="793" w:val="left"/>
        </w:tabs>
        <w:numPr>
          <w:ilvl w:val="0"/>
          <w:numId w:val="40"/>
        </w:numPr>
        <w:rPr>
          <w:rFonts w:ascii="Arial" w:cs="Arial" w:eastAsia="Arial" w:hAnsi="Arial"/>
          <w:sz w:val="16"/>
          <w:szCs w:val="16"/>
          <w:color w:val="auto"/>
        </w:rPr>
      </w:pPr>
      <w:r>
        <w:rPr>
          <w:rFonts w:ascii="Arial" w:cs="Arial" w:eastAsia="Arial" w:hAnsi="Arial"/>
          <w:sz w:val="16"/>
          <w:szCs w:val="16"/>
          <w:color w:val="auto"/>
        </w:rPr>
        <w:t>above) to our obligations under Delaware law to provide for claims of creditors and the requirements of other applicable law. There will be no redemption rights or liquidating distributions with respect to our rights or warrants, which will expire worthless if we fail to complete our business combination within the time period.</w:t>
      </w:r>
    </w:p>
    <w:p>
      <w:pPr>
        <w:spacing w:after="0" w:line="88"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However, if we anticipate that we may not be able to consummate our initial business combination within 15 months, our initial stockholders or their affiliates may, but are not obligated to, extend the period of time to consummate an initial business combination one time by up to an additional three months (for a total of up to 18 months to complete an initial business combination) without the need for a separate stockholder vote.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without the need for a separate stockholder vote is for our initial stockholders or their affiliates or designees, upon five days’ advance notice prior to the applicable deadline, to deposit into the trust account $1,500,000, or $1,725,000 if the underwriters’ over-allotment option is exercised in full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 In the event that they elected to extend the time to complete a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11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0" w:name="page71"/>
    <w:bookmarkEnd w:id="7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90" w:lineRule="exact"/>
        <w:rPr>
          <w:sz w:val="20"/>
          <w:szCs w:val="20"/>
          <w:color w:val="auto"/>
        </w:rPr>
      </w:pPr>
    </w:p>
    <w:p>
      <w:pPr>
        <w:jc w:val="both"/>
        <w:ind w:left="460" w:right="459" w:firstLine="432"/>
        <w:spacing w:after="0" w:line="250" w:lineRule="auto"/>
        <w:rPr>
          <w:sz w:val="20"/>
          <w:szCs w:val="20"/>
          <w:color w:val="auto"/>
        </w:rPr>
      </w:pPr>
      <w:r>
        <w:rPr>
          <w:rFonts w:ascii="Arial" w:cs="Arial" w:eastAsia="Arial" w:hAnsi="Arial"/>
          <w:sz w:val="18"/>
          <w:szCs w:val="18"/>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15</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(or up to the 18</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as applicable) from the closing of this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2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1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19"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refuses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refuses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third parties execute such agreements with us, they will not seek recourse against the trust account. Certain of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$10.10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such insiders’ financial net worth and believes they will be able to satisfy any indemnification obligations that may arise. However, these insiders may not be able to satisfy their indemnification obligations, as we have not required them to retain any assets to provide for their indemnification obligations, nor have we taken any further steps to ensure that they will be able to satisfy any indemnification obligations that arise. Moreover, these insiders will not be liable to our public stockholders, and instead will only have liability to us. As a result, if we liquidate, the per-share distribution from the trust account could be less than the estimated $10.10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w:t>
      </w:r>
    </w:p>
    <w:p>
      <w:pPr>
        <w:sectPr>
          <w:pgSz w:w="11900" w:h="16838" w:orient="portrait"/>
          <w:cols w:equalWidth="0" w:num="1">
            <w:col w:w="9019"/>
          </w:cols>
          <w:pgMar w:left="1440" w:top="274" w:right="144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1" w:name="page72"/>
    <w:bookmarkEnd w:id="7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$50,000), and have agreed not to seek repayment of such expenses. Each holder of public shares will receive a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1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20"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$10.10.</w:t>
      </w:r>
    </w:p>
    <w:p>
      <w:pPr>
        <w:spacing w:after="0" w:line="9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 of Incorporation</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Our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in connection with any such vote. Our insiders have agreed to waive any conversion rights with respect to any insider shares and any public shares they may hold in connection with any vote to amend our certificate of incorporation. Specifically, our certificate of incorporation provides, among other things, that:</w:t>
      </w:r>
    </w:p>
    <w:p>
      <w:pPr>
        <w:spacing w:after="0" w:line="104" w:lineRule="exact"/>
        <w:rPr>
          <w:sz w:val="20"/>
          <w:szCs w:val="20"/>
          <w:color w:val="auto"/>
        </w:rPr>
      </w:pPr>
    </w:p>
    <w:p>
      <w:pPr>
        <w:jc w:val="both"/>
        <w:ind w:left="1320" w:right="459" w:hanging="434"/>
        <w:spacing w:after="0" w:line="271" w:lineRule="auto"/>
        <w:tabs>
          <w:tab w:leader="none" w:pos="1365"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97" w:lineRule="exact"/>
        <w:rPr>
          <w:rFonts w:ascii="Arial" w:cs="Arial" w:eastAsia="Arial" w:hAnsi="Arial"/>
          <w:sz w:val="17"/>
          <w:szCs w:val="17"/>
          <w:color w:val="auto"/>
        </w:rPr>
      </w:pPr>
    </w:p>
    <w:p>
      <w:pPr>
        <w:jc w:val="both"/>
        <w:ind w:left="1320" w:right="459" w:hanging="434"/>
        <w:spacing w:after="0" w:line="259" w:lineRule="auto"/>
        <w:tabs>
          <w:tab w:leader="none" w:pos="1419"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2" w:name="page73"/>
    <w:bookmarkEnd w:id="7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86" w:lineRule="auto"/>
        <w:tabs>
          <w:tab w:leader="none" w:pos="1405"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our initial business combination is not consummated within 15 months (or up to 18 months, as applicable) of the closing of this offering, then our existence will terminate and we will distribute all amounts in the trust account to all of our public holders of shares of common stock;</w:t>
      </w:r>
    </w:p>
    <w:p>
      <w:pPr>
        <w:spacing w:after="0" w:line="97" w:lineRule="exact"/>
        <w:rPr>
          <w:rFonts w:ascii="Arial" w:cs="Arial" w:eastAsia="Arial" w:hAnsi="Arial"/>
          <w:sz w:val="17"/>
          <w:szCs w:val="17"/>
          <w:color w:val="auto"/>
        </w:rPr>
      </w:pPr>
    </w:p>
    <w:p>
      <w:pPr>
        <w:ind w:left="1320" w:right="479" w:hanging="434"/>
        <w:spacing w:after="0" w:line="277"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the consummation of this offering, $151,500,000, or $174,225,000 if the over-allotment option is exercised in full, shall be placed into the trust account;</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4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4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Revisions to Agreements with Insiders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Each of our insiders has entered into a letter agreement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92" w:lineRule="exact"/>
        <w:rPr>
          <w:sz w:val="20"/>
          <w:szCs w:val="20"/>
          <w:color w:val="auto"/>
        </w:rPr>
      </w:pPr>
    </w:p>
    <w:p>
      <w:pPr>
        <w:jc w:val="both"/>
        <w:ind w:left="1320" w:right="459" w:hanging="434"/>
        <w:spacing w:after="0" w:line="263" w:lineRule="auto"/>
        <w:tabs>
          <w:tab w:leader="none" w:pos="15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4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89" w:lineRule="exact"/>
        <w:rPr>
          <w:rFonts w:ascii="Arial" w:cs="Arial" w:eastAsia="Arial" w:hAnsi="Arial"/>
          <w:sz w:val="18"/>
          <w:szCs w:val="18"/>
          <w:color w:val="auto"/>
        </w:rPr>
      </w:pPr>
    </w:p>
    <w:p>
      <w:pPr>
        <w:jc w:val="both"/>
        <w:ind w:left="1320" w:right="459" w:hanging="434"/>
        <w:spacing w:after="0" w:line="279" w:lineRule="auto"/>
        <w:tabs>
          <w:tab w:leader="none" w:pos="1432"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76" w:lineRule="exact"/>
        <w:rPr>
          <w:rFonts w:ascii="Arial" w:cs="Arial" w:eastAsia="Arial" w:hAnsi="Arial"/>
          <w:sz w:val="17"/>
          <w:szCs w:val="17"/>
          <w:color w:val="auto"/>
        </w:rPr>
      </w:pPr>
    </w:p>
    <w:p>
      <w:pPr>
        <w:ind w:left="1320" w:right="459" w:hanging="434"/>
        <w:spacing w:after="0" w:line="277" w:lineRule="auto"/>
        <w:tabs>
          <w:tab w:leader="none" w:pos="13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89" w:lineRule="exact"/>
        <w:rPr>
          <w:rFonts w:ascii="Arial" w:cs="Arial" w:eastAsia="Arial" w:hAnsi="Arial"/>
          <w:sz w:val="18"/>
          <w:szCs w:val="18"/>
          <w:color w:val="auto"/>
        </w:rPr>
      </w:pPr>
    </w:p>
    <w:p>
      <w:pPr>
        <w:ind w:left="1320" w:right="459" w:hanging="434"/>
        <w:spacing w:after="0" w:line="308" w:lineRule="auto"/>
        <w:tabs>
          <w:tab w:leader="none" w:pos="16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obligation of our management team to not propose amendments to our organizational documents could be amended to allow them to propose such changes to our stockholders;</w:t>
      </w:r>
    </w:p>
    <w:p>
      <w:pPr>
        <w:spacing w:after="0" w:line="51" w:lineRule="exact"/>
        <w:rPr>
          <w:rFonts w:ascii="Arial" w:cs="Arial" w:eastAsia="Arial" w:hAnsi="Arial"/>
          <w:sz w:val="17"/>
          <w:szCs w:val="17"/>
          <w:color w:val="auto"/>
        </w:rPr>
      </w:pPr>
    </w:p>
    <w:p>
      <w:pPr>
        <w:ind w:left="1320" w:right="459" w:hanging="434"/>
        <w:spacing w:after="0" w:line="308" w:lineRule="auto"/>
        <w:tabs>
          <w:tab w:leader="none" w:pos="16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obligation of insiders to not receive any compensation in connection with a business combination could be modified in order to allow them to receive such compensation; and</w:t>
      </w:r>
    </w:p>
    <w:p>
      <w:pPr>
        <w:spacing w:after="0" w:line="51" w:lineRule="exact"/>
        <w:rPr>
          <w:rFonts w:ascii="Arial" w:cs="Arial" w:eastAsia="Arial" w:hAnsi="Arial"/>
          <w:sz w:val="17"/>
          <w:szCs w:val="17"/>
          <w:color w:val="auto"/>
        </w:rPr>
      </w:pPr>
    </w:p>
    <w:p>
      <w:pPr>
        <w:ind w:left="1320" w:right="479" w:hanging="434"/>
        <w:spacing w:after="0" w:line="277" w:lineRule="auto"/>
        <w:tabs>
          <w:tab w:leader="none" w:pos="1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103"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Except as specified above, stockholders would not be required to be given the opportunity to redeem their shares in connection with such changes. Such changes could result in:</w:t>
      </w:r>
    </w:p>
    <w:p>
      <w:pPr>
        <w:spacing w:after="0" w:line="76" w:lineRule="exact"/>
        <w:rPr>
          <w:sz w:val="20"/>
          <w:szCs w:val="20"/>
          <w:color w:val="auto"/>
        </w:rPr>
      </w:pPr>
    </w:p>
    <w:p>
      <w:pPr>
        <w:jc w:val="both"/>
        <w:ind w:left="1320" w:right="459" w:hanging="434"/>
        <w:spacing w:after="0" w:line="263" w:lineRule="auto"/>
        <w:tabs>
          <w:tab w:leader="none" w:pos="13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5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378"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486"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on the income earned on the trust account)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Facilities</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will pay to Chardan Capital Markets, LLC, an affiliate of Chardan Investments, a fee of $10,000 per month for use of office space and certain office and secretarial services. The office space will be located at 1 East Putnam Avenue, Floor 4, Greenwich, CT 06830.</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Employees</w:t>
      </w:r>
    </w:p>
    <w:p>
      <w:pPr>
        <w:spacing w:after="0" w:line="14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currently have 4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Periodic Reporting and Audited Financial Statements</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We will register our units, shares of common stock, rights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0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will be required to comply with the internal control requirements of the Sarbanes-Oxley Act beginning for the fiscal year ending December 31, 2021.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2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13"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jc w:val="both"/>
        <w:ind w:left="460" w:right="459" w:hanging="6"/>
        <w:spacing w:after="0" w:line="290" w:lineRule="auto"/>
        <w:tabs>
          <w:tab w:leader="none" w:pos="7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last business day of our most recently completed second fiscal quarter, and (2) the date on which we have issued more than $1.0 billion in non-convertible debt securities during the prior three-year period. References herein to “emerging growth company” shall have the meaning associated with it in the JOBS Act.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14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upon the consummation of this offering, and we will file a Current Report on Form 8-K, including an audited balance sheet demonstrating this fact.</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640" w:hanging="179"/>
        <w:spacing w:after="0" w:line="386" w:lineRule="auto"/>
        <w:rPr>
          <w:sz w:val="20"/>
          <w:szCs w:val="20"/>
          <w:color w:val="auto"/>
        </w:rPr>
      </w:pPr>
      <w:r>
        <w:rPr>
          <w:rFonts w:ascii="Arial" w:cs="Arial" w:eastAsia="Arial" w:hAnsi="Arial"/>
          <w:sz w:val="15"/>
          <w:szCs w:val="15"/>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800"/>
        <w:spacing w:after="0"/>
        <w:tabs>
          <w:tab w:leader="none" w:pos="3620" w:val="left"/>
        </w:tabs>
        <w:rPr>
          <w:sz w:val="20"/>
          <w:szCs w:val="20"/>
          <w:color w:val="auto"/>
        </w:rPr>
      </w:pPr>
      <w:r>
        <w:rPr>
          <w:rFonts w:ascii="Arial" w:cs="Arial" w:eastAsia="Arial" w:hAnsi="Arial"/>
          <w:sz w:val="16"/>
          <w:szCs w:val="16"/>
          <w:b w:val="1"/>
          <w:bCs w:val="1"/>
          <w:color w:val="auto"/>
        </w:rPr>
        <w:t>Terms of the Offering</w:t>
      </w:r>
      <w:r>
        <w:rPr>
          <w:sz w:val="20"/>
          <w:szCs w:val="20"/>
          <w:color w:val="auto"/>
        </w:rPr>
        <w:tab/>
      </w:r>
      <w:r>
        <w:rPr>
          <w:rFonts w:ascii="Arial" w:cs="Arial" w:eastAsia="Arial" w:hAnsi="Arial"/>
          <w:sz w:val="14"/>
          <w:szCs w:val="14"/>
          <w:b w:val="1"/>
          <w:bCs w:val="1"/>
          <w:color w:val="auto"/>
        </w:rPr>
        <w:t>Terms Under a Rule 419 Offering</w:t>
      </w:r>
    </w:p>
    <w:p>
      <w:pPr>
        <w:spacing w:after="0" w:line="72" w:lineRule="exact"/>
        <w:rPr>
          <w:sz w:val="20"/>
          <w:szCs w:val="20"/>
          <w:color w:val="auto"/>
        </w:rPr>
      </w:pPr>
    </w:p>
    <w:p>
      <w:pPr>
        <w:jc w:val="both"/>
        <w:ind w:right="459"/>
        <w:spacing w:after="0" w:line="268" w:lineRule="auto"/>
        <w:rPr>
          <w:sz w:val="20"/>
          <w:szCs w:val="20"/>
          <w:color w:val="auto"/>
        </w:rPr>
      </w:pPr>
      <w:r>
        <w:rPr>
          <w:rFonts w:ascii="Arial" w:cs="Arial" w:eastAsia="Arial" w:hAnsi="Arial"/>
          <w:sz w:val="17"/>
          <w:szCs w:val="17"/>
          <w:color w:val="auto"/>
        </w:rPr>
        <w:t>$151,500,000 of the net offering proceeds $132,300,000 of the offering proceeds and proceeds from the sale of the private would be required to be deposited into warrants will be deposited into a trust either an escrow account with an insured account in the United States, maintained depositary institution or in a separate bank by Continental Stock Transfer &amp; Trust account established by a broker-dealer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-692150</wp:posOffset>
            </wp:positionV>
            <wp:extent cx="40633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tabs>
          <w:tab w:leader="none" w:pos="3180" w:val="left"/>
        </w:tabs>
        <w:rPr>
          <w:sz w:val="20"/>
          <w:szCs w:val="20"/>
          <w:color w:val="auto"/>
        </w:rPr>
      </w:pPr>
      <w:r>
        <w:rPr>
          <w:rFonts w:ascii="Arial" w:cs="Arial" w:eastAsia="Arial" w:hAnsi="Arial"/>
          <w:sz w:val="18"/>
          <w:szCs w:val="18"/>
          <w:color w:val="auto"/>
        </w:rPr>
        <w:t>Company, acting as trustee.</w:t>
      </w:r>
      <w:r>
        <w:rPr>
          <w:sz w:val="20"/>
          <w:szCs w:val="20"/>
          <w:color w:val="auto"/>
        </w:rPr>
        <w:tab/>
      </w:r>
      <w:r>
        <w:rPr>
          <w:rFonts w:ascii="Arial" w:cs="Arial" w:eastAsia="Arial" w:hAnsi="Arial"/>
          <w:sz w:val="17"/>
          <w:szCs w:val="17"/>
          <w:color w:val="auto"/>
        </w:rPr>
        <w:t>which the broker-dealer acts as trustee for</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persons having the beneficial interests in the</w:t>
      </w:r>
    </w:p>
    <w:p>
      <w:pPr>
        <w:spacing w:after="0" w:line="32"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account.</w:t>
      </w:r>
    </w:p>
    <w:p>
      <w:pPr>
        <w:spacing w:after="0" w:line="166" w:lineRule="exact"/>
        <w:rPr>
          <w:sz w:val="20"/>
          <w:szCs w:val="20"/>
          <w:color w:val="auto"/>
        </w:rPr>
      </w:pPr>
    </w:p>
    <w:p>
      <w:pPr>
        <w:sectPr>
          <w:pgSz w:w="11900" w:h="16838" w:orient="portrait"/>
          <w:cols w:equalWidth="0" w:num="2">
            <w:col w:w="1860" w:space="300"/>
            <w:col w:w="685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b w:val="1"/>
                <w:bCs w:val="1"/>
                <w:color w:val="auto"/>
              </w:rPr>
              <w:t>Investment of net</w:t>
            </w:r>
          </w:p>
        </w:tc>
        <w:tc>
          <w:tcPr>
            <w:tcW w:w="3200" w:type="dxa"/>
            <w:vAlign w:val="bottom"/>
          </w:tcPr>
          <w:p>
            <w:pPr>
              <w:ind w:left="60"/>
              <w:spacing w:after="0"/>
              <w:rPr>
                <w:sz w:val="20"/>
                <w:szCs w:val="20"/>
                <w:color w:val="auto"/>
              </w:rPr>
            </w:pPr>
            <w:r>
              <w:rPr>
                <w:rFonts w:ascii="Arial" w:cs="Arial" w:eastAsia="Arial" w:hAnsi="Arial"/>
                <w:sz w:val="18"/>
                <w:szCs w:val="18"/>
                <w:color w:val="auto"/>
                <w:w w:val="98"/>
              </w:rPr>
              <w:t>The  $151,500,000  of  the  net  offering</w:t>
            </w:r>
          </w:p>
        </w:tc>
        <w:tc>
          <w:tcPr>
            <w:tcW w:w="3260" w:type="dxa"/>
            <w:vAlign w:val="bottom"/>
          </w:tcPr>
          <w:p>
            <w:pPr>
              <w:ind w:left="60"/>
              <w:spacing w:after="0"/>
              <w:rPr>
                <w:sz w:val="20"/>
                <w:szCs w:val="20"/>
                <w:color w:val="auto"/>
              </w:rPr>
            </w:pPr>
            <w:r>
              <w:rPr>
                <w:rFonts w:ascii="Arial" w:cs="Arial" w:eastAsia="Arial" w:hAnsi="Arial"/>
                <w:sz w:val="18"/>
                <w:szCs w:val="18"/>
                <w:color w:val="auto"/>
                <w:w w:val="89"/>
              </w:rPr>
              <w:t>Proceeds could be invested only in specified</w:t>
            </w:r>
          </w:p>
        </w:tc>
      </w:tr>
      <w:tr>
        <w:trPr>
          <w:trHeight w:val="220"/>
        </w:trPr>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proceeds</w:t>
            </w:r>
          </w:p>
        </w:tc>
        <w:tc>
          <w:tcPr>
            <w:tcW w:w="3200" w:type="dxa"/>
            <w:vAlign w:val="bottom"/>
          </w:tcPr>
          <w:p>
            <w:pPr>
              <w:ind w:left="60"/>
              <w:spacing w:after="0"/>
              <w:rPr>
                <w:sz w:val="20"/>
                <w:szCs w:val="20"/>
                <w:color w:val="auto"/>
              </w:rPr>
            </w:pPr>
            <w:r>
              <w:rPr>
                <w:rFonts w:ascii="Arial" w:cs="Arial" w:eastAsia="Arial" w:hAnsi="Arial"/>
                <w:sz w:val="18"/>
                <w:szCs w:val="18"/>
                <w:color w:val="auto"/>
                <w:w w:val="89"/>
              </w:rPr>
              <w:t>proceeds and proceeds from the sale of the</w:t>
            </w:r>
          </w:p>
        </w:tc>
        <w:tc>
          <w:tcPr>
            <w:tcW w:w="3260" w:type="dxa"/>
            <w:vAlign w:val="bottom"/>
          </w:tcPr>
          <w:p>
            <w:pPr>
              <w:ind w:left="60"/>
              <w:spacing w:after="0"/>
              <w:rPr>
                <w:sz w:val="20"/>
                <w:szCs w:val="20"/>
                <w:color w:val="auto"/>
              </w:rPr>
            </w:pPr>
            <w:r>
              <w:rPr>
                <w:rFonts w:ascii="Arial" w:cs="Arial" w:eastAsia="Arial" w:hAnsi="Arial"/>
                <w:sz w:val="18"/>
                <w:szCs w:val="18"/>
                <w:color w:val="auto"/>
              </w:rPr>
              <w:t>securities such as a money market fund</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7"/>
              </w:rPr>
              <w:t>private warrants held in trust will only be</w:t>
            </w:r>
          </w:p>
        </w:tc>
        <w:tc>
          <w:tcPr>
            <w:tcW w:w="3260" w:type="dxa"/>
            <w:vAlign w:val="bottom"/>
          </w:tcPr>
          <w:p>
            <w:pPr>
              <w:ind w:left="60"/>
              <w:spacing w:after="0"/>
              <w:rPr>
                <w:sz w:val="20"/>
                <w:szCs w:val="20"/>
                <w:color w:val="auto"/>
              </w:rPr>
            </w:pPr>
            <w:r>
              <w:rPr>
                <w:rFonts w:ascii="Arial" w:cs="Arial" w:eastAsia="Arial" w:hAnsi="Arial"/>
                <w:sz w:val="18"/>
                <w:szCs w:val="18"/>
                <w:color w:val="auto"/>
              </w:rPr>
              <w:t>meeting  conditions  of  the  Investment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7"/>
              </w:rPr>
              <w:t>invested  in  United  States  government</w:t>
            </w:r>
          </w:p>
        </w:tc>
        <w:tc>
          <w:tcPr>
            <w:tcW w:w="3260" w:type="dxa"/>
            <w:vAlign w:val="bottom"/>
          </w:tcPr>
          <w:p>
            <w:pPr>
              <w:ind w:left="60"/>
              <w:spacing w:after="0"/>
              <w:rPr>
                <w:sz w:val="20"/>
                <w:szCs w:val="20"/>
                <w:color w:val="auto"/>
              </w:rPr>
            </w:pPr>
            <w:r>
              <w:rPr>
                <w:rFonts w:ascii="Arial" w:cs="Arial" w:eastAsia="Arial" w:hAnsi="Arial"/>
                <w:sz w:val="18"/>
                <w:szCs w:val="18"/>
                <w:color w:val="auto"/>
                <w:w w:val="92"/>
              </w:rPr>
              <w:t>Company Act or in securities that are direct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9"/>
              </w:rPr>
              <w:t>treasury  bills,  bonds  or  notes  with  a</w:t>
            </w:r>
          </w:p>
        </w:tc>
        <w:tc>
          <w:tcPr>
            <w:tcW w:w="3260" w:type="dxa"/>
            <w:vAlign w:val="bottom"/>
          </w:tcPr>
          <w:p>
            <w:pPr>
              <w:ind w:left="60"/>
              <w:spacing w:after="0"/>
              <w:rPr>
                <w:sz w:val="20"/>
                <w:szCs w:val="20"/>
                <w:color w:val="auto"/>
              </w:rPr>
            </w:pPr>
            <w:r>
              <w:rPr>
                <w:rFonts w:ascii="Arial" w:cs="Arial" w:eastAsia="Arial" w:hAnsi="Arial"/>
                <w:sz w:val="18"/>
                <w:szCs w:val="18"/>
                <w:color w:val="auto"/>
                <w:w w:val="92"/>
              </w:rPr>
              <w:t>obligations of, or obligations guaranteed as</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7"/>
              </w:rPr>
              <w:t>maturity of 183 days or less or in money</w:t>
            </w:r>
          </w:p>
        </w:tc>
        <w:tc>
          <w:tcPr>
            <w:tcW w:w="3260" w:type="dxa"/>
            <w:vAlign w:val="bottom"/>
          </w:tcPr>
          <w:p>
            <w:pPr>
              <w:ind w:left="60"/>
              <w:spacing w:after="0"/>
              <w:rPr>
                <w:sz w:val="20"/>
                <w:szCs w:val="20"/>
                <w:color w:val="auto"/>
              </w:rPr>
            </w:pPr>
            <w:r>
              <w:rPr>
                <w:rFonts w:ascii="Arial" w:cs="Arial" w:eastAsia="Arial" w:hAnsi="Arial"/>
                <w:sz w:val="18"/>
                <w:szCs w:val="18"/>
                <w:color w:val="auto"/>
                <w:w w:val="91"/>
              </w:rPr>
              <w:t>to principal or interest by, the United States.</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market  funds  meeting  the  applicable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7"/>
              </w:rPr>
              <w:t>conditions under Rule 2a-7 promulgated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8"/>
              </w:rPr>
              <w:t>under the Investment Company Act and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that  invest  solely  in  United  States</w:t>
            </w:r>
          </w:p>
        </w:tc>
        <w:tc>
          <w:tcPr>
            <w:tcW w:w="3260" w:type="dxa"/>
            <w:vAlign w:val="bottom"/>
          </w:tcPr>
          <w:p>
            <w:pPr>
              <w:spacing w:after="0"/>
              <w:rPr>
                <w:sz w:val="18"/>
                <w:szCs w:val="18"/>
                <w:color w:val="auto"/>
              </w:rPr>
            </w:pPr>
          </w:p>
        </w:tc>
      </w:tr>
      <w:tr>
        <w:trPr>
          <w:trHeight w:val="230"/>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government treasuries.</w:t>
            </w:r>
          </w:p>
        </w:tc>
        <w:tc>
          <w:tcPr>
            <w:tcW w:w="3260" w:type="dxa"/>
            <w:vAlign w:val="bottom"/>
          </w:tcPr>
          <w:p>
            <w:pPr>
              <w:spacing w:after="0"/>
              <w:rPr>
                <w:sz w:val="20"/>
                <w:szCs w:val="20"/>
                <w:color w:val="auto"/>
              </w:rPr>
            </w:pPr>
          </w:p>
        </w:tc>
      </w:tr>
      <w:tr>
        <w:trPr>
          <w:trHeight w:val="387"/>
        </w:trPr>
        <w:tc>
          <w:tcPr>
            <w:tcW w:w="1640" w:type="dxa"/>
            <w:vAlign w:val="bottom"/>
          </w:tcPr>
          <w:p>
            <w:pPr>
              <w:spacing w:after="0"/>
              <w:rPr>
                <w:sz w:val="20"/>
                <w:szCs w:val="20"/>
                <w:color w:val="auto"/>
              </w:rPr>
            </w:pPr>
            <w:r>
              <w:rPr>
                <w:rFonts w:ascii="Arial" w:cs="Arial" w:eastAsia="Arial" w:hAnsi="Arial"/>
                <w:sz w:val="18"/>
                <w:szCs w:val="18"/>
                <w:b w:val="1"/>
                <w:bCs w:val="1"/>
                <w:color w:val="auto"/>
              </w:rPr>
              <w:t>Limitation on</w:t>
            </w:r>
          </w:p>
        </w:tc>
        <w:tc>
          <w:tcPr>
            <w:tcW w:w="3200" w:type="dxa"/>
            <w:vAlign w:val="bottom"/>
          </w:tcPr>
          <w:p>
            <w:pPr>
              <w:ind w:left="60"/>
              <w:spacing w:after="0"/>
              <w:rPr>
                <w:sz w:val="20"/>
                <w:szCs w:val="20"/>
                <w:color w:val="auto"/>
              </w:rPr>
            </w:pPr>
            <w:r>
              <w:rPr>
                <w:rFonts w:ascii="Arial" w:cs="Arial" w:eastAsia="Arial" w:hAnsi="Arial"/>
                <w:sz w:val="18"/>
                <w:szCs w:val="18"/>
                <w:color w:val="auto"/>
                <w:w w:val="94"/>
              </w:rPr>
              <w:t>The initial target business that we acquire</w:t>
            </w:r>
          </w:p>
        </w:tc>
        <w:tc>
          <w:tcPr>
            <w:tcW w:w="3260" w:type="dxa"/>
            <w:vAlign w:val="bottom"/>
          </w:tcPr>
          <w:p>
            <w:pPr>
              <w:ind w:left="60"/>
              <w:spacing w:after="0"/>
              <w:rPr>
                <w:sz w:val="20"/>
                <w:szCs w:val="20"/>
                <w:color w:val="auto"/>
              </w:rPr>
            </w:pPr>
            <w:r>
              <w:rPr>
                <w:rFonts w:ascii="Arial" w:cs="Arial" w:eastAsia="Arial" w:hAnsi="Arial"/>
                <w:sz w:val="18"/>
                <w:szCs w:val="18"/>
                <w:color w:val="auto"/>
              </w:rPr>
              <w:t>We would be restricted from acquiring a</w:t>
            </w: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fair value or net</w:t>
            </w:r>
          </w:p>
        </w:tc>
        <w:tc>
          <w:tcPr>
            <w:tcW w:w="3200" w:type="dxa"/>
            <w:vAlign w:val="bottom"/>
          </w:tcPr>
          <w:p>
            <w:pPr>
              <w:ind w:left="60"/>
              <w:spacing w:after="0"/>
              <w:rPr>
                <w:sz w:val="20"/>
                <w:szCs w:val="20"/>
                <w:color w:val="auto"/>
              </w:rPr>
            </w:pPr>
            <w:r>
              <w:rPr>
                <w:rFonts w:ascii="Arial" w:cs="Arial" w:eastAsia="Arial" w:hAnsi="Arial"/>
                <w:sz w:val="18"/>
                <w:szCs w:val="18"/>
                <w:color w:val="auto"/>
                <w:w w:val="95"/>
              </w:rPr>
              <w:t>must have a fair market value equal to at</w:t>
            </w:r>
          </w:p>
        </w:tc>
        <w:tc>
          <w:tcPr>
            <w:tcW w:w="3260" w:type="dxa"/>
            <w:vAlign w:val="bottom"/>
          </w:tcPr>
          <w:p>
            <w:pPr>
              <w:ind w:left="60"/>
              <w:spacing w:after="0"/>
              <w:rPr>
                <w:sz w:val="20"/>
                <w:szCs w:val="20"/>
                <w:color w:val="auto"/>
              </w:rPr>
            </w:pPr>
            <w:r>
              <w:rPr>
                <w:rFonts w:ascii="Arial" w:cs="Arial" w:eastAsia="Arial" w:hAnsi="Arial"/>
                <w:sz w:val="18"/>
                <w:szCs w:val="18"/>
                <w:color w:val="auto"/>
                <w:w w:val="90"/>
              </w:rPr>
              <w:t>target business unless the fair value of such</w:t>
            </w: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assets of target</w:t>
            </w:r>
          </w:p>
        </w:tc>
        <w:tc>
          <w:tcPr>
            <w:tcW w:w="3200" w:type="dxa"/>
            <w:vAlign w:val="bottom"/>
          </w:tcPr>
          <w:p>
            <w:pPr>
              <w:ind w:left="60"/>
              <w:spacing w:after="0"/>
              <w:rPr>
                <w:sz w:val="20"/>
                <w:szCs w:val="20"/>
                <w:color w:val="auto"/>
              </w:rPr>
            </w:pPr>
            <w:r>
              <w:rPr>
                <w:rFonts w:ascii="Arial" w:cs="Arial" w:eastAsia="Arial" w:hAnsi="Arial"/>
                <w:sz w:val="18"/>
                <w:szCs w:val="18"/>
                <w:color w:val="auto"/>
                <w:w w:val="96"/>
              </w:rPr>
              <w:t>least  80%  of  the  balance  in  our  trust</w:t>
            </w:r>
          </w:p>
        </w:tc>
        <w:tc>
          <w:tcPr>
            <w:tcW w:w="3260" w:type="dxa"/>
            <w:vAlign w:val="bottom"/>
          </w:tcPr>
          <w:p>
            <w:pPr>
              <w:ind w:left="60"/>
              <w:spacing w:after="0"/>
              <w:rPr>
                <w:sz w:val="20"/>
                <w:szCs w:val="20"/>
                <w:color w:val="auto"/>
              </w:rPr>
            </w:pPr>
            <w:r>
              <w:rPr>
                <w:rFonts w:ascii="Arial" w:cs="Arial" w:eastAsia="Arial" w:hAnsi="Arial"/>
                <w:sz w:val="18"/>
                <w:szCs w:val="18"/>
                <w:color w:val="auto"/>
                <w:w w:val="96"/>
              </w:rPr>
              <w:t>business  or  net  assets  to  be  acquired</w:t>
            </w:r>
          </w:p>
        </w:tc>
      </w:tr>
      <w:tr>
        <w:trPr>
          <w:trHeight w:val="220"/>
        </w:trPr>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business</w:t>
            </w:r>
          </w:p>
        </w:tc>
        <w:tc>
          <w:tcPr>
            <w:tcW w:w="3200" w:type="dxa"/>
            <w:vAlign w:val="bottom"/>
          </w:tcPr>
          <w:p>
            <w:pPr>
              <w:ind w:left="60"/>
              <w:spacing w:after="0"/>
              <w:rPr>
                <w:sz w:val="20"/>
                <w:szCs w:val="20"/>
                <w:color w:val="auto"/>
              </w:rPr>
            </w:pPr>
            <w:r>
              <w:rPr>
                <w:rFonts w:ascii="Arial" w:cs="Arial" w:eastAsia="Arial" w:hAnsi="Arial"/>
                <w:sz w:val="18"/>
                <w:szCs w:val="18"/>
                <w:color w:val="auto"/>
                <w:w w:val="92"/>
              </w:rPr>
              <w:t>account net of taxes payable at the time of</w:t>
            </w:r>
          </w:p>
        </w:tc>
        <w:tc>
          <w:tcPr>
            <w:tcW w:w="3260" w:type="dxa"/>
            <w:vAlign w:val="bottom"/>
          </w:tcPr>
          <w:p>
            <w:pPr>
              <w:ind w:left="60"/>
              <w:spacing w:after="0"/>
              <w:rPr>
                <w:sz w:val="20"/>
                <w:szCs w:val="20"/>
                <w:color w:val="auto"/>
              </w:rPr>
            </w:pPr>
            <w:r>
              <w:rPr>
                <w:rFonts w:ascii="Arial" w:cs="Arial" w:eastAsia="Arial" w:hAnsi="Arial"/>
                <w:sz w:val="18"/>
                <w:szCs w:val="18"/>
                <w:color w:val="auto"/>
              </w:rPr>
              <w:t>represent at least 80% of the maximum</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3"/>
              </w:rPr>
              <w:t>the execution of a definitive agreement for</w:t>
            </w:r>
          </w:p>
        </w:tc>
        <w:tc>
          <w:tcPr>
            <w:tcW w:w="3260" w:type="dxa"/>
            <w:vAlign w:val="bottom"/>
          </w:tcPr>
          <w:p>
            <w:pPr>
              <w:ind w:left="60"/>
              <w:spacing w:after="0"/>
              <w:rPr>
                <w:sz w:val="20"/>
                <w:szCs w:val="20"/>
                <w:color w:val="auto"/>
              </w:rPr>
            </w:pPr>
            <w:r>
              <w:rPr>
                <w:rFonts w:ascii="Arial" w:cs="Arial" w:eastAsia="Arial" w:hAnsi="Arial"/>
                <w:sz w:val="18"/>
                <w:szCs w:val="18"/>
                <w:color w:val="auto"/>
              </w:rPr>
              <w:t>offering proceeds.</w:t>
            </w:r>
          </w:p>
        </w:tc>
      </w:tr>
      <w:tr>
        <w:trPr>
          <w:trHeight w:val="230"/>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our initial business combination.</w:t>
            </w:r>
          </w:p>
        </w:tc>
        <w:tc>
          <w:tcPr>
            <w:tcW w:w="3260" w:type="dxa"/>
            <w:vAlign w:val="bottom"/>
          </w:tcPr>
          <w:p>
            <w:pPr>
              <w:spacing w:after="0"/>
              <w:rPr>
                <w:sz w:val="20"/>
                <w:szCs w:val="20"/>
                <w:color w:val="auto"/>
              </w:rPr>
            </w:pPr>
          </w:p>
        </w:tc>
      </w:tr>
      <w:tr>
        <w:trPr>
          <w:trHeight w:val="387"/>
        </w:trPr>
        <w:tc>
          <w:tcPr>
            <w:tcW w:w="1640" w:type="dxa"/>
            <w:vAlign w:val="bottom"/>
          </w:tcPr>
          <w:p>
            <w:pPr>
              <w:spacing w:after="0"/>
              <w:rPr>
                <w:sz w:val="20"/>
                <w:szCs w:val="20"/>
                <w:color w:val="auto"/>
              </w:rPr>
            </w:pPr>
            <w:r>
              <w:rPr>
                <w:rFonts w:ascii="Arial" w:cs="Arial" w:eastAsia="Arial" w:hAnsi="Arial"/>
                <w:sz w:val="18"/>
                <w:szCs w:val="18"/>
                <w:b w:val="1"/>
                <w:bCs w:val="1"/>
                <w:color w:val="auto"/>
                <w:w w:val="91"/>
              </w:rPr>
              <w:t>Trading of securities</w:t>
            </w:r>
          </w:p>
        </w:tc>
        <w:tc>
          <w:tcPr>
            <w:tcW w:w="3200" w:type="dxa"/>
            <w:vAlign w:val="bottom"/>
          </w:tcPr>
          <w:p>
            <w:pPr>
              <w:ind w:left="60"/>
              <w:spacing w:after="0"/>
              <w:rPr>
                <w:sz w:val="20"/>
                <w:szCs w:val="20"/>
                <w:color w:val="auto"/>
              </w:rPr>
            </w:pPr>
            <w:r>
              <w:rPr>
                <w:rFonts w:ascii="Arial" w:cs="Arial" w:eastAsia="Arial" w:hAnsi="Arial"/>
                <w:sz w:val="18"/>
                <w:szCs w:val="18"/>
                <w:color w:val="auto"/>
                <w:w w:val="99"/>
              </w:rPr>
              <w:t>The units may commence trading on or</w:t>
            </w:r>
          </w:p>
        </w:tc>
        <w:tc>
          <w:tcPr>
            <w:tcW w:w="3260" w:type="dxa"/>
            <w:vAlign w:val="bottom"/>
          </w:tcPr>
          <w:p>
            <w:pPr>
              <w:ind w:left="60"/>
              <w:spacing w:after="0"/>
              <w:rPr>
                <w:sz w:val="20"/>
                <w:szCs w:val="20"/>
                <w:color w:val="auto"/>
              </w:rPr>
            </w:pPr>
            <w:r>
              <w:rPr>
                <w:rFonts w:ascii="Arial" w:cs="Arial" w:eastAsia="Arial" w:hAnsi="Arial"/>
                <w:sz w:val="18"/>
                <w:szCs w:val="18"/>
                <w:color w:val="auto"/>
              </w:rPr>
              <w:t>No trading of the units or the underlying</w:t>
            </w:r>
          </w:p>
        </w:tc>
      </w:tr>
      <w:tr>
        <w:trPr>
          <w:trHeight w:val="220"/>
        </w:trPr>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issued</w:t>
            </w:r>
          </w:p>
        </w:tc>
        <w:tc>
          <w:tcPr>
            <w:tcW w:w="3200" w:type="dxa"/>
            <w:vAlign w:val="bottom"/>
          </w:tcPr>
          <w:p>
            <w:pPr>
              <w:ind w:left="60"/>
              <w:spacing w:after="0"/>
              <w:rPr>
                <w:sz w:val="20"/>
                <w:szCs w:val="20"/>
                <w:color w:val="auto"/>
              </w:rPr>
            </w:pPr>
            <w:r>
              <w:rPr>
                <w:rFonts w:ascii="Arial" w:cs="Arial" w:eastAsia="Arial" w:hAnsi="Arial"/>
                <w:sz w:val="18"/>
                <w:szCs w:val="18"/>
                <w:color w:val="auto"/>
                <w:w w:val="94"/>
              </w:rPr>
              <w:t>promptly after the date of this prospectus.</w:t>
            </w:r>
          </w:p>
        </w:tc>
        <w:tc>
          <w:tcPr>
            <w:tcW w:w="3260" w:type="dxa"/>
            <w:vAlign w:val="bottom"/>
          </w:tcPr>
          <w:p>
            <w:pPr>
              <w:ind w:left="60"/>
              <w:spacing w:after="0"/>
              <w:rPr>
                <w:sz w:val="20"/>
                <w:szCs w:val="20"/>
                <w:color w:val="auto"/>
              </w:rPr>
            </w:pPr>
            <w:r>
              <w:rPr>
                <w:rFonts w:ascii="Arial" w:cs="Arial" w:eastAsia="Arial" w:hAnsi="Arial"/>
                <w:sz w:val="18"/>
                <w:szCs w:val="18"/>
                <w:color w:val="auto"/>
                <w:w w:val="97"/>
              </w:rPr>
              <w:t>securities  would  be  permitted  until  the</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7"/>
              </w:rPr>
              <w:t>The shares of common stock, rights and</w:t>
            </w:r>
          </w:p>
        </w:tc>
        <w:tc>
          <w:tcPr>
            <w:tcW w:w="3260" w:type="dxa"/>
            <w:vAlign w:val="bottom"/>
          </w:tcPr>
          <w:p>
            <w:pPr>
              <w:ind w:left="60"/>
              <w:spacing w:after="0"/>
              <w:rPr>
                <w:sz w:val="20"/>
                <w:szCs w:val="20"/>
                <w:color w:val="auto"/>
              </w:rPr>
            </w:pPr>
            <w:r>
              <w:rPr>
                <w:rFonts w:ascii="Arial" w:cs="Arial" w:eastAsia="Arial" w:hAnsi="Arial"/>
                <w:sz w:val="18"/>
                <w:szCs w:val="18"/>
                <w:color w:val="auto"/>
                <w:w w:val="97"/>
              </w:rPr>
              <w:t>completion  of  a  business  combination.</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3"/>
              </w:rPr>
              <w:t>warrants comprising the units will begin to</w:t>
            </w:r>
          </w:p>
        </w:tc>
        <w:tc>
          <w:tcPr>
            <w:tcW w:w="3260" w:type="dxa"/>
            <w:vAlign w:val="bottom"/>
          </w:tcPr>
          <w:p>
            <w:pPr>
              <w:ind w:left="60"/>
              <w:spacing w:after="0"/>
              <w:rPr>
                <w:sz w:val="20"/>
                <w:szCs w:val="20"/>
                <w:color w:val="auto"/>
              </w:rPr>
            </w:pPr>
            <w:r>
              <w:rPr>
                <w:rFonts w:ascii="Arial" w:cs="Arial" w:eastAsia="Arial" w:hAnsi="Arial"/>
                <w:sz w:val="18"/>
                <w:szCs w:val="18"/>
                <w:color w:val="auto"/>
                <w:w w:val="95"/>
              </w:rPr>
              <w:t>During this period, the securities would be</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line="216" w:lineRule="exact"/>
              <w:rPr>
                <w:sz w:val="20"/>
                <w:szCs w:val="20"/>
                <w:color w:val="auto"/>
              </w:rPr>
            </w:pPr>
            <w:r>
              <w:rPr>
                <w:rFonts w:ascii="Arial" w:cs="Arial" w:eastAsia="Arial" w:hAnsi="Arial"/>
                <w:sz w:val="18"/>
                <w:szCs w:val="18"/>
                <w:color w:val="auto"/>
                <w:w w:val="94"/>
              </w:rPr>
              <w:t>trade separately on the 90</w:t>
            </w:r>
            <w:r>
              <w:rPr>
                <w:rFonts w:ascii="Arial" w:cs="Arial" w:eastAsia="Arial" w:hAnsi="Arial"/>
                <w:sz w:val="20"/>
                <w:szCs w:val="20"/>
                <w:color w:val="auto"/>
                <w:w w:val="94"/>
                <w:vertAlign w:val="superscript"/>
              </w:rPr>
              <w:t>th</w:t>
            </w:r>
            <w:r>
              <w:rPr>
                <w:rFonts w:ascii="Arial" w:cs="Arial" w:eastAsia="Arial" w:hAnsi="Arial"/>
                <w:sz w:val="18"/>
                <w:szCs w:val="18"/>
                <w:color w:val="auto"/>
                <w:w w:val="94"/>
              </w:rPr>
              <w:t xml:space="preserve">  day after the</w:t>
            </w:r>
          </w:p>
        </w:tc>
        <w:tc>
          <w:tcPr>
            <w:tcW w:w="3260" w:type="dxa"/>
            <w:vAlign w:val="bottom"/>
          </w:tcPr>
          <w:p>
            <w:pPr>
              <w:ind w:left="60"/>
              <w:spacing w:after="0"/>
              <w:rPr>
                <w:sz w:val="20"/>
                <w:szCs w:val="20"/>
                <w:color w:val="auto"/>
              </w:rPr>
            </w:pPr>
            <w:r>
              <w:rPr>
                <w:rFonts w:ascii="Arial" w:cs="Arial" w:eastAsia="Arial" w:hAnsi="Arial"/>
                <w:sz w:val="18"/>
                <w:szCs w:val="18"/>
                <w:color w:val="auto"/>
              </w:rPr>
              <w:t>held in the escrow or trust account.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9"/>
              </w:rPr>
              <w:t>date of this prospectus unless Chardan</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8"/>
              </w:rPr>
              <w:t>informs us of its decision to allow earlier</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separate   trading   (based   upon   its</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2"/>
              </w:rPr>
              <w:t>assessment of the relative strengths of the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2"/>
              </w:rPr>
              <w:t>securities markets and small capitalization</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0"/>
              </w:rPr>
              <w:t>and blank check companies in general, and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2"/>
              </w:rPr>
              <w:t>the trading pattern of, and demand for, our</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4"/>
              </w:rPr>
              <w:t>securities in particular), provided we have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filed with the SEC a Current Report on</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8"/>
              </w:rPr>
              <w:t>Form  8-K,  which  includes  an  audited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w w:val="94"/>
              </w:rPr>
              <w:t>balance sheet reflecting our receipt of the</w:t>
            </w:r>
          </w:p>
        </w:tc>
        <w:tc>
          <w:tcPr>
            <w:tcW w:w="3260" w:type="dxa"/>
            <w:vAlign w:val="bottom"/>
          </w:tcPr>
          <w:p>
            <w:pPr>
              <w:spacing w:after="0"/>
              <w:rPr>
                <w:sz w:val="18"/>
                <w:szCs w:val="18"/>
                <w:color w:val="auto"/>
              </w:rPr>
            </w:pPr>
          </w:p>
        </w:tc>
      </w:tr>
      <w:tr>
        <w:trPr>
          <w:trHeight w:val="230"/>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auto"/>
              </w:rPr>
              <w:t>proceeds of this offering.</w:t>
            </w:r>
          </w:p>
        </w:tc>
        <w:tc>
          <w:tcPr>
            <w:tcW w:w="3260" w:type="dxa"/>
            <w:vAlign w:val="bottom"/>
          </w:tcPr>
          <w:p>
            <w:pPr>
              <w:spacing w:after="0"/>
              <w:rPr>
                <w:sz w:val="20"/>
                <w:szCs w:val="20"/>
                <w:color w:val="auto"/>
              </w:rPr>
            </w:pPr>
          </w:p>
        </w:tc>
      </w:tr>
      <w:tr>
        <w:trPr>
          <w:trHeight w:val="445"/>
        </w:trPr>
        <w:tc>
          <w:tcPr>
            <w:tcW w:w="16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71</w:t>
            </w: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type w:val="continuous"/>
        </w:sectPr>
      </w:pPr>
    </w:p>
    <w:bookmarkStart w:id="76" w:name="page77"/>
    <w:bookmarkEnd w:id="76"/>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Exercise of</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3"/>
          </w:tcPr>
          <w:p>
            <w:pPr>
              <w:ind w:left="380"/>
              <w:spacing w:after="0"/>
              <w:rPr>
                <w:sz w:val="20"/>
                <w:szCs w:val="20"/>
                <w:color w:val="auto"/>
              </w:rPr>
            </w:pPr>
            <w:r>
              <w:rPr>
                <w:rFonts w:ascii="Arial" w:cs="Arial" w:eastAsia="Arial" w:hAnsi="Arial"/>
                <w:sz w:val="16"/>
                <w:szCs w:val="16"/>
                <w:b w:val="1"/>
                <w:bCs w:val="1"/>
                <w:color w:val="auto"/>
                <w:w w:val="97"/>
              </w:rPr>
              <w:t>Terms of the Offering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380"/>
              <w:spacing w:after="0"/>
              <w:rPr>
                <w:sz w:val="20"/>
                <w:szCs w:val="20"/>
                <w:color w:val="auto"/>
              </w:rPr>
            </w:pPr>
            <w:r>
              <w:rPr>
                <w:rFonts w:ascii="Arial" w:cs="Arial" w:eastAsia="Arial" w:hAnsi="Arial"/>
                <w:sz w:val="16"/>
                <w:szCs w:val="16"/>
                <w:b w:val="1"/>
                <w:bCs w:val="1"/>
                <w:color w:val="auto"/>
              </w:rPr>
              <w:t>Terms Under a Rule 419 Offering</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96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960" w:type="dxa"/>
            <w:vAlign w:val="bottom"/>
            <w:gridSpan w:val="5"/>
          </w:tcPr>
          <w:p>
            <w:pPr>
              <w:spacing w:after="0" w:line="195" w:lineRule="exact"/>
              <w:rPr>
                <w:sz w:val="20"/>
                <w:szCs w:val="20"/>
                <w:color w:val="auto"/>
              </w:rPr>
            </w:pPr>
            <w:r>
              <w:rPr>
                <w:rFonts w:ascii="Arial" w:cs="Arial" w:eastAsia="Arial" w:hAnsi="Arial"/>
                <w:sz w:val="18"/>
                <w:szCs w:val="18"/>
                <w:color w:val="auto"/>
                <w:w w:val="95"/>
              </w:rPr>
              <w:t>The warrants cannot be exercised until</w:t>
            </w:r>
          </w:p>
        </w:tc>
        <w:tc>
          <w:tcPr>
            <w:tcW w:w="100" w:type="dxa"/>
            <w:vAlign w:val="bottom"/>
            <w:vMerge w:val="continue"/>
          </w:tcPr>
          <w:p>
            <w:pPr>
              <w:spacing w:after="0"/>
              <w:rPr>
                <w:sz w:val="16"/>
                <w:szCs w:val="16"/>
                <w:color w:val="auto"/>
              </w:rPr>
            </w:pPr>
          </w:p>
        </w:tc>
        <w:tc>
          <w:tcPr>
            <w:tcW w:w="3100" w:type="dxa"/>
            <w:vAlign w:val="bottom"/>
          </w:tcPr>
          <w:p>
            <w:pPr>
              <w:spacing w:after="0" w:line="195" w:lineRule="exact"/>
              <w:rPr>
                <w:sz w:val="20"/>
                <w:szCs w:val="20"/>
                <w:color w:val="auto"/>
              </w:rPr>
            </w:pPr>
            <w:r>
              <w:rPr>
                <w:rFonts w:ascii="Arial" w:cs="Arial" w:eastAsia="Arial" w:hAnsi="Arial"/>
                <w:sz w:val="18"/>
                <w:szCs w:val="18"/>
                <w:color w:val="auto"/>
                <w:w w:val="95"/>
              </w:rPr>
              <w:t>The warrants could be exercised prior to</w:t>
            </w:r>
          </w:p>
        </w:tc>
        <w:tc>
          <w:tcPr>
            <w:tcW w:w="0" w:type="dxa"/>
            <w:vAlign w:val="bottom"/>
          </w:tcPr>
          <w:p>
            <w:pPr>
              <w:spacing w:after="0"/>
              <w:rPr>
                <w:sz w:val="1"/>
                <w:szCs w:val="1"/>
                <w:color w:val="auto"/>
              </w:rPr>
            </w:pPr>
          </w:p>
        </w:tc>
      </w:tr>
      <w:tr>
        <w:trPr>
          <w:trHeight w:val="216"/>
        </w:trPr>
        <w:tc>
          <w:tcPr>
            <w:tcW w:w="360" w:type="dxa"/>
            <w:vAlign w:val="bottom"/>
            <w:gridSpan w:val="2"/>
          </w:tcPr>
          <w:p>
            <w:pPr>
              <w:spacing w:after="0"/>
              <w:rPr>
                <w:sz w:val="20"/>
                <w:szCs w:val="20"/>
                <w:color w:val="auto"/>
              </w:rPr>
            </w:pPr>
            <w:r>
              <w:rPr>
                <w:rFonts w:ascii="Arial" w:cs="Arial" w:eastAsia="Arial" w:hAnsi="Arial"/>
                <w:sz w:val="18"/>
                <w:szCs w:val="18"/>
                <w:color w:val="auto"/>
              </w:rPr>
              <w:t>the</w:t>
            </w:r>
          </w:p>
        </w:tc>
        <w:tc>
          <w:tcPr>
            <w:tcW w:w="1100" w:type="dxa"/>
            <w:vAlign w:val="bottom"/>
          </w:tcPr>
          <w:p>
            <w:pPr>
              <w:ind w:left="140"/>
              <w:spacing w:after="0"/>
              <w:rPr>
                <w:sz w:val="20"/>
                <w:szCs w:val="20"/>
                <w:color w:val="auto"/>
              </w:rPr>
            </w:pPr>
            <w:r>
              <w:rPr>
                <w:rFonts w:ascii="Arial" w:cs="Arial" w:eastAsia="Arial" w:hAnsi="Arial"/>
                <w:sz w:val="18"/>
                <w:szCs w:val="18"/>
                <w:color w:val="auto"/>
              </w:rPr>
              <w:t>completion</w:t>
            </w:r>
          </w:p>
        </w:tc>
        <w:tc>
          <w:tcPr>
            <w:tcW w:w="420" w:type="dxa"/>
            <w:vAlign w:val="bottom"/>
          </w:tcPr>
          <w:p>
            <w:pPr>
              <w:ind w:left="120"/>
              <w:spacing w:after="0"/>
              <w:rPr>
                <w:sz w:val="20"/>
                <w:szCs w:val="20"/>
                <w:color w:val="auto"/>
              </w:rPr>
            </w:pPr>
            <w:r>
              <w:rPr>
                <w:rFonts w:ascii="Arial" w:cs="Arial" w:eastAsia="Arial" w:hAnsi="Arial"/>
                <w:sz w:val="18"/>
                <w:szCs w:val="18"/>
                <w:color w:val="auto"/>
              </w:rPr>
              <w:t>of</w:t>
            </w:r>
          </w:p>
        </w:tc>
        <w:tc>
          <w:tcPr>
            <w:tcW w:w="460" w:type="dxa"/>
            <w:vAlign w:val="bottom"/>
          </w:tcPr>
          <w:p>
            <w:pPr>
              <w:ind w:left="140"/>
              <w:spacing w:after="0"/>
              <w:rPr>
                <w:sz w:val="20"/>
                <w:szCs w:val="20"/>
                <w:color w:val="auto"/>
              </w:rPr>
            </w:pPr>
            <w:r>
              <w:rPr>
                <w:rFonts w:ascii="Arial" w:cs="Arial" w:eastAsia="Arial" w:hAnsi="Arial"/>
                <w:sz w:val="18"/>
                <w:szCs w:val="18"/>
                <w:color w:val="auto"/>
              </w:rPr>
              <w:t>a</w:t>
            </w:r>
          </w:p>
        </w:tc>
        <w:tc>
          <w:tcPr>
            <w:tcW w:w="640" w:type="dxa"/>
            <w:vAlign w:val="bottom"/>
          </w:tcPr>
          <w:p>
            <w:pPr>
              <w:ind w:left="40"/>
              <w:spacing w:after="0"/>
              <w:rPr>
                <w:sz w:val="20"/>
                <w:szCs w:val="20"/>
                <w:color w:val="auto"/>
              </w:rPr>
            </w:pPr>
            <w:r>
              <w:rPr>
                <w:rFonts w:ascii="Arial" w:cs="Arial" w:eastAsia="Arial" w:hAnsi="Arial"/>
                <w:sz w:val="18"/>
                <w:szCs w:val="18"/>
                <w:color w:val="auto"/>
                <w:w w:val="81"/>
              </w:rPr>
              <w:t>business</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w w:val="91"/>
              </w:rPr>
              <w:t>the completion of a business combination,</w:t>
            </w:r>
          </w:p>
        </w:tc>
        <w:tc>
          <w:tcPr>
            <w:tcW w:w="0" w:type="dxa"/>
            <w:vAlign w:val="bottom"/>
          </w:tcPr>
          <w:p>
            <w:pPr>
              <w:spacing w:after="0"/>
              <w:rPr>
                <w:sz w:val="1"/>
                <w:szCs w:val="1"/>
                <w:color w:val="auto"/>
              </w:rPr>
            </w:pPr>
          </w:p>
        </w:tc>
      </w:tr>
      <w:tr>
        <w:trPr>
          <w:trHeight w:val="216"/>
        </w:trPr>
        <w:tc>
          <w:tcPr>
            <w:tcW w:w="2980" w:type="dxa"/>
            <w:vAlign w:val="bottom"/>
            <w:gridSpan w:val="6"/>
          </w:tcPr>
          <w:p>
            <w:pPr>
              <w:spacing w:after="0"/>
              <w:rPr>
                <w:sz w:val="20"/>
                <w:szCs w:val="20"/>
                <w:color w:val="auto"/>
              </w:rPr>
            </w:pPr>
            <w:r>
              <w:rPr>
                <w:rFonts w:ascii="Arial" w:cs="Arial" w:eastAsia="Arial" w:hAnsi="Arial"/>
                <w:sz w:val="18"/>
                <w:szCs w:val="18"/>
                <w:color w:val="auto"/>
              </w:rPr>
              <w:t>combination and, accordingly, will be</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w w:val="97"/>
              </w:rPr>
              <w:t>but securities received and cash paid in</w:t>
            </w:r>
          </w:p>
        </w:tc>
        <w:tc>
          <w:tcPr>
            <w:tcW w:w="0" w:type="dxa"/>
            <w:vAlign w:val="bottom"/>
          </w:tcPr>
          <w:p>
            <w:pPr>
              <w:spacing w:after="0"/>
              <w:rPr>
                <w:sz w:val="1"/>
                <w:szCs w:val="1"/>
                <w:color w:val="auto"/>
              </w:rPr>
            </w:pPr>
          </w:p>
        </w:tc>
      </w:tr>
      <w:tr>
        <w:trPr>
          <w:trHeight w:val="216"/>
        </w:trPr>
        <w:tc>
          <w:tcPr>
            <w:tcW w:w="2980" w:type="dxa"/>
            <w:vAlign w:val="bottom"/>
            <w:gridSpan w:val="6"/>
          </w:tcPr>
          <w:p>
            <w:pPr>
              <w:spacing w:after="0"/>
              <w:rPr>
                <w:sz w:val="20"/>
                <w:szCs w:val="20"/>
                <w:color w:val="auto"/>
              </w:rPr>
            </w:pPr>
            <w:r>
              <w:rPr>
                <w:rFonts w:ascii="Arial" w:cs="Arial" w:eastAsia="Arial" w:hAnsi="Arial"/>
                <w:sz w:val="18"/>
                <w:szCs w:val="18"/>
                <w:color w:val="auto"/>
                <w:w w:val="90"/>
              </w:rPr>
              <w:t>exercised only after the trust account has</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connection with the exercise would be</w:t>
            </w:r>
          </w:p>
        </w:tc>
        <w:tc>
          <w:tcPr>
            <w:tcW w:w="0" w:type="dxa"/>
            <w:vAlign w:val="bottom"/>
          </w:tcPr>
          <w:p>
            <w:pPr>
              <w:spacing w:after="0"/>
              <w:rPr>
                <w:sz w:val="1"/>
                <w:szCs w:val="1"/>
                <w:color w:val="auto"/>
              </w:rPr>
            </w:pPr>
          </w:p>
        </w:tc>
      </w:tr>
      <w:tr>
        <w:trPr>
          <w:trHeight w:val="230"/>
        </w:trPr>
        <w:tc>
          <w:tcPr>
            <w:tcW w:w="2340" w:type="dxa"/>
            <w:vAlign w:val="bottom"/>
            <w:gridSpan w:val="5"/>
          </w:tcPr>
          <w:p>
            <w:pPr>
              <w:spacing w:after="0"/>
              <w:rPr>
                <w:sz w:val="20"/>
                <w:szCs w:val="20"/>
                <w:color w:val="auto"/>
              </w:rPr>
            </w:pPr>
            <w:r>
              <w:rPr>
                <w:rFonts w:ascii="Arial" w:cs="Arial" w:eastAsia="Arial" w:hAnsi="Arial"/>
                <w:sz w:val="18"/>
                <w:szCs w:val="18"/>
                <w:color w:val="auto"/>
                <w:w w:val="89"/>
              </w:rPr>
              <w:t>been terminated and distributed.</w:t>
            </w:r>
          </w:p>
        </w:tc>
        <w:tc>
          <w:tcPr>
            <w:tcW w:w="640" w:type="dxa"/>
            <w:vAlign w:val="bottom"/>
          </w:tcPr>
          <w:p>
            <w:pPr>
              <w:spacing w:after="0"/>
              <w:rPr>
                <w:sz w:val="20"/>
                <w:szCs w:val="20"/>
                <w:color w:val="auto"/>
              </w:rPr>
            </w:pP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w w:val="95"/>
              </w:rPr>
              <w:t>deposited in the escrow or trust account.</w:t>
            </w: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2">
            <w:col w:w="1740" w:space="640"/>
            <w:col w:w="6639"/>
          </w:cols>
          <w:pgMar w:left="1440" w:top="274" w:right="1440" w:bottom="1440" w:gutter="0" w:footer="0" w:header="0"/>
        </w:sectPr>
      </w:pPr>
    </w:p>
    <w:tbl>
      <w:tblPr>
        <w:tblLayout w:type="fixed"/>
        <w:tblInd w:w="46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8"/>
                <w:szCs w:val="18"/>
                <w:b w:val="1"/>
                <w:bCs w:val="1"/>
                <w:color w:val="auto"/>
                <w:w w:val="97"/>
              </w:rPr>
              <w:t>Election to remain an</w:t>
            </w: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7"/>
              </w:rPr>
              <w:t>We will either (1) give our stockholders</w:t>
            </w:r>
          </w:p>
        </w:tc>
        <w:tc>
          <w:tcPr>
            <w:tcW w:w="280" w:type="dxa"/>
            <w:vAlign w:val="bottom"/>
          </w:tcPr>
          <w:p>
            <w:pPr>
              <w:ind w:left="40"/>
              <w:spacing w:after="0"/>
              <w:rPr>
                <w:sz w:val="20"/>
                <w:szCs w:val="20"/>
                <w:color w:val="auto"/>
              </w:rPr>
            </w:pPr>
            <w:r>
              <w:rPr>
                <w:rFonts w:ascii="Arial" w:cs="Arial" w:eastAsia="Arial" w:hAnsi="Arial"/>
                <w:sz w:val="18"/>
                <w:szCs w:val="18"/>
                <w:color w:val="auto"/>
              </w:rPr>
              <w:t>A</w:t>
            </w:r>
          </w:p>
        </w:tc>
        <w:tc>
          <w:tcPr>
            <w:tcW w:w="980" w:type="dxa"/>
            <w:vAlign w:val="bottom"/>
            <w:gridSpan w:val="2"/>
          </w:tcPr>
          <w:p>
            <w:pPr>
              <w:ind w:left="80"/>
              <w:spacing w:after="0"/>
              <w:rPr>
                <w:sz w:val="20"/>
                <w:szCs w:val="20"/>
                <w:color w:val="auto"/>
              </w:rPr>
            </w:pPr>
            <w:r>
              <w:rPr>
                <w:rFonts w:ascii="Arial" w:cs="Arial" w:eastAsia="Arial" w:hAnsi="Arial"/>
                <w:sz w:val="18"/>
                <w:szCs w:val="18"/>
                <w:color w:val="auto"/>
                <w:w w:val="99"/>
              </w:rPr>
              <w:t>prospectus</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w w:val="99"/>
              </w:rPr>
              <w:t>containing</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information</w:t>
            </w:r>
          </w:p>
        </w:tc>
      </w:tr>
      <w:tr>
        <w:trPr>
          <w:trHeight w:val="220"/>
        </w:trPr>
        <w:tc>
          <w:tcPr>
            <w:tcW w:w="1800" w:type="dxa"/>
            <w:vAlign w:val="bottom"/>
          </w:tcPr>
          <w:p>
            <w:pPr>
              <w:ind w:left="180"/>
              <w:spacing w:after="0"/>
              <w:rPr>
                <w:sz w:val="20"/>
                <w:szCs w:val="20"/>
                <w:color w:val="auto"/>
              </w:rPr>
            </w:pPr>
            <w:r>
              <w:rPr>
                <w:rFonts w:ascii="Arial" w:cs="Arial" w:eastAsia="Arial" w:hAnsi="Arial"/>
                <w:sz w:val="18"/>
                <w:szCs w:val="18"/>
                <w:b w:val="1"/>
                <w:bCs w:val="1"/>
                <w:color w:val="auto"/>
              </w:rPr>
              <w:t>investor</w:t>
            </w: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7"/>
              </w:rPr>
              <w:t>the opportunity to vote on the business</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89"/>
              </w:rPr>
              <w:t>required by the SEC would be sent to each</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combination or (2) provide our public</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1"/>
              </w:rPr>
              <w:t>investor. Each investor would be given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6"/>
              </w:rPr>
              <w:t>stockholders with the opportunity to sell</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8"/>
              </w:rPr>
              <w:t>opportunity  to  notify  the  company,  in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4"/>
              </w:rPr>
              <w:t>their public shares to us in a tender offer</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4"/>
              </w:rPr>
              <w:t>writing, within a period of no less than 20</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7"/>
              </w:rPr>
              <w:t xml:space="preserve">for cash equal to their </w:t>
            </w:r>
            <w:r>
              <w:rPr>
                <w:rFonts w:ascii="Arial" w:cs="Arial" w:eastAsia="Arial" w:hAnsi="Arial"/>
                <w:sz w:val="18"/>
                <w:szCs w:val="18"/>
                <w:i w:val="1"/>
                <w:iCs w:val="1"/>
                <w:color w:val="auto"/>
                <w:w w:val="97"/>
              </w:rPr>
              <w:t>pro rata</w:t>
            </w:r>
            <w:r>
              <w:rPr>
                <w:rFonts w:ascii="Arial" w:cs="Arial" w:eastAsia="Arial" w:hAnsi="Arial"/>
                <w:sz w:val="18"/>
                <w:szCs w:val="18"/>
                <w:color w:val="auto"/>
                <w:w w:val="97"/>
              </w:rPr>
              <w:t xml:space="preserve"> share of</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business</w:t>
            </w:r>
          </w:p>
        </w:tc>
        <w:tc>
          <w:tcPr>
            <w:tcW w:w="460" w:type="dxa"/>
            <w:vAlign w:val="bottom"/>
          </w:tcPr>
          <w:p>
            <w:pPr>
              <w:ind w:left="60"/>
              <w:spacing w:after="0"/>
              <w:rPr>
                <w:sz w:val="20"/>
                <w:szCs w:val="20"/>
                <w:color w:val="auto"/>
              </w:rPr>
            </w:pPr>
            <w:r>
              <w:rPr>
                <w:rFonts w:ascii="Arial" w:cs="Arial" w:eastAsia="Arial" w:hAnsi="Arial"/>
                <w:sz w:val="18"/>
                <w:szCs w:val="18"/>
                <w:color w:val="auto"/>
                <w:w w:val="99"/>
              </w:rPr>
              <w:t>days</w:t>
            </w:r>
          </w:p>
        </w:tc>
        <w:tc>
          <w:tcPr>
            <w:tcW w:w="440" w:type="dxa"/>
            <w:vAlign w:val="bottom"/>
          </w:tcPr>
          <w:p>
            <w:pPr>
              <w:ind w:left="140"/>
              <w:spacing w:after="0"/>
              <w:rPr>
                <w:sz w:val="20"/>
                <w:szCs w:val="20"/>
                <w:color w:val="auto"/>
              </w:rPr>
            </w:pPr>
            <w:r>
              <w:rPr>
                <w:rFonts w:ascii="Arial" w:cs="Arial" w:eastAsia="Arial" w:hAnsi="Arial"/>
                <w:sz w:val="18"/>
                <w:szCs w:val="18"/>
                <w:color w:val="auto"/>
                <w:w w:val="93"/>
              </w:rPr>
              <w:t>and</w:t>
            </w:r>
          </w:p>
        </w:tc>
        <w:tc>
          <w:tcPr>
            <w:tcW w:w="460" w:type="dxa"/>
            <w:vAlign w:val="bottom"/>
          </w:tcPr>
          <w:p>
            <w:pPr>
              <w:ind w:left="160"/>
              <w:spacing w:after="0"/>
              <w:rPr>
                <w:sz w:val="20"/>
                <w:szCs w:val="20"/>
                <w:color w:val="auto"/>
              </w:rPr>
            </w:pPr>
            <w:r>
              <w:rPr>
                <w:rFonts w:ascii="Arial" w:cs="Arial" w:eastAsia="Arial" w:hAnsi="Arial"/>
                <w:sz w:val="18"/>
                <w:szCs w:val="18"/>
                <w:color w:val="auto"/>
              </w:rPr>
              <w:t>no</w:t>
            </w:r>
          </w:p>
        </w:tc>
        <w:tc>
          <w:tcPr>
            <w:tcW w:w="460" w:type="dxa"/>
            <w:vAlign w:val="bottom"/>
          </w:tcPr>
          <w:p>
            <w:pPr>
              <w:ind w:left="80"/>
              <w:spacing w:after="0"/>
              <w:rPr>
                <w:sz w:val="20"/>
                <w:szCs w:val="20"/>
                <w:color w:val="auto"/>
              </w:rPr>
            </w:pPr>
            <w:r>
              <w:rPr>
                <w:rFonts w:ascii="Arial" w:cs="Arial" w:eastAsia="Arial" w:hAnsi="Arial"/>
                <w:sz w:val="18"/>
                <w:szCs w:val="18"/>
                <w:color w:val="auto"/>
                <w:w w:val="87"/>
              </w:rPr>
              <w:t>more</w:t>
            </w:r>
          </w:p>
        </w:tc>
        <w:tc>
          <w:tcPr>
            <w:tcW w:w="520" w:type="dxa"/>
            <w:vAlign w:val="bottom"/>
          </w:tcPr>
          <w:p>
            <w:pPr>
              <w:jc w:val="right"/>
              <w:spacing w:after="0"/>
              <w:rPr>
                <w:sz w:val="20"/>
                <w:szCs w:val="20"/>
                <w:color w:val="auto"/>
              </w:rPr>
            </w:pPr>
            <w:r>
              <w:rPr>
                <w:rFonts w:ascii="Arial" w:cs="Arial" w:eastAsia="Arial" w:hAnsi="Arial"/>
                <w:sz w:val="18"/>
                <w:szCs w:val="18"/>
                <w:color w:val="auto"/>
              </w:rPr>
              <w:t>than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3"/>
              </w:rPr>
              <w:t>the aggregate amount then on deposit in</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89"/>
              </w:rPr>
              <w:t>45 business days from the effective date of</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2"/>
              </w:rPr>
              <w:t>the trust account, less taxes. If we hold a</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6"/>
              </w:rPr>
              <w:t>the post-effective amendment, to decide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2"/>
              </w:rPr>
              <w:t>meeting to approve a proposed business</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9"/>
              </w:rPr>
              <w:t>whether he, she or it elects to remain a</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combination,   we   will   send   each</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2"/>
              </w:rPr>
              <w:t>stockholder of the company or require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2"/>
              </w:rPr>
              <w:t>stockholder a proxy statement containing</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rPr>
              <w:t>return of his or her investment. If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5"/>
              </w:rPr>
              <w:t>information required by the SEC. Under</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2"/>
              </w:rPr>
              <w:t>company has not received the notification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6"/>
              </w:rPr>
              <w:t>Delaware law, we must provide at least</w:t>
            </w:r>
          </w:p>
        </w:tc>
        <w:tc>
          <w:tcPr>
            <w:tcW w:w="3140" w:type="dxa"/>
            <w:vAlign w:val="bottom"/>
            <w:gridSpan w:val="7"/>
          </w:tcPr>
          <w:p>
            <w:pPr>
              <w:ind w:left="40"/>
              <w:spacing w:after="0" w:line="216" w:lineRule="exact"/>
              <w:rPr>
                <w:sz w:val="20"/>
                <w:szCs w:val="20"/>
                <w:color w:val="auto"/>
              </w:rPr>
            </w:pPr>
            <w:r>
              <w:rPr>
                <w:rFonts w:ascii="Arial" w:cs="Arial" w:eastAsia="Arial" w:hAnsi="Arial"/>
                <w:sz w:val="18"/>
                <w:szCs w:val="18"/>
                <w:color w:val="auto"/>
                <w:w w:val="92"/>
              </w:rPr>
              <w:t>by the end of the 45</w:t>
            </w:r>
            <w:r>
              <w:rPr>
                <w:rFonts w:ascii="Arial" w:cs="Arial" w:eastAsia="Arial" w:hAnsi="Arial"/>
                <w:sz w:val="20"/>
                <w:szCs w:val="20"/>
                <w:color w:val="auto"/>
                <w:w w:val="92"/>
                <w:vertAlign w:val="superscript"/>
              </w:rPr>
              <w:t>th</w:t>
            </w:r>
            <w:r>
              <w:rPr>
                <w:rFonts w:ascii="Arial" w:cs="Arial" w:eastAsia="Arial" w:hAnsi="Arial"/>
                <w:sz w:val="18"/>
                <w:szCs w:val="18"/>
                <w:color w:val="auto"/>
                <w:w w:val="92"/>
              </w:rPr>
              <w:t xml:space="preserve"> business day, funds</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5"/>
              </w:rPr>
              <w:t>10 days’ advance notice of any meeting</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8"/>
              </w:rPr>
              <w:t>and interest or dividends, if any, held in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7"/>
              </w:rPr>
              <w:t>of stockholders. Accordingly, this is the</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rPr>
              <w:t>the  trust  or  escrow  account  would</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3"/>
              </w:rPr>
              <w:t>minimum amount of time we would need</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rPr>
              <w:t>automatically   be   returned   to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5"/>
              </w:rPr>
              <w:t>to provide holders to determine whether</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2"/>
              </w:rPr>
              <w:t>stockholder. Unless a sufficient number of</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to exercise their rights to convert their</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6"/>
              </w:rPr>
              <w:t>investors elect to remain investors, all of</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4"/>
              </w:rPr>
              <w:t>shares into cash at such a meeting or to</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1"/>
              </w:rPr>
              <w:t>the deposited funds in the escrow account</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8"/>
              </w:rPr>
              <w:t>remain  an  investor  in  our  company.</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1"/>
              </w:rPr>
              <w:t>must be returned to all investors and none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Alternatively,  if  we  do  not  hold  a</w:t>
            </w:r>
          </w:p>
        </w:tc>
        <w:tc>
          <w:tcPr>
            <w:tcW w:w="280" w:type="dxa"/>
            <w:vAlign w:val="bottom"/>
          </w:tcPr>
          <w:p>
            <w:pPr>
              <w:ind w:left="40"/>
              <w:spacing w:after="0"/>
              <w:rPr>
                <w:sz w:val="20"/>
                <w:szCs w:val="20"/>
                <w:color w:val="auto"/>
              </w:rPr>
            </w:pPr>
            <w:r>
              <w:rPr>
                <w:rFonts w:ascii="Arial" w:cs="Arial" w:eastAsia="Arial" w:hAnsi="Arial"/>
                <w:sz w:val="18"/>
                <w:szCs w:val="18"/>
                <w:color w:val="auto"/>
              </w:rPr>
              <w:t>of</w:t>
            </w:r>
          </w:p>
        </w:tc>
        <w:tc>
          <w:tcPr>
            <w:tcW w:w="520" w:type="dxa"/>
            <w:vAlign w:val="bottom"/>
          </w:tcPr>
          <w:p>
            <w:pPr>
              <w:ind w:left="140"/>
              <w:spacing w:after="0"/>
              <w:rPr>
                <w:sz w:val="20"/>
                <w:szCs w:val="20"/>
                <w:color w:val="auto"/>
              </w:rPr>
            </w:pPr>
            <w:r>
              <w:rPr>
                <w:rFonts w:ascii="Arial" w:cs="Arial" w:eastAsia="Arial" w:hAnsi="Arial"/>
                <w:sz w:val="18"/>
                <w:szCs w:val="18"/>
                <w:color w:val="auto"/>
              </w:rPr>
              <w:t>the</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securities</w:t>
            </w:r>
          </w:p>
        </w:tc>
        <w:tc>
          <w:tcPr>
            <w:tcW w:w="460" w:type="dxa"/>
            <w:vAlign w:val="bottom"/>
          </w:tcPr>
          <w:p>
            <w:pPr>
              <w:ind w:left="40"/>
              <w:spacing w:after="0"/>
              <w:rPr>
                <w:sz w:val="20"/>
                <w:szCs w:val="20"/>
                <w:color w:val="auto"/>
              </w:rPr>
            </w:pPr>
            <w:r>
              <w:rPr>
                <w:rFonts w:ascii="Arial" w:cs="Arial" w:eastAsia="Arial" w:hAnsi="Arial"/>
                <w:sz w:val="18"/>
                <w:szCs w:val="18"/>
                <w:color w:val="auto"/>
              </w:rPr>
              <w:t>will</w:t>
            </w:r>
          </w:p>
        </w:tc>
        <w:tc>
          <w:tcPr>
            <w:tcW w:w="460" w:type="dxa"/>
            <w:vAlign w:val="bottom"/>
          </w:tcPr>
          <w:p>
            <w:pPr>
              <w:ind w:left="80"/>
              <w:spacing w:after="0"/>
              <w:rPr>
                <w:sz w:val="20"/>
                <w:szCs w:val="20"/>
                <w:color w:val="auto"/>
              </w:rPr>
            </w:pPr>
            <w:r>
              <w:rPr>
                <w:rFonts w:ascii="Arial" w:cs="Arial" w:eastAsia="Arial" w:hAnsi="Arial"/>
                <w:sz w:val="18"/>
                <w:szCs w:val="18"/>
                <w:color w:val="auto"/>
              </w:rPr>
              <w:t>be</w:t>
            </w:r>
          </w:p>
        </w:tc>
        <w:tc>
          <w:tcPr>
            <w:tcW w:w="520" w:type="dxa"/>
            <w:vAlign w:val="bottom"/>
          </w:tcPr>
          <w:p>
            <w:pPr>
              <w:jc w:val="right"/>
              <w:spacing w:after="0"/>
              <w:rPr>
                <w:sz w:val="20"/>
                <w:szCs w:val="20"/>
                <w:color w:val="auto"/>
              </w:rPr>
            </w:pPr>
            <w:r>
              <w:rPr>
                <w:rFonts w:ascii="Arial" w:cs="Arial" w:eastAsia="Arial" w:hAnsi="Arial"/>
                <w:sz w:val="18"/>
                <w:szCs w:val="18"/>
                <w:color w:val="auto"/>
                <w:w w:val="84"/>
              </w:rPr>
              <w:t>issued.</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meeting and instead conduct a tender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8"/>
              </w:rPr>
              <w:t>offer, we will conduct such tender offer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4"/>
              </w:rPr>
              <w:t>in accordance with the tender offer rules</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of  the  SEC  and  file  tender  offer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9"/>
              </w:rPr>
              <w:t>documents  with  the  SEC  which  will</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6"/>
              </w:rPr>
              <w:t>contain substantially the same financial</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and other information about the initial</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4"/>
              </w:rPr>
              <w:t>business combination as we would have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180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included</w:t>
            </w:r>
          </w:p>
        </w:tc>
        <w:tc>
          <w:tcPr>
            <w:tcW w:w="380" w:type="dxa"/>
            <w:vAlign w:val="bottom"/>
          </w:tcPr>
          <w:p>
            <w:pPr>
              <w:ind w:left="100"/>
              <w:spacing w:after="0"/>
              <w:rPr>
                <w:sz w:val="20"/>
                <w:szCs w:val="20"/>
                <w:color w:val="auto"/>
              </w:rPr>
            </w:pPr>
            <w:r>
              <w:rPr>
                <w:rFonts w:ascii="Arial" w:cs="Arial" w:eastAsia="Arial" w:hAnsi="Arial"/>
                <w:sz w:val="18"/>
                <w:szCs w:val="18"/>
                <w:color w:val="auto"/>
              </w:rPr>
              <w:t>in</w:t>
            </w:r>
          </w:p>
        </w:tc>
        <w:tc>
          <w:tcPr>
            <w:tcW w:w="420" w:type="dxa"/>
            <w:vAlign w:val="bottom"/>
          </w:tcPr>
          <w:p>
            <w:pPr>
              <w:ind w:left="100"/>
              <w:spacing w:after="0"/>
              <w:rPr>
                <w:sz w:val="20"/>
                <w:szCs w:val="20"/>
                <w:color w:val="auto"/>
              </w:rPr>
            </w:pPr>
            <w:r>
              <w:rPr>
                <w:rFonts w:ascii="Arial" w:cs="Arial" w:eastAsia="Arial" w:hAnsi="Arial"/>
                <w:sz w:val="18"/>
                <w:szCs w:val="18"/>
                <w:color w:val="auto"/>
              </w:rPr>
              <w:t>a</w:t>
            </w:r>
          </w:p>
        </w:tc>
        <w:tc>
          <w:tcPr>
            <w:tcW w:w="1460" w:type="dxa"/>
            <w:vAlign w:val="bottom"/>
            <w:gridSpan w:val="2"/>
          </w:tcPr>
          <w:p>
            <w:pPr>
              <w:spacing w:after="0"/>
              <w:rPr>
                <w:sz w:val="20"/>
                <w:szCs w:val="20"/>
                <w:color w:val="auto"/>
              </w:rPr>
            </w:pPr>
            <w:r>
              <w:rPr>
                <w:rFonts w:ascii="Arial" w:cs="Arial" w:eastAsia="Arial" w:hAnsi="Arial"/>
                <w:sz w:val="18"/>
                <w:szCs w:val="18"/>
                <w:color w:val="auto"/>
              </w:rPr>
              <w:t>proxy   statement.</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1"/>
        </w:trPr>
        <w:tc>
          <w:tcPr>
            <w:tcW w:w="1800" w:type="dxa"/>
            <w:vAlign w:val="bottom"/>
          </w:tcPr>
          <w:p>
            <w:pPr>
              <w:spacing w:after="0"/>
              <w:rPr>
                <w:sz w:val="24"/>
                <w:szCs w:val="24"/>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5"/>
              </w:rPr>
              <w:t>The tender offer rules require us to hold</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the tender offer open for at least 20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9"/>
              </w:rPr>
              <w:t>business days. Accordingly, this is the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3"/>
              </w:rPr>
              <w:t>minimum amount of time we would need</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5"/>
              </w:rPr>
              <w:t>to provide holders to determine whether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4"/>
              </w:rPr>
              <w:t>they want to sell their shares to us in the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5"/>
              </w:rPr>
              <w:t>tender offer or remain an investor in our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180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w w:val="97"/>
              </w:rPr>
              <w:t>company.</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87"/>
        </w:trPr>
        <w:tc>
          <w:tcPr>
            <w:tcW w:w="1800" w:type="dxa"/>
            <w:vAlign w:val="bottom"/>
          </w:tcPr>
          <w:p>
            <w:pPr>
              <w:spacing w:after="0"/>
              <w:rPr>
                <w:sz w:val="20"/>
                <w:szCs w:val="20"/>
                <w:color w:val="auto"/>
              </w:rPr>
            </w:pPr>
            <w:r>
              <w:rPr>
                <w:rFonts w:ascii="Arial" w:cs="Arial" w:eastAsia="Arial" w:hAnsi="Arial"/>
                <w:sz w:val="18"/>
                <w:szCs w:val="18"/>
                <w:b w:val="1"/>
                <w:bCs w:val="1"/>
                <w:color w:val="auto"/>
                <w:w w:val="92"/>
              </w:rPr>
              <w:t>Business combination</w:t>
            </w:r>
          </w:p>
        </w:tc>
        <w:tc>
          <w:tcPr>
            <w:tcW w:w="900" w:type="dxa"/>
            <w:vAlign w:val="bottom"/>
          </w:tcPr>
          <w:p>
            <w:pPr>
              <w:ind w:left="120"/>
              <w:spacing w:after="0"/>
              <w:rPr>
                <w:sz w:val="20"/>
                <w:szCs w:val="20"/>
                <w:color w:val="auto"/>
              </w:rPr>
            </w:pPr>
            <w:r>
              <w:rPr>
                <w:rFonts w:ascii="Arial" w:cs="Arial" w:eastAsia="Arial" w:hAnsi="Arial"/>
                <w:sz w:val="18"/>
                <w:szCs w:val="18"/>
                <w:color w:val="auto"/>
              </w:rPr>
              <w:t>Pursuant</w:t>
            </w:r>
          </w:p>
        </w:tc>
        <w:tc>
          <w:tcPr>
            <w:tcW w:w="380" w:type="dxa"/>
            <w:vAlign w:val="bottom"/>
          </w:tcPr>
          <w:p>
            <w:pPr>
              <w:ind w:left="120"/>
              <w:spacing w:after="0"/>
              <w:rPr>
                <w:sz w:val="20"/>
                <w:szCs w:val="20"/>
                <w:color w:val="auto"/>
              </w:rPr>
            </w:pPr>
            <w:r>
              <w:rPr>
                <w:rFonts w:ascii="Arial" w:cs="Arial" w:eastAsia="Arial" w:hAnsi="Arial"/>
                <w:sz w:val="18"/>
                <w:szCs w:val="18"/>
                <w:color w:val="auto"/>
              </w:rPr>
              <w:t>to</w:t>
            </w:r>
          </w:p>
        </w:tc>
        <w:tc>
          <w:tcPr>
            <w:tcW w:w="420" w:type="dxa"/>
            <w:vAlign w:val="bottom"/>
          </w:tcPr>
          <w:p>
            <w:pPr>
              <w:ind w:left="160"/>
              <w:spacing w:after="0"/>
              <w:rPr>
                <w:sz w:val="20"/>
                <w:szCs w:val="20"/>
                <w:color w:val="auto"/>
              </w:rPr>
            </w:pPr>
            <w:r>
              <w:rPr>
                <w:rFonts w:ascii="Arial" w:cs="Arial" w:eastAsia="Arial" w:hAnsi="Arial"/>
                <w:sz w:val="18"/>
                <w:szCs w:val="18"/>
                <w:color w:val="auto"/>
                <w:w w:val="92"/>
              </w:rPr>
              <w:t>our</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certificate</w:t>
            </w:r>
          </w:p>
        </w:tc>
        <w:tc>
          <w:tcPr>
            <w:tcW w:w="340" w:type="dxa"/>
            <w:vAlign w:val="bottom"/>
          </w:tcPr>
          <w:p>
            <w:pPr>
              <w:ind w:left="140"/>
              <w:spacing w:after="0"/>
              <w:rPr>
                <w:sz w:val="20"/>
                <w:szCs w:val="20"/>
                <w:color w:val="auto"/>
              </w:rPr>
            </w:pPr>
            <w:r>
              <w:rPr>
                <w:rFonts w:ascii="Arial" w:cs="Arial" w:eastAsia="Arial" w:hAnsi="Arial"/>
                <w:sz w:val="18"/>
                <w:szCs w:val="18"/>
                <w:color w:val="auto"/>
              </w:rPr>
              <w:t>of</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rPr>
              <w:t>If   an   acquisition   has   not   been</w:t>
            </w:r>
          </w:p>
        </w:tc>
      </w:tr>
      <w:tr>
        <w:trPr>
          <w:trHeight w:val="220"/>
        </w:trPr>
        <w:tc>
          <w:tcPr>
            <w:tcW w:w="1800" w:type="dxa"/>
            <w:vAlign w:val="bottom"/>
          </w:tcPr>
          <w:p>
            <w:pPr>
              <w:ind w:left="180"/>
              <w:spacing w:after="0"/>
              <w:rPr>
                <w:sz w:val="20"/>
                <w:szCs w:val="20"/>
                <w:color w:val="auto"/>
              </w:rPr>
            </w:pPr>
            <w:r>
              <w:rPr>
                <w:rFonts w:ascii="Arial" w:cs="Arial" w:eastAsia="Arial" w:hAnsi="Arial"/>
                <w:sz w:val="18"/>
                <w:szCs w:val="18"/>
                <w:b w:val="1"/>
                <w:bCs w:val="1"/>
                <w:color w:val="auto"/>
              </w:rPr>
              <w:t>deadline</w:t>
            </w: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7"/>
              </w:rPr>
              <w:t>incorporation, if we do not complete an</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5"/>
              </w:rPr>
              <w:t>consummated within 18 months after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initial business combination within 15</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rPr>
              <w:t>effective date of the initial registration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months  (or  up  to  18  months,  as</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8"/>
              </w:rPr>
              <w:t>statement,  funds  held  in  the  trust  or</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rPr>
              <w:t>applicable) from the consummation of</w:t>
            </w:r>
          </w:p>
        </w:tc>
        <w:tc>
          <w:tcPr>
            <w:tcW w:w="3140" w:type="dxa"/>
            <w:vAlign w:val="bottom"/>
            <w:gridSpan w:val="7"/>
          </w:tcPr>
          <w:p>
            <w:pPr>
              <w:ind w:left="40"/>
              <w:spacing w:after="0"/>
              <w:rPr>
                <w:sz w:val="20"/>
                <w:szCs w:val="20"/>
                <w:color w:val="auto"/>
              </w:rPr>
            </w:pPr>
            <w:r>
              <w:rPr>
                <w:rFonts w:ascii="Arial" w:cs="Arial" w:eastAsia="Arial" w:hAnsi="Arial"/>
                <w:sz w:val="18"/>
                <w:szCs w:val="18"/>
                <w:color w:val="auto"/>
                <w:w w:val="96"/>
              </w:rPr>
              <w:t>escrow  account  would  be  returned  to</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6"/>
              </w:rPr>
              <w:t>this offering, it will trigger our automatic</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6"/>
              </w:rPr>
              <w:t>investors.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1800" w:type="dxa"/>
            <w:vAlign w:val="bottom"/>
          </w:tcPr>
          <w:p>
            <w:pPr>
              <w:spacing w:after="0"/>
              <w:rPr>
                <w:sz w:val="20"/>
                <w:szCs w:val="20"/>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color w:val="auto"/>
                <w:w w:val="98"/>
              </w:rPr>
              <w:t>winding up, dissolution and liquidation.</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1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72</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type w:val="continuous"/>
        </w:sectPr>
      </w:pPr>
    </w:p>
    <w:bookmarkStart w:id="77" w:name="page78"/>
    <w:bookmarkEnd w:id="77"/>
    <w:p>
      <w:pPr>
        <w:jc w:val="center"/>
        <w:ind w:left="2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ind w:left="640" w:hanging="179"/>
        <w:spacing w:after="0" w:line="289" w:lineRule="auto"/>
        <w:rPr>
          <w:sz w:val="20"/>
          <w:szCs w:val="20"/>
          <w:color w:val="auto"/>
        </w:rPr>
      </w:pPr>
      <w:r>
        <w:rPr>
          <w:rFonts w:ascii="Arial" w:cs="Arial" w:eastAsia="Arial" w:hAnsi="Arial"/>
          <w:sz w:val="17"/>
          <w:szCs w:val="17"/>
          <w:b w:val="1"/>
          <w:bCs w:val="1"/>
          <w:color w:val="auto"/>
        </w:rPr>
        <w:t>Interest earned on the funds in the trust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800"/>
        <w:spacing w:after="0"/>
        <w:tabs>
          <w:tab w:leader="none" w:pos="3620" w:val="left"/>
        </w:tabs>
        <w:rPr>
          <w:sz w:val="20"/>
          <w:szCs w:val="20"/>
          <w:color w:val="auto"/>
        </w:rPr>
      </w:pPr>
      <w:r>
        <w:rPr>
          <w:rFonts w:ascii="Arial" w:cs="Arial" w:eastAsia="Arial" w:hAnsi="Arial"/>
          <w:sz w:val="16"/>
          <w:szCs w:val="16"/>
          <w:b w:val="1"/>
          <w:bCs w:val="1"/>
          <w:color w:val="auto"/>
        </w:rPr>
        <w:t>Terms of the Offering</w:t>
      </w:r>
      <w:r>
        <w:rPr>
          <w:sz w:val="20"/>
          <w:szCs w:val="20"/>
          <w:color w:val="auto"/>
        </w:rPr>
        <w:tab/>
      </w:r>
      <w:r>
        <w:rPr>
          <w:rFonts w:ascii="Arial" w:cs="Arial" w:eastAsia="Arial" w:hAnsi="Arial"/>
          <w:sz w:val="14"/>
          <w:szCs w:val="14"/>
          <w:b w:val="1"/>
          <w:bCs w:val="1"/>
          <w:color w:val="auto"/>
        </w:rPr>
        <w:t>Terms Under a Rule 419 Offering</w:t>
      </w:r>
    </w:p>
    <w:p>
      <w:pPr>
        <w:spacing w:after="0" w:line="72" w:lineRule="exact"/>
        <w:rPr>
          <w:sz w:val="20"/>
          <w:szCs w:val="20"/>
          <w:color w:val="auto"/>
        </w:rPr>
      </w:pPr>
    </w:p>
    <w:p>
      <w:pPr>
        <w:ind w:right="459"/>
        <w:spacing w:after="0" w:line="252" w:lineRule="auto"/>
        <w:rPr>
          <w:sz w:val="20"/>
          <w:szCs w:val="20"/>
          <w:color w:val="auto"/>
        </w:rPr>
      </w:pPr>
      <w:r>
        <w:rPr>
          <w:rFonts w:ascii="Arial" w:cs="Arial" w:eastAsia="Arial" w:hAnsi="Arial"/>
          <w:sz w:val="18"/>
          <w:szCs w:val="18"/>
          <w:color w:val="auto"/>
        </w:rPr>
        <w:t>There can be released to us, from time to All interest earned on the funds in the trust time, any interest earned on the funds in account will be held in trust for the benefit the trust account that we may need to pay of public stockholders until the earlier of our tax obligations. The remaining interest the completion of a business combination earned on the funds in the trust account and our liquidation upon failure to effect a will not be released until the earlier of the business combination within the allotted completion of a business combination and time. our entry into liquidation upon failure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-1102995</wp:posOffset>
            </wp:positionV>
            <wp:extent cx="40633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effect a business combination within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allotted time.</w:t>
      </w:r>
    </w:p>
    <w:p>
      <w:pPr>
        <w:spacing w:after="0" w:line="180" w:lineRule="exact"/>
        <w:rPr>
          <w:sz w:val="20"/>
          <w:szCs w:val="20"/>
          <w:color w:val="auto"/>
        </w:rPr>
      </w:pPr>
    </w:p>
    <w:p>
      <w:pPr>
        <w:sectPr>
          <w:pgSz w:w="11900" w:h="16838" w:orient="portrait"/>
          <w:cols w:equalWidth="0" w:num="2">
            <w:col w:w="1940" w:space="220"/>
            <w:col w:w="6859"/>
          </w:cols>
          <w:pgMar w:left="1440" w:top="274" w:right="1440" w:bottom="1440" w:gutter="0" w:footer="0" w:header="0"/>
        </w:sectPr>
      </w:pPr>
    </w:p>
    <w:p>
      <w:pPr>
        <w:jc w:val="both"/>
        <w:ind w:left="2160" w:right="459" w:hanging="1700"/>
        <w:spacing w:after="0" w:line="269" w:lineRule="auto"/>
        <w:tabs>
          <w:tab w:leader="none" w:pos="2140" w:val="left"/>
        </w:tabs>
        <w:rPr>
          <w:sz w:val="20"/>
          <w:szCs w:val="20"/>
          <w:color w:val="auto"/>
        </w:rPr>
      </w:pPr>
      <w:r>
        <w:rPr>
          <w:rFonts w:ascii="Arial" w:cs="Arial" w:eastAsia="Arial" w:hAnsi="Arial"/>
          <w:sz w:val="18"/>
          <w:szCs w:val="18"/>
          <w:b w:val="1"/>
          <w:bCs w:val="1"/>
          <w:color w:val="auto"/>
        </w:rPr>
        <w:t>Release of funds</w:t>
      </w:r>
      <w:r>
        <w:rPr>
          <w:sz w:val="20"/>
          <w:szCs w:val="20"/>
          <w:color w:val="auto"/>
        </w:rPr>
        <w:tab/>
      </w:r>
      <w:r>
        <w:rPr>
          <w:rFonts w:ascii="Arial" w:cs="Arial" w:eastAsia="Arial" w:hAnsi="Arial"/>
          <w:sz w:val="17"/>
          <w:szCs w:val="17"/>
          <w:color w:val="auto"/>
        </w:rPr>
        <w:t>Except for interest earned on the funds The proceeds held in the escrow account held in the trust account that may be would not be released until the earlier of the released to us to pay our tax obligations, completion of a business combination or the the proceeds held in the trust account will failure to effect a business combination not be released until the earlier of the within the allotted time.</w:t>
      </w:r>
    </w:p>
    <w:p>
      <w:pPr>
        <w:spacing w:after="0" w:line="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completion of a business combination (in</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which case, the proceeds released to us</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will be net of the funds used  to  pay</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converting or tendering stockholders, as</w:t>
      </w:r>
    </w:p>
    <w:p>
      <w:pPr>
        <w:spacing w:after="0" w:line="9" w:lineRule="exact"/>
        <w:rPr>
          <w:sz w:val="20"/>
          <w:szCs w:val="20"/>
          <w:color w:val="auto"/>
        </w:rPr>
      </w:pPr>
    </w:p>
    <w:p>
      <w:pPr>
        <w:ind w:left="2160"/>
        <w:spacing w:after="0"/>
        <w:tabs>
          <w:tab w:leader="none" w:pos="2560" w:val="left"/>
          <w:tab w:leader="none" w:pos="3240" w:val="left"/>
          <w:tab w:leader="none" w:pos="3720" w:val="left"/>
          <w:tab w:leader="none" w:pos="4480" w:val="left"/>
          <w:tab w:leader="none" w:pos="5020" w:val="left"/>
        </w:tabs>
        <w:rPr>
          <w:sz w:val="20"/>
          <w:szCs w:val="20"/>
          <w:color w:val="auto"/>
        </w:rPr>
      </w:pPr>
      <w:r>
        <w:rPr>
          <w:rFonts w:ascii="Arial" w:cs="Arial" w:eastAsia="Arial" w:hAnsi="Arial"/>
          <w:sz w:val="18"/>
          <w:szCs w:val="18"/>
          <w:color w:val="auto"/>
        </w:rPr>
        <w:t>the</w:t>
        <w:tab/>
        <w:t>trustee</w:t>
        <w:tab/>
        <w:t>will</w:t>
        <w:tab/>
        <w:t>directly</w:t>
        <w:tab/>
        <w:t>send</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appropriate portion of the amount held in</w:t>
      </w:r>
    </w:p>
    <w:p>
      <w:pPr>
        <w:spacing w:after="0" w:line="9" w:lineRule="exact"/>
        <w:rPr>
          <w:sz w:val="20"/>
          <w:szCs w:val="20"/>
          <w:color w:val="auto"/>
        </w:rPr>
      </w:pPr>
    </w:p>
    <w:p>
      <w:pPr>
        <w:ind w:left="2160"/>
        <w:spacing w:after="0"/>
        <w:tabs>
          <w:tab w:leader="none" w:pos="2620" w:val="left"/>
          <w:tab w:leader="none" w:pos="2920" w:val="left"/>
          <w:tab w:leader="none" w:pos="3300" w:val="left"/>
          <w:tab w:leader="none" w:pos="4240" w:val="left"/>
          <w:tab w:leader="none" w:pos="4560" w:val="left"/>
        </w:tabs>
        <w:rPr>
          <w:sz w:val="20"/>
          <w:szCs w:val="20"/>
          <w:color w:val="auto"/>
        </w:rPr>
      </w:pPr>
      <w:r>
        <w:rPr>
          <w:rFonts w:ascii="Arial" w:cs="Arial" w:eastAsia="Arial" w:hAnsi="Arial"/>
          <w:sz w:val="18"/>
          <w:szCs w:val="18"/>
          <w:color w:val="auto"/>
        </w:rPr>
        <w:t>trust</w:t>
        <w:tab/>
        <w:t>to</w:t>
        <w:tab/>
        <w:t>the</w:t>
        <w:tab/>
        <w:t>converting</w:t>
        <w:tab/>
        <w:t>or</w:t>
      </w:r>
      <w:r>
        <w:rPr>
          <w:sz w:val="20"/>
          <w:szCs w:val="20"/>
          <w:color w:val="auto"/>
        </w:rPr>
        <w:tab/>
      </w:r>
      <w:r>
        <w:rPr>
          <w:rFonts w:ascii="Arial" w:cs="Arial" w:eastAsia="Arial" w:hAnsi="Arial"/>
          <w:sz w:val="16"/>
          <w:szCs w:val="16"/>
          <w:color w:val="auto"/>
        </w:rPr>
        <w:t>tendering</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stockholders at the time of the business</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combination) and the liquidation of our</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trust  account  upon  failure  to  effect  a</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business combination within the allotted</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8" w:name="page79"/>
    <w:bookmarkEnd w:id="7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and Executive Officers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current directors, director nominees and executive officers are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8"/>
                <w:szCs w:val="18"/>
                <w:color w:val="auto"/>
              </w:rPr>
            </w:pPr>
          </w:p>
        </w:tc>
        <w:tc>
          <w:tcPr>
            <w:tcW w:w="5120" w:type="dxa"/>
            <w:vAlign w:val="bottom"/>
          </w:tcPr>
          <w:p>
            <w:pPr>
              <w:ind w:left="228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r>
      <w:tr>
        <w:trPr>
          <w:trHeight w:val="243"/>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Edward Scheetz</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Chief Executive Officer, Director</w:t>
            </w: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Matthew MacDonald</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and Secretary, Director</w:t>
            </w:r>
          </w:p>
        </w:tc>
      </w:tr>
      <w:tr>
        <w:trPr>
          <w:trHeight w:val="53"/>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Brock Strasbourger</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Prasad Phatak</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Chief Investment Officer</w:t>
            </w:r>
          </w:p>
        </w:tc>
      </w:tr>
      <w:tr>
        <w:trPr>
          <w:trHeight w:val="53"/>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Jonas Grossman</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Woodrow H. Levin</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53"/>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Alex Weil</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Julie Atkinson</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53"/>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30"/>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Ahrens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5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53"/>
        </w:trPr>
        <w:tc>
          <w:tcPr>
            <w:tcW w:w="2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120" w:type="dxa"/>
            <w:vAlign w:val="bottom"/>
            <w:shd w:val="clear" w:color="auto" w:fill="CCEEFF"/>
          </w:tcPr>
          <w:p>
            <w:pPr>
              <w:spacing w:after="0"/>
              <w:rPr>
                <w:sz w:val="4"/>
                <w:szCs w:val="4"/>
                <w:color w:val="auto"/>
              </w:rPr>
            </w:pPr>
          </w:p>
        </w:tc>
      </w:tr>
    </w:tbl>
    <w:p>
      <w:pPr>
        <w:spacing w:after="0" w:line="161"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Edward Scheetz, 55, has been our Chief Executive Officer and Chairman since August 2020. He is also the co-founder, Chief Executive Officer and Chairman of Ventoux Acquisition.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 involved with Wyndham Hotels, assisted the Chief Financial Officer in restructuring The Trammell Crow Company, and was a Principal at Trammell Crow Ventures. Mr. Scheetz graduated from Princeton University where he earned an A.B. in Economics. We believe Mr. Scheetz is well qualified to serve as a director based on his extensive industry and transaction expertise and wide network of relationships with industry participants.</w:t>
      </w:r>
    </w:p>
    <w:p>
      <w:pPr>
        <w:spacing w:after="0" w:line="11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Matthew MacDonald, 36, has been our Chief Financial Officer and Secretary, and a director since August 2020. He is also the co-founder and Chief Financial Officer of Ventoux Acquisition. Prior to co-founding Ventoux Acquisition in August 2020, Mr. MacDonald worked at Hyatt Hotels Corporation as the Vice President of Capital Strategy and Wellness Development, where he focused on acquiring hospitality companies and brands. Mr. MacDonald joined Hyatt in January 2017 as a result of Hyatt’s acquisition of Miraval Group, a leading hospitality wellness company. Mr. MacDonald joined Miraval Group, a KSL Capital portfolio company, as Vice President of Development in May 2016 following four years at Starwood Hotels and Resorts. Mr. MacDonald is a graduate of the University of Denver and received a Master in Real Estate Finance from New York University. We believe Mr. MacDonald is qualified to serve on our board of directors because of his experience in sourcing, negotiating and executing merger transactions within the hospitality, leisure, travel and dining sectors.</w:t>
      </w:r>
    </w:p>
    <w:p>
      <w:pPr>
        <w:spacing w:after="0" w:line="101" w:lineRule="exact"/>
        <w:rPr>
          <w:sz w:val="20"/>
          <w:szCs w:val="20"/>
          <w:color w:val="auto"/>
        </w:rPr>
      </w:pPr>
    </w:p>
    <w:p>
      <w:pPr>
        <w:jc w:val="both"/>
        <w:ind w:left="460" w:right="479" w:firstLine="432"/>
        <w:spacing w:after="0" w:line="270" w:lineRule="auto"/>
        <w:rPr>
          <w:sz w:val="20"/>
          <w:szCs w:val="20"/>
          <w:color w:val="auto"/>
        </w:rPr>
      </w:pPr>
      <w:r>
        <w:rPr>
          <w:rFonts w:ascii="Arial" w:cs="Arial" w:eastAsia="Arial" w:hAnsi="Arial"/>
          <w:sz w:val="17"/>
          <w:szCs w:val="17"/>
          <w:color w:val="auto"/>
        </w:rPr>
        <w:t>Brock Strasbourger, 33, has been our Chief Operating Officer since October 2020. He is also the Chief Operating Officer of Ventoux Acquisition. Prior to his work at Ventoux Acquisition, Mr. Strasbourger worked for Convene since December 2018 as the Vice President and Head of Strategic Partnerships, focusing on corporate development, opening new revenue streams, and driving growth through external channels. Prior to Convene, Mr. Strasbourger was the Vice President of Digital at OTG Management, an airport hospitality and technology business, from March 2016 through November 2018 and spent nearly three years at Fancy.com as the Head of Business. To begin his career, Mr. Strasbourger spent nearly four years on the Emerging Markets Fixed Income Sales and Trading desk at Barclays Capital (NYSE: BCS). Mr. Strasbourger is a graduate from the University of Michigan with honors and distinction.</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9" w:name="page80"/>
    <w:bookmarkEnd w:id="7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Prasad Phatak, 38, has been our Chief Investment Officer since September 2020. He is also the Chief Investment Officer of Ventoux Acquisition. Since July 2011, Mr. Phatak has been the Managing Member of Tappan Street Partners LLC, where he has led the investment research and portfolio management for several private investment funds these past nine years. Additionally, from December 2019 to September 2020, Mr. Phatak was a Partner at Markley Capital Management, a US-focused investment firm. Mr. Phatak founded Tappan Street Partners after leaving Eton Park Capital Management, where he began as a Research Associate in October 2005 and focused on investing in both public and private investments in a variety of industries. Prior to Eton Park, Mr. Phatak worked as a private equity associate for Madison Dearborn Partners from July 2005 to October 2005, and began his career in July 2003 at the Blackstone Group (NYSE: BX) in the Restructuring and Reorganization Advisory Group, where he worked for two years as an investment banking analyst, analyzing complex corporate restructurings in both out of court and Chapter 11 reorganizations. Mr. Phatak graduated with high distinction from the University of Michigan Ross School of Business with a B.B.A. in Finance and Accounting in May 2003.</w:t>
      </w:r>
    </w:p>
    <w:p>
      <w:pPr>
        <w:spacing w:after="0" w:line="119"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Jonas Grossman, 46, has been our director since July 2019. Mr. Grossman was the Chief Executive Officer and President of Chardan Healthcare Acquisition Corp. from March 2018 until its merger in October 2019 with BiomX (NYSE: PHGE). Mr. Grossman is currently a director of BiomX and since March 2020 is also a director of LifeSci Acquisition Corp., a special purpose acquisition company that recently announced a business combination with Vincera Pharma, Inc. Since April 2020, Mr. Grossman has been the Chief Executive Officer and President of Chardan Healthcare Acquisition 2 Corp., a special purpose acquisition company. Mr. Grossman has served as Partner and Head of Capital Markets for Chardan Capital Markets, LLC, a New York headquartered broker/dealer, since December 2003, and has served as President of Chardan Capital Markets, LLC since September 2015. Since 2003, Mr. Grossman has overseen the firm’s investment banking and capital markets activities and initiatives. He has extensive transactional experience having led or managed more than 400 transactions during his tenure at Chardan.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We believe Mr. Grossman is qualified to serve on our board of directors because of his long-running capital markets experience as well as his previous company board positions.</w:t>
      </w:r>
    </w:p>
    <w:p>
      <w:pPr>
        <w:spacing w:after="0" w:line="122"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Woodrow (“Woody”) H. Levin, 42, has agreed to become our director as of the effective date of the registration statement of which this prospectus is part. Mr. Levin is the founder, and has been the Chief Executive Officer since February 2019, of Extend, Inc. Mr. Levin was the Chief Executive Officer of 3.0 Capital GP, LLC from November 2017 until January 2019. From September 2015 until October 2017, Mr. Levin served as Vice President of Growth at DocuSign, Inc. (NASDAQ: DOCU). In addition, Mr. Levin served as the founder and Chief Executive Officer of Estate Assist, Inc., from February 2014 to September 2015 (at which time it was acquired), and BringIt, Inc., from June 2009 to September 2012 (at which time it was acquired by DocuSign). Before that, Mr. Levin served as Director Emerging Business — Office of the CTO at International Game Technology PLC (NYSE: IGT). Since May 2013, Mr. Levin has served as a member of the board of directors of DraftKings Inc. (NASDAQ: DKNG), and he has served as a member of the board of directors of Extend, Inc. since February 2019. Since September 2020, Mr. Levin has been a member of the board of directors of 10X Capital Venture Acquisition Corp., a special purpose acquisition company. Mr. Levin received his J.D. from Chicago-Kent College of Law, Illinois Institute of Technology, and his B.A. from the University of Wisconsin. We believe Mr. Levin is qualified to serve on our board of directors because of his extensive experience and knowledge as an executive for technology companies.</w:t>
      </w:r>
    </w:p>
    <w:p>
      <w:pPr>
        <w:spacing w:after="0" w:line="10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Alex Weil, 49, has agreed to become our director as of the effective date of the registration statement of which this prospectus is a part. Mr. Weil has served as Managing Director and Co-Head of Fintech Investment Banking at Chardan Capital Markets, LLC, a New York headquartered broker/dealer, since March 2020. From January 2018 to March 2020, Mr. Weil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based on his extensive capital markets and transaction management experience and network of relationships.</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0" w:name="page81"/>
    <w:bookmarkEnd w:id="8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Julie Atkinson, 47, has agreed to become our director as of the effective date of the registration statement of which this prospectus is a part. Ms. Atkinson served as Chief Marketing Officer for Founders Table Restaurant Group since October 2019.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Since December 2017, Ms. Atkinson has served as a member of the Board of Directors of Bright Horizons Family Solutions Inc. (NYSE: BFAM). Ms. Atkinson holds a B.A. in English and Political Science from Amherst College. We believe Ms. Atkinson is qualified to serve on our board of directors because of her 20-year track record of executing innovative strategic and tactical leadership for global consumer brands.</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Christian “Chris” Ahrens, 44, has agreed to become our director as of the effective date of the registration statement of which this prospectus is a part. Mr. Ahrens has been an Advisor with Certares Management LLC since October 2017. From January 2015 until September 2017 Mr. Ahrens was a Partner with Certares. Prior to December 2015 Mr. Ahrens was a Managing Director at One Equity Partners, the private equity investing arm of JPMorgan Chase, which he joined in September 2001. Mr Ahrens has served as a board member at Internova Travel Group since January 2015. Mr. Ahrens received his A.B. from Princeton University. We believe Mr. Ahrens is qualified to serve on our board of directors because of his experience in corporate finance and investing.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Upon consummation of this offering, our board of directors will have seven members, four of whom will be deemed “independent” under SEC and Nasdaq rules. We may not hold an annual meeting of stockholders until after we consummate our initial business combination.</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directors may consist of a chairman of the board, and that our officers may consist of chief executive officer, president, chief financial officer, executive vice president(s), vice president(s), secretary, treasurer and such other officers as may be determined by the board of directors.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Compensation</w:t>
      </w:r>
    </w:p>
    <w:p>
      <w:pPr>
        <w:spacing w:after="0" w:line="16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No executive officer has received any cash compensation for services rendered to us. Commencing on the date of this prospectus through the completion of our initial business combination with a target business, we will pay to Chardan Capital Markets, LLC, an affiliate of Chardan Investments,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1" w:name="page82"/>
    <w:bookmarkEnd w:id="8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four are “independent directors” as defined in the Nasdaq listing standards and applicable SEC rules. Our independent directors will have regularly scheduled meetings at which only independent directors are present.</w:t>
      </w:r>
    </w:p>
    <w:p>
      <w:pPr>
        <w:spacing w:after="0" w:line="98"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 party transactions must be approved by our audit committee and a majority of disinterested directors.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Effective as of the date of this prospectus, we have established an audit committee of the board of directors, which will consist of Mr. Weil, [•], and [•] each of whom is an independent director. [•] will serve as chairman of the audit committee. The audit committee’s duties, which are specified in our Audit Committee Charter, include, but are not limited to:</w:t>
      </w:r>
    </w:p>
    <w:p>
      <w:pPr>
        <w:spacing w:after="0" w:line="119" w:lineRule="exact"/>
        <w:rPr>
          <w:sz w:val="20"/>
          <w:szCs w:val="20"/>
          <w:color w:val="auto"/>
        </w:rPr>
      </w:pPr>
    </w:p>
    <w:p>
      <w:pPr>
        <w:jc w:val="both"/>
        <w:ind w:left="1320" w:right="479" w:hanging="434"/>
        <w:spacing w:after="0" w:line="263"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57" w:lineRule="exact"/>
        <w:rPr>
          <w:rFonts w:ascii="Arial" w:cs="Arial" w:eastAsia="Arial" w:hAnsi="Arial"/>
          <w:sz w:val="18"/>
          <w:szCs w:val="18"/>
          <w:color w:val="auto"/>
        </w:rPr>
      </w:pPr>
    </w:p>
    <w:p>
      <w:pPr>
        <w:ind w:left="1320" w:right="479" w:hanging="434"/>
        <w:spacing w:after="0" w:line="308" w:lineRule="auto"/>
        <w:tabs>
          <w:tab w:leader="none" w:pos="1405" w:val="left"/>
        </w:tabs>
        <w:numPr>
          <w:ilvl w:val="0"/>
          <w:numId w:val="46"/>
        </w:numPr>
        <w:rPr>
          <w:rFonts w:ascii="Arial" w:cs="Arial" w:eastAsia="Arial" w:hAnsi="Arial"/>
          <w:sz w:val="17"/>
          <w:szCs w:val="17"/>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65" w:lineRule="exact"/>
        <w:rPr>
          <w:rFonts w:ascii="Arial" w:cs="Arial" w:eastAsia="Arial" w:hAnsi="Arial"/>
          <w:sz w:val="17"/>
          <w:szCs w:val="17"/>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approving all related party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57" w:lineRule="exact"/>
        <w:rPr>
          <w:rFonts w:ascii="Arial" w:cs="Arial" w:eastAsia="Arial" w:hAnsi="Arial"/>
          <w:sz w:val="18"/>
          <w:szCs w:val="18"/>
          <w:color w:val="auto"/>
        </w:rPr>
      </w:pPr>
    </w:p>
    <w:p>
      <w:pPr>
        <w:jc w:val="both"/>
        <w:ind w:left="1320" w:right="479" w:hanging="434"/>
        <w:spacing w:after="0" w:line="286" w:lineRule="auto"/>
        <w:tabs>
          <w:tab w:leader="none" w:pos="1486"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97" w:lineRule="exact"/>
        <w:rPr>
          <w:rFonts w:ascii="Arial" w:cs="Arial" w:eastAsia="Arial" w:hAnsi="Arial"/>
          <w:sz w:val="17"/>
          <w:szCs w:val="17"/>
          <w:color w:val="auto"/>
        </w:rPr>
      </w:pPr>
    </w:p>
    <w:p>
      <w:pPr>
        <w:jc w:val="both"/>
        <w:ind w:left="1320" w:right="479" w:hanging="434"/>
        <w:spacing w:after="0" w:line="263" w:lineRule="auto"/>
        <w:tabs>
          <w:tab w:leader="none" w:pos="15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Experts on Audit Committee</w:t>
      </w:r>
    </w:p>
    <w:p>
      <w:pPr>
        <w:spacing w:after="0" w:line="14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11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Weil qualifies as an “audit committee financial expert,” as defined under rules and regulations of the SEC.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Committee</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Effective as of the date of this prospectus, we have established a nominating committee of the board of directors, which will consist of [•] and [•], each of whom is an independent director under Nasdaq’s listing standards. [•] is the Chairperson of the nominating committee. The nominating committee is responsible for overseeing the selection of persons to be nominated to serve on our board of directors. The nominating committee considers persons identified by its members, management, stockholders, investment bankers and others.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Guidelines for Selecting Director Nominees</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guidelines for selecting nominees, which are specified in the Nominating Committee Charter, generally provide that persons to be nominated:</w:t>
      </w:r>
    </w:p>
    <w:p>
      <w:pPr>
        <w:spacing w:after="0" w:line="103" w:lineRule="exact"/>
        <w:rPr>
          <w:sz w:val="20"/>
          <w:szCs w:val="20"/>
          <w:color w:val="auto"/>
        </w:rPr>
      </w:pPr>
    </w:p>
    <w:p>
      <w:pPr>
        <w:ind w:left="1320" w:right="479" w:hanging="434"/>
        <w:spacing w:after="0" w:line="277" w:lineRule="auto"/>
        <w:tabs>
          <w:tab w:leader="none" w:pos="1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6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stockholders.</w:t>
      </w:r>
    </w:p>
    <w:p>
      <w:pPr>
        <w:spacing w:after="0" w:line="10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stockholders and other persons.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Upon the effectiveness of the registration statement of which this prospectus forms a part, we have established a compensation committee of the board of directors consisting of [•] and [•], each of whom is an independent director. Mr. Weil will serve as chairman of the compensation committee. We will adopt a compensation committee charter, which will detail the principal functions of the compensation committee, including:</w:t>
      </w:r>
    </w:p>
    <w:p>
      <w:pPr>
        <w:spacing w:after="0" w:line="107" w:lineRule="exact"/>
        <w:rPr>
          <w:sz w:val="20"/>
          <w:szCs w:val="20"/>
          <w:color w:val="auto"/>
        </w:rPr>
      </w:pPr>
    </w:p>
    <w:p>
      <w:pPr>
        <w:jc w:val="both"/>
        <w:ind w:left="1320" w:right="459" w:hanging="434"/>
        <w:spacing w:after="0" w:line="259" w:lineRule="auto"/>
        <w:tabs>
          <w:tab w:leader="none" w:pos="13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60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3" w:name="page84"/>
    <w:bookmarkEnd w:id="8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77" w:lineRule="auto"/>
        <w:tabs>
          <w:tab w:leader="none" w:pos="133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producing a report on executive compensation to be included in our annual proxy statement;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reviewing, evaluating and recommending changes, if appropriate, to the remuneration for directors.</w:t>
      </w:r>
    </w:p>
    <w:p>
      <w:pPr>
        <w:spacing w:after="0" w:line="16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charter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Investors should be aware of the following potential conflicts of interest:</w:t>
      </w:r>
    </w:p>
    <w:p>
      <w:pPr>
        <w:spacing w:after="0" w:line="158" w:lineRule="exact"/>
        <w:rPr>
          <w:sz w:val="20"/>
          <w:szCs w:val="20"/>
          <w:color w:val="auto"/>
        </w:rPr>
      </w:pPr>
    </w:p>
    <w:p>
      <w:pPr>
        <w:jc w:val="both"/>
        <w:ind w:left="1320" w:right="479" w:hanging="434"/>
        <w:spacing w:after="0" w:line="263" w:lineRule="auto"/>
        <w:tabs>
          <w:tab w:leader="none" w:pos="1581"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16" w:lineRule="exact"/>
        <w:rPr>
          <w:rFonts w:ascii="Arial" w:cs="Arial" w:eastAsia="Arial" w:hAnsi="Arial"/>
          <w:sz w:val="18"/>
          <w:szCs w:val="18"/>
          <w:color w:val="auto"/>
        </w:rPr>
      </w:pPr>
    </w:p>
    <w:p>
      <w:pPr>
        <w:jc w:val="both"/>
        <w:ind w:left="1320" w:right="479" w:hanging="434"/>
        <w:spacing w:after="0" w:line="257" w:lineRule="auto"/>
        <w:tabs>
          <w:tab w:leader="none" w:pos="1459"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06" w:lineRule="exact"/>
        <w:rPr>
          <w:rFonts w:ascii="Arial" w:cs="Arial" w:eastAsia="Arial" w:hAnsi="Arial"/>
          <w:sz w:val="18"/>
          <w:szCs w:val="18"/>
          <w:color w:val="auto"/>
        </w:rPr>
      </w:pPr>
    </w:p>
    <w:p>
      <w:pPr>
        <w:jc w:val="both"/>
        <w:ind w:left="1320" w:right="479" w:hanging="434"/>
        <w:spacing w:after="0" w:line="263" w:lineRule="auto"/>
        <w:tabs>
          <w:tab w:leader="none" w:pos="14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16" w:lineRule="exact"/>
        <w:rPr>
          <w:rFonts w:ascii="Arial" w:cs="Arial" w:eastAsia="Arial" w:hAnsi="Arial"/>
          <w:sz w:val="18"/>
          <w:szCs w:val="18"/>
          <w:color w:val="auto"/>
        </w:rPr>
      </w:pPr>
    </w:p>
    <w:p>
      <w:pPr>
        <w:jc w:val="both"/>
        <w:ind w:left="1320" w:right="459" w:hanging="434"/>
        <w:spacing w:after="0" w:line="311" w:lineRule="auto"/>
        <w:tabs>
          <w:tab w:leader="none" w:pos="1392" w:val="left"/>
        </w:tabs>
        <w:numPr>
          <w:ilvl w:val="0"/>
          <w:numId w:val="50"/>
        </w:numPr>
        <w:rPr>
          <w:rFonts w:ascii="Arial" w:cs="Arial" w:eastAsia="Arial" w:hAnsi="Arial"/>
          <w:sz w:val="16"/>
          <w:szCs w:val="16"/>
          <w:color w:val="auto"/>
        </w:rPr>
      </w:pPr>
      <w:r>
        <w:rPr>
          <w:rFonts w:ascii="Arial" w:cs="Arial" w:eastAsia="Arial" w:hAnsi="Arial"/>
          <w:sz w:val="16"/>
          <w:szCs w:val="16"/>
          <w:color w:val="auto"/>
        </w:rPr>
        <w:t>Unless we consummate our initial business combination, our officers, directors and other insiders will not receive reimbursement for any out-of-pocket expenses incurred by them to the extent that such expenses exceed the amount of available proceeds not deposited in the trust account.</w:t>
      </w:r>
    </w:p>
    <w:p>
      <w:pPr>
        <w:spacing w:after="0" w:line="81" w:lineRule="exact"/>
        <w:rPr>
          <w:rFonts w:ascii="Arial" w:cs="Arial" w:eastAsia="Arial" w:hAnsi="Arial"/>
          <w:sz w:val="16"/>
          <w:szCs w:val="16"/>
          <w:color w:val="auto"/>
        </w:rPr>
      </w:pPr>
    </w:p>
    <w:p>
      <w:pPr>
        <w:jc w:val="both"/>
        <w:ind w:left="1320" w:right="459" w:hanging="434"/>
        <w:spacing w:after="0" w:line="270" w:lineRule="auto"/>
        <w:tabs>
          <w:tab w:leader="none" w:pos="1419"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warrants. Furthermore, Ventoux Acquisition and Chardan Investments have agreed that the private warrants will not be sold or transferred by it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4" w:lineRule="auto"/>
        <w:tabs>
          <w:tab w:leader="none" w:pos="15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engaged Chardan Capital Markets, LLC as an advisor in connection with our initial business combination, pursuant to the business combination marketing agreement described under “Underwriting (Conflicts of Interest) — Business Combination Marketing Agreement.” We will pay Chardan Capital Markets, LLC a marketing fee for such services upon the consummation of our initial business combination in an amount equal to, in the aggregate, 3.5% of the gross proceeds of this offering, including any proceeds from the full or partial exercise of the over-allotment option. As a result, Chardan Capital Markets, LLC will not be entitled to such fee unless we consummate our initial business combination.</w:t>
      </w:r>
    </w:p>
    <w:p>
      <w:pPr>
        <w:spacing w:after="0" w:line="124"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03" w:lineRule="exact"/>
        <w:rPr>
          <w:sz w:val="20"/>
          <w:szCs w:val="20"/>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0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15 months (or up to 18 months, as applicable)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9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Furthermore, Mr. Grossman is a director of each of LifeSci Acquisition Corp. and Chardan Healthcare Acquisition 2 Corp., and an officer of Chardan Healthcare Acquisition 2 Corp. Mr. Levin is a director of 10X Capital Venture Acquisition Corp. Each of LifeSci Acquisition Corp., Chardan Healthcare Acquisition 2 Corp. and 10X Capital Venture Acquisition Corp. is a special purpose acquisition company that is seeking a target for a business combination. These entities may have priority over us in connection with potential target business identified by each of them. These affiliations may limit the number of potential targets these individuals present to us for purposes of completing a business combination.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following table summarizes the current material pre-existing fiduciary or contractual obligations of our officers, directors and director nominees: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480" w:type="dxa"/>
            <w:vAlign w:val="bottom"/>
          </w:tcPr>
          <w:p>
            <w:pPr>
              <w:spacing w:after="0"/>
              <w:rPr>
                <w:sz w:val="20"/>
                <w:szCs w:val="20"/>
                <w:color w:val="auto"/>
              </w:rPr>
            </w:pPr>
            <w:r>
              <w:rPr>
                <w:rFonts w:ascii="Arial" w:cs="Arial" w:eastAsia="Arial" w:hAnsi="Arial"/>
                <w:sz w:val="16"/>
                <w:szCs w:val="16"/>
                <w:b w:val="1"/>
                <w:bCs w:val="1"/>
                <w:color w:val="auto"/>
              </w:rPr>
              <w:t>Name of Individual</w:t>
            </w:r>
          </w:p>
        </w:tc>
        <w:tc>
          <w:tcPr>
            <w:tcW w:w="100" w:type="dxa"/>
            <w:vAlign w:val="bottom"/>
          </w:tcPr>
          <w:p>
            <w:pPr>
              <w:spacing w:after="0"/>
              <w:rPr>
                <w:sz w:val="18"/>
                <w:szCs w:val="18"/>
                <w:color w:val="auto"/>
              </w:rPr>
            </w:pPr>
          </w:p>
        </w:tc>
        <w:tc>
          <w:tcPr>
            <w:tcW w:w="2920" w:type="dxa"/>
            <w:vAlign w:val="bottom"/>
          </w:tcPr>
          <w:p>
            <w:pPr>
              <w:ind w:left="460"/>
              <w:spacing w:after="0"/>
              <w:rPr>
                <w:sz w:val="20"/>
                <w:szCs w:val="20"/>
                <w:color w:val="auto"/>
              </w:rPr>
            </w:pPr>
            <w:r>
              <w:rPr>
                <w:rFonts w:ascii="Arial" w:cs="Arial" w:eastAsia="Arial" w:hAnsi="Arial"/>
                <w:sz w:val="16"/>
                <w:szCs w:val="16"/>
                <w:b w:val="1"/>
                <w:bCs w:val="1"/>
                <w:color w:val="auto"/>
              </w:rPr>
              <w:t>Name of Affiliated Company</w:t>
            </w:r>
          </w:p>
        </w:tc>
        <w:tc>
          <w:tcPr>
            <w:tcW w:w="100" w:type="dxa"/>
            <w:vAlign w:val="bottom"/>
          </w:tcPr>
          <w:p>
            <w:pPr>
              <w:spacing w:after="0"/>
              <w:rPr>
                <w:sz w:val="18"/>
                <w:szCs w:val="18"/>
                <w:color w:val="auto"/>
              </w:rPr>
            </w:pPr>
          </w:p>
        </w:tc>
        <w:tc>
          <w:tcPr>
            <w:tcW w:w="1820" w:type="dxa"/>
            <w:vAlign w:val="bottom"/>
            <w:gridSpan w:val="2"/>
          </w:tcPr>
          <w:p>
            <w:pPr>
              <w:ind w:left="280"/>
              <w:spacing w:after="0"/>
              <w:rPr>
                <w:sz w:val="20"/>
                <w:szCs w:val="20"/>
                <w:color w:val="auto"/>
              </w:rPr>
            </w:pPr>
            <w:r>
              <w:rPr>
                <w:rFonts w:ascii="Arial" w:cs="Arial" w:eastAsia="Arial" w:hAnsi="Arial"/>
                <w:sz w:val="16"/>
                <w:szCs w:val="16"/>
                <w:b w:val="1"/>
                <w:bCs w:val="1"/>
                <w:color w:val="auto"/>
              </w:rPr>
              <w:t>Entity’s Business</w:t>
            </w:r>
          </w:p>
        </w:tc>
        <w:tc>
          <w:tcPr>
            <w:tcW w:w="1680" w:type="dxa"/>
            <w:vAlign w:val="bottom"/>
          </w:tcPr>
          <w:p>
            <w:pPr>
              <w:ind w:left="480"/>
              <w:spacing w:after="0"/>
              <w:rPr>
                <w:sz w:val="20"/>
                <w:szCs w:val="20"/>
                <w:color w:val="auto"/>
              </w:rPr>
            </w:pPr>
            <w:r>
              <w:rPr>
                <w:rFonts w:ascii="Arial" w:cs="Arial" w:eastAsia="Arial" w:hAnsi="Arial"/>
                <w:sz w:val="16"/>
                <w:szCs w:val="16"/>
                <w:b w:val="1"/>
                <w:bCs w:val="1"/>
                <w:color w:val="auto"/>
              </w:rPr>
              <w:t>Affiliation</w:t>
            </w:r>
          </w:p>
        </w:tc>
        <w:tc>
          <w:tcPr>
            <w:tcW w:w="0" w:type="dxa"/>
            <w:vAlign w:val="bottom"/>
          </w:tcPr>
          <w:p>
            <w:pPr>
              <w:spacing w:after="0"/>
              <w:rPr>
                <w:sz w:val="1"/>
                <w:szCs w:val="1"/>
                <w:color w:val="auto"/>
              </w:rPr>
            </w:pPr>
          </w:p>
        </w:tc>
      </w:tr>
      <w:tr>
        <w:trPr>
          <w:trHeight w:val="46"/>
        </w:trPr>
        <w:tc>
          <w:tcPr>
            <w:tcW w:w="14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480" w:type="dxa"/>
            <w:vAlign w:val="bottom"/>
          </w:tcPr>
          <w:p>
            <w:pPr>
              <w:spacing w:after="0" w:line="195" w:lineRule="exact"/>
              <w:rPr>
                <w:sz w:val="20"/>
                <w:szCs w:val="20"/>
                <w:color w:val="auto"/>
              </w:rPr>
            </w:pPr>
            <w:r>
              <w:rPr>
                <w:rFonts w:ascii="Arial" w:cs="Arial" w:eastAsia="Arial" w:hAnsi="Arial"/>
                <w:sz w:val="18"/>
                <w:szCs w:val="18"/>
                <w:color w:val="auto"/>
              </w:rPr>
              <w:t>Edward Scheetz</w:t>
            </w:r>
          </w:p>
        </w:tc>
        <w:tc>
          <w:tcPr>
            <w:tcW w:w="100" w:type="dxa"/>
            <w:vAlign w:val="bottom"/>
            <w:vMerge w:val="continue"/>
          </w:tcPr>
          <w:p>
            <w:pPr>
              <w:spacing w:after="0"/>
              <w:rPr>
                <w:sz w:val="16"/>
                <w:szCs w:val="16"/>
                <w:color w:val="auto"/>
              </w:rPr>
            </w:pPr>
          </w:p>
        </w:tc>
        <w:tc>
          <w:tcPr>
            <w:tcW w:w="2920" w:type="dxa"/>
            <w:vAlign w:val="bottom"/>
          </w:tcPr>
          <w:p>
            <w:pPr>
              <w:spacing w:after="0" w:line="195" w:lineRule="exact"/>
              <w:rPr>
                <w:sz w:val="20"/>
                <w:szCs w:val="20"/>
                <w:color w:val="auto"/>
              </w:rPr>
            </w:pPr>
            <w:r>
              <w:rPr>
                <w:rFonts w:ascii="Arial" w:cs="Arial" w:eastAsia="Arial" w:hAnsi="Arial"/>
                <w:sz w:val="18"/>
                <w:szCs w:val="18"/>
                <w:color w:val="auto"/>
              </w:rPr>
              <w:t>Ventoux Acquisition Holdings LLC</w:t>
            </w:r>
          </w:p>
        </w:tc>
        <w:tc>
          <w:tcPr>
            <w:tcW w:w="100" w:type="dxa"/>
            <w:vAlign w:val="bottom"/>
            <w:vMerge w:val="continue"/>
          </w:tcPr>
          <w:p>
            <w:pPr>
              <w:spacing w:after="0"/>
              <w:rPr>
                <w:sz w:val="16"/>
                <w:szCs w:val="16"/>
                <w:color w:val="auto"/>
              </w:rPr>
            </w:pPr>
          </w:p>
        </w:tc>
        <w:tc>
          <w:tcPr>
            <w:tcW w:w="1720" w:type="dxa"/>
            <w:vAlign w:val="bottom"/>
          </w:tcPr>
          <w:p>
            <w:pPr>
              <w:spacing w:after="0" w:line="195" w:lineRule="exact"/>
              <w:rPr>
                <w:sz w:val="20"/>
                <w:szCs w:val="20"/>
                <w:color w:val="auto"/>
              </w:rPr>
            </w:pPr>
            <w:r>
              <w:rPr>
                <w:rFonts w:ascii="Arial" w:cs="Arial" w:eastAsia="Arial" w:hAnsi="Arial"/>
                <w:sz w:val="18"/>
                <w:szCs w:val="18"/>
                <w:color w:val="auto"/>
              </w:rPr>
              <w:t>Co-Sponsor</w:t>
            </w:r>
          </w:p>
        </w:tc>
        <w:tc>
          <w:tcPr>
            <w:tcW w:w="100" w:type="dxa"/>
            <w:vAlign w:val="bottom"/>
            <w:vMerge w:val="continue"/>
          </w:tcPr>
          <w:p>
            <w:pPr>
              <w:spacing w:after="0"/>
              <w:rPr>
                <w:sz w:val="16"/>
                <w:szCs w:val="16"/>
                <w:color w:val="auto"/>
              </w:rPr>
            </w:pPr>
          </w:p>
        </w:tc>
        <w:tc>
          <w:tcPr>
            <w:tcW w:w="1680" w:type="dxa"/>
            <w:vAlign w:val="bottom"/>
          </w:tcPr>
          <w:p>
            <w:pPr>
              <w:spacing w:after="0" w:line="195" w:lineRule="exact"/>
              <w:rPr>
                <w:sz w:val="20"/>
                <w:szCs w:val="20"/>
                <w:color w:val="auto"/>
              </w:rPr>
            </w:pPr>
            <w:r>
              <w:rPr>
                <w:rFonts w:ascii="Arial" w:cs="Arial" w:eastAsia="Arial" w:hAnsi="Arial"/>
                <w:sz w:val="18"/>
                <w:szCs w:val="18"/>
                <w:color w:val="auto"/>
              </w:rPr>
              <w:t>Co-Founder,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Officer and</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Chairman Officer</w:t>
            </w:r>
          </w:p>
        </w:tc>
        <w:tc>
          <w:tcPr>
            <w:tcW w:w="0" w:type="dxa"/>
            <w:vAlign w:val="bottom"/>
          </w:tcPr>
          <w:p>
            <w:pPr>
              <w:spacing w:after="0"/>
              <w:rPr>
                <w:sz w:val="1"/>
                <w:szCs w:val="1"/>
                <w:color w:val="auto"/>
              </w:rPr>
            </w:pPr>
          </w:p>
        </w:tc>
      </w:tr>
      <w:tr>
        <w:trPr>
          <w:trHeight w:val="377"/>
        </w:trPr>
        <w:tc>
          <w:tcPr>
            <w:tcW w:w="1480" w:type="dxa"/>
            <w:vAlign w:val="bottom"/>
          </w:tcPr>
          <w:p>
            <w:pPr>
              <w:spacing w:after="0"/>
              <w:rPr>
                <w:sz w:val="20"/>
                <w:szCs w:val="20"/>
                <w:color w:val="auto"/>
              </w:rPr>
            </w:pPr>
            <w:r>
              <w:rPr>
                <w:rFonts w:ascii="Arial" w:cs="Arial" w:eastAsia="Arial" w:hAnsi="Arial"/>
                <w:sz w:val="18"/>
                <w:szCs w:val="18"/>
                <w:color w:val="auto"/>
              </w:rPr>
              <w:t>Matthew</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Co-Sponsor</w:t>
            </w:r>
          </w:p>
        </w:tc>
        <w:tc>
          <w:tcPr>
            <w:tcW w:w="1680" w:type="dxa"/>
            <w:vAlign w:val="bottom"/>
          </w:tcPr>
          <w:p>
            <w:pPr>
              <w:spacing w:after="0"/>
              <w:rPr>
                <w:sz w:val="20"/>
                <w:szCs w:val="20"/>
                <w:color w:val="auto"/>
              </w:rPr>
            </w:pPr>
            <w:r>
              <w:rPr>
                <w:rFonts w:ascii="Arial" w:cs="Arial" w:eastAsia="Arial" w:hAnsi="Arial"/>
                <w:sz w:val="18"/>
                <w:szCs w:val="18"/>
                <w:color w:val="auto"/>
              </w:rPr>
              <w:t>Co-Founder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MacDonald</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Chief Financial</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391"/>
        </w:trPr>
        <w:tc>
          <w:tcPr>
            <w:tcW w:w="1480" w:type="dxa"/>
            <w:vAlign w:val="bottom"/>
          </w:tcPr>
          <w:p>
            <w:pPr>
              <w:spacing w:after="0"/>
              <w:rPr>
                <w:sz w:val="20"/>
                <w:szCs w:val="20"/>
                <w:color w:val="auto"/>
              </w:rPr>
            </w:pPr>
            <w:r>
              <w:rPr>
                <w:rFonts w:ascii="Arial" w:cs="Arial" w:eastAsia="Arial" w:hAnsi="Arial"/>
                <w:sz w:val="18"/>
                <w:szCs w:val="18"/>
                <w:color w:val="auto"/>
                <w:w w:val="94"/>
              </w:rPr>
              <w:t>Brock Strasbourger</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Co-Sponsor</w:t>
            </w:r>
          </w:p>
        </w:tc>
        <w:tc>
          <w:tcPr>
            <w:tcW w:w="1680" w:type="dxa"/>
            <w:vAlign w:val="bottom"/>
          </w:tcPr>
          <w:p>
            <w:pPr>
              <w:spacing w:after="0"/>
              <w:rPr>
                <w:sz w:val="20"/>
                <w:szCs w:val="20"/>
                <w:color w:val="auto"/>
              </w:rPr>
            </w:pPr>
            <w:r>
              <w:rPr>
                <w:rFonts w:ascii="Arial" w:cs="Arial" w:eastAsia="Arial" w:hAnsi="Arial"/>
                <w:sz w:val="18"/>
                <w:szCs w:val="18"/>
                <w:color w:val="auto"/>
              </w:rPr>
              <w:t>Chief Operating</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391"/>
        </w:trPr>
        <w:tc>
          <w:tcPr>
            <w:tcW w:w="1480" w:type="dxa"/>
            <w:vAlign w:val="bottom"/>
          </w:tcPr>
          <w:p>
            <w:pPr>
              <w:spacing w:after="0"/>
              <w:rPr>
                <w:sz w:val="20"/>
                <w:szCs w:val="20"/>
                <w:color w:val="auto"/>
              </w:rPr>
            </w:pPr>
            <w:r>
              <w:rPr>
                <w:rFonts w:ascii="Arial" w:cs="Arial" w:eastAsia="Arial" w:hAnsi="Arial"/>
                <w:sz w:val="18"/>
                <w:szCs w:val="18"/>
                <w:color w:val="auto"/>
              </w:rPr>
              <w:t>Prasad Phatak</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Co-Sponsor</w:t>
            </w:r>
          </w:p>
        </w:tc>
        <w:tc>
          <w:tcPr>
            <w:tcW w:w="1680" w:type="dxa"/>
            <w:vAlign w:val="bottom"/>
          </w:tcPr>
          <w:p>
            <w:pPr>
              <w:spacing w:after="0"/>
              <w:rPr>
                <w:sz w:val="20"/>
                <w:szCs w:val="20"/>
                <w:color w:val="auto"/>
              </w:rPr>
            </w:pPr>
            <w:r>
              <w:rPr>
                <w:rFonts w:ascii="Arial" w:cs="Arial" w:eastAsia="Arial" w:hAnsi="Arial"/>
                <w:sz w:val="18"/>
                <w:szCs w:val="18"/>
                <w:color w:val="auto"/>
              </w:rPr>
              <w:t>Chief Investment</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Tappan Street Partners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Hedge fund</w:t>
            </w:r>
          </w:p>
        </w:tc>
        <w:tc>
          <w:tcPr>
            <w:tcW w:w="1680" w:type="dxa"/>
            <w:vAlign w:val="bottom"/>
          </w:tcPr>
          <w:p>
            <w:pPr>
              <w:spacing w:after="0"/>
              <w:rPr>
                <w:sz w:val="20"/>
                <w:szCs w:val="20"/>
                <w:color w:val="auto"/>
              </w:rPr>
            </w:pPr>
            <w:r>
              <w:rPr>
                <w:rFonts w:ascii="Arial" w:cs="Arial" w:eastAsia="Arial" w:hAnsi="Arial"/>
                <w:sz w:val="18"/>
                <w:szCs w:val="18"/>
                <w:color w:val="auto"/>
              </w:rPr>
              <w:t>Managing Member</w:t>
            </w:r>
          </w:p>
        </w:tc>
        <w:tc>
          <w:tcPr>
            <w:tcW w:w="0" w:type="dxa"/>
            <w:vAlign w:val="bottom"/>
          </w:tcPr>
          <w:p>
            <w:pPr>
              <w:spacing w:after="0"/>
              <w:rPr>
                <w:sz w:val="1"/>
                <w:szCs w:val="1"/>
                <w:color w:val="auto"/>
              </w:rPr>
            </w:pP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rPr>
              <w:t>Jonas Grossman</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w w:val="91"/>
              </w:rPr>
              <w:t>Chardan International Investments,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Co-Sponsor</w:t>
            </w:r>
          </w:p>
        </w:tc>
        <w:tc>
          <w:tcPr>
            <w:tcW w:w="1680" w:type="dxa"/>
            <w:vAlign w:val="bottom"/>
          </w:tcPr>
          <w:p>
            <w:pPr>
              <w:spacing w:after="0"/>
              <w:rPr>
                <w:sz w:val="20"/>
                <w:szCs w:val="20"/>
                <w:color w:val="auto"/>
              </w:rPr>
            </w:pPr>
            <w:r>
              <w:rPr>
                <w:rFonts w:ascii="Arial" w:cs="Arial" w:eastAsia="Arial" w:hAnsi="Arial"/>
                <w:sz w:val="18"/>
                <w:szCs w:val="18"/>
                <w:color w:val="auto"/>
              </w:rPr>
              <w:t>Managing Member</w:t>
            </w: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Chardan Capital Markets,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Investment bank</w:t>
            </w:r>
          </w:p>
        </w:tc>
        <w:tc>
          <w:tcPr>
            <w:tcW w:w="1680" w:type="dxa"/>
            <w:vAlign w:val="bottom"/>
          </w:tcPr>
          <w:p>
            <w:pPr>
              <w:spacing w:after="0"/>
              <w:rPr>
                <w:sz w:val="20"/>
                <w:szCs w:val="20"/>
                <w:color w:val="auto"/>
              </w:rPr>
            </w:pPr>
            <w:r>
              <w:rPr>
                <w:rFonts w:ascii="Arial" w:cs="Arial" w:eastAsia="Arial" w:hAnsi="Arial"/>
                <w:sz w:val="18"/>
                <w:szCs w:val="18"/>
                <w:color w:val="auto"/>
                <w:w w:val="92"/>
              </w:rPr>
              <w:t>President, Partner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Head of Capital</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Markets</w:t>
            </w: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1"/>
                <w:szCs w:val="21"/>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BiomX, Inc.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Pre-clinical</w:t>
            </w:r>
          </w:p>
        </w:tc>
        <w:tc>
          <w:tcPr>
            <w:tcW w:w="16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microbiome company</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w w:val="96"/>
              </w:rPr>
              <w:t>developing both natural</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w w:val="96"/>
              </w:rPr>
              <w:t>and engineered phage-</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based therapies for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acne and chronic</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diseases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LifeSci Acquisition Corp.</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Blank check company</w:t>
            </w:r>
          </w:p>
        </w:tc>
        <w:tc>
          <w:tcPr>
            <w:tcW w:w="16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9"/>
        </w:trPr>
        <w:tc>
          <w:tcPr>
            <w:tcW w:w="1480" w:type="dxa"/>
            <w:vAlign w:val="bottom"/>
          </w:tcPr>
          <w:p>
            <w:pPr>
              <w:spacing w:after="0"/>
              <w:rPr>
                <w:sz w:val="23"/>
                <w:szCs w:val="23"/>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w w:val="91"/>
              </w:rPr>
              <w:t>Chardan Healthcare Acquisition 2 Corp.</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Blank check company</w:t>
            </w:r>
          </w:p>
        </w:tc>
        <w:tc>
          <w:tcPr>
            <w:tcW w:w="1680" w:type="dxa"/>
            <w:vAlign w:val="bottom"/>
          </w:tcPr>
          <w:p>
            <w:pPr>
              <w:spacing w:after="0"/>
              <w:rPr>
                <w:sz w:val="20"/>
                <w:szCs w:val="20"/>
                <w:color w:val="auto"/>
              </w:rPr>
            </w:pPr>
            <w:r>
              <w:rPr>
                <w:rFonts w:ascii="Arial" w:cs="Arial" w:eastAsia="Arial" w:hAnsi="Arial"/>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w w:val="95"/>
              </w:rPr>
              <w:t>Officer and President,</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Cornix Advisors,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Hedge fund</w:t>
            </w:r>
          </w:p>
        </w:tc>
        <w:tc>
          <w:tcPr>
            <w:tcW w:w="1680" w:type="dxa"/>
            <w:vAlign w:val="bottom"/>
          </w:tcPr>
          <w:p>
            <w:pPr>
              <w:spacing w:after="0"/>
              <w:rPr>
                <w:sz w:val="20"/>
                <w:szCs w:val="20"/>
                <w:color w:val="auto"/>
              </w:rPr>
            </w:pPr>
            <w:r>
              <w:rPr>
                <w:rFonts w:ascii="Arial" w:cs="Arial" w:eastAsia="Arial" w:hAnsi="Arial"/>
                <w:sz w:val="18"/>
                <w:szCs w:val="18"/>
                <w:color w:val="auto"/>
              </w:rPr>
              <w:t>Founding Partner</w:t>
            </w:r>
          </w:p>
        </w:tc>
        <w:tc>
          <w:tcPr>
            <w:tcW w:w="0" w:type="dxa"/>
            <w:vAlign w:val="bottom"/>
          </w:tcPr>
          <w:p>
            <w:pPr>
              <w:spacing w:after="0"/>
              <w:rPr>
                <w:sz w:val="1"/>
                <w:szCs w:val="1"/>
                <w:color w:val="auto"/>
              </w:rPr>
            </w:pPr>
          </w:p>
        </w:tc>
      </w:tr>
      <w:tr>
        <w:trPr>
          <w:trHeight w:val="404"/>
        </w:trPr>
        <w:tc>
          <w:tcPr>
            <w:tcW w:w="1480" w:type="dxa"/>
            <w:vAlign w:val="bottom"/>
          </w:tcPr>
          <w:p>
            <w:pPr>
              <w:spacing w:after="0"/>
              <w:rPr>
                <w:sz w:val="20"/>
                <w:szCs w:val="20"/>
                <w:color w:val="auto"/>
              </w:rPr>
            </w:pPr>
            <w:r>
              <w:rPr>
                <w:rFonts w:ascii="Arial" w:cs="Arial" w:eastAsia="Arial" w:hAnsi="Arial"/>
                <w:sz w:val="18"/>
                <w:szCs w:val="18"/>
                <w:color w:val="auto"/>
              </w:rPr>
              <w:t>Woodrow</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Extend, Inc.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Company focused on</w:t>
            </w:r>
          </w:p>
        </w:tc>
        <w:tc>
          <w:tcPr>
            <w:tcW w:w="1680" w:type="dxa"/>
            <w:vAlign w:val="bottom"/>
          </w:tcPr>
          <w:p>
            <w:pPr>
              <w:spacing w:after="0"/>
              <w:rPr>
                <w:sz w:val="20"/>
                <w:szCs w:val="20"/>
                <w:color w:val="auto"/>
              </w:rPr>
            </w:pPr>
            <w:r>
              <w:rPr>
                <w:rFonts w:ascii="Arial" w:cs="Arial" w:eastAsia="Arial" w:hAnsi="Arial"/>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w w:val="96"/>
              </w:rPr>
              <w:t>(“Woody”) H. Levin</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API-first solution for</w:t>
            </w:r>
          </w:p>
        </w:tc>
        <w:tc>
          <w:tcPr>
            <w:tcW w:w="1680" w:type="dxa"/>
            <w:vAlign w:val="bottom"/>
          </w:tcPr>
          <w:p>
            <w:pPr>
              <w:spacing w:after="0"/>
              <w:rPr>
                <w:sz w:val="20"/>
                <w:szCs w:val="20"/>
                <w:color w:val="auto"/>
              </w:rPr>
            </w:pPr>
            <w:r>
              <w:rPr>
                <w:rFonts w:ascii="Arial" w:cs="Arial" w:eastAsia="Arial" w:hAnsi="Arial"/>
                <w:sz w:val="18"/>
                <w:szCs w:val="18"/>
                <w:color w:val="auto"/>
              </w:rPr>
              <w:t>Officer and 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merchants to offer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extended warranties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and protection plans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3.0 Capital GP,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Hedge fund</w:t>
            </w:r>
          </w:p>
        </w:tc>
        <w:tc>
          <w:tcPr>
            <w:tcW w:w="1680" w:type="dxa"/>
            <w:vAlign w:val="bottom"/>
          </w:tcPr>
          <w:p>
            <w:pPr>
              <w:spacing w:after="0"/>
              <w:rPr>
                <w:sz w:val="20"/>
                <w:szCs w:val="20"/>
                <w:color w:val="auto"/>
              </w:rPr>
            </w:pPr>
            <w:r>
              <w:rPr>
                <w:rFonts w:ascii="Arial" w:cs="Arial" w:eastAsia="Arial" w:hAnsi="Arial"/>
                <w:sz w:val="18"/>
                <w:szCs w:val="18"/>
                <w:color w:val="auto"/>
              </w:rPr>
              <w:t>Chief Executive</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1"/>
                <w:szCs w:val="21"/>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DraftKings Inc.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Company focused on</w:t>
            </w:r>
          </w:p>
        </w:tc>
        <w:tc>
          <w:tcPr>
            <w:tcW w:w="16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digital sports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entertainment and</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gaming</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w w:val="95"/>
              </w:rPr>
              <w:t>10X Capital Venture Acquisition Corp.</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Blank check company</w:t>
            </w:r>
          </w:p>
        </w:tc>
        <w:tc>
          <w:tcPr>
            <w:tcW w:w="16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04"/>
        </w:trPr>
        <w:tc>
          <w:tcPr>
            <w:tcW w:w="1480" w:type="dxa"/>
            <w:vAlign w:val="bottom"/>
          </w:tcPr>
          <w:p>
            <w:pPr>
              <w:spacing w:after="0"/>
              <w:rPr>
                <w:sz w:val="20"/>
                <w:szCs w:val="20"/>
                <w:color w:val="auto"/>
              </w:rPr>
            </w:pPr>
            <w:r>
              <w:rPr>
                <w:rFonts w:ascii="Arial" w:cs="Arial" w:eastAsia="Arial" w:hAnsi="Arial"/>
                <w:sz w:val="18"/>
                <w:szCs w:val="18"/>
                <w:color w:val="auto"/>
              </w:rPr>
              <w:t>Alex Weil</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Chardan Capital Markets, LLC</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Investment bank</w:t>
            </w:r>
          </w:p>
        </w:tc>
        <w:tc>
          <w:tcPr>
            <w:tcW w:w="1680" w:type="dxa"/>
            <w:vAlign w:val="bottom"/>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and Co-Head of</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Fintech Investment</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Banking</w:t>
            </w:r>
          </w:p>
        </w:tc>
        <w:tc>
          <w:tcPr>
            <w:tcW w:w="0" w:type="dxa"/>
            <w:vAlign w:val="bottom"/>
          </w:tcPr>
          <w:p>
            <w:pPr>
              <w:spacing w:after="0"/>
              <w:rPr>
                <w:sz w:val="1"/>
                <w:szCs w:val="1"/>
                <w:color w:val="auto"/>
              </w:rPr>
            </w:pPr>
          </w:p>
        </w:tc>
      </w:tr>
      <w:tr>
        <w:trPr>
          <w:trHeight w:val="445"/>
        </w:trPr>
        <w:tc>
          <w:tcPr>
            <w:tcW w:w="14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ind w:left="248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86" w:name="page87"/>
    <w:bookmarkEnd w:id="8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480" w:type="dxa"/>
            <w:vAlign w:val="bottom"/>
          </w:tcPr>
          <w:p>
            <w:pPr>
              <w:spacing w:after="0"/>
              <w:rPr>
                <w:sz w:val="20"/>
                <w:szCs w:val="20"/>
                <w:color w:val="auto"/>
              </w:rPr>
            </w:pPr>
            <w:r>
              <w:rPr>
                <w:rFonts w:ascii="Arial" w:cs="Arial" w:eastAsia="Arial" w:hAnsi="Arial"/>
                <w:sz w:val="16"/>
                <w:szCs w:val="16"/>
                <w:b w:val="1"/>
                <w:bCs w:val="1"/>
                <w:color w:val="auto"/>
              </w:rPr>
              <w:t>Name of Individual</w:t>
            </w:r>
          </w:p>
        </w:tc>
        <w:tc>
          <w:tcPr>
            <w:tcW w:w="100" w:type="dxa"/>
            <w:vAlign w:val="bottom"/>
          </w:tcPr>
          <w:p>
            <w:pPr>
              <w:spacing w:after="0"/>
              <w:rPr>
                <w:sz w:val="18"/>
                <w:szCs w:val="18"/>
                <w:color w:val="auto"/>
              </w:rPr>
            </w:pPr>
          </w:p>
        </w:tc>
        <w:tc>
          <w:tcPr>
            <w:tcW w:w="2980" w:type="dxa"/>
            <w:vAlign w:val="bottom"/>
            <w:gridSpan w:val="2"/>
          </w:tcPr>
          <w:p>
            <w:pPr>
              <w:ind w:left="440"/>
              <w:spacing w:after="0"/>
              <w:rPr>
                <w:sz w:val="20"/>
                <w:szCs w:val="20"/>
                <w:color w:val="auto"/>
              </w:rPr>
            </w:pPr>
            <w:r>
              <w:rPr>
                <w:rFonts w:ascii="Arial" w:cs="Arial" w:eastAsia="Arial" w:hAnsi="Arial"/>
                <w:sz w:val="16"/>
                <w:szCs w:val="16"/>
                <w:b w:val="1"/>
                <w:bCs w:val="1"/>
                <w:color w:val="auto"/>
              </w:rPr>
              <w:t>Name of Affiliated Company</w:t>
            </w:r>
          </w:p>
        </w:tc>
        <w:tc>
          <w:tcPr>
            <w:tcW w:w="1840" w:type="dxa"/>
            <w:vAlign w:val="bottom"/>
            <w:gridSpan w:val="2"/>
          </w:tcPr>
          <w:p>
            <w:pPr>
              <w:ind w:left="280"/>
              <w:spacing w:after="0"/>
              <w:rPr>
                <w:sz w:val="20"/>
                <w:szCs w:val="20"/>
                <w:color w:val="auto"/>
              </w:rPr>
            </w:pPr>
            <w:r>
              <w:rPr>
                <w:rFonts w:ascii="Arial" w:cs="Arial" w:eastAsia="Arial" w:hAnsi="Arial"/>
                <w:sz w:val="16"/>
                <w:szCs w:val="16"/>
                <w:b w:val="1"/>
                <w:bCs w:val="1"/>
                <w:color w:val="auto"/>
              </w:rPr>
              <w:t>Entity’s Business</w:t>
            </w:r>
          </w:p>
        </w:tc>
        <w:tc>
          <w:tcPr>
            <w:tcW w:w="1700" w:type="dxa"/>
            <w:vAlign w:val="bottom"/>
          </w:tcPr>
          <w:p>
            <w:pPr>
              <w:ind w:left="480"/>
              <w:spacing w:after="0"/>
              <w:rPr>
                <w:sz w:val="20"/>
                <w:szCs w:val="20"/>
                <w:color w:val="auto"/>
              </w:rPr>
            </w:pPr>
            <w:r>
              <w:rPr>
                <w:rFonts w:ascii="Arial" w:cs="Arial" w:eastAsia="Arial" w:hAnsi="Arial"/>
                <w:sz w:val="16"/>
                <w:szCs w:val="16"/>
                <w:b w:val="1"/>
                <w:bCs w:val="1"/>
                <w:color w:val="auto"/>
              </w:rPr>
              <w:t>Affiliation</w:t>
            </w:r>
          </w:p>
        </w:tc>
        <w:tc>
          <w:tcPr>
            <w:tcW w:w="0" w:type="dxa"/>
            <w:vAlign w:val="bottom"/>
          </w:tcPr>
          <w:p>
            <w:pPr>
              <w:spacing w:after="0"/>
              <w:rPr>
                <w:sz w:val="1"/>
                <w:szCs w:val="1"/>
                <w:color w:val="auto"/>
              </w:rPr>
            </w:pPr>
          </w:p>
        </w:tc>
      </w:tr>
      <w:tr>
        <w:trPr>
          <w:trHeight w:val="47"/>
        </w:trPr>
        <w:tc>
          <w:tcPr>
            <w:tcW w:w="14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480" w:type="dxa"/>
            <w:vAlign w:val="bottom"/>
          </w:tcPr>
          <w:p>
            <w:pPr>
              <w:spacing w:after="0" w:line="195" w:lineRule="exact"/>
              <w:rPr>
                <w:sz w:val="20"/>
                <w:szCs w:val="20"/>
                <w:color w:val="auto"/>
              </w:rPr>
            </w:pPr>
            <w:r>
              <w:rPr>
                <w:rFonts w:ascii="Arial" w:cs="Arial" w:eastAsia="Arial" w:hAnsi="Arial"/>
                <w:sz w:val="18"/>
                <w:szCs w:val="18"/>
                <w:color w:val="auto"/>
              </w:rPr>
              <w:t>Julie Atkinson</w:t>
            </w:r>
          </w:p>
        </w:tc>
        <w:tc>
          <w:tcPr>
            <w:tcW w:w="100" w:type="dxa"/>
            <w:vAlign w:val="bottom"/>
            <w:vMerge w:val="continue"/>
          </w:tcPr>
          <w:p>
            <w:pPr>
              <w:spacing w:after="0"/>
              <w:rPr>
                <w:sz w:val="16"/>
                <w:szCs w:val="16"/>
                <w:color w:val="auto"/>
              </w:rPr>
            </w:pPr>
          </w:p>
        </w:tc>
        <w:tc>
          <w:tcPr>
            <w:tcW w:w="2880" w:type="dxa"/>
            <w:vAlign w:val="bottom"/>
          </w:tcPr>
          <w:p>
            <w:pPr>
              <w:spacing w:after="0" w:line="195" w:lineRule="exact"/>
              <w:rPr>
                <w:sz w:val="20"/>
                <w:szCs w:val="20"/>
                <w:color w:val="auto"/>
              </w:rPr>
            </w:pPr>
            <w:r>
              <w:rPr>
                <w:rFonts w:ascii="Arial" w:cs="Arial" w:eastAsia="Arial" w:hAnsi="Arial"/>
                <w:sz w:val="18"/>
                <w:szCs w:val="18"/>
                <w:color w:val="auto"/>
              </w:rPr>
              <w:t>Founders Table Restaurant Group</w:t>
            </w:r>
          </w:p>
        </w:tc>
        <w:tc>
          <w:tcPr>
            <w:tcW w:w="100" w:type="dxa"/>
            <w:vAlign w:val="bottom"/>
            <w:vMerge w:val="continue"/>
          </w:tcPr>
          <w:p>
            <w:pPr>
              <w:spacing w:after="0"/>
              <w:rPr>
                <w:sz w:val="16"/>
                <w:szCs w:val="16"/>
                <w:color w:val="auto"/>
              </w:rPr>
            </w:pPr>
          </w:p>
        </w:tc>
        <w:tc>
          <w:tcPr>
            <w:tcW w:w="1740" w:type="dxa"/>
            <w:vAlign w:val="bottom"/>
          </w:tcPr>
          <w:p>
            <w:pPr>
              <w:spacing w:after="0" w:line="195" w:lineRule="exact"/>
              <w:rPr>
                <w:sz w:val="20"/>
                <w:szCs w:val="20"/>
                <w:color w:val="auto"/>
              </w:rPr>
            </w:pPr>
            <w:r>
              <w:rPr>
                <w:rFonts w:ascii="Arial" w:cs="Arial" w:eastAsia="Arial" w:hAnsi="Arial"/>
                <w:sz w:val="18"/>
                <w:szCs w:val="18"/>
                <w:color w:val="auto"/>
              </w:rPr>
              <w:t>Company focused on</w:t>
            </w:r>
          </w:p>
        </w:tc>
        <w:tc>
          <w:tcPr>
            <w:tcW w:w="100" w:type="dxa"/>
            <w:vAlign w:val="bottom"/>
            <w:vMerge w:val="continue"/>
          </w:tcPr>
          <w:p>
            <w:pPr>
              <w:spacing w:after="0"/>
              <w:rPr>
                <w:sz w:val="16"/>
                <w:szCs w:val="16"/>
                <w:color w:val="auto"/>
              </w:rPr>
            </w:pPr>
          </w:p>
        </w:tc>
        <w:tc>
          <w:tcPr>
            <w:tcW w:w="1700" w:type="dxa"/>
            <w:vAlign w:val="bottom"/>
          </w:tcPr>
          <w:p>
            <w:pPr>
              <w:spacing w:after="0" w:line="195" w:lineRule="exact"/>
              <w:rPr>
                <w:sz w:val="20"/>
                <w:szCs w:val="20"/>
                <w:color w:val="auto"/>
              </w:rPr>
            </w:pPr>
            <w:r>
              <w:rPr>
                <w:rFonts w:ascii="Arial" w:cs="Arial" w:eastAsia="Arial" w:hAnsi="Arial"/>
                <w:sz w:val="18"/>
                <w:szCs w:val="18"/>
                <w:color w:val="auto"/>
              </w:rPr>
              <w:t>Chief Marketing</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creation, acquisition</w:t>
            </w:r>
          </w:p>
        </w:tc>
        <w:tc>
          <w:tcPr>
            <w:tcW w:w="170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and cultivation of</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founder led-restaurant</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companies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1"/>
                <w:szCs w:val="21"/>
                <w:color w:val="auto"/>
              </w:rPr>
            </w:pP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Bright Horizons Family Solutions Inc.</w:t>
            </w:r>
          </w:p>
        </w:tc>
        <w:tc>
          <w:tcPr>
            <w:tcW w:w="1840" w:type="dxa"/>
            <w:vAlign w:val="bottom"/>
            <w:gridSpan w:val="2"/>
          </w:tcPr>
          <w:p>
            <w:pPr>
              <w:spacing w:after="0"/>
              <w:rPr>
                <w:sz w:val="20"/>
                <w:szCs w:val="20"/>
                <w:color w:val="auto"/>
              </w:rPr>
            </w:pPr>
            <w:r>
              <w:rPr>
                <w:rFonts w:ascii="Arial" w:cs="Arial" w:eastAsia="Arial" w:hAnsi="Arial"/>
                <w:sz w:val="18"/>
                <w:szCs w:val="18"/>
                <w:color w:val="auto"/>
              </w:rPr>
              <w:t>Provider of child care</w:t>
            </w:r>
          </w:p>
        </w:tc>
        <w:tc>
          <w:tcPr>
            <w:tcW w:w="170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and early education,</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dependent care, and</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workforce education</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service</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480" w:type="dxa"/>
            <w:vAlign w:val="bottom"/>
          </w:tcPr>
          <w:p>
            <w:pPr>
              <w:spacing w:after="0"/>
              <w:rPr>
                <w:sz w:val="20"/>
                <w:szCs w:val="20"/>
                <w:color w:val="auto"/>
              </w:rPr>
            </w:pPr>
            <w:r>
              <w:rPr>
                <w:rFonts w:ascii="Arial" w:cs="Arial" w:eastAsia="Arial" w:hAnsi="Arial"/>
                <w:sz w:val="18"/>
                <w:szCs w:val="18"/>
                <w:color w:val="auto"/>
              </w:rPr>
              <w:t>Christian (“Chris”)</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Certares</w:t>
            </w:r>
          </w:p>
        </w:tc>
        <w:tc>
          <w:tcPr>
            <w:tcW w:w="184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1700" w:type="dxa"/>
            <w:vAlign w:val="bottom"/>
          </w:tcPr>
          <w:p>
            <w:pPr>
              <w:spacing w:after="0"/>
              <w:rPr>
                <w:sz w:val="20"/>
                <w:szCs w:val="20"/>
                <w:color w:val="auto"/>
              </w:rPr>
            </w:pPr>
            <w:r>
              <w:rPr>
                <w:rFonts w:ascii="Arial" w:cs="Arial" w:eastAsia="Arial" w:hAnsi="Arial"/>
                <w:sz w:val="18"/>
                <w:szCs w:val="18"/>
                <w:color w:val="auto"/>
              </w:rPr>
              <w:t>Advisor</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Ahrens</w:t>
            </w: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w w:val="99"/>
              </w:rPr>
              <w:t>management company</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1"/>
                <w:szCs w:val="21"/>
                <w:color w:val="auto"/>
              </w:rPr>
            </w:pP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Internova Travel Group</w:t>
            </w:r>
          </w:p>
        </w:tc>
        <w:tc>
          <w:tcPr>
            <w:tcW w:w="1840" w:type="dxa"/>
            <w:vAlign w:val="bottom"/>
            <w:gridSpan w:val="2"/>
          </w:tcPr>
          <w:p>
            <w:pPr>
              <w:spacing w:after="0"/>
              <w:rPr>
                <w:sz w:val="20"/>
                <w:szCs w:val="20"/>
                <w:color w:val="auto"/>
              </w:rPr>
            </w:pPr>
            <w:r>
              <w:rPr>
                <w:rFonts w:ascii="Arial" w:cs="Arial" w:eastAsia="Arial" w:hAnsi="Arial"/>
                <w:sz w:val="18"/>
                <w:szCs w:val="18"/>
                <w:color w:val="auto"/>
              </w:rPr>
              <w:t>Company focused on</w:t>
            </w:r>
          </w:p>
        </w:tc>
        <w:tc>
          <w:tcPr>
            <w:tcW w:w="170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travel services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Our insiders, including our officers and directors, have agreed to vote any shares of common stock held by them in favor of our initial business combination. In addition, they have agreed to waive their respective rights to receive any amounts held in the trust account with respect to their insider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2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1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To further minimize conflicts of interest, we have agreed not to consummate our initial business combination with an entity that is affiliated with any of our officers, directors or other insiders, unless we have obtained (i) an opinion from an independent investment banking firm that the business combination is fair to our stockholders from a financial point of view and (ii) the approval of a majority of our disinterested and independent directors.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resulting from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accordance with the terms of such policy and insures us against our obligations to indemnify the directors and officers.</w:t>
      </w:r>
    </w:p>
    <w:p>
      <w:pPr>
        <w:spacing w:after="0" w:line="10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8" w:name="page89"/>
    <w:bookmarkEnd w:id="8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(assuming none of the individuals listed purchase units in this offering), by:</w:t>
      </w:r>
    </w:p>
    <w:p>
      <w:pPr>
        <w:spacing w:after="0" w:line="119" w:lineRule="exact"/>
        <w:rPr>
          <w:sz w:val="20"/>
          <w:szCs w:val="20"/>
          <w:color w:val="auto"/>
        </w:rPr>
      </w:pPr>
    </w:p>
    <w:p>
      <w:pPr>
        <w:ind w:left="1320" w:right="479" w:hanging="434"/>
        <w:spacing w:after="0" w:line="277" w:lineRule="auto"/>
        <w:tabs>
          <w:tab w:leader="none" w:pos="1338"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shares of common stock;</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158"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shares of common stock beneficially owned by them. The following table does not reflect record of beneficial ownership of any shares of common stock issuable upon exercise of the warrants, as the warrants are not exercisable within 60 days of the date of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50"/>
        </w:trPr>
        <w:tc>
          <w:tcPr>
            <w:tcW w:w="2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ind w:left="620"/>
              <w:spacing w:after="0"/>
              <w:rPr>
                <w:sz w:val="20"/>
                <w:szCs w:val="20"/>
                <w:color w:val="auto"/>
              </w:rPr>
            </w:pPr>
            <w:r>
              <w:rPr>
                <w:rFonts w:ascii="Arial" w:cs="Arial" w:eastAsia="Arial" w:hAnsi="Arial"/>
                <w:sz w:val="16"/>
                <w:szCs w:val="16"/>
                <w:b w:val="1"/>
                <w:bCs w:val="1"/>
                <w:color w:val="auto"/>
              </w:rPr>
              <w:t>Prior to Offering</w:t>
            </w:r>
          </w:p>
        </w:tc>
        <w:tc>
          <w:tcPr>
            <w:tcW w:w="250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After Offering</w:t>
            </w:r>
            <w:r>
              <w:rPr>
                <w:rFonts w:ascii="Arial" w:cs="Arial" w:eastAsia="Arial" w:hAnsi="Arial"/>
                <w:sz w:val="18"/>
                <w:szCs w:val="18"/>
                <w:b w:val="1"/>
                <w:bCs w:val="1"/>
                <w:color w:val="auto"/>
                <w:vertAlign w:val="superscript"/>
              </w:rPr>
              <w:t>(2)</w:t>
            </w:r>
          </w:p>
        </w:tc>
      </w:tr>
      <w:tr>
        <w:trPr>
          <w:trHeight w:val="189"/>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Approximate</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Amount</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Percentage of</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Amount</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6"/>
              </w:rPr>
              <w:t>Percentage of</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and Nature of</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Outstanding</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and Nature of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Beneficial</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Shares of</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Beneficial</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r>
      <w:tr>
        <w:trPr>
          <w:trHeight w:val="253"/>
        </w:trPr>
        <w:tc>
          <w:tcPr>
            <w:tcW w:w="3080" w:type="dxa"/>
            <w:vAlign w:val="bottom"/>
            <w:gridSpan w:val="2"/>
          </w:tcPr>
          <w:p>
            <w:pPr>
              <w:spacing w:after="0"/>
              <w:rPr>
                <w:sz w:val="20"/>
                <w:szCs w:val="20"/>
                <w:color w:val="auto"/>
              </w:rPr>
            </w:pPr>
            <w:r>
              <w:rPr>
                <w:rFonts w:ascii="Arial" w:cs="Arial" w:eastAsia="Arial" w:hAnsi="Arial"/>
                <w:sz w:val="16"/>
                <w:szCs w:val="16"/>
                <w:b w:val="1"/>
                <w:bCs w:val="1"/>
                <w:color w:val="auto"/>
                <w:w w:val="97"/>
              </w:rPr>
              <w:t>Name and Address of Beneficial Owner</w:t>
            </w:r>
            <w:r>
              <w:rPr>
                <w:rFonts w:ascii="Arial" w:cs="Arial" w:eastAsia="Arial" w:hAnsi="Arial"/>
                <w:sz w:val="18"/>
                <w:szCs w:val="18"/>
                <w:b w:val="1"/>
                <w:bCs w:val="1"/>
                <w:color w:val="auto"/>
                <w:w w:val="97"/>
                <w:vertAlign w:val="superscript"/>
              </w:rPr>
              <w:t>(1)</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Ownership</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Common Stock</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Ownership</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w:t>
            </w:r>
          </w:p>
        </w:tc>
      </w:tr>
      <w:tr>
        <w:trPr>
          <w:trHeight w:val="268"/>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Edward Scheetz</w:t>
            </w:r>
          </w:p>
        </w:tc>
        <w:tc>
          <w:tcPr>
            <w:tcW w:w="10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2,751,375</w:t>
            </w:r>
            <w:r>
              <w:rPr>
                <w:rFonts w:ascii="Arial" w:cs="Arial" w:eastAsia="Arial" w:hAnsi="Arial"/>
                <w:sz w:val="20"/>
                <w:szCs w:val="20"/>
                <w:color w:val="auto"/>
                <w:vertAlign w:val="superscript"/>
              </w:rPr>
              <w:t>(3)(4)</w:t>
            </w:r>
          </w:p>
        </w:tc>
        <w:tc>
          <w:tcPr>
            <w:tcW w:w="10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2,386,794</w:t>
            </w:r>
          </w:p>
        </w:tc>
        <w:tc>
          <w:tcPr>
            <w:tcW w:w="8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83"/>
        </w:trPr>
        <w:tc>
          <w:tcPr>
            <w:tcW w:w="3080" w:type="dxa"/>
            <w:vAlign w:val="bottom"/>
            <w:gridSpan w:val="2"/>
          </w:tcPr>
          <w:p>
            <w:pPr>
              <w:spacing w:after="0"/>
              <w:rPr>
                <w:sz w:val="20"/>
                <w:szCs w:val="20"/>
                <w:color w:val="auto"/>
              </w:rPr>
            </w:pPr>
            <w:r>
              <w:rPr>
                <w:rFonts w:ascii="Arial" w:cs="Arial" w:eastAsia="Arial" w:hAnsi="Arial"/>
                <w:sz w:val="18"/>
                <w:szCs w:val="18"/>
                <w:color w:val="auto"/>
              </w:rPr>
              <w:t>Matthew MacDonald</w:t>
            </w:r>
          </w:p>
        </w:tc>
        <w:tc>
          <w:tcPr>
            <w:tcW w:w="1160" w:type="dxa"/>
            <w:vAlign w:val="bottom"/>
          </w:tcPr>
          <w:p>
            <w:pPr>
              <w:jc w:val="right"/>
              <w:spacing w:after="0"/>
              <w:rPr>
                <w:sz w:val="20"/>
                <w:szCs w:val="20"/>
                <w:color w:val="auto"/>
              </w:rPr>
            </w:pPr>
            <w:r>
              <w:rPr>
                <w:rFonts w:ascii="Arial" w:cs="Arial" w:eastAsia="Arial" w:hAnsi="Arial"/>
                <w:sz w:val="18"/>
                <w:szCs w:val="18"/>
                <w:color w:val="auto"/>
              </w:rPr>
              <w:t>2,751,375</w:t>
            </w:r>
            <w:r>
              <w:rPr>
                <w:rFonts w:ascii="Arial" w:cs="Arial" w:eastAsia="Arial" w:hAnsi="Arial"/>
                <w:sz w:val="20"/>
                <w:szCs w:val="20"/>
                <w:color w:val="auto"/>
                <w:vertAlign w:val="superscript"/>
              </w:rPr>
              <w:t>(3)(4)</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2,386,794</w:t>
            </w: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63"/>
        </w:trPr>
        <w:tc>
          <w:tcPr>
            <w:tcW w:w="3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Brock Strasbourger</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3080" w:type="dxa"/>
            <w:vAlign w:val="bottom"/>
            <w:gridSpan w:val="2"/>
          </w:tcPr>
          <w:p>
            <w:pPr>
              <w:spacing w:after="0"/>
              <w:rPr>
                <w:sz w:val="20"/>
                <w:szCs w:val="20"/>
                <w:color w:val="auto"/>
              </w:rPr>
            </w:pPr>
            <w:r>
              <w:rPr>
                <w:rFonts w:ascii="Arial" w:cs="Arial" w:eastAsia="Arial" w:hAnsi="Arial"/>
                <w:sz w:val="18"/>
                <w:szCs w:val="18"/>
                <w:color w:val="auto"/>
              </w:rPr>
              <w:t>Prasad Phatak</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40"/>
        </w:trPr>
        <w:tc>
          <w:tcPr>
            <w:tcW w:w="2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Jonas Grossman</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1,493,625</w:t>
            </w:r>
            <w:r>
              <w:rPr>
                <w:rFonts w:ascii="Arial" w:cs="Arial" w:eastAsia="Arial" w:hAnsi="Arial"/>
                <w:sz w:val="20"/>
                <w:szCs w:val="20"/>
                <w:color w:val="auto"/>
                <w:vertAlign w:val="superscript"/>
              </w:rPr>
              <w:t>(5)</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1,295,706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3080" w:type="dxa"/>
            <w:vAlign w:val="bottom"/>
            <w:gridSpan w:val="2"/>
          </w:tcPr>
          <w:p>
            <w:pPr>
              <w:spacing w:after="0"/>
              <w:rPr>
                <w:sz w:val="20"/>
                <w:szCs w:val="20"/>
                <w:color w:val="auto"/>
              </w:rPr>
            </w:pPr>
            <w:r>
              <w:rPr>
                <w:rFonts w:ascii="Arial" w:cs="Arial" w:eastAsia="Arial" w:hAnsi="Arial"/>
                <w:sz w:val="18"/>
                <w:szCs w:val="18"/>
                <w:color w:val="auto"/>
              </w:rPr>
              <w:t>Alex Weil</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40"/>
        </w:trPr>
        <w:tc>
          <w:tcPr>
            <w:tcW w:w="2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Woodrow H. Levin</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22,500</w:t>
            </w:r>
            <w:r>
              <w:rPr>
                <w:rFonts w:ascii="Arial" w:cs="Arial" w:eastAsia="Arial" w:hAnsi="Arial"/>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22,500</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83"/>
        </w:trPr>
        <w:tc>
          <w:tcPr>
            <w:tcW w:w="3080" w:type="dxa"/>
            <w:vAlign w:val="bottom"/>
            <w:gridSpan w:val="2"/>
          </w:tcPr>
          <w:p>
            <w:pPr>
              <w:spacing w:after="0"/>
              <w:rPr>
                <w:sz w:val="20"/>
                <w:szCs w:val="20"/>
                <w:color w:val="auto"/>
              </w:rPr>
            </w:pPr>
            <w:r>
              <w:rPr>
                <w:rFonts w:ascii="Arial" w:cs="Arial" w:eastAsia="Arial" w:hAnsi="Arial"/>
                <w:sz w:val="18"/>
                <w:szCs w:val="18"/>
                <w:color w:val="auto"/>
              </w:rPr>
              <w:t>Julie Atkinson</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22,500</w:t>
            </w:r>
            <w:r>
              <w:rPr>
                <w:rFonts w:ascii="Arial" w:cs="Arial" w:eastAsia="Arial" w:hAnsi="Arial"/>
                <w:sz w:val="20"/>
                <w:szCs w:val="20"/>
                <w:color w:val="auto"/>
                <w:vertAlign w:val="superscript"/>
              </w:rPr>
              <w:t>(4)</w:t>
            </w:r>
          </w:p>
        </w:tc>
        <w:tc>
          <w:tcPr>
            <w:tcW w:w="100" w:type="dxa"/>
            <w:vAlign w:val="bottom"/>
          </w:tcPr>
          <w:p>
            <w:pPr>
              <w:spacing w:after="0"/>
              <w:rPr>
                <w:sz w:val="24"/>
                <w:szCs w:val="24"/>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22,500</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84"/>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Ahrens</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22,500</w:t>
            </w:r>
            <w:r>
              <w:rPr>
                <w:rFonts w:ascii="Arial" w:cs="Arial" w:eastAsia="Arial" w:hAnsi="Arial"/>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22,500</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02"/>
        </w:trPr>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rPr>
              <w:t>All officers and directors as a group</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3080" w:type="dxa"/>
            <w:vAlign w:val="bottom"/>
            <w:gridSpan w:val="2"/>
          </w:tcPr>
          <w:p>
            <w:pPr>
              <w:ind w:left="180"/>
              <w:spacing w:after="0"/>
              <w:rPr>
                <w:sz w:val="20"/>
                <w:szCs w:val="20"/>
                <w:color w:val="auto"/>
              </w:rPr>
            </w:pPr>
            <w:r>
              <w:rPr>
                <w:rFonts w:ascii="Arial" w:cs="Arial" w:eastAsia="Arial" w:hAnsi="Arial"/>
                <w:sz w:val="18"/>
                <w:szCs w:val="18"/>
                <w:color w:val="auto"/>
              </w:rPr>
              <w:t>(9 individuals)</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4,312,500</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3,750,000</w:t>
            </w: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40"/>
        </w:trPr>
        <w:tc>
          <w:tcPr>
            <w:tcW w:w="2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Ventoux Acquisition Holdings LLC</w:t>
            </w:r>
            <w:r>
              <w:rPr>
                <w:rFonts w:ascii="Arial" w:cs="Arial" w:eastAsia="Arial" w:hAnsi="Arial"/>
                <w:sz w:val="20"/>
                <w:szCs w:val="20"/>
                <w:color w:val="auto"/>
                <w:vertAlign w:val="superscript"/>
              </w:rPr>
              <w:t>(6)</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3"/>
              </w:rPr>
              <w:t>2,751,375</w:t>
            </w:r>
            <w:r>
              <w:rPr>
                <w:rFonts w:ascii="Arial" w:cs="Arial" w:eastAsia="Arial" w:hAnsi="Arial"/>
                <w:sz w:val="20"/>
                <w:szCs w:val="20"/>
                <w:color w:val="auto"/>
                <w:w w:val="93"/>
                <w:vertAlign w:val="superscript"/>
              </w:rPr>
              <w:t>(4)</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2,386,794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91"/>
        </w:trPr>
        <w:tc>
          <w:tcPr>
            <w:tcW w:w="3080" w:type="dxa"/>
            <w:vAlign w:val="bottom"/>
            <w:gridSpan w:val="2"/>
          </w:tcPr>
          <w:p>
            <w:pPr>
              <w:spacing w:after="0"/>
              <w:rPr>
                <w:sz w:val="20"/>
                <w:szCs w:val="20"/>
                <w:color w:val="auto"/>
              </w:rPr>
            </w:pPr>
            <w:r>
              <w:rPr>
                <w:rFonts w:ascii="Arial" w:cs="Arial" w:eastAsia="Arial" w:hAnsi="Arial"/>
                <w:sz w:val="18"/>
                <w:szCs w:val="18"/>
                <w:color w:val="auto"/>
                <w:w w:val="96"/>
              </w:rPr>
              <w:t>Chardan International Investments, LLC</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1,493,625</w:t>
            </w:r>
            <w:r>
              <w:rPr>
                <w:rFonts w:ascii="Arial" w:cs="Arial" w:eastAsia="Arial" w:hAnsi="Arial"/>
                <w:sz w:val="20"/>
                <w:szCs w:val="20"/>
                <w:color w:val="auto"/>
                <w:vertAlign w:val="superscript"/>
              </w:rPr>
              <w:t>(5)</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1,296,750</w:t>
            </w:r>
          </w:p>
        </w:tc>
        <w:tc>
          <w:tcPr>
            <w:tcW w:w="128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 w:lineRule="exact"/>
        <w:rPr>
          <w:sz w:val="20"/>
          <w:szCs w:val="20"/>
          <w:color w:val="auto"/>
        </w:rPr>
      </w:pPr>
    </w:p>
    <w:p>
      <w:pPr>
        <w:ind w:left="880" w:right="479" w:hanging="426"/>
        <w:spacing w:after="0" w:line="264" w:lineRule="auto"/>
        <w:tabs>
          <w:tab w:leader="none" w:pos="89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business address of each of the individuals is c/o Ventoux CCM Acquisition Corp., 1 East Putnam Avenue, Floor 4, Greenwich, CT 06830.</w:t>
      </w:r>
    </w:p>
    <w:p>
      <w:pPr>
        <w:ind w:left="880" w:right="479" w:hanging="426"/>
        <w:spacing w:after="0" w:line="264" w:lineRule="auto"/>
        <w:tabs>
          <w:tab w:leader="none" w:pos="9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Assumes no exercise of the over-allotment option and, therefore, the forfeiture of an aggregate of 562,500 shares of common stock held by our initial stockholders.</w:t>
      </w:r>
    </w:p>
    <w:p>
      <w:pPr>
        <w:ind w:left="880" w:right="459" w:hanging="426"/>
        <w:spacing w:after="0" w:line="264" w:lineRule="auto"/>
        <w:tabs>
          <w:tab w:leader="none" w:pos="942"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Consists of shares of common stock owned by Ventoux Acquisition Holdings LLC, for which Edward Scheetz and Matthew MacDonald are the managing members.</w:t>
      </w:r>
    </w:p>
    <w:p>
      <w:pPr>
        <w:ind w:left="880" w:hanging="426"/>
        <w:spacing w:after="0"/>
        <w:tabs>
          <w:tab w:leader="none" w:pos="8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Assumes that Ventoux Acquisition Holdings LLC distributed an aggregate of 67,500 shares to certain of our directors.</w:t>
      </w:r>
    </w:p>
    <w:p>
      <w:pPr>
        <w:spacing w:after="0" w:line="41" w:lineRule="exact"/>
        <w:rPr>
          <w:rFonts w:ascii="Arial" w:cs="Arial" w:eastAsia="Arial" w:hAnsi="Arial"/>
          <w:sz w:val="14"/>
          <w:szCs w:val="14"/>
          <w:color w:val="auto"/>
        </w:rPr>
      </w:pPr>
    </w:p>
    <w:p>
      <w:pPr>
        <w:ind w:left="880" w:right="479" w:hanging="426"/>
        <w:spacing w:after="0" w:line="264" w:lineRule="auto"/>
        <w:tabs>
          <w:tab w:leader="none" w:pos="887"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Consists of shares of common stock owned by Chardan International Investments, LLC, for which Jonas Grossman is the managing member.</w:t>
      </w:r>
    </w:p>
    <w:p>
      <w:pPr>
        <w:ind w:left="880" w:hanging="426"/>
        <w:spacing w:after="0"/>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Edward Scheetz and Matthew MacDonald are the managing members of Ventoux Acquisition Holdings LLC.</w:t>
      </w:r>
    </w:p>
    <w:p>
      <w:pPr>
        <w:spacing w:after="0" w:line="159"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Immediately after this offering, our initial stockholders will beneficially own 20% of the then issued and outstanding shares of common stock (assuming none of them purchase any units offered by this prospectus).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ectPr>
          <w:pgSz w:w="11900" w:h="16838" w:orient="portrait"/>
          <w:cols w:equalWidth="0" w:num="1">
            <w:col w:w="9019"/>
          </w:cols>
          <w:pgMar w:left="1440" w:top="274"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the underwriters do not exercise all or a portion of the over-allotment option, our initial stockholders will have up to an aggregate 562,500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pacing w:after="0" w:line="12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All of the insider shares issued and outstanding prior to the date of this prospectus will be placed in escrow with Continental Stock Transfer &amp; Trust Company, as escrow agent, until (1) with respect to 50% of the insider shares, the earlier of six months after the date of the consummation of our initial business combination and the date on which the closing price of our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insider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Up to 562,500 of the insider shares may also be released from escrow earlier than this date for forfeiture and cancellation if the over-allotment option is not exercised in full as described above.</w:t>
      </w:r>
    </w:p>
    <w:p>
      <w:pPr>
        <w:spacing w:after="0" w:line="111"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During the escrow period, the holders of these shares will not be able to sell or transfer their securities except (1) to any persons (including their affiliates and stockholders) participating in the private placement of the private warrants, officers, directors, stockholders, employees and members of our co-sponsors and their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w:t>
      </w:r>
    </w:p>
    <w:p>
      <w:pPr>
        <w:spacing w:after="0" w:line="2" w:lineRule="exact"/>
        <w:rPr>
          <w:sz w:val="20"/>
          <w:szCs w:val="20"/>
          <w:color w:val="auto"/>
        </w:rPr>
      </w:pPr>
    </w:p>
    <w:p>
      <w:pPr>
        <w:jc w:val="both"/>
        <w:ind w:left="460" w:right="479" w:hanging="6"/>
        <w:spacing w:after="0" w:line="267" w:lineRule="auto"/>
        <w:tabs>
          <w:tab w:leader="none" w:pos="742" w:val="left"/>
        </w:tabs>
        <w:numPr>
          <w:ilvl w:val="0"/>
          <w:numId w:val="56"/>
        </w:numPr>
        <w:rPr>
          <w:rFonts w:ascii="Arial" w:cs="Arial" w:eastAsia="Arial" w:hAnsi="Arial"/>
          <w:sz w:val="17"/>
          <w:szCs w:val="17"/>
          <w:color w:val="auto"/>
        </w:rPr>
      </w:pPr>
      <w:r>
        <w:rPr>
          <w:rFonts w:ascii="Arial" w:cs="Arial" w:eastAsia="Arial" w:hAnsi="Arial"/>
          <w:sz w:val="17"/>
          <w:szCs w:val="17"/>
          <w:color w:val="auto"/>
        </w:rPr>
        <w:t>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562,500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 trust account, none of our initial stockholders will receive any portion of the liquidation proceeds with respect to their insider shares.</w:t>
      </w:r>
    </w:p>
    <w:p>
      <w:pPr>
        <w:spacing w:after="0" w:line="105"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The private warrants and any shares of common stock issued upon conversion or exercise thereof are subject to transfer restrictions pursuant to lock-up provisions in a letter agreement with us to be entered into by Ventoux Acquisition, Chardan Investments, officers, directors and advisors of the Company. Those lock-up provisions provide that such securities are not transferable or salable until 30 days after the completion of our initial business combination, except (a) to our officers or directors, any affiliates or family members of any of our officers or directors, any members of Ventoux Acquisition or Chardan Investments, or any affiliates of Ventoux Acquisition or Chardan Investments;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Ventoux Acquisition or Chardan Investments, provided, however, that in the case of clauses</w:t>
      </w:r>
    </w:p>
    <w:p>
      <w:pPr>
        <w:jc w:val="both"/>
        <w:ind w:left="460" w:right="479" w:hanging="6"/>
        <w:spacing w:after="0" w:line="271" w:lineRule="auto"/>
        <w:tabs>
          <w:tab w:leader="none" w:pos="71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through (e) or (g), these permitted transferees must enter into a written agreement agreeing to be bound by these transfer restrictions and the other restrictions contained in the letter agreements and by the same agreements entered into by Ventoux Acquisition, Chardan Investments, officers, directors and advisors of the Company, as the case may be, with respect to such securities (including provisions relating to voting, the trust account and liquidation distributions described elsewhere in this prospectus).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 If we do not complete our initial business combination within 15 months (or up to 18 months, as applicable)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330" w:lineRule="exact"/>
        <w:rPr>
          <w:sz w:val="20"/>
          <w:szCs w:val="20"/>
          <w:color w:val="auto"/>
        </w:rPr>
      </w:pPr>
    </w:p>
    <w:p>
      <w:pPr>
        <w:jc w:val="both"/>
        <w:ind w:left="460" w:right="479" w:firstLine="432"/>
        <w:spacing w:after="0" w:line="268" w:lineRule="auto"/>
        <w:rPr>
          <w:sz w:val="20"/>
          <w:szCs w:val="20"/>
          <w:color w:val="auto"/>
        </w:rPr>
      </w:pPr>
      <w:r>
        <w:rPr>
          <w:rFonts w:ascii="Arial" w:cs="Arial" w:eastAsia="Arial" w:hAnsi="Arial"/>
          <w:sz w:val="17"/>
          <w:szCs w:val="17"/>
          <w:color w:val="auto"/>
        </w:rPr>
        <w:t>In order to meet our working capital needs following the consummation of this offering,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will not be repaid. Loans made by Chardan Capital Markets, LLC or any of its related persons will not be convertible into private warrants and Chardan Capital Markets, LLC or any of its related persons will have no recourse with respect to their ability to convert their loans into private warrants.</w:t>
      </w:r>
    </w:p>
    <w:p>
      <w:pPr>
        <w:spacing w:after="0" w:line="11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Each of Ventoux Acquisition Holdings LLC and Chardan International Investments, LLC is a “promoter,” as that term is defined under the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14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On September 19, 2019, Chardan Investments purchased 5,000,000 shares of common stock from us for $25,000. On July 23, 2020, Chardan Investments sold 3,250,000 shares of common stock back to us for</w:t>
      </w:r>
    </w:p>
    <w:p>
      <w:pPr>
        <w:jc w:val="both"/>
        <w:ind w:left="460" w:right="459"/>
        <w:spacing w:after="0" w:line="268" w:lineRule="auto"/>
        <w:rPr>
          <w:sz w:val="20"/>
          <w:szCs w:val="20"/>
          <w:color w:val="auto"/>
        </w:rPr>
      </w:pPr>
      <w:r>
        <w:rPr>
          <w:rFonts w:ascii="Arial" w:cs="Arial" w:eastAsia="Arial" w:hAnsi="Arial"/>
          <w:sz w:val="17"/>
          <w:szCs w:val="17"/>
          <w:color w:val="auto"/>
        </w:rPr>
        <w:t>$16,250.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As of the date hereof, Ventoux Acquisition holds 2,818,875 shares of common stock, of which Ventoux Acquisition intends to distribute 67,500 shares to certain of our directors prior to the consummation of the offering, resulting in Ventoux Acquisition holding a balance of 2,751,375 shares. The founder shares include an aggregate of up to 562,500 shares that are subject to forfeiture to the extent that the underwriters’ over-allotment option is not exercised in full or in part.</w:t>
      </w:r>
    </w:p>
    <w:p>
      <w:pPr>
        <w:spacing w:after="0" w:line="111"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If the underwriters do not exercise all or a portion of their over-allotment option, our initial stockholders have agreed that up to an aggregate of 562,500 shares of common stock in proportion to the portion of the over-allotment option that was not exercised are subject to forfeiture and would be immediately cancelled.</w:t>
      </w:r>
    </w:p>
    <w:p>
      <w:pPr>
        <w:spacing w:after="0" w:line="8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capitalizations or a contribution back to capital, as applicable, would be effectuated in order to maintain our initial stockholder’s ownership at 20% of the number of shares issued and outstanding after the closing of this offering.</w:t>
      </w:r>
    </w:p>
    <w:p>
      <w:pPr>
        <w:spacing w:after="0" w:line="10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 the remaining funds will be placed in the trust account. If we do not complete our initial business combination within 15 months (or up to 18 months, as applicable)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w:t>
      </w:r>
    </w:p>
    <w:p>
      <w:pPr>
        <w:spacing w:after="0" w:line="10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In order to meet our working capital needs following the consummation of this offering, our initial stockholders, officers and directors and their respective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would not be repaid. Loans made by Chardan Capital Markets, LLC or any of its related persons will not be convertible into private warrants and Chardan Capital Markets, LLC or any of its related persons will have no recourse with respect to their ability to convert their loans into private warrants.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The holders of our insider shares issued and outstanding on the date of this prospectus, as well as the holders of the private warrants (and all underlying securities),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w:t>
      </w:r>
      <w:r>
        <w:rPr>
          <w:rFonts w:ascii="Arial" w:cs="Arial" w:eastAsia="Arial" w:hAnsi="Arial"/>
          <w:sz w:val="16"/>
          <w:szCs w:val="16"/>
          <w:i w:val="1"/>
          <w:iCs w:val="1"/>
          <w:color w:val="auto"/>
        </w:rPr>
        <w:t>We will bear the expenses incurred in connection with the filing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any such registration statements. </w:t>
      </w:r>
      <w:r>
        <w:rPr>
          <w:rFonts w:ascii="Arial" w:cs="Arial" w:eastAsia="Arial" w:hAnsi="Arial"/>
          <w:sz w:val="16"/>
          <w:szCs w:val="16"/>
          <w:color w:val="auto"/>
        </w:rPr>
        <w:t>Chardan Capital Markets, LLC and its related persons may not,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private warrants (and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0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August 20, 2020, we issued an unsecured promissory note to Ventoux Acquisition, pursuant to which the Company may borrow up to an aggregate principal amount of $250,000. The promissory note is non-interest bearing and will be payable promptly after consummation of this offering or the date on which we determine not to conduct this offering. As of September 30, 2020, there was $153,018 outstanding under the promissory note.</w:t>
      </w:r>
    </w:p>
    <w:p>
      <w:pPr>
        <w:spacing w:after="0" w:line="12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10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11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We will enter into indemnity agreements with each of our officers and directors. These agreements will require us to indemnify these individuals to the fullest extent permitted under Delaware law and to advance expenses incurred as a result of any proceeding against them as to which they could be indemnified to the fullest extent permitted by applicable law and our amended and restated certificate of incorporation.</w:t>
      </w:r>
    </w:p>
    <w:p>
      <w:pPr>
        <w:spacing w:after="0" w:line="9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disinterested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4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Code of Ethics, which we will adopt upon consummation of this offering, will require us to avoid, wherever possible, all related party transactions that could result in actual or potential conflicts of interests, except under guidelines approved by the board of directors (or the audit committee). Related 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common stock, or (c) immediate family member, of the persons referred to in clauses (a) and (b), has or will have a direct or indirect material interest (other than solely as a</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3" w:name="page94"/>
    <w:bookmarkEnd w:id="9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personal benefits as a result of his or her position.</w:t>
      </w:r>
    </w:p>
    <w:p>
      <w:pPr>
        <w:spacing w:after="0" w:line="11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Our audit committee, pursuant to its written charter, will be responsible for reviewing and approving related 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require each of our directors and executive officers to complete a directors’ and officers’ questionnaire that elicits information about related party transactions.</w:t>
      </w:r>
    </w:p>
    <w:p>
      <w:pPr>
        <w:spacing w:after="0" w:line="104"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65"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To further minimize potential conflicts of interest, we have agreed not to consummate a business combination with an entity which is affiliated with any of our initial stockholders unless we obtain an opinion from an independent investment banking firm that the business combination is fair to our stockholders from a financial point of view. Furthermore, in no event will any of our existing officers, directors or initial stockholders, or any entity with which they are affiliated, be paid any finder’s fee, consulting fee or other compensation prior to, or for any services they render in order to effectuate, the consummation of a business combination.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Pursuant to our amended certificate of incorporation, our authorized capital stock consists of 50,000,000 shares of common stock, par value $0.0001, and 1,000,000 shares of preferred stock, par value $0.0001. As of the date of this prospectus, 4,312,500 shares of common stock are issued and outstanding, held by our co-sponsors, our directors, and affiliates of our management team. No preferred shares are issued or outstanding.</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162"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Each unit consists of one share of common stock, one right and one warrant. Each right entitles the holder to receive one-twentieth (1/20) of a share of common stock. Each warrant entitles the holder thereof to purchase one-half of one share of common stock at a price of $11.50 per whole share, subject to adjustment as described in this prospectus. Each warrant will become exercisable on the later of one year after the closing of this offering or the consummation of an initial business combination, and will expire five years after the completion of an initial business combination, or earlier upon redemption.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9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shares of common stock, rights and warrants comprising the units will not be separately traded until 90 days after the effective date of this prospectus unless Chardan informs us of its decision to allow earlier separate trading, but in no event will the shares of common stock, rights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consummation of this offering, which is anticipated to take place three business days after the date of this prospectus. The audited balance sheet will reflect proceeds we received from the exercise of the over-allotment option if such option is exercised prior to the filing of the Current Report on Form 8-K.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9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will not issue fractional shares upon conversion of the rights once the units separate, and no cash will be payable in lieu thereof. As a result, you must have 20 rights to receive one share of common stock at the closing of the initial business combination.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insider shares and any shares acquired in this offering or following this offering in the open market, in favor of the proposed business combination.</w:t>
      </w:r>
    </w:p>
    <w:p>
      <w:pPr>
        <w:spacing w:after="0" w:line="9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8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Pursuant to our certificate of incorporation, if we do not consummate our initial business combination within 15 months (or up to 18 months, as applicable) from the closing of this offering,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law. Our insiders have agreed to waive their rights to share in any distribution with respect to their insider shares. However, if we anticipate that we may not be able to consummate our initial business combination within 15 months, our initial stockholders or their affiliates may, but are not obligated to, extend the period of time to consummate an initial business combination one time by up to an additional three months (for a total of up to 18 months to complete an initial business combination) without the need for a separate stockholder vote.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without the need for a separate stockholder vote is for our initial stockholders or their affiliates or designees, upon five days’ advance notice prior to the applicable deadline, to deposit into the trust account $1,500,000, or $1,725,000 if the underwriters’ over-allotment option is exercised in full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 In the event that they elected to extend the time to complete our initial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11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1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or for working capital purposes,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There are no shares of preferred stock outstanding.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No warrants are currently outstanding. Each public warrant entitles the registered holder to purchase one-half of one share of common stock at a price of $11.50 per whole share, subject to adjustment as described below, at any time commencing on the later of one year after the closing of this offering or the consummation of an initial business combination. However, no public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120 days from the closing of our initial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warrants will expire five years from the closing of our initial business combination at 5:00 p.m., New York City time.</w:t>
      </w:r>
    </w:p>
    <w:p>
      <w:pPr>
        <w:spacing w:after="0" w:line="111"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 private warrants will be identical to the public warrants underlying the units being offered by this prospectus except that (i) each private warrant is exercisable for one share of common stock at an exercise price of $11.50 per share, and (ii) such private warrants will be exercisable for cash (even if a registration statement covering the shares of common stock issuable upon exercise of such warrants is not effective) or on a cashless basis, at the holder’s option, and will not be redeemable by us, in each case so long as they are still held by the initial purchasers or their affiliates.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11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may call the outstanding warrants for redemption (excluding the private warrants but including any warrants already issued upon exercise of the unit purchase option), in whole and not in part, at a price of $0.01 per warrant:</w:t>
      </w:r>
    </w:p>
    <w:p>
      <w:pPr>
        <w:spacing w:after="0" w:line="103" w:lineRule="exact"/>
        <w:rPr>
          <w:sz w:val="20"/>
          <w:szCs w:val="20"/>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157" w:lineRule="exact"/>
        <w:rPr>
          <w:rFonts w:ascii="Arial" w:cs="Arial" w:eastAsia="Arial" w:hAnsi="Arial"/>
          <w:sz w:val="18"/>
          <w:szCs w:val="18"/>
          <w:color w:val="auto"/>
        </w:rPr>
      </w:pPr>
    </w:p>
    <w:p>
      <w:pPr>
        <w:jc w:val="both"/>
        <w:ind w:left="1320" w:right="479" w:hanging="434"/>
        <w:spacing w:after="0" w:line="263" w:lineRule="auto"/>
        <w:tabs>
          <w:tab w:leader="none" w:pos="13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$16.50 per share, for any 20 trading days within a 30-day trading period ending on the third business day prior to the notice of redemption to warrant holders, and</w:t>
      </w:r>
    </w:p>
    <w:p>
      <w:pPr>
        <w:spacing w:after="0" w:line="102" w:lineRule="exact"/>
        <w:rPr>
          <w:rFonts w:ascii="Arial" w:cs="Arial" w:eastAsia="Arial" w:hAnsi="Arial"/>
          <w:sz w:val="18"/>
          <w:szCs w:val="18"/>
          <w:color w:val="auto"/>
        </w:rPr>
      </w:pPr>
    </w:p>
    <w:p>
      <w:pPr>
        <w:jc w:val="both"/>
        <w:ind w:left="1320" w:right="459" w:hanging="434"/>
        <w:spacing w:after="0" w:line="286" w:lineRule="auto"/>
        <w:tabs>
          <w:tab w:leader="none" w:pos="13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9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9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76" w:lineRule="exact"/>
        <w:rPr>
          <w:sz w:val="20"/>
          <w:szCs w:val="20"/>
          <w:color w:val="auto"/>
        </w:rPr>
      </w:pPr>
    </w:p>
    <w:p>
      <w:pPr>
        <w:jc w:val="both"/>
        <w:ind w:left="460" w:right="479" w:firstLine="432"/>
        <w:spacing w:after="0" w:line="269"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shall mean the average reported last sale price of our common stock for the 10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common shares at the time the warrants are called for redemption, our cash needs at such time and concerns regarding dilutive share issuances.</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7" w:name="page98"/>
    <w:bookmarkEnd w:id="9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 majority of the then outstanding warrants in order to make any change that adversely affects the interests of the registered holders.</w:t>
      </w:r>
    </w:p>
    <w:p>
      <w:pPr>
        <w:spacing w:after="0" w:line="9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exercise price and number of shares of common stock issuable on exercise of the warrants may be adjusted in certain circumstances including in the event of a share dividend, extraordinary dividend or our recapitalization, reorganization, merger or consolidation. In addition, if we issue additional shares of common stock or equity-linked securities for capital raising purposes in connection with the closing of our initial business combination at a newly issued price of less than $9.20 per share of common stock (with such issue price or effective issue price to be determined in good faith by our board of directors and, in the case of any such issuance to our initial stockholders or their affiliates, without taking into account any founder shares or private warrants held by them, as applicable, prior to such issuance), the exercise price of the warrants will be adjusted (to the nearest cent) to be equal to 115% of the newly issued price and the $16.50 per share redemption trigger price described below under will be adjusted (to the nearest cent) to be equal to 165% of the market value (the volume weighted average trading price of the common stock during the 20 trading day period starting on the trading day prior to the consummation of an initial business combination).</w:t>
      </w:r>
    </w:p>
    <w:p>
      <w:pPr>
        <w:spacing w:after="0" w:line="10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11"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Except as described above, no public warrants will be exercisable for cash, and we will not be obligated to issue shares of common stock unless at the time a holder seeks to exercise such warrant, a prospectus relating to the shares of common stock issuable upon exercise of the warrants is current and the shares of common stock have been registered or qualified or deemed to be exempt under the securities laws of the state of residence of the holder of the warrants. Under the terms of the warrant agreement, we have agreed to use our best efforts to meet these conditions and to maintain a current prospectus relating to the shares of common stock issuable upon exercise of the warrants until the expiration of the warrants. However, we cannot assure you that we will be able to do so and, if we do not maintain a current prospectus relating to the shares of common stock issuable upon exercise of the warrants, holders will be unable to exercise their warrants, and we will not be required to settle any such warrant exercise. If the prospectus relating to the shares of common stock issuable upon the exercise of the warrants is not current or if the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w:t>
      </w:r>
    </w:p>
    <w:p>
      <w:pPr>
        <w:spacing w:after="0" w:line="103"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4.99% or 9.99% (or such other amount as a holder may specify) of common stock outstanding.</w:t>
      </w:r>
    </w:p>
    <w:p>
      <w:pPr>
        <w:spacing w:after="0" w:line="12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we will, upon exercise, round down to the nearest whole number the number of shares of common stock to be issued to the warrant holder.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Arrangements with respect to the Certain Warrants</w:t>
      </w:r>
    </w:p>
    <w:p>
      <w:pPr>
        <w:spacing w:after="0" w:line="144" w:lineRule="exact"/>
        <w:rPr>
          <w:sz w:val="20"/>
          <w:szCs w:val="20"/>
          <w:color w:val="auto"/>
        </w:rPr>
      </w:pPr>
    </w:p>
    <w:p>
      <w:pPr>
        <w:jc w:val="both"/>
        <w:ind w:left="460" w:right="479" w:firstLine="432"/>
        <w:spacing w:after="0" w:line="290" w:lineRule="auto"/>
        <w:rPr>
          <w:sz w:val="20"/>
          <w:szCs w:val="20"/>
          <w:color w:val="auto"/>
        </w:rPr>
      </w:pPr>
      <w:r>
        <w:rPr>
          <w:rFonts w:ascii="Arial" w:cs="Arial" w:eastAsia="Arial" w:hAnsi="Arial"/>
          <w:sz w:val="16"/>
          <w:szCs w:val="16"/>
          <w:color w:val="auto"/>
        </w:rPr>
        <w:t>We have agreed that so long as the private warrants are still held by the initial purchasers or their affiliates, we will not redeem such warrants, and we will allow the holders to exercise such warrants on a cashless basis (even if a registration statement covering the shares of common stock issuable upon exercise of such warrants is not effective). However, once any of the foregoing warrants are transferred from the initial purchasers or their affiliates, these arrangements will no longer apply. Furthermore, because the private warrants will be issued in a private transaction, the holders and their transferees will be allowed to exercise the private warrants for cash even if a registration statement covering the shares of common stock issuable upon exercise of such warrants is not effective and receive unregistered shares of common stock.</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8" w:name="page99"/>
    <w:bookmarkEnd w:id="9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Rights</w:t>
      </w:r>
    </w:p>
    <w:p>
      <w:pPr>
        <w:spacing w:after="0" w:line="14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Each holder of a right will receive one-twentieth (1/20) of one share of common stock upon consummation of our initial business combination, even if the holder of such right redeemed all common stock held by him, her or it in connection with the initial business combination or an amendment to our amended and restated certificate of incorporation with respect to our pre-business combination activities. No additional consideration will be required to be paid by a holder of rights in order to receive his, her or its additional common stock upon consummation of an initial business combination as the consideration related thereto has been included in the unit purchase price paid for by investors in this offering. The shares issuable upon exchange of the rights will be freely tradable (except to the extent held by affiliates of ours).</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If we enter into a definitive agreement for a business combination in which we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his, her or its rights in order to receive the one-twentieth (1/20) share underlying each right (without paying any additional consideration) upon consummation of the business combination. More specifically, the right holder will be required to indicate his, her or its election to convert the rights into underlying shares as well as to return the original rights certificates to us.</w:t>
      </w:r>
    </w:p>
    <w:p>
      <w:pPr>
        <w:spacing w:after="0" w:line="12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we are unable to complete an initial business combination within the required time period and we liquidate the funds held in the trust account, holders of rights will not receive any of such funds with respect to their rights, nor will they receive any distribution from our assets held outside of the trust account with respect to such rights, and the rights will expire worthless.</w:t>
      </w:r>
    </w:p>
    <w:p>
      <w:pPr>
        <w:spacing w:after="0" w:line="10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Promptly upon the consummation of our initial business combination, we will direct registered holders of the rights to return their rights to our rights agent. Upon receipt of the rights, the rights agent will issue to the registered holder of such right(s) the number of full shares of common stock to which he, she or it is entitled. We will notify registered holders of the rights to deliver their rights to the rights agent promptly upon consummation of such business combination and have been informed by the rights agent that the process of exchanging their rights for common stock should take no more than a matter of days. The foregoing exchange of rights is solely ministerial in nature and is not intended to provide us with any means of avoiding our obligation to issue the shares underlying the rights upon consummation of our initial business combination. Other than confirming that the rights delivered by a registered holder are valid, we will have no ability to avoid delivery of the shares underlying the rights. Nevertheless, there are no contractual penalties for failure to deliver securities to the holders of the rights upon consummation of an initial business combination. Additionally, in no event will we be required to net cash settle the rights. Accordingly, the rights may expire worthless.</w:t>
      </w:r>
    </w:p>
    <w:p>
      <w:pPr>
        <w:spacing w:after="0" w:line="10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will not issue any fractional shares upon conversions of the rights once the units separate, and no cash will be payable in lieu thereof. As a result, a holder must have 20 rights to receive one share of common stock at the closing of the initial business combination. In the event that any holder would otherwise be entitled to any fractional share upon exchange of his, her or its rights, we will reserve the option, to the fullest extent permitted by applicable law, to deal with any such fractional entitlement at the relevant time as we see fit, which would include the rounding down of any entitlement to receive common stock to the nearest whole share (and in effect extinguishing any fractional entitlement), or the holder being entitled to hold any remaining fractional entitlement (without any share being issued) and to aggregate the same with any future fractional entitlement to receive shares in the company until the holder is entitled to receive a whole number. Any rounding down and extinguishment may be done with or without any in lieu cash payment or other compensation being made to the holder of the relevant rights, such that value received on exchange of the rights may be considered less than the value that the holder would otherwise expect to receive. All holders of rights shall be treated in the same manner with respect to the issuance of shares upon conversions of the rights.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9" w:name="page100"/>
    <w:bookmarkEnd w:id="9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Rights and Warrant Agent</w:t>
      </w:r>
    </w:p>
    <w:p>
      <w:pPr>
        <w:spacing w:after="0" w:line="162" w:lineRule="exact"/>
        <w:rPr>
          <w:sz w:val="20"/>
          <w:szCs w:val="20"/>
          <w:color w:val="auto"/>
        </w:rPr>
      </w:pPr>
    </w:p>
    <w:p>
      <w:pPr>
        <w:jc w:val="both"/>
        <w:ind w:left="460" w:right="479" w:firstLine="432"/>
        <w:spacing w:after="0" w:line="250" w:lineRule="auto"/>
        <w:rPr>
          <w:sz w:val="20"/>
          <w:szCs w:val="20"/>
          <w:color w:val="auto"/>
        </w:rPr>
      </w:pPr>
      <w:r>
        <w:rPr>
          <w:rFonts w:ascii="Arial" w:cs="Arial" w:eastAsia="Arial" w:hAnsi="Arial"/>
          <w:sz w:val="18"/>
          <w:szCs w:val="18"/>
          <w:color w:val="auto"/>
        </w:rPr>
        <w:t>The transfer agent for our shares of common stock, rights agent for our rights and warrant agent for our warrants is Continental Stock Transfer &amp; Trust Company, 1 State Street, 30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 New York, New York 10004.</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Certain Anti-Takeover Provisions of Delaware Law and our Certificate of Incorporation and Bylaws</w:t>
      </w:r>
    </w:p>
    <w:p>
      <w:pPr>
        <w:spacing w:after="0" w:line="173"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92" w:lineRule="exact"/>
        <w:rPr>
          <w:sz w:val="20"/>
          <w:szCs w:val="20"/>
          <w:color w:val="auto"/>
        </w:rPr>
      </w:pPr>
    </w:p>
    <w:p>
      <w:pPr>
        <w:ind w:left="1320" w:right="459" w:hanging="434"/>
        <w:spacing w:after="0" w:line="277" w:lineRule="auto"/>
        <w:tabs>
          <w:tab w:leader="none" w:pos="16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jc w:val="both"/>
        <w:ind w:left="1320" w:right="479" w:hanging="434"/>
        <w:spacing w:after="0" w:line="263" w:lineRule="auto"/>
        <w:tabs>
          <w:tab w:leader="none" w:pos="1513"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8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9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2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amended and restated certificate of incorporation provides that our co-sponsors and their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Special meeting of stockholders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48" w:lineRule="exact"/>
        <w:rPr>
          <w:sz w:val="20"/>
          <w:szCs w:val="20"/>
          <w:color w:val="auto"/>
        </w:rPr>
      </w:pPr>
    </w:p>
    <w:p>
      <w:pPr>
        <w:jc w:val="both"/>
        <w:ind w:left="460" w:right="459" w:firstLine="432"/>
        <w:spacing w:after="0" w:line="262"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nor earlier than the opening of business on the 120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0" w:name="page101"/>
    <w:bookmarkEnd w:id="10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but unissued shares</w:t>
      </w:r>
    </w:p>
    <w:p>
      <w:pPr>
        <w:spacing w:after="0" w:line="14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Exchange Act or any other claim for which the federal district courts of the United States of America shall be the sole and exclusive forum. Although we believe this provision benefits us by providing increased consistency in the application of Delaware law in the types of lawsuits to which it applies, the provision may have the effect of discouraging lawsuits against our directors and officers. Furthermore, the enforceability of choice of forum provisions in other companies’ certificates of incorporation has been challenged in legal proceedings, and it is possible that a court could find these types of provisions to be inapplicable or unenforceable.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ELIGIBLE FOR FUTURE SALE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Immediately after this offering, we will have 18,750,000 shares of common stock issued and outstanding, or 21,562,500 shares of common stock if the over-allotment option is exercised in full. Of these shares, the 15,000,000 shares sold in this offering, or 17,250,000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 All of those shares will not be transferable except in limited circumstances described elsewhere in this prospectus.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Rule 144</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 person who has beneficially owned restricted shares of our common stock, rights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our common stock, rights or warrants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11" w:lineRule="exact"/>
        <w:rPr>
          <w:sz w:val="20"/>
          <w:szCs w:val="20"/>
          <w:color w:val="auto"/>
        </w:rPr>
      </w:pPr>
    </w:p>
    <w:p>
      <w:pPr>
        <w:jc w:val="both"/>
        <w:ind w:left="1320" w:right="459" w:hanging="434"/>
        <w:spacing w:after="0" w:line="263" w:lineRule="auto"/>
        <w:tabs>
          <w:tab w:leader="none" w:pos="13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1% of the number of shares of common stock then issued and outstanding, which will equal 187,500 shares immediately after this offering (or 215,625 if the over-allotment option is exercised in full); and</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5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Historically, the SEC staff had taken the position that Rule 144 is not available for the resale of securities initially issued by companies that are, or previously were, blank check companies, like us. The SEC has codified and expanded this position in the amendments discussed above by prohibiting the use of Rule 144 for resale of securities issued by any shell companies (other than business combination related shell companies) or any issuer that has been at any time previously a shell company. The SEC has provided an important exception to this prohibition, however, if the following conditions are met:</w:t>
      </w:r>
    </w:p>
    <w:p>
      <w:pPr>
        <w:spacing w:after="0" w:line="97" w:lineRule="exact"/>
        <w:rPr>
          <w:sz w:val="20"/>
          <w:szCs w:val="20"/>
          <w:color w:val="auto"/>
        </w:rPr>
      </w:pPr>
    </w:p>
    <w:p>
      <w:pPr>
        <w:ind w:left="1300" w:hanging="414"/>
        <w:spacing w:after="0"/>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As a result, it is likely that pursuant to Rule 144, our initial stockholders will be able to sell their insider shares freely without registration one year after we have completed our initial business combination assuming they are not an affiliate of ours at that time.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and Stockholder Rights</w:t>
      </w:r>
    </w:p>
    <w:p>
      <w:pPr>
        <w:spacing w:after="0" w:line="144"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The holders of our insider shares issued and outstanding on the date of this prospectus, as well as the holders of the private warrants (and underlying securities),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t>
      </w:r>
      <w:r>
        <w:rPr>
          <w:rFonts w:ascii="Arial" w:cs="Arial" w:eastAsia="Arial" w:hAnsi="Arial"/>
          <w:sz w:val="16"/>
          <w:szCs w:val="16"/>
          <w:i w:val="1"/>
          <w:iCs w:val="1"/>
          <w:color w:val="auto"/>
        </w:rPr>
        <w:t>We will bear the expenses incurred in connection with the filing of any such registration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statements. </w:t>
      </w:r>
      <w:r>
        <w:rPr>
          <w:rFonts w:ascii="Arial" w:cs="Arial" w:eastAsia="Arial" w:hAnsi="Arial"/>
          <w:sz w:val="16"/>
          <w:szCs w:val="16"/>
          <w:color w:val="auto"/>
        </w:rPr>
        <w:t>Chardan Capital Markets, LLC and its related persons may not, with respect to the private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intend to offer our securities described in this prospectus through the underwriters named below. Chardan Capital Markets, LLC is the representative for the underwriters. We have entered into an underwriting agreement with the representative. Subject to the terms and conditions of the underwriting agreement, each of the underwriters has severally agreed to purchase from us the number of units listed next to its name in the following table:</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76"/>
              <w:spacing w:after="0"/>
              <w:rPr>
                <w:sz w:val="20"/>
                <w:szCs w:val="20"/>
                <w:color w:val="auto"/>
              </w:rPr>
            </w:pPr>
            <w:r>
              <w:rPr>
                <w:rFonts w:ascii="Arial" w:cs="Arial" w:eastAsia="Arial" w:hAnsi="Arial"/>
                <w:sz w:val="16"/>
                <w:szCs w:val="16"/>
                <w:b w:val="1"/>
                <w:bCs w:val="1"/>
                <w:color w:val="auto"/>
              </w:rPr>
              <w:t>Number</w:t>
            </w:r>
          </w:p>
        </w:tc>
      </w:tr>
      <w:tr>
        <w:trPr>
          <w:trHeight w:val="210"/>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Underwriter</w:t>
            </w:r>
          </w:p>
        </w:tc>
        <w:tc>
          <w:tcPr>
            <w:tcW w:w="1260" w:type="dxa"/>
            <w:vAlign w:val="bottom"/>
          </w:tcPr>
          <w:p>
            <w:pPr>
              <w:jc w:val="right"/>
              <w:ind w:right="276"/>
              <w:spacing w:after="0"/>
              <w:rPr>
                <w:sz w:val="20"/>
                <w:szCs w:val="20"/>
                <w:color w:val="auto"/>
              </w:rPr>
            </w:pPr>
            <w:r>
              <w:rPr>
                <w:rFonts w:ascii="Arial" w:cs="Arial" w:eastAsia="Arial" w:hAnsi="Arial"/>
                <w:sz w:val="16"/>
                <w:szCs w:val="16"/>
                <w:b w:val="1"/>
                <w:bCs w:val="1"/>
                <w:color w:val="auto"/>
              </w:rPr>
              <w:t>of Units</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Chardan Capital Markets, LLC</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B. Riley Securities, Inc.</w:t>
            </w:r>
          </w:p>
        </w:tc>
        <w:tc>
          <w:tcPr>
            <w:tcW w:w="1260" w:type="dxa"/>
            <w:vAlign w:val="bottom"/>
          </w:tcPr>
          <w:p>
            <w:pPr>
              <w:spacing w:after="0"/>
              <w:rPr>
                <w:sz w:val="21"/>
                <w:szCs w:val="21"/>
                <w:color w:val="auto"/>
              </w:rPr>
            </w:pPr>
          </w:p>
        </w:tc>
      </w:tr>
      <w:tr>
        <w:trPr>
          <w:trHeight w:val="41"/>
        </w:trPr>
        <w:tc>
          <w:tcPr>
            <w:tcW w:w="6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 copy of the form of underwriting agreement has been filed as an exhibit to the registration statement of which this prospectus forms a part.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our Securities</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intend to apply to list our units, shares of common stock, rights and warrants on Nasdaq under the symbols “VTAQU,” “VTAQ,” “VTAR” and “VTAQW,” respectively. We expect that our units will be listed on Nasdaq on or promptly after the effective date of the registration statement. Following the date that our shares of common stock, rights and warrants are eligible to trade separately, we anticipate that our shares of common stock, rights and warrants will be listed separately and as a unit on Nasdaq. We cannot guarantee that our securities will continue to be listed on Nasdaq after this offering.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Over-allotment Option</w:t>
      </w:r>
    </w:p>
    <w:p>
      <w:pPr>
        <w:spacing w:after="0" w:line="148"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We have granted the underwriters an option to buy up to 2,250,000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Commissions and Discounts</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Units sold by the underwriters to the public will initially be offered at the offering price set forth on the cover of this prospectus. Any units sold by the underwriters to securities dealers may be sold at a discount of up to $[•] per unit from the public offering price. Any of these securities dealers may resell any units purchased from the underwriters to other brokers or dealers at a discount of up to $[•] per unit from the public offering price. If all of the units are not sold at the initial public offering price, the representative may change the offering price and the other selling terms. Upon execution of the underwriting agreement, the underwriters will be obligated to purchase the units at the prices and upon the terms stated therein, and, as a result, will thereafter bear any risk associated with changing the offering price to the public or other selling terms.</w:t>
      </w:r>
    </w:p>
    <w:p>
      <w:pPr>
        <w:spacing w:after="0" w:line="9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We have agreed to reimburse the underwriters for accountable out-of-pocket expenses up to an aggregate amount of $200,000, including, but not limited to, travel, due diligence expenses, reasonable fees and expenses of its legal counsel, accountable roadshow expenses, background checks on our principal shareholders, directors and officers and fees and expenses related to the review by FINRA (not to exceed $26,375).</w:t>
      </w:r>
    </w:p>
    <w:p>
      <w:pPr>
        <w:spacing w:after="0" w:line="76"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We have also agreed to provide Chardan Capital Markets, LLC with a right of first refusal to participate as lead book running manager for any public or private securities offerings for a period of eighteen (18) months following the consummation of our initial business combination, with at least 30% of the economics for any such offering. In accordance with FINRA Rule 5110(g)(6), such right of first refusal shall not have a duration of more than three years from the effective date of the registration statement of which this prospectus forms a part.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following table shows the per unit and total underwriting discounts and commissions we will pay to the underwriters assuming both no exercise and full exercise of the underwriters’ over-allotment option to purchase up to an additional 2,250,000 units.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Without</w:t>
            </w:r>
          </w:p>
        </w:tc>
        <w:tc>
          <w:tcPr>
            <w:tcW w:w="100" w:type="dxa"/>
            <w:vAlign w:val="bottom"/>
          </w:tcPr>
          <w:p>
            <w:pPr>
              <w:spacing w:after="0"/>
              <w:rPr>
                <w:sz w:val="17"/>
                <w:szCs w:val="17"/>
                <w:color w:val="auto"/>
              </w:rPr>
            </w:pPr>
          </w:p>
        </w:tc>
        <w:tc>
          <w:tcPr>
            <w:tcW w:w="1180" w:type="dxa"/>
            <w:vAlign w:val="bottom"/>
          </w:tcPr>
          <w:p>
            <w:pPr>
              <w:jc w:val="right"/>
              <w:ind w:right="394"/>
              <w:spacing w:after="0"/>
              <w:rPr>
                <w:sz w:val="20"/>
                <w:szCs w:val="20"/>
                <w:color w:val="auto"/>
              </w:rPr>
            </w:pPr>
            <w:r>
              <w:rPr>
                <w:rFonts w:ascii="Arial" w:cs="Arial" w:eastAsia="Arial" w:hAnsi="Arial"/>
                <w:sz w:val="16"/>
                <w:szCs w:val="16"/>
                <w:b w:val="1"/>
                <w:bCs w:val="1"/>
                <w:color w:val="auto"/>
              </w:rPr>
              <w:t>With</w:t>
            </w:r>
          </w:p>
        </w:tc>
      </w:tr>
      <w:tr>
        <w:trPr>
          <w:trHeight w:val="210"/>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Per Unit</w:t>
            </w:r>
          </w:p>
        </w:tc>
        <w:tc>
          <w:tcPr>
            <w:tcW w:w="6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Over-allotment</w:t>
            </w:r>
          </w:p>
        </w:tc>
        <w:tc>
          <w:tcPr>
            <w:tcW w:w="1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6"/>
                <w:szCs w:val="16"/>
                <w:b w:val="1"/>
                <w:bCs w:val="1"/>
                <w:color w:val="auto"/>
                <w:w w:val="92"/>
              </w:rPr>
              <w:t>Over-allotment</w:t>
            </w:r>
          </w:p>
        </w:tc>
      </w:tr>
      <w:tr>
        <w:trPr>
          <w:trHeight w:val="47"/>
        </w:trPr>
        <w:tc>
          <w:tcPr>
            <w:tcW w:w="43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150,000,000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172,500,000</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Discount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3,450,000</w:t>
            </w:r>
          </w:p>
        </w:tc>
      </w:tr>
      <w:tr>
        <w:trPr>
          <w:trHeight w:val="40"/>
        </w:trPr>
        <w:tc>
          <w:tcPr>
            <w:tcW w:w="4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w:t>
            </w:r>
            <w:r>
              <w:rPr>
                <w:rFonts w:ascii="Arial" w:cs="Arial" w:eastAsia="Arial" w:hAnsi="Arial"/>
                <w:sz w:val="20"/>
                <w:szCs w:val="20"/>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147,000,000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169,050,000</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offering expenses are estimated at $500,000.</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Under a business combination marketing agreement, dated as of the date of this prospectus, we have engaged Chardan Capital Markets, LLC as an advisor in connection with our initial business combination to assist us in holding meetings with our stockholders to discuss the potential business combination and the target business’s attributes, introduce us to potential investors that are interested in purchasing our securities in connection with the potential business combination, assist us in obtaining stockholder approval for the business combination and assist us with our press releases and public filings in connection with the business combination. We will pay Chardan Capital Markets, LLC a marketing fee for such services upon the consummation of our initial business combination in an amount equal to, in the aggregate, 3.5% of the gross proceeds of this offering, including any proceeds from the full or partial exercise of the underwriters’ over-allotment option. As a result, Chardan Capital Markets, LLC will not be entitled to such fee unless we consummate our initial business combination. A copy of the form of business combination marketing agreement has been filed as an exhibit to the registration statement of which this prospectus forms a part.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Pricing of Securities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have been advised by the representative of the underwriters that the underwriters propose to offer the units to the public at the offering price set forth on the cover page of this prospectus.</w:t>
      </w:r>
    </w:p>
    <w:p>
      <w:pPr>
        <w:spacing w:after="0" w:line="89"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rights and warrants were negotiated between us and the representative. Factors considered in determining the prices and terms of the units, including the shares of common stock, rights and warrants underlying the units, include:</w:t>
      </w:r>
    </w:p>
    <w:p>
      <w:pPr>
        <w:spacing w:after="0" w:line="119" w:lineRule="exact"/>
        <w:rPr>
          <w:sz w:val="20"/>
          <w:szCs w:val="20"/>
          <w:color w:val="auto"/>
        </w:rPr>
      </w:pPr>
    </w:p>
    <w:p>
      <w:pPr>
        <w:ind w:left="1320" w:right="479" w:hanging="434"/>
        <w:spacing w:after="0" w:line="277" w:lineRule="auto"/>
        <w:tabs>
          <w:tab w:leader="none" w:pos="158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per share amount of net proceeds being placed into the trust account;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 assessment of our management and their experience in identifying operating companies;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44"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Rules of the SEC may limit the ability of the underwriters to bid for or purchase our units before the distribution of the units is completed. However, the underwriters may engage in the following activities in accordance with the rules:</w:t>
      </w:r>
    </w:p>
    <w:p>
      <w:pPr>
        <w:spacing w:after="0" w:line="116" w:lineRule="exact"/>
        <w:rPr>
          <w:sz w:val="20"/>
          <w:szCs w:val="20"/>
          <w:color w:val="auto"/>
        </w:rPr>
      </w:pPr>
    </w:p>
    <w:p>
      <w:pPr>
        <w:jc w:val="both"/>
        <w:ind w:left="1320" w:right="459" w:hanging="434"/>
        <w:spacing w:after="0" w:line="286" w:lineRule="auto"/>
        <w:tabs>
          <w:tab w:leader="none" w:pos="1527"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Stabilizing Transactions</w:t>
      </w:r>
      <w:r>
        <w:rPr>
          <w:rFonts w:ascii="Arial" w:cs="Arial" w:eastAsia="Arial" w:hAnsi="Arial"/>
          <w:sz w:val="17"/>
          <w:szCs w:val="17"/>
          <w:color w:val="auto"/>
        </w:rPr>
        <w:t>. The underwriters may make bids or purchases for the purpose of preventing or retarding a decline in the price of our units, as long as stabilizing bids do not exceed the offering price of $10.00 and the underwriters comply with all other applicable rules.</w:t>
      </w:r>
    </w:p>
    <w:p>
      <w:pPr>
        <w:spacing w:after="0" w:line="97" w:lineRule="exact"/>
        <w:rPr>
          <w:rFonts w:ascii="Arial" w:cs="Arial" w:eastAsia="Arial" w:hAnsi="Arial"/>
          <w:sz w:val="17"/>
          <w:szCs w:val="17"/>
          <w:color w:val="auto"/>
        </w:rPr>
      </w:pPr>
    </w:p>
    <w:p>
      <w:pPr>
        <w:jc w:val="both"/>
        <w:ind w:left="1320" w:right="459" w:hanging="434"/>
        <w:spacing w:after="0" w:line="285" w:lineRule="auto"/>
        <w:tabs>
          <w:tab w:leader="none" w:pos="1473"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Over-Allotments and Syndicate Coverage Transactions</w:t>
      </w:r>
      <w:r>
        <w:rPr>
          <w:rFonts w:ascii="Arial" w:cs="Arial" w:eastAsia="Arial" w:hAnsi="Arial"/>
          <w:sz w:val="16"/>
          <w:szCs w:val="16"/>
          <w:color w:val="auto"/>
        </w:rPr>
        <w:t>. The underwriters may create a short position in our units by selling more of our 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95" w:lineRule="exact"/>
        <w:rPr>
          <w:rFonts w:ascii="Arial" w:cs="Arial" w:eastAsia="Arial" w:hAnsi="Arial"/>
          <w:sz w:val="16"/>
          <w:szCs w:val="16"/>
          <w:color w:val="auto"/>
        </w:rPr>
      </w:pPr>
    </w:p>
    <w:p>
      <w:pPr>
        <w:jc w:val="both"/>
        <w:ind w:left="1320" w:right="479" w:hanging="434"/>
        <w:spacing w:after="0" w:line="263" w:lineRule="auto"/>
        <w:tabs>
          <w:tab w:leader="none" w:pos="131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Penalty Bids</w:t>
      </w:r>
      <w:r>
        <w:rPr>
          <w:rFonts w:ascii="Arial" w:cs="Arial" w:eastAsia="Arial" w:hAnsi="Arial"/>
          <w:sz w:val="18"/>
          <w:szCs w:val="18"/>
          <w:color w:val="auto"/>
        </w:rPr>
        <w:t>. The representative may reclaim a selling concession from a syndicate member when the units originally sold by the syndicate member are purchased in a stabilizing or syndicate covering transaction to cover syndicate short positions.</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Nasdaq, in the over-the-counter market or on any trading market. If any of these transactions are commenced, they may be discontinued without notice at any time.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Chardan Investments, our co-sponsor, is an affiliate of Chardan Capital Markets, LLC, the representative of the underwriters in this offering, and Messrs. Grossman and Weil are affiliated with Chardan Capital Markets, LLC. As a result, Chardan Capital Markets, LLC is deemed to have a “conflict of interest” within the meaning of Rule 5121.</w:t>
      </w:r>
    </w:p>
    <w:p>
      <w:pPr>
        <w:spacing w:after="0" w:line="11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Accordingly, this offering is being made in compliance with the applicable requirements of Rule 5121. Rule 5121 requires that a “qualified independent underwriter,” as defined in Rule 5121, participate in the preparation of the registration statement and prospectus and exercise the usual standards of due diligence with respect thereto. B. Riley Securities, Inc. has agreed to act as a “qualified independent underwriter” for this offering. B. Riley Securities, Inc. will receive $100,000 for acting as a qualified independent underwriter. We have agreed to indemnify B. Riley Securities,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Terms</w:t>
      </w:r>
    </w:p>
    <w:p>
      <w:pPr>
        <w:spacing w:after="0" w:line="162"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Except as set forth above, including with respect to the business combination marketing agreement,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6" w:name="page107"/>
    <w:bookmarkEnd w:id="10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20"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Chardan Investments, an entity affiliated with Jonas Grossman and Chardan Capital Markets, LLC, has committed to purchase from us an aggregate of 2,000,000 warrants (or 2,225,000 if the over-allotment option is exercised in full) at $1.00 per private warrant for a total purchase price of $2,000,000 (or $2,225,000 if the over-allotment option is exercised in full). Each private warrant is exercisable for one share of common stock at an exercise price of $11.50 per share. These purchases will take place on a private placement basis simultaneously with the consummation of this offering.</w:t>
      </w:r>
    </w:p>
    <w:p>
      <w:pPr>
        <w:spacing w:after="0" w:line="11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private warrants and the shares that are issuable upon exercise of the private warrants have been deemed compensation by FINRA and are therefore subject to a 180-day lock-up pursuant to FINRA Rule 5110(e)(1) commencing on the effective date of the registration statement of which this prospectus forms a part. Pursuant to FINRA Rule 5110(e)(1),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 We have granted the holders of private warrants the registration rights as described under the section “Securities Eligible for Future Sale — Registration and Stockholder Rights.”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We have agreed to indemnify the underwriters against some liabilities, including civil liabilities under the Securities Act, or to contribute to payments the underwriters may be required to make in this respect.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Resale Restrictions</w:t>
      </w:r>
    </w:p>
    <w:p>
      <w:pPr>
        <w:spacing w:after="0" w:line="162"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Representations of Purchasers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62" w:lineRule="exact"/>
        <w:rPr>
          <w:sz w:val="20"/>
          <w:szCs w:val="20"/>
          <w:color w:val="auto"/>
        </w:rPr>
      </w:pPr>
    </w:p>
    <w:p>
      <w:pPr>
        <w:ind w:left="1320" w:right="459" w:hanging="434"/>
        <w:spacing w:after="0" w:line="277" w:lineRule="auto"/>
        <w:tabs>
          <w:tab w:leader="none" w:pos="152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17" w:lineRule="exact"/>
        <w:rPr>
          <w:rFonts w:ascii="Arial" w:cs="Arial" w:eastAsia="Arial" w:hAnsi="Arial"/>
          <w:sz w:val="18"/>
          <w:szCs w:val="18"/>
          <w:color w:val="auto"/>
        </w:rPr>
      </w:pPr>
    </w:p>
    <w:p>
      <w:pPr>
        <w:jc w:val="both"/>
        <w:ind w:left="1320" w:right="459" w:hanging="434"/>
        <w:spacing w:after="0" w:line="263" w:lineRule="auto"/>
        <w:tabs>
          <w:tab w:leader="none" w:pos="13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our securities to the regulatory authority that by law is entitled to collect the information.</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7" w:name="page108"/>
    <w:bookmarkEnd w:id="10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Rights of Action — Ontario Purchasers Only</w:t>
      </w:r>
    </w:p>
    <w:p>
      <w:pPr>
        <w:spacing w:after="0" w:line="16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3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Enforcement of Legal Rights</w:t>
      </w:r>
    </w:p>
    <w:p>
      <w:pPr>
        <w:spacing w:after="0" w:line="162"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Collection of Personal Information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Arial" w:cs="Arial" w:eastAsia="Arial" w:hAnsi="Arial"/>
          <w:sz w:val="18"/>
          <w:szCs w:val="18"/>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Loeb &amp; Loeb LLP, is acting as United States counsel in connection with the registration of our securities under the Securities Act and will pass on the validity of the securities offered in the prospectus. Greenberg Traurig, LLP, is acting as counsel for the underwriters in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financial statements of Ventoux CCM Acquisition Corp. as of December 31, 2019, and for the period from July 10, 2019 (inception) through December 31, 2019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jc w:val="both"/>
        <w:ind w:left="460" w:right="479" w:firstLine="432"/>
        <w:spacing w:after="0" w:line="269" w:lineRule="auto"/>
        <w:rPr>
          <w:sz w:val="20"/>
          <w:szCs w:val="20"/>
          <w:color w:val="auto"/>
        </w:rPr>
      </w:pPr>
      <w:r>
        <w:rPr>
          <w:rFonts w:ascii="Arial" w:cs="Arial" w:eastAsia="Arial" w:hAnsi="Arial"/>
          <w:sz w:val="17"/>
          <w:szCs w:val="17"/>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which contains the Form S-1 and other reports, proxy and information statements and information regarding issuers that file electronically with the SEC.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14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INDEX TO FINANCIAL STATEMENTS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744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Report of Independent Registered Public Accounting Firm</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F-2</w:t>
            </w:r>
          </w:p>
        </w:tc>
      </w:tr>
      <w:tr>
        <w:trPr>
          <w:trHeight w:val="283"/>
        </w:trPr>
        <w:tc>
          <w:tcPr>
            <w:tcW w:w="7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3"/>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66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Balance Sheets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6"/>
              </w:rPr>
              <w:t>F-3</w:t>
            </w:r>
          </w:p>
        </w:tc>
      </w:tr>
      <w:tr>
        <w:trPr>
          <w:trHeight w:val="40"/>
        </w:trPr>
        <w:tc>
          <w:tcPr>
            <w:tcW w:w="74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3"/>
        </w:trPr>
        <w:tc>
          <w:tcPr>
            <w:tcW w:w="74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Statements of Operations</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F-4</w:t>
            </w:r>
          </w:p>
        </w:tc>
      </w:tr>
      <w:tr>
        <w:trPr>
          <w:trHeight w:val="243"/>
        </w:trPr>
        <w:tc>
          <w:tcPr>
            <w:tcW w:w="7440" w:type="dxa"/>
            <w:vAlign w:val="bottom"/>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Statements of Changes in Stockholder’s Equity</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6"/>
              </w:rPr>
              <w:t>F-5</w:t>
            </w:r>
          </w:p>
        </w:tc>
      </w:tr>
      <w:tr>
        <w:trPr>
          <w:trHeight w:val="40"/>
        </w:trPr>
        <w:tc>
          <w:tcPr>
            <w:tcW w:w="74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4"/>
        </w:trPr>
        <w:tc>
          <w:tcPr>
            <w:tcW w:w="74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Statements of Cash Flows</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F-6</w:t>
            </w:r>
          </w:p>
        </w:tc>
      </w:tr>
      <w:tr>
        <w:trPr>
          <w:trHeight w:val="243"/>
        </w:trPr>
        <w:tc>
          <w:tcPr>
            <w:tcW w:w="744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Notes to Financial Statements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6"/>
              </w:rPr>
              <w:t>F-7</w:t>
            </w:r>
          </w:p>
        </w:tc>
      </w:tr>
      <w:tr>
        <w:trPr>
          <w:trHeight w:val="432"/>
        </w:trPr>
        <w:tc>
          <w:tcPr>
            <w:tcW w:w="7440" w:type="dxa"/>
            <w:vAlign w:val="bottom"/>
            <w:tcBorders>
              <w:bottom w:val="single" w:sz="8" w:color="auto"/>
            </w:tcBorders>
          </w:tcPr>
          <w:p>
            <w:pPr>
              <w:ind w:left="3920"/>
              <w:spacing w:after="0"/>
              <w:rPr>
                <w:sz w:val="20"/>
                <w:szCs w:val="20"/>
                <w:color w:val="auto"/>
              </w:rPr>
            </w:pPr>
            <w:r>
              <w:rPr>
                <w:rFonts w:ascii="Arial" w:cs="Arial" w:eastAsia="Arial" w:hAnsi="Arial"/>
                <w:sz w:val="18"/>
                <w:szCs w:val="18"/>
                <w:color w:val="auto"/>
              </w:rPr>
              <w:t>F-1</w:t>
            </w: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10" w:name="page111"/>
    <w:bookmarkEnd w:id="11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 and the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Ventoux CCM Acquisition Corp.</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We have audited the accompanying balance sheet of Ventoux CCM Acquisition Corp. (the “Company”) as of December 31, 2019, the related statements of operations, changes in stockholder’s equity and cash flows for the period from July 10, 2019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July 10, 2019 (inception) through December 31, 2019,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1" w:name="page112"/>
    <w:bookmarkEnd w:id="11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(unaudited)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(audited)</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Current asset – 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65,640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111,843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177,483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 – accrued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Promissory note – related party</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153,018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154,018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222885</wp:posOffset>
            </wp:positionV>
            <wp:extent cx="514350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Stockholder’s Equity</w:t>
      </w:r>
    </w:p>
    <w:p>
      <w:pPr>
        <w:spacing w:after="0" w:line="54" w:lineRule="exact"/>
        <w:rPr>
          <w:sz w:val="20"/>
          <w:szCs w:val="20"/>
          <w:color w:val="auto"/>
        </w:rPr>
      </w:pPr>
    </w:p>
    <w:p>
      <w:pPr>
        <w:ind w:left="820" w:right="80" w:hanging="179"/>
        <w:spacing w:after="0" w:line="274" w:lineRule="auto"/>
        <w:rPr>
          <w:sz w:val="20"/>
          <w:szCs w:val="20"/>
          <w:color w:val="auto"/>
        </w:rPr>
      </w:pPr>
      <w:r>
        <w:rPr>
          <w:rFonts w:ascii="Arial" w:cs="Arial" w:eastAsia="Arial" w:hAnsi="Arial"/>
          <w:sz w:val="18"/>
          <w:szCs w:val="18"/>
          <w:color w:val="auto"/>
        </w:rPr>
        <w:t>Common stock, $0.0001 par value; 5,000,000 shares authorized; 4,312,500 shares issued and outstanding</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-6985</wp:posOffset>
            </wp:positionV>
            <wp:extent cx="514350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Additional paid-in capital</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Total Stockholder’s Equity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60" w:hanging="1341"/>
        <w:spacing w:after="0"/>
        <w:tabs>
          <w:tab w:leader="none" w:pos="2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431</w:t>
      </w:r>
    </w:p>
    <w:p>
      <w:pPr>
        <w:spacing w:after="0" w:line="76"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24,569</w:t>
      </w:r>
      <w:r>
        <w:rPr>
          <w:rFonts w:ascii="Arial" w:cs="Arial" w:eastAsia="Arial" w:hAnsi="Arial"/>
          <w:sz w:val="15"/>
          <w:szCs w:val="15"/>
          <w:color w:val="auto"/>
        </w:rPr>
        <w:t>24,569</w:t>
      </w:r>
    </w:p>
    <w:p>
      <w:pPr>
        <w:spacing w:after="0" w:line="76"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(1,535)</w:t>
      </w:r>
      <w:r>
        <w:rPr>
          <w:rFonts w:ascii="Arial" w:cs="Arial" w:eastAsia="Arial" w:hAnsi="Arial"/>
          <w:sz w:val="16"/>
          <w:szCs w:val="16"/>
          <w:color w:val="auto"/>
        </w:rPr>
        <w:t>(1,450)</w:t>
      </w:r>
    </w:p>
    <w:p>
      <w:pPr>
        <w:spacing w:after="0" w:line="86" w:lineRule="exact"/>
        <w:rPr>
          <w:sz w:val="20"/>
          <w:szCs w:val="20"/>
          <w:color w:val="auto"/>
        </w:rPr>
      </w:pPr>
    </w:p>
    <w:p>
      <w:pPr>
        <w:ind w:left="500"/>
        <w:spacing w:after="0"/>
        <w:tabs>
          <w:tab w:leader="none" w:pos="1820" w:val="left"/>
        </w:tabs>
        <w:rPr>
          <w:sz w:val="20"/>
          <w:szCs w:val="20"/>
          <w:color w:val="auto"/>
        </w:rPr>
      </w:pPr>
      <w:r>
        <w:rPr>
          <w:rFonts w:ascii="Arial" w:cs="Arial" w:eastAsia="Arial" w:hAnsi="Arial"/>
          <w:sz w:val="17"/>
          <w:szCs w:val="17"/>
          <w:b w:val="1"/>
          <w:bCs w:val="1"/>
          <w:color w:val="auto"/>
        </w:rPr>
        <w:t>23,465</w:t>
      </w:r>
      <w:r>
        <w:rPr>
          <w:sz w:val="20"/>
          <w:szCs w:val="20"/>
          <w:color w:val="auto"/>
        </w:rPr>
        <w:tab/>
      </w:r>
      <w:r>
        <w:rPr>
          <w:rFonts w:ascii="Arial" w:cs="Arial" w:eastAsia="Arial" w:hAnsi="Arial"/>
          <w:sz w:val="17"/>
          <w:szCs w:val="17"/>
          <w:b w:val="1"/>
          <w:bCs w:val="1"/>
          <w:color w:val="auto"/>
        </w:rPr>
        <w:t>23,550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41910</wp:posOffset>
            </wp:positionV>
            <wp:extent cx="1482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68" w:lineRule="exact"/>
        <w:rPr>
          <w:sz w:val="20"/>
          <w:szCs w:val="20"/>
          <w:color w:val="auto"/>
        </w:rPr>
      </w:pPr>
    </w:p>
    <w:p>
      <w:pPr>
        <w:spacing w:after="0"/>
        <w:tabs>
          <w:tab w:leader="none" w:pos="380" w:val="left"/>
          <w:tab w:leader="none" w:pos="1200" w:val="left"/>
          <w:tab w:leader="none" w:pos="18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177,483</w:t>
        <w:tab/>
        <w:t>$</w:t>
      </w:r>
      <w:r>
        <w:rPr>
          <w:sz w:val="20"/>
          <w:szCs w:val="20"/>
          <w:color w:val="auto"/>
        </w:rPr>
        <w:tab/>
      </w:r>
      <w:r>
        <w:rPr>
          <w:rFonts w:ascii="Arial" w:cs="Arial" w:eastAsia="Arial" w:hAnsi="Arial"/>
          <w:sz w:val="15"/>
          <w:szCs w:val="15"/>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48272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422" w:lineRule="exact"/>
        <w:rPr>
          <w:sz w:val="20"/>
          <w:szCs w:val="20"/>
          <w:color w:val="auto"/>
        </w:rPr>
      </w:pPr>
    </w:p>
    <w:p>
      <w:pPr>
        <w:sectPr>
          <w:pgSz w:w="11900" w:h="16838" w:orient="portrait"/>
          <w:cols w:equalWidth="0" w:num="2">
            <w:col w:w="5360" w:space="720"/>
            <w:col w:w="2939"/>
          </w:cols>
          <w:pgMar w:left="1440" w:top="274" w:right="1440" w:bottom="1440" w:gutter="0" w:footer="0" w:header="0"/>
          <w:type w:val="continuous"/>
        </w:sectPr>
      </w:pPr>
    </w:p>
    <w:p>
      <w:pPr>
        <w:jc w:val="both"/>
        <w:ind w:left="880" w:right="479" w:hanging="426"/>
        <w:spacing w:after="0" w:line="278" w:lineRule="auto"/>
        <w:tabs>
          <w:tab w:leader="none" w:pos="8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up to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2" w:name="page113"/>
    <w:bookmarkEnd w:id="11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July 10,</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Nine Months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6"/>
                <w:szCs w:val="16"/>
                <w:color w:val="auto"/>
                <w:w w:val="93"/>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(audited)</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Net Loss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4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(1,450</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r>
              <w:rPr>
                <w:rFonts w:ascii="Arial" w:cs="Arial" w:eastAsia="Arial" w:hAnsi="Arial"/>
                <w:sz w:val="20"/>
                <w:szCs w:val="20"/>
                <w:color w:val="auto"/>
                <w:vertAlign w:val="superscript"/>
              </w:rPr>
              <w:t>(1)</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560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278" w:lineRule="auto"/>
        <w:tabs>
          <w:tab w:leader="none" w:pos="887"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Excludes an aggregate of up to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1760" w:type="dxa"/>
            <w:vAlign w:val="bottom"/>
            <w:gridSpan w:val="6"/>
            <w:vMerge w:val="restart"/>
          </w:tcPr>
          <w:p>
            <w:pPr>
              <w:jc w:val="right"/>
              <w:ind w:right="360"/>
              <w:spacing w:after="0"/>
              <w:rPr>
                <w:sz w:val="20"/>
                <w:szCs w:val="20"/>
                <w:color w:val="auto"/>
              </w:rPr>
            </w:pPr>
            <w:r>
              <w:rPr>
                <w:rFonts w:ascii="Arial" w:cs="Arial" w:eastAsia="Arial" w:hAnsi="Arial"/>
                <w:sz w:val="16"/>
                <w:szCs w:val="16"/>
                <w:b w:val="1"/>
                <w:bCs w:val="1"/>
                <w:color w:val="auto"/>
              </w:rPr>
              <w:t>Common Stock</w:t>
            </w:r>
          </w:p>
        </w:tc>
        <w:tc>
          <w:tcPr>
            <w:tcW w:w="40" w:type="dxa"/>
            <w:vAlign w:val="bottom"/>
          </w:tcPr>
          <w:p>
            <w:pPr>
              <w:spacing w:after="0"/>
              <w:rPr>
                <w:sz w:val="17"/>
                <w:szCs w:val="17"/>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4"/>
              </w:rPr>
              <w:t>Additional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75"/>
        </w:trPr>
        <w:tc>
          <w:tcPr>
            <w:tcW w:w="3280" w:type="dxa"/>
            <w:vAlign w:val="bottom"/>
          </w:tcPr>
          <w:p>
            <w:pPr>
              <w:spacing w:after="0"/>
              <w:rPr>
                <w:sz w:val="6"/>
                <w:szCs w:val="6"/>
                <w:color w:val="auto"/>
              </w:rPr>
            </w:pPr>
          </w:p>
        </w:tc>
        <w:tc>
          <w:tcPr>
            <w:tcW w:w="1760" w:type="dxa"/>
            <w:vAlign w:val="bottom"/>
            <w:gridSpan w:val="6"/>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Paid-in</w:t>
            </w:r>
          </w:p>
        </w:tc>
        <w:tc>
          <w:tcPr>
            <w:tcW w:w="106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w w:val="99"/>
              </w:rPr>
              <w:t>Accumulated</w:t>
            </w:r>
          </w:p>
        </w:tc>
        <w:tc>
          <w:tcPr>
            <w:tcW w:w="106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47"/>
        </w:trPr>
        <w:tc>
          <w:tcPr>
            <w:tcW w:w="32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60" w:type="dxa"/>
            <w:vAlign w:val="bottom"/>
            <w:gridSpan w:val="5"/>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60" w:type="dxa"/>
            <w:vAlign w:val="bottom"/>
            <w:gridSpan w:val="5"/>
            <w:vMerge w:val="continue"/>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2"/>
              </w:rPr>
              <w:t>Amount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Capital</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ind w:left="8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47"/>
        </w:trPr>
        <w:tc>
          <w:tcPr>
            <w:tcW w:w="32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July 10, 2019 (inception)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Issuance of common stock to Initial</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tcPr>
          <w:p>
            <w:pPr>
              <w:ind w:left="360"/>
              <w:spacing w:after="0"/>
              <w:rPr>
                <w:sz w:val="20"/>
                <w:szCs w:val="20"/>
                <w:color w:val="auto"/>
              </w:rPr>
            </w:pPr>
            <w:r>
              <w:rPr>
                <w:rFonts w:ascii="Arial" w:cs="Arial" w:eastAsia="Arial" w:hAnsi="Arial"/>
                <w:sz w:val="18"/>
                <w:szCs w:val="18"/>
                <w:color w:val="auto"/>
              </w:rPr>
              <w:t>Stockholders</w:t>
            </w:r>
            <w:r>
              <w:rPr>
                <w:rFonts w:ascii="Arial" w:cs="Arial" w:eastAsia="Arial" w:hAnsi="Arial"/>
                <w:sz w:val="20"/>
                <w:szCs w:val="20"/>
                <w:color w:val="auto"/>
                <w:vertAlign w:val="superscript"/>
              </w:rPr>
              <w:t>(1)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4,312,500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431</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24,569</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28"/>
        </w:trPr>
        <w:tc>
          <w:tcPr>
            <w:tcW w:w="3280" w:type="dxa"/>
            <w:vAlign w:val="bottom"/>
          </w:tcPr>
          <w:p>
            <w:pPr>
              <w:spacing w:after="0"/>
              <w:rPr>
                <w:sz w:val="20"/>
                <w:szCs w:val="20"/>
                <w:color w:val="auto"/>
              </w:rPr>
            </w:pPr>
            <w:r>
              <w:rPr>
                <w:rFonts w:ascii="Arial" w:cs="Arial" w:eastAsia="Arial" w:hAnsi="Arial"/>
                <w:sz w:val="18"/>
                <w:szCs w:val="18"/>
                <w:b w:val="1"/>
                <w:bCs w:val="1"/>
                <w:color w:val="auto"/>
                <w:w w:val="98"/>
              </w:rPr>
              <w:t>Balance – December 31, 2019 (audited)</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4,312,500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24,569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23,550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78"/>
        </w:trPr>
        <w:tc>
          <w:tcPr>
            <w:tcW w:w="3280" w:type="dxa"/>
            <w:vAlign w:val="bottom"/>
          </w:tcPr>
          <w:p>
            <w:pPr>
              <w:spacing w:after="0" w:line="177" w:lineRule="exact"/>
              <w:rPr>
                <w:sz w:val="20"/>
                <w:szCs w:val="20"/>
                <w:color w:val="auto"/>
              </w:rPr>
            </w:pPr>
            <w:r>
              <w:rPr>
                <w:rFonts w:ascii="Arial" w:cs="Arial" w:eastAsia="Arial" w:hAnsi="Arial"/>
                <w:sz w:val="18"/>
                <w:szCs w:val="18"/>
                <w:b w:val="1"/>
                <w:bCs w:val="1"/>
                <w:color w:val="auto"/>
              </w:rPr>
              <w:t>Balance – September 30, 2020</w:t>
            </w: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(unaudited)</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7"/>
              </w:rPr>
              <w:t>4,312,500</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431</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24,569</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(1,535</w:t>
            </w: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23,465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278" w:lineRule="auto"/>
        <w:tabs>
          <w:tab w:leader="none" w:pos="972"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July 10,</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1"/>
              <w:spacing w:after="0"/>
              <w:rPr>
                <w:sz w:val="20"/>
                <w:szCs w:val="20"/>
                <w:color w:val="auto"/>
              </w:rPr>
            </w:pPr>
            <w:r>
              <w:rPr>
                <w:rFonts w:ascii="Arial" w:cs="Arial" w:eastAsia="Arial" w:hAnsi="Arial"/>
                <w:sz w:val="16"/>
                <w:szCs w:val="16"/>
                <w:b w:val="1"/>
                <w:bCs w:val="1"/>
                <w:color w:val="auto"/>
                <w:w w:val="93"/>
              </w:rPr>
              <w:t>Nine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1"/>
              <w:spacing w:after="0"/>
              <w:rPr>
                <w:sz w:val="20"/>
                <w:szCs w:val="20"/>
                <w:color w:val="auto"/>
              </w:rPr>
            </w:pPr>
            <w:r>
              <w:rPr>
                <w:rFonts w:ascii="Arial" w:cs="Arial" w:eastAsia="Arial" w:hAnsi="Arial"/>
                <w:sz w:val="16"/>
                <w:szCs w:val="16"/>
                <w:color w:val="auto"/>
                <w:w w:val="93"/>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(85)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2"/>
                <w:szCs w:val="22"/>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Proceeds from issuance of common stock to Initial Stockholders</w:t>
            </w: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promissory notes – related party</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20" w:type="dxa"/>
            <w:vAlign w:val="bottom"/>
          </w:tcPr>
          <w:p>
            <w:pPr>
              <w:spacing w:after="0"/>
              <w:rPr>
                <w:sz w:val="22"/>
                <w:szCs w:val="22"/>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(103,825)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41,175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40,640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Cash – End of period</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65,640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paid through promissory note – related party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8,018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Ventoux CCM Acquisition Corp. (formerly known as Chardan Global Acquisition Corp.) (the “Company”) was incorporated in Delaware on July 10, 2019. The Company was formed for the purpose of entering into a merger, share exchange, asset acquisition, stock purchase, recapitalization, reorganization or other similar business transaction with one or more businesses or entities that the Company has not yet identified (a “Business Combination”).</w:t>
      </w:r>
    </w:p>
    <w:p>
      <w:pPr>
        <w:spacing w:after="0" w:line="120"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81"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As of September 30, 2020 (unaudited) and December 31, 2019, the Company had not commenced any operations. All activity through September 30, 2020 relates to the Company’s formation and the proposed initial public offering (“Proposed Public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97"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The Company’s ability to commence operations is contingent upon obtaining adequate financial resources through a Proposed Public Offering of 15,000,000 units at $10.00 per unit (or 17,250,000 units if the underwriters’ over-allotment option is exercised in full) (the “Units”), which is discussed in Note 3, and the sale of 6,000,000 warrants (or 6,675,000 warrants if the underwriters’ over-allotment option is exercised in full) (the “Private Warrants”), at a price of $1.00 per warrant, in a private placement to Ventoux Acquisition Holdings LLC (“Ventoux Acquisition”), the co-sponsor and an affiliate of certain of the Company’s directors, and Chardan International Investments, LLC (“Chardan Investments”), the co-sponsor and an affiliate of certain of the Company’s directors of Chardan Capital Markets, LLC, that will close simultaneously with the Proposed Public Offering.</w:t>
      </w:r>
    </w:p>
    <w:p>
      <w:pPr>
        <w:spacing w:after="0" w:line="129"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Proposed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(as defined below)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There is no assurance that the Company will be able to successfully effect a Business Combination. Upon the closing of the Proposed Public Offering, management has agreed that $10.10 per Unit sold in the Proposed Public Offering and the proceeds from the sale of the Private Warrants will be held in a trust account (“Trust Account”) and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w:t>
      </w:r>
    </w:p>
    <w:p>
      <w:pPr>
        <w:spacing w:after="0" w:line="11" w:lineRule="exact"/>
        <w:rPr>
          <w:sz w:val="20"/>
          <w:szCs w:val="20"/>
          <w:color w:val="auto"/>
        </w:rPr>
      </w:pPr>
    </w:p>
    <w:p>
      <w:pPr>
        <w:ind w:left="460" w:right="479" w:hanging="6"/>
        <w:spacing w:after="0" w:line="260" w:lineRule="auto"/>
        <w:tabs>
          <w:tab w:leader="none" w:pos="69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consummation of a Business Combination or (ii) the distribution of the funds in the Trust Account as described below.</w:t>
      </w:r>
    </w:p>
    <w:p>
      <w:pPr>
        <w:spacing w:after="0" w:line="11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Company will provide its stockholders with the opportunity to redeem all or a portion of their shares included in the Units sold in the Proposed Public Offering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Company may require stockholders to vote for or against the Business Combination to be able to redeem their shares, and stockholders who do not vote, or who abstain from voting, on the Business Combination will not be able to redeem their shares. The stockholders will be entitled to redeem their shares for a pro rata portion of the amount then on deposit in the Trust Account (initially approximately $10.10 per share, plus any pro rata interest earned on the funds held in the Trust Account and not previously released to the Company to pay its tax obligations). There will be no redemption rights upon the completion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of a Business Combination with respect to the Company’s rights or warrants. The common stock subject to redemption will be recorded at a redemption value and classified as temporary equity upon the completion of the Proposed Public Offering, in accordance with Accounting Standards Codification (“ASC”) Topic 480 “Distinguishing Liabilities from Equity.”</w:t>
      </w:r>
    </w:p>
    <w:p>
      <w:pPr>
        <w:spacing w:after="0" w:line="11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Proposed Public Offering (collectively, the “Initial Stockholders”) have agreed to (a) vote their Founder Shares (as defined in Note 5)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30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spacing w:after="0" w:line="12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Company will have until 15 months from the closing of the Proposed Public Offering to consummate a Business Combination. However, if the Company anticipates that it may not be able to consummate a Business Combination within 15 months, the Company may extend the period of time to consummate a Business Combination one time by an additional three months (for a total of 18 months to complete a Business Combination) (the “Combination Period”). In order to extend the time available for the Company to consummate a Business Combination, the Initial Stockholders or their affiliates or designees must deposit into the Trust Account $1,500,000, or $1,725,000 if the underwriters’ over-allotment option is exercised in full ($0.10 per Public Share in either case), on or prior to the date of the applicable deadline.</w:t>
      </w:r>
    </w:p>
    <w:p>
      <w:pPr>
        <w:spacing w:after="0" w:line="11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w:t>
      </w:r>
    </w:p>
    <w:p>
      <w:pPr>
        <w:spacing w:after="0" w:line="9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Initial Stockholders have agreed to (i) waive their redemption rights with respect to Founder Shares and any Public Shares they may acquire during or after the Proposed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hanging="6"/>
        <w:spacing w:after="0" w:line="293" w:lineRule="auto"/>
        <w:tabs>
          <w:tab w:leader="none" w:pos="794"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9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In order to protect the amounts held in the Trust Account, certain affiliates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Going Concern Consideration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“Disclosures of Uncertainties about an Entity’s Ability to Continue as a Going Concern,” management has determined that the Company has access to funds from the co-sponsors that are sufficient to fund the working capital needs of the Company until the earlier of the consummation of the Proposed Public Offering or one year from the issuance of these financial statements.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The accompanying financial statements are presented in conformity with accounting principles generally accepted in the United States of America (“GAAP”) and pursuant to the rules and regulations of the SEC.</w:t>
      </w:r>
    </w:p>
    <w:p>
      <w:pPr>
        <w:spacing w:after="0" w:line="5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accompanying unaudited financial statements as of and for the nine months ended September 30, 2020 have been prepared in accordance with GAAP for interim financial information and Article 8 of Regulation S-X. In the opinion of management of the Company, all adjustment (consisting of normal accruals) considered for a fair presentation have been included. Operating results for the nine months ended September 30, 2020 are not necessarily indicative of the results that may be expected for the year ending December 31, 2020.</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Emerging Growth Company</w:t>
      </w:r>
    </w:p>
    <w:p>
      <w:pPr>
        <w:spacing w:after="0" w:line="148"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0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September 30, 2020 and December 31, 2019.</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Offering Costs</w:t>
      </w:r>
    </w:p>
    <w:p>
      <w:pPr>
        <w:spacing w:after="0" w:line="162"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Deferred offering costs consist of legal, accounting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97"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2020 and December 31, 2019. The Company is currently not aware of any issues under review that could result in significant payments, accruals or material deviation from its position.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25"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provision for income taxes was deemed to be de minimis for the nine months ended September 30, 2020 and for the period from July 10, 2019 (inception) through December 31, 2019.</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Loss Per Common Share</w:t>
      </w:r>
    </w:p>
    <w:p>
      <w:pPr>
        <w:spacing w:after="0" w:line="14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Net loss per share is computed by dividing net loss by the weighted average number of shares of common stock outstanding during the period, excluding shares of common stock subject to forfeiture. Weighted average shares were reduced for the effect of an aggregate of 562,500 shares of common stock that are subject to forfeiture if the over-allotment option is not exercised by the underwriters (see Note 5). At September 30, 2020 and December 31, 2019, the Company did not have any dilutive securities or other contracts that could, potentially, be exercised or converted into shares of common stock and then share in the earnings of the Company. As a result, diluted loss per share is the same as basic loss per share for the periods presented.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a cash account in a financial institution, which, at times, may exceed the Federal Depository Insurance Coverage of $250,000. At September 30, 2020 and December 31, 2019, the Company has not experienced losses on this account and management believes the Company is not exposed to significant risks on such account.</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820, “Fair Value Measurement,” approximates the carrying amounts represented in the accompanying balance sheets, primarily due to their short-term nature.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Standards</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Public Offering</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Pursuant to the Proposed Public Offering, the Company will offer for sale 15,000,000 Units (or 17,250,000 Units if the underwriters’ over-allotment option is exercised in full), at a purchase price of $10.00 per Unit. Each Unit will consist of one share of common stock, one right to receive one-twentieth (1/20) of one share of common stock upon the consummation of a Business Combination and one warrant (“Public Warrant”). Each Public Warrant entitles the holder to purchase one-half of one share of common stock at an exercise price of $11.50 per share (see Note 7).</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Private Placement</w:t>
      </w:r>
    </w:p>
    <w:p>
      <w:pPr>
        <w:spacing w:after="0" w:line="16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connection with the Proposed Public Offering, Ventoux Acquisition and Chardan Investments have to committed to an investment in the Private Warrants. Ventoux Acquisition has committed to purchase an aggregate of 4,000,000 Private Warrants (or 4,450,000 Private Warrants if the over-allotment option is exercised in full), and Chardan Investments has committed to purchase an aggregate of 2,000,000 Private Warrants (or 2,225,000 Private Warrants if the over-allotment option is exercised in full), at $1.00 per Private Warrant resulting in s combined aggregate purchase price of $6,000,000 (or $6,675,000 is the over-allotment option is exercised in full), in a private placement that will</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 Private Placement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occur simultaneously with the consummation of the Proposed Public Offering. Each Private Warrant is exercisable 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Related Party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As of the date hereof, Ventoux Acquisition holds 2,818,875 Founder Shares, of which Ventoux Acquisition intends to distribute 67,500 shares to certain of the Company’s directors prior to the consummation of the Proposed Public Offering, resulting in Ventoux Acquisition holding a balance of 2,751,375 Founder Shares. All share and per-share amounts have been retroactively restated to reflect the share cancellations.</w:t>
      </w:r>
    </w:p>
    <w:p>
      <w:pPr>
        <w:spacing w:after="0" w:line="98"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color w:val="auto"/>
        </w:rPr>
        <w:t>The 4,312,500 Founder Shares include an aggregate of up to 562,500 shares subject to forfeiture by the Initial Stockholders to the extent that the underwriters’ over-allotment is not exercised in full or in part, so that the Initial Stockholders will collectively own approximately 20% of the Company’s issued and outstanding shares after the Proposed Public Offering (assuming the Initial Stockholders does not purchase any Public Shares in the Proposed Public Offering). All share and per-share amounts have been retroactively restated.</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Promissory Note — Related Party</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 August 20, 2020, the Company issued an unsecured promissory note to the Ventoux Acquisition (the “Promissory Note”), pursuant to which the Company may borrow up to an aggregate principal amount of $250,000. The Promissory Note is non-interest bearing and payable promptly after (i) the date on which the consummation of the Proposed Public Offering or (ii) the date on which it is determined not to consummate the Proposed Public offering. As of September 30, 2020, there was $153,018 outstanding under the Promissory Note.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Administrative Support Agreement</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Company intends to enter into an agreement, commencing on the effective date of the Proposed Public Offering through the earlier of the Company’s consummation of a Business Combination or its liquidation, to pay Chardan Capital Markets, LLC a total of $10,000 per month for office space, utilities and secretarial support.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 Related Party Transactions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Loans</w:t>
      </w:r>
    </w:p>
    <w:p>
      <w:pPr>
        <w:spacing w:after="0" w:line="14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$1.00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Extension Loans</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As discussed in Note 1, the Company may extend the period of time to consummate a Business Combination one time, for an additional three months (for a total of 18 months to complete a Business Combination). In order to extend the time available for the Company to consummate a Business Combination, the Initial Stockholders or their affiliates or designees must deposit into the Trust Account $1,500,000, or $1,725,000 if the underwriters’ over-allotment option is exercised in full, or $0.10 per Public Share, on or prior to the date of the applicable deadline. Any such payments would be made in the form of a loan. The terms of the promissory note to be issued in connection with any such loans have not yet been negotiated. If the Company completes a Business Combination, the Company would repay such loaned amounts out of the proceeds of the Trust Account released to the Company. If the Company does not complete a Business Combination, the Company will not repay such loans. The Initial Stockholders and their affiliates or designees are not obligated to fund the Trust Account to extend the time for the Company to complete a Business Combination.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and Uncertainties</w:t>
      </w:r>
    </w:p>
    <w:p>
      <w:pPr>
        <w:spacing w:after="0" w:line="162"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Management is currently evaluating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r>
        <w:rPr>
          <w:rFonts w:ascii="Arial" w:cs="Arial" w:eastAsia="Arial" w:hAnsi="Arial"/>
          <w:sz w:val="17"/>
          <w:szCs w:val="17"/>
          <w:b w:val="1"/>
          <w:bCs w:val="1"/>
          <w:color w:val="auto"/>
        </w:rPr>
        <w: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and Stockholder Rights</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 holders of the Founder Shares and the Private Warrants and securities that may be issued upon conversion of Working Capital Loans will be entitled to registration and stockholder rights pursuant to an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registration rights agreement does not contain liquidating damages or other cash settlement provisions resulting from delays in registering the Company’s securities. The Company will bear the expenses incurred in connection with the filing of any such registration statements. Chardan Capital Markets, LLC and its related persons may not, with respect to the private warrants (and the shares that are issuable upon exercise of the private warrants) purchased by Chardan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Underwriting Agreement</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Company will grant the underwriters a 45-day option from the date of the Proposed Public Offering to purchase up to 2,250,000 additional Units to cover over-allotments, if any, at the Proposed Public Offering price less the underwriting discounts and commissions.</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underwriters will be entitled to a cash underwriting discount of $0.20 per Unit, or $3,000,000 in the aggregate (or $3,450,000 if the over-allotment option is exercised in full), payable upon the closing of the Proposed Public Offering.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162"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5,000,000 shares of common stock with a par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$0.0001 per share. The Company plans on filing an Amended and Restated Certificate of Incorporation prior to the closing date of the Proposed Public Offering such that the Company will increase the number of shares of common stock authorized to be issued to 50,000,000 shares of common stock. Holders of the Company’s common stock are entitled to one vote for each share. At September 30, 2020 and December 31, 2019, there were 4,312,500 shares of common stock issued and outstanding, of which 562,500 shares are subject to forfeiture to the extent that the underwriters’ over-allotment option is not exercised in full so that the Initial Stockholders will own 20% of the issued and outstanding shares after the Proposed Public Offering (assuming the Initial Stockholders do not purchase any Public Shares in the Proposed Public Offering).</w:t>
      </w:r>
    </w:p>
    <w:p>
      <w:pPr>
        <w:spacing w:after="0" w:line="99"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plans on filing an Amended and Restated Certificate of Incorporation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closing date of the Proposed Public Offering such that the Company will be authorized to issue up to 1,000,000 shares of preferred stock. As of September 30, 2020, and December 31, 2019, the Company has no authorized shares of preferred stock.</w:t>
      </w:r>
    </w:p>
    <w:p>
      <w:pPr>
        <w:spacing w:after="0" w:line="106"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—The Public Warrants will become exercisable at any time commencing on the later of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after the closing of the proposed Public Offering 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may redeem the Public Warrants:</w:t>
      </w:r>
    </w:p>
    <w:p>
      <w:pPr>
        <w:spacing w:after="0" w:line="158" w:lineRule="exact"/>
        <w:rPr>
          <w:sz w:val="20"/>
          <w:szCs w:val="20"/>
          <w:color w:val="auto"/>
        </w:rPr>
      </w:pPr>
    </w:p>
    <w:p>
      <w:pPr>
        <w:ind w:left="1300" w:hanging="41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157" w:lineRule="exact"/>
        <w:rPr>
          <w:rFonts w:ascii="Arial" w:cs="Arial" w:eastAsia="Arial" w:hAnsi="Arial"/>
          <w:sz w:val="18"/>
          <w:szCs w:val="18"/>
          <w:color w:val="auto"/>
        </w:rPr>
      </w:pPr>
    </w:p>
    <w:p>
      <w:pPr>
        <w:jc w:val="center"/>
        <w:ind w:left="4340" w:right="1539" w:hanging="3454"/>
        <w:spacing w:after="0" w:line="481" w:lineRule="auto"/>
        <w:tabs>
          <w:tab w:leader="none" w:pos="13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89" w:lineRule="exact"/>
        <w:rPr>
          <w:sz w:val="20"/>
          <w:szCs w:val="20"/>
          <w:color w:val="auto"/>
        </w:rPr>
      </w:pPr>
    </w:p>
    <w:p>
      <w:pPr>
        <w:jc w:val="both"/>
        <w:ind w:left="1320" w:right="479" w:hanging="434"/>
        <w:spacing w:after="0" w:line="263" w:lineRule="auto"/>
        <w:tabs>
          <w:tab w:leader="none" w:pos="1378"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 of common stock equals or exceeds $16.50 per share, for any 20 trading days within a 30-trading day period ending on the third business day prior to the notice of redemption to the warrant holders; and</w:t>
      </w:r>
    </w:p>
    <w:p>
      <w:pPr>
        <w:spacing w:after="0" w:line="116" w:lineRule="exact"/>
        <w:rPr>
          <w:rFonts w:ascii="Arial" w:cs="Arial" w:eastAsia="Arial" w:hAnsi="Arial"/>
          <w:sz w:val="18"/>
          <w:szCs w:val="18"/>
          <w:color w:val="auto"/>
        </w:rPr>
      </w:pPr>
    </w:p>
    <w:p>
      <w:pPr>
        <w:jc w:val="both"/>
        <w:ind w:left="1320" w:right="459" w:hanging="434"/>
        <w:spacing w:after="0" w:line="286" w:lineRule="auto"/>
        <w:tabs>
          <w:tab w:leader="none" w:pos="1311"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8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rights or warrants will not receive any of such funds with respect to their rights or warrants, nor will they receive any distribution from the Company’s assets held outside of the Trust Account with the respect to such rights or warrants. Accordingly, the rights and warrants may expire worthless.</w:t>
      </w:r>
    </w:p>
    <w:p>
      <w:pPr>
        <w:spacing w:after="0" w:line="114"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co-sponsors or their affiliates, without taking into account any Founder Shares held by the co-sponsors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spacing w:after="0" w:line="10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Private Warrants will be identical to the Public Warrants underlying the Units being sold in the Proposed Public Offering except that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w:t>
      </w:r>
    </w:p>
    <w:p>
      <w:pPr>
        <w:spacing w:after="0" w:line="10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Except in cases where the Company is not the surviving company in a Business Combination,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holder of a right will automatically receive one-twentieth (1/20) of a share of common stock upon consummation of the Business Combination, even if the holder of a right converted all shares held by him, her or it in connection with the Business Combination or an amendment to the Company’s Certificate of Incorporation with respect to its pre-business combination activities. In the event that the Company will not be the surviving company upon completion of the Business Combination, each holder of a right will be required to affirmatively convert his, her or its rights in order to receive the one-twentieth (1/20) of a share of common stock underlying each right upon consummation of the Business Combination. No additional consideration will be required to be paid by a holder of rights in order to receive his, her or its additional share of common stock upon consummation of the Business Combination. The shares issuable upon exchange of the rights will be freely tradable (except to the extent held by affiliates of the Company). If the Company enters into a definitive agreement for a Business Combination in which the Company will not be the surviving entity, the definitive agreement will provide for the holders of rights to receive the same per share consideration the holders of shares of common stock will receive in the transaction on an as-converted into common stock basis.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Company will not issue fractional shares in connection with an exchange of rights. As a result, the holders of the rights must hold rights in multiples of 20 in order to receive shares for all of the holders’ rights upon closing of a Business Combination. If the Company is unable to complete an initial Business Combination within the required time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Additionally, in no event will the Company be required to net cash settle the rights. Accordingly, the rights may expire worthless.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Subsequent Events</w:t>
      </w:r>
    </w:p>
    <w:p>
      <w:pPr>
        <w:spacing w:after="0" w:line="162"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December 1, 2020, the date that the financial statements were available to be issued. Based upon this review, the Company did not identify any subsequent events that would have required adjustment or disclosure in the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5" w:name="page126"/>
    <w:bookmarkEnd w:id="125"/>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72390</wp:posOffset>
            </wp:positionV>
            <wp:extent cx="514350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114935</wp:posOffset>
            </wp:positionV>
            <wp:extent cx="514350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$150,000,000</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Ventoux CCM Acquisition Corp.</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15,000,000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__________________________________</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PRELIMINARY PROSPECTUS</w:t>
      </w:r>
    </w:p>
    <w:p>
      <w:pPr>
        <w:spacing w:after="0" w:line="13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Chardan</w:t>
      </w:r>
    </w:p>
    <w:p>
      <w:pPr>
        <w:spacing w:after="0" w:line="23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1089025</wp:posOffset>
            </wp:positionV>
            <wp:extent cx="514350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1131570</wp:posOffset>
            </wp:positionV>
            <wp:extent cx="514350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1405890</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6" w:name="page127"/>
    <w:bookmarkEnd w:id="12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Trustee fee</w:t>
            </w:r>
          </w:p>
        </w:tc>
        <w:tc>
          <w:tcPr>
            <w:tcW w:w="36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SEC Registration Fee</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18,820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26,375</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listing fees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Printing and filing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225,000</w:t>
            </w: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Miscellaneous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78,305</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 or the DGCL.</w:t>
      </w:r>
    </w:p>
    <w:p>
      <w:pPr>
        <w:spacing w:after="0" w:line="116"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Section 145 of the Delaware General Corporation Law concerning indemnification of officers, directors, employees and agents is set forth below.</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44" w:lineRule="exact"/>
        <w:rPr>
          <w:sz w:val="20"/>
          <w:szCs w:val="20"/>
          <w:color w:val="auto"/>
        </w:rPr>
      </w:pPr>
    </w:p>
    <w:p>
      <w:pPr>
        <w:jc w:val="both"/>
        <w:ind w:left="1320" w:right="459" w:hanging="434"/>
        <w:spacing w:after="0" w:line="268" w:lineRule="auto"/>
        <w:tabs>
          <w:tab w:leader="none" w:pos="13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12" w:lineRule="exact"/>
        <w:rPr>
          <w:rFonts w:ascii="Arial" w:cs="Arial" w:eastAsia="Arial" w:hAnsi="Arial"/>
          <w:sz w:val="17"/>
          <w:szCs w:val="17"/>
          <w:color w:val="auto"/>
        </w:rPr>
      </w:pPr>
    </w:p>
    <w:p>
      <w:pPr>
        <w:jc w:val="both"/>
        <w:ind w:left="1320" w:right="459" w:hanging="434"/>
        <w:spacing w:after="0" w:line="268" w:lineRule="auto"/>
        <w:tabs>
          <w:tab w:leader="none" w:pos="1282"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59"/>
        <w:spacing w:after="0" w:line="342" w:lineRule="auto"/>
        <w:rPr>
          <w:sz w:val="20"/>
          <w:szCs w:val="20"/>
          <w:color w:val="auto"/>
        </w:rPr>
      </w:pPr>
      <w:r>
        <w:rPr>
          <w:rFonts w:ascii="Arial" w:cs="Arial" w:eastAsia="Arial" w:hAnsi="Arial"/>
          <w:sz w:val="16"/>
          <w:szCs w:val="16"/>
          <w:color w:val="auto"/>
        </w:rPr>
        <w:t>but in view of all the circumstances of the case, such person is fairly and reasonably entitled to indemnity for such expenses which the Court of Chancery or such other court shall deem proper.</w:t>
      </w:r>
    </w:p>
    <w:p>
      <w:pPr>
        <w:spacing w:after="0" w:line="56" w:lineRule="exact"/>
        <w:rPr>
          <w:sz w:val="20"/>
          <w:szCs w:val="20"/>
          <w:color w:val="auto"/>
        </w:rPr>
      </w:pPr>
    </w:p>
    <w:p>
      <w:pPr>
        <w:jc w:val="both"/>
        <w:ind w:left="1320" w:right="459" w:hanging="434"/>
        <w:spacing w:after="0" w:line="257" w:lineRule="auto"/>
        <w:tabs>
          <w:tab w:leader="none" w:pos="133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20" w:lineRule="exact"/>
        <w:rPr>
          <w:rFonts w:ascii="Arial" w:cs="Arial" w:eastAsia="Arial" w:hAnsi="Arial"/>
          <w:sz w:val="18"/>
          <w:szCs w:val="18"/>
          <w:color w:val="auto"/>
        </w:rPr>
      </w:pPr>
    </w:p>
    <w:p>
      <w:pPr>
        <w:jc w:val="both"/>
        <w:ind w:left="1320" w:right="459" w:hanging="434"/>
        <w:spacing w:after="0" w:line="305" w:lineRule="auto"/>
        <w:tabs>
          <w:tab w:leader="none" w:pos="1273" w:val="left"/>
        </w:tabs>
        <w:numPr>
          <w:ilvl w:val="0"/>
          <w:numId w:val="75"/>
        </w:numPr>
        <w:rPr>
          <w:rFonts w:ascii="Arial" w:cs="Arial" w:eastAsia="Arial" w:hAnsi="Arial"/>
          <w:sz w:val="15"/>
          <w:szCs w:val="15"/>
          <w:color w:val="auto"/>
        </w:rPr>
      </w:pPr>
      <w:r>
        <w:rPr>
          <w:rFonts w:ascii="Arial" w:cs="Arial" w:eastAsia="Arial" w:hAnsi="Arial"/>
          <w:sz w:val="15"/>
          <w:szCs w:val="15"/>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1" w:lineRule="exact"/>
        <w:rPr>
          <w:rFonts w:ascii="Arial" w:cs="Arial" w:eastAsia="Arial" w:hAnsi="Arial"/>
          <w:sz w:val="15"/>
          <w:szCs w:val="15"/>
          <w:color w:val="auto"/>
        </w:rPr>
      </w:pPr>
    </w:p>
    <w:p>
      <w:pPr>
        <w:jc w:val="both"/>
        <w:ind w:left="1320" w:right="459" w:hanging="2"/>
        <w:spacing w:after="0" w:line="281" w:lineRule="auto"/>
        <w:tabs>
          <w:tab w:leader="none" w:pos="1589" w:val="left"/>
        </w:tabs>
        <w:numPr>
          <w:ilvl w:val="1"/>
          <w:numId w:val="75"/>
        </w:numPr>
        <w:rPr>
          <w:rFonts w:ascii="Arial" w:cs="Arial" w:eastAsia="Arial" w:hAnsi="Arial"/>
          <w:sz w:val="16"/>
          <w:szCs w:val="16"/>
          <w:color w:val="auto"/>
        </w:rPr>
      </w:pPr>
      <w:r>
        <w:rPr>
          <w:rFonts w:ascii="Arial" w:cs="Arial" w:eastAsia="Arial" w:hAnsi="Arial"/>
          <w:sz w:val="16"/>
          <w:szCs w:val="16"/>
          <w:color w:val="auto"/>
        </w:rPr>
        <w:t>and (b) of this section. Such determination shall be made, with respect to a person who is a director or officer of the corporation at the time of such determination: (1) by a majority vote of the directors who are not parties to such action, suit or proceeding, even though less than a quorum, or</w:t>
      </w:r>
    </w:p>
    <w:p>
      <w:pPr>
        <w:spacing w:after="0" w:line="1" w:lineRule="exact"/>
        <w:rPr>
          <w:rFonts w:ascii="Arial" w:cs="Arial" w:eastAsia="Arial" w:hAnsi="Arial"/>
          <w:sz w:val="16"/>
          <w:szCs w:val="16"/>
          <w:color w:val="auto"/>
        </w:rPr>
      </w:pPr>
    </w:p>
    <w:p>
      <w:pPr>
        <w:jc w:val="both"/>
        <w:ind w:left="1320" w:right="479"/>
        <w:spacing w:after="0" w:line="255" w:lineRule="auto"/>
        <w:rPr>
          <w:rFonts w:ascii="Arial" w:cs="Arial" w:eastAsia="Arial" w:hAnsi="Arial"/>
          <w:sz w:val="16"/>
          <w:szCs w:val="16"/>
          <w:color w:val="auto"/>
        </w:rPr>
      </w:pPr>
      <w:r>
        <w:rPr>
          <w:rFonts w:ascii="Arial" w:cs="Arial" w:eastAsia="Arial" w:hAnsi="Arial"/>
          <w:sz w:val="18"/>
          <w:szCs w:val="18"/>
          <w:color w:val="auto"/>
        </w:rPr>
        <w:t>(2)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08" w:lineRule="exact"/>
        <w:rPr>
          <w:rFonts w:ascii="Arial" w:cs="Arial" w:eastAsia="Arial" w:hAnsi="Arial"/>
          <w:sz w:val="16"/>
          <w:szCs w:val="16"/>
          <w:color w:val="auto"/>
        </w:rPr>
      </w:pPr>
    </w:p>
    <w:p>
      <w:pPr>
        <w:jc w:val="both"/>
        <w:ind w:left="1320" w:right="459" w:hanging="434"/>
        <w:spacing w:after="0" w:line="254" w:lineRule="auto"/>
        <w:tabs>
          <w:tab w:leader="none" w:pos="14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24" w:lineRule="exact"/>
        <w:rPr>
          <w:rFonts w:ascii="Arial" w:cs="Arial" w:eastAsia="Arial" w:hAnsi="Arial"/>
          <w:sz w:val="18"/>
          <w:szCs w:val="18"/>
          <w:color w:val="auto"/>
        </w:rPr>
      </w:pPr>
    </w:p>
    <w:p>
      <w:pPr>
        <w:jc w:val="both"/>
        <w:ind w:left="1320" w:right="459" w:hanging="434"/>
        <w:spacing w:after="0" w:line="287" w:lineRule="auto"/>
        <w:tabs>
          <w:tab w:leader="none" w:pos="1376"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the certificate of incorporation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04" w:lineRule="exact"/>
        <w:rPr>
          <w:rFonts w:ascii="Arial" w:cs="Arial" w:eastAsia="Arial" w:hAnsi="Arial"/>
          <w:sz w:val="16"/>
          <w:szCs w:val="16"/>
          <w:color w:val="auto"/>
        </w:rPr>
      </w:pPr>
    </w:p>
    <w:p>
      <w:pPr>
        <w:jc w:val="both"/>
        <w:ind w:left="1320" w:right="459" w:hanging="434"/>
        <w:spacing w:after="0" w:line="293" w:lineRule="auto"/>
        <w:tabs>
          <w:tab w:leader="none" w:pos="1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83" w:lineRule="exact"/>
        <w:rPr>
          <w:rFonts w:ascii="Arial" w:cs="Arial" w:eastAsia="Arial" w:hAnsi="Arial"/>
          <w:sz w:val="16"/>
          <w:szCs w:val="16"/>
          <w:color w:val="auto"/>
        </w:rPr>
      </w:pPr>
    </w:p>
    <w:p>
      <w:pPr>
        <w:jc w:val="both"/>
        <w:ind w:left="1320" w:right="459" w:hanging="434"/>
        <w:spacing w:after="0" w:line="289" w:lineRule="auto"/>
        <w:tabs>
          <w:tab w:leader="none" w:pos="1283"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98" w:lineRule="exact"/>
        <w:rPr>
          <w:rFonts w:ascii="Arial" w:cs="Arial" w:eastAsia="Arial" w:hAnsi="Arial"/>
          <w:sz w:val="16"/>
          <w:szCs w:val="16"/>
          <w:color w:val="auto"/>
        </w:rPr>
      </w:pPr>
    </w:p>
    <w:p>
      <w:pPr>
        <w:jc w:val="both"/>
        <w:ind w:left="1320" w:right="459" w:hanging="434"/>
        <w:spacing w:after="0" w:line="259" w:lineRule="auto"/>
        <w:tabs>
          <w:tab w:leader="none" w:pos="13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5" w:lineRule="auto"/>
        <w:rPr>
          <w:sz w:val="20"/>
          <w:szCs w:val="20"/>
          <w:color w:val="auto"/>
        </w:rPr>
      </w:pPr>
      <w:r>
        <w:rPr>
          <w:rFonts w:ascii="Arial" w:cs="Arial" w:eastAsia="Arial" w:hAnsi="Arial"/>
          <w:sz w:val="18"/>
          <w:szCs w:val="18"/>
          <w:color w:val="auto"/>
        </w:rPr>
        <w:t>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25" w:lineRule="exact"/>
        <w:rPr>
          <w:sz w:val="20"/>
          <w:szCs w:val="20"/>
          <w:color w:val="auto"/>
        </w:rPr>
      </w:pPr>
    </w:p>
    <w:p>
      <w:pPr>
        <w:jc w:val="both"/>
        <w:ind w:left="1320" w:right="479" w:hanging="434"/>
        <w:spacing w:after="0" w:line="259" w:lineRule="auto"/>
        <w:tabs>
          <w:tab w:leader="none" w:pos="131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19" w:lineRule="exact"/>
        <w:rPr>
          <w:rFonts w:ascii="Arial" w:cs="Arial" w:eastAsia="Arial" w:hAnsi="Arial"/>
          <w:sz w:val="18"/>
          <w:szCs w:val="18"/>
          <w:color w:val="auto"/>
        </w:rPr>
      </w:pPr>
    </w:p>
    <w:p>
      <w:pPr>
        <w:jc w:val="both"/>
        <w:ind w:left="1320" w:right="459" w:hanging="434"/>
        <w:spacing w:after="0" w:line="301" w:lineRule="auto"/>
        <w:tabs>
          <w:tab w:leader="none" w:pos="1289"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7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1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accordance with Section 102(b)(7) of the DGCL, our certificate of incorporation provides that our directors will not be personally liable for monetary damages resulting from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14"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w:t>
      </w:r>
    </w:p>
    <w:p>
      <w:pPr>
        <w:spacing w:after="0" w:line="8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certificate of incorporation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1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1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11"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97"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10.6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48" w:lineRule="exact"/>
        <w:rPr>
          <w:sz w:val="20"/>
          <w:szCs w:val="20"/>
          <w:color w:val="auto"/>
        </w:rPr>
      </w:pPr>
    </w:p>
    <w:p>
      <w:pPr>
        <w:jc w:val="both"/>
        <w:ind w:left="1320" w:right="459" w:hanging="434"/>
        <w:spacing w:after="0" w:line="267" w:lineRule="auto"/>
        <w:tabs>
          <w:tab w:leader="none" w:pos="1432" w:val="left"/>
        </w:tabs>
        <w:numPr>
          <w:ilvl w:val="0"/>
          <w:numId w:val="77"/>
        </w:numPr>
        <w:rPr>
          <w:rFonts w:ascii="Arial" w:cs="Arial" w:eastAsia="Arial" w:hAnsi="Arial"/>
          <w:sz w:val="17"/>
          <w:szCs w:val="17"/>
          <w:color w:val="auto"/>
        </w:rPr>
      </w:pPr>
      <w:r>
        <w:rPr>
          <w:rFonts w:ascii="Arial" w:cs="Arial" w:eastAsia="Arial" w:hAnsi="Arial"/>
          <w:sz w:val="17"/>
          <w:szCs w:val="17"/>
          <w:color w:val="auto"/>
        </w:rPr>
        <w:t>On September 19, 2019, Chardan International Investments, LLC purchased 5,000,000 shares of common stock from us for $25,000. On July 23, 2020, Chardan International Investments, LLC sold 3,250,000 shares of common stock back to us for $16,250. On August 25, 2020, Chardan International Investments, LLC transferred 256,375 shares of common stock back to us for nominal consideration, which shares were cancelled, resulting in Chardan International Investments, LLC holding a balance of 1,493,625 shares of common stock. On July 23, 2020, Ventoux Acquisition Holdings LLC purchased 3,250,000 shares of common stock from us for $16,250. On August 25, 2020, Ventoux Acquisition Holdings LLC transferred 431,125 shares of common stock back to us for nominal considerations, which shares were cancelled. As of the date hereof, Ventoux Acquisition Holdings LLC holds 2,818,875 shares of common stock, of which Ventoux Acquisition Holdings LLC intends to distribute 67,500 shares to certain of our directors prior to the consummation of the offering, resulting in Ventoux Acquisition Holdings LLC holding a balance of 2,751,375 shares. We refer to these shares held by our co-sponsors, officers and directors as “founder” shares or “insider shares. The founder shares include an aggregate of up to 562,500 shares that are subject to forfeiture to the extent that the underwriters’ over-allotment option is not exercised in full or in part. Because these offers and sales were made in transactions not involving a public offering, the shares were issued in reliance on the exemption from registration contained in Section 4(a)(2) of the Securities Act.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88" w:lineRule="auto"/>
        <w:tabs>
          <w:tab w:leader="none" w:pos="1378" w:val="left"/>
        </w:tabs>
        <w:numPr>
          <w:ilvl w:val="0"/>
          <w:numId w:val="78"/>
        </w:numPr>
        <w:rPr>
          <w:rFonts w:ascii="Arial" w:cs="Arial" w:eastAsia="Arial" w:hAnsi="Arial"/>
          <w:sz w:val="16"/>
          <w:szCs w:val="16"/>
          <w:color w:val="auto"/>
        </w:rPr>
      </w:pPr>
      <w:r>
        <w:rPr>
          <w:rFonts w:ascii="Arial" w:cs="Arial" w:eastAsia="Arial" w:hAnsi="Arial"/>
          <w:sz w:val="16"/>
          <w:szCs w:val="16"/>
          <w:color w:val="auto"/>
        </w:rPr>
        <w:t>Ventoux Acquisition Holdings LLC has committed to purchase from us an aggregate of 4,000,000 warrants (or 4,450,000 warrants if the over-allotment option is exercised in full), and Chardan International Investments,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Because this offer and sale is being made to existing stockholders, the sale does not involve a public offering and is being made in reliance on the exemption from registration contained in Section 4(a)(2) of the Securities Act.</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62" w:lineRule="exact"/>
        <w:rPr>
          <w:sz w:val="20"/>
          <w:szCs w:val="20"/>
          <w:color w:val="auto"/>
        </w:rPr>
      </w:pPr>
    </w:p>
    <w:p>
      <w:pPr>
        <w:ind w:left="1300" w:hanging="41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following exhibits are filed as part of this Registration Statement: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460"/>
        <w:spacing w:after="0"/>
        <w:tabs>
          <w:tab w:leader="none" w:pos="442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Description</w:t>
      </w:r>
    </w:p>
    <w:p>
      <w:pPr>
        <w:spacing w:after="0" w:line="65"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40" w:type="dxa"/>
            <w:vAlign w:val="bottom"/>
            <w:shd w:val="clear" w:color="auto" w:fill="000000"/>
          </w:tcPr>
          <w:p>
            <w:pPr>
              <w:spacing w:after="0" w:line="20" w:lineRule="exact"/>
              <w:rPr>
                <w:sz w:val="1"/>
                <w:szCs w:val="1"/>
                <w:color w:val="auto"/>
              </w:rPr>
            </w:pPr>
          </w:p>
        </w:tc>
      </w:tr>
      <w:tr>
        <w:trPr>
          <w:trHeight w:val="243"/>
        </w:trPr>
        <w:tc>
          <w:tcPr>
            <w:tcW w:w="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1.1*</w:t>
            </w:r>
          </w:p>
        </w:tc>
        <w:tc>
          <w:tcPr>
            <w:tcW w:w="7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Form of Underwriting Agreement.</w:t>
            </w: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1.2*</w:t>
            </w:r>
          </w:p>
        </w:tc>
        <w:tc>
          <w:tcPr>
            <w:tcW w:w="7520" w:type="dxa"/>
            <w:vAlign w:val="bottom"/>
            <w:gridSpan w:val="2"/>
          </w:tcPr>
          <w:p>
            <w:pPr>
              <w:ind w:left="80"/>
              <w:spacing w:after="0"/>
              <w:rPr>
                <w:sz w:val="20"/>
                <w:szCs w:val="20"/>
                <w:color w:val="auto"/>
              </w:rPr>
            </w:pPr>
            <w:r>
              <w:rPr>
                <w:rFonts w:ascii="Arial" w:cs="Arial" w:eastAsia="Arial" w:hAnsi="Arial"/>
                <w:sz w:val="18"/>
                <w:szCs w:val="18"/>
                <w:color w:val="auto"/>
              </w:rPr>
              <w:t>Form of Business Combination Marketing Agreement.</w:t>
            </w:r>
          </w:p>
        </w:tc>
      </w:tr>
      <w:tr>
        <w:trPr>
          <w:trHeight w:val="40"/>
        </w:trPr>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63"/>
        </w:trPr>
        <w:tc>
          <w:tcPr>
            <w:tcW w:w="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3.1</w:t>
            </w:r>
          </w:p>
        </w:tc>
        <w:tc>
          <w:tcPr>
            <w:tcW w:w="7520" w:type="dxa"/>
            <w:vAlign w:val="bottom"/>
            <w:tcBorders>
              <w:bottom w:val="single" w:sz="8" w:color="CCEEFF"/>
            </w:tcBorders>
            <w:gridSpan w:val="2"/>
            <w:shd w:val="clear" w:color="auto" w:fill="CCEEFF"/>
          </w:tcPr>
          <w:p>
            <w:pPr>
              <w:ind w:left="8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Certificate of Incorporation.</w:t>
              </w:r>
            </w:hyperlink>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3.2</w:t>
            </w:r>
          </w:p>
        </w:tc>
        <w:tc>
          <w:tcPr>
            <w:tcW w:w="7520" w:type="dxa"/>
            <w:vAlign w:val="bottom"/>
            <w:gridSpan w:val="2"/>
          </w:tcPr>
          <w:p>
            <w:pPr>
              <w:ind w:left="8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Certificate of Amendment to Certificate of Incorporation.</w:t>
              </w:r>
            </w:hyperlink>
          </w:p>
        </w:tc>
      </w:tr>
      <w:tr>
        <w:trPr>
          <w:trHeight w:val="40"/>
        </w:trPr>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64"/>
        </w:trPr>
        <w:tc>
          <w:tcPr>
            <w:tcW w:w="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3.3</w:t>
            </w:r>
          </w:p>
        </w:tc>
        <w:tc>
          <w:tcPr>
            <w:tcW w:w="7520" w:type="dxa"/>
            <w:vAlign w:val="bottom"/>
            <w:tcBorders>
              <w:bottom w:val="single" w:sz="8" w:color="CCEEFF"/>
            </w:tcBorders>
            <w:gridSpan w:val="2"/>
            <w:shd w:val="clear" w:color="auto" w:fill="CCEEFF"/>
          </w:tcPr>
          <w:p>
            <w:pPr>
              <w:ind w:left="8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Certificate of Amendment to Certificate of Incorporation.</w:t>
              </w:r>
            </w:hyperlink>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3.4*</w:t>
            </w:r>
          </w:p>
        </w:tc>
        <w:tc>
          <w:tcPr>
            <w:tcW w:w="7520" w:type="dxa"/>
            <w:vAlign w:val="bottom"/>
            <w:gridSpan w:val="2"/>
          </w:tcPr>
          <w:p>
            <w:pPr>
              <w:ind w:left="80"/>
              <w:spacing w:after="0"/>
              <w:rPr>
                <w:sz w:val="20"/>
                <w:szCs w:val="20"/>
                <w:color w:val="auto"/>
              </w:rPr>
            </w:pPr>
            <w:r>
              <w:rPr>
                <w:rFonts w:ascii="Arial" w:cs="Arial" w:eastAsia="Arial" w:hAnsi="Arial"/>
                <w:sz w:val="18"/>
                <w:szCs w:val="18"/>
                <w:color w:val="auto"/>
              </w:rPr>
              <w:t>Form of Amended and Restated Certificate of Incorporation.</w:t>
            </w:r>
          </w:p>
        </w:tc>
      </w:tr>
      <w:tr>
        <w:trPr>
          <w:trHeight w:val="41"/>
        </w:trPr>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43"/>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7520" w:type="dxa"/>
            <w:vAlign w:val="bottom"/>
            <w:gridSpan w:val="2"/>
            <w:shd w:val="clear" w:color="auto" w:fill="CCEEFF"/>
          </w:tcPr>
          <w:p>
            <w:pPr>
              <w:ind w:left="8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Bylaws.</w:t>
              </w:r>
            </w:hyperlink>
          </w:p>
        </w:tc>
      </w:tr>
      <w:tr>
        <w:trPr>
          <w:trHeight w:val="41"/>
        </w:trPr>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40" w:type="dxa"/>
            <w:vAlign w:val="bottom"/>
            <w:shd w:val="clear" w:color="auto" w:fill="CCEEFF"/>
          </w:tcPr>
          <w:p>
            <w:pPr>
              <w:spacing w:after="0"/>
              <w:rPr>
                <w:sz w:val="3"/>
                <w:szCs w:val="3"/>
                <w:color w:val="auto"/>
              </w:rPr>
            </w:pPr>
          </w:p>
        </w:tc>
      </w:tr>
    </w:tbl>
    <w:p>
      <w:pPr>
        <w:spacing w:after="0" w:line="1" w:lineRule="exact"/>
        <w:rPr>
          <w:sz w:val="20"/>
          <w:szCs w:val="20"/>
          <w:color w:val="auto"/>
        </w:rPr>
      </w:pPr>
    </w:p>
    <w:p>
      <w:pPr>
        <w:sectPr>
          <w:pgSz w:w="11900" w:h="16838" w:orient="portrait"/>
          <w:cols w:equalWidth="0" w:num="1">
            <w:col w:w="9019"/>
          </w:cols>
          <w:pgMar w:left="1440" w:top="274" w:right="1440" w:bottom="1440" w:gutter="0" w:footer="0" w:header="0"/>
        </w:sectPr>
      </w:pPr>
    </w:p>
    <w:p>
      <w:pPr>
        <w:ind w:left="460"/>
        <w:spacing w:after="0"/>
        <w:rPr>
          <w:sz w:val="20"/>
          <w:szCs w:val="20"/>
          <w:color w:val="auto"/>
        </w:rPr>
      </w:pPr>
      <w:r>
        <w:rPr>
          <w:rFonts w:ascii="Arial" w:cs="Arial" w:eastAsia="Arial" w:hAnsi="Arial"/>
          <w:sz w:val="18"/>
          <w:szCs w:val="18"/>
          <w:color w:val="auto"/>
        </w:rPr>
        <w:t>4.1*</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Specimen Unit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40640</wp:posOffset>
            </wp:positionV>
            <wp:extent cx="514350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Specimen Common Stock Certificate.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Specimen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40640</wp:posOffset>
            </wp:positionV>
            <wp:extent cx="514350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Form of Warrant Agreement between Continental Stock Transfer &amp; Trust Company and the Registrant.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Form of Rights Agreement between Continental Stock Transfer &amp; Trust Company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55245</wp:posOffset>
            </wp:positionV>
            <wp:extent cx="5143500" cy="180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Form of Opinion of Loeb &amp; Loeb LLP.</w:t>
      </w:r>
    </w:p>
    <w:p>
      <w:pPr>
        <w:spacing w:after="0" w:line="50" w:lineRule="exact"/>
        <w:rPr>
          <w:sz w:val="20"/>
          <w:szCs w:val="20"/>
          <w:color w:val="auto"/>
        </w:rPr>
      </w:pPr>
    </w:p>
    <w:p>
      <w:pPr>
        <w:ind w:right="479"/>
        <w:spacing w:after="0" w:line="273" w:lineRule="auto"/>
        <w:rPr>
          <w:sz w:val="20"/>
          <w:szCs w:val="20"/>
          <w:color w:val="auto"/>
        </w:rPr>
      </w:pPr>
      <w:r>
        <w:rPr>
          <w:rFonts w:ascii="Arial" w:cs="Arial" w:eastAsia="Arial" w:hAnsi="Arial"/>
          <w:sz w:val="18"/>
          <w:szCs w:val="18"/>
          <w:color w:val="auto"/>
        </w:rPr>
        <w:t>Form of Letter Agreement among the Registrant, Chardan Capital Markets, LLC and the Company’s officers, directors and stockholders.</w:t>
      </w:r>
    </w:p>
    <w:p>
      <w:pPr>
        <w:spacing w:after="0" w:line="2" w:lineRule="exact"/>
        <w:rPr>
          <w:sz w:val="20"/>
          <w:szCs w:val="20"/>
          <w:color w:val="auto"/>
        </w:rPr>
      </w:pPr>
    </w:p>
    <w:p>
      <w:pPr>
        <w:sectPr>
          <w:pgSz w:w="11900" w:h="16838" w:orient="portrait"/>
          <w:cols w:equalWidth="0" w:num="2">
            <w:col w:w="860" w:space="260"/>
            <w:col w:w="7899"/>
          </w:cols>
          <w:pgMar w:left="1440" w:top="274" w:right="1440" w:bottom="1440" w:gutter="0" w:footer="0" w:header="0"/>
          <w:type w:val="continuous"/>
        </w:sectPr>
      </w:pPr>
    </w:p>
    <w:p>
      <w:pPr>
        <w:ind w:left="1120" w:right="459" w:hanging="660"/>
        <w:spacing w:after="0" w:line="273" w:lineRule="auto"/>
        <w:tabs>
          <w:tab w:leader="none" w:pos="1100" w:val="left"/>
        </w:tabs>
        <w:rPr>
          <w:sz w:val="20"/>
          <w:szCs w:val="20"/>
          <w:color w:val="auto"/>
        </w:rPr>
      </w:pPr>
      <w:r>
        <w:rPr>
          <w:rFonts w:ascii="Arial" w:cs="Arial" w:eastAsia="Arial" w:hAnsi="Arial"/>
          <w:sz w:val="18"/>
          <w:szCs w:val="18"/>
          <w:color w:val="auto"/>
        </w:rPr>
        <w:t>10.2*</w:t>
        <w:tab/>
        <w:t>Form of Investment Management Trust Agreement between Continental Stock Transfer &amp; Trust Company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-289560</wp:posOffset>
            </wp:positionV>
            <wp:extent cx="5143500" cy="3003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10.3*</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10.4*</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10.5*</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10.6*</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br w:type="column"/>
      </w:r>
    </w:p>
    <w:p>
      <w:pPr>
        <w:ind w:right="479"/>
        <w:spacing w:after="0" w:line="273" w:lineRule="auto"/>
        <w:rPr>
          <w:sz w:val="20"/>
          <w:szCs w:val="20"/>
          <w:color w:val="auto"/>
        </w:rPr>
      </w:pPr>
      <w:r>
        <w:rPr>
          <w:rFonts w:ascii="Arial" w:cs="Arial" w:eastAsia="Arial" w:hAnsi="Arial"/>
          <w:sz w:val="18"/>
          <w:szCs w:val="18"/>
          <w:color w:val="auto"/>
        </w:rPr>
        <w:t>Form of Escrow Agreement between the Registrant, Continental Stock Transfer &amp; Trust Company and the Initial Stockholders.</w:t>
      </w:r>
    </w:p>
    <w:p>
      <w:pPr>
        <w:spacing w:after="0" w:line="2" w:lineRule="exact"/>
        <w:rPr>
          <w:sz w:val="20"/>
          <w:szCs w:val="20"/>
          <w:color w:val="auto"/>
        </w:rPr>
      </w:pPr>
    </w:p>
    <w:p>
      <w:pPr>
        <w:ind w:right="459"/>
        <w:spacing w:after="0" w:line="273" w:lineRule="auto"/>
        <w:rPr>
          <w:sz w:val="20"/>
          <w:szCs w:val="20"/>
          <w:color w:val="auto"/>
        </w:rPr>
      </w:pPr>
      <w:r>
        <w:rPr>
          <w:rFonts w:ascii="Arial" w:cs="Arial" w:eastAsia="Arial" w:hAnsi="Arial"/>
          <w:sz w:val="18"/>
          <w:szCs w:val="18"/>
          <w:color w:val="auto"/>
        </w:rPr>
        <w:t>Form of Registration Rights Agreement among the Registrant, the Initial Stockholders and Continental Stock Transfer &amp;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-289560</wp:posOffset>
            </wp:positionV>
            <wp:extent cx="5143500" cy="2997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299720"/>
                    </a:xfrm>
                    <a:prstGeom prst="rect">
                      <a:avLst/>
                    </a:prstGeom>
                    <a:noFill/>
                  </pic:spPr>
                </pic:pic>
              </a:graphicData>
            </a:graphic>
          </wp:anchor>
        </w:drawing>
      </w:r>
    </w:p>
    <w:p>
      <w:pPr>
        <w:ind w:right="459"/>
        <w:spacing w:after="0" w:line="277" w:lineRule="auto"/>
        <w:rPr>
          <w:sz w:val="20"/>
          <w:szCs w:val="20"/>
          <w:color w:val="auto"/>
        </w:rPr>
      </w:pPr>
      <w:r>
        <w:rPr>
          <w:rFonts w:ascii="Arial" w:cs="Arial" w:eastAsia="Arial" w:hAnsi="Arial"/>
          <w:sz w:val="18"/>
          <w:szCs w:val="18"/>
          <w:color w:val="auto"/>
        </w:rPr>
        <w:t>Form of Subscription Agreement among the Registrant, the Initial Stockholders and 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5715</wp:posOffset>
            </wp:positionV>
            <wp:extent cx="5143500"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Form of Indemnity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Form of Code of Ethics.</w:t>
      </w:r>
    </w:p>
    <w:p>
      <w:pPr>
        <w:spacing w:after="0" w:line="64" w:lineRule="exact"/>
        <w:rPr>
          <w:sz w:val="20"/>
          <w:szCs w:val="20"/>
          <w:color w:val="auto"/>
        </w:rPr>
      </w:pPr>
    </w:p>
    <w:p>
      <w:pPr>
        <w:sectPr>
          <w:pgSz w:w="11900" w:h="16838" w:orient="portrait"/>
          <w:cols w:equalWidth="0" w:num="2">
            <w:col w:w="860" w:space="260"/>
            <w:col w:w="789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63"/>
        </w:trPr>
        <w:tc>
          <w:tcPr>
            <w:tcW w:w="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23.1</w:t>
            </w:r>
          </w:p>
        </w:tc>
        <w:tc>
          <w:tcPr>
            <w:tcW w:w="7580" w:type="dxa"/>
            <w:vAlign w:val="bottom"/>
            <w:tcBorders>
              <w:bottom w:val="single" w:sz="8" w:color="CCEEFF"/>
            </w:tcBorders>
            <w:shd w:val="clear" w:color="auto" w:fill="CCEEFF"/>
          </w:tcPr>
          <w:p>
            <w:pPr>
              <w:ind w:left="140"/>
              <w:spacing w:after="0"/>
              <w:rPr>
                <w:rFonts w:ascii="Arial" w:cs="Arial" w:eastAsia="Arial" w:hAnsi="Arial"/>
                <w:sz w:val="18"/>
                <w:szCs w:val="18"/>
                <w:color w:val="215E9E"/>
              </w:rPr>
            </w:pPr>
            <w:hyperlink w:anchor="page151">
              <w:r>
                <w:rPr>
                  <w:rFonts w:ascii="Arial" w:cs="Arial" w:eastAsia="Arial" w:hAnsi="Arial"/>
                  <w:sz w:val="18"/>
                  <w:szCs w:val="18"/>
                  <w:u w:val="single" w:color="auto"/>
                  <w:color w:val="215E9E"/>
                </w:rPr>
                <w:t>Consent of WithumSmith+Brown, P.C</w:t>
              </w:r>
              <w:r>
                <w:rPr>
                  <w:rFonts w:ascii="Arial" w:cs="Arial" w:eastAsia="Arial" w:hAnsi="Arial"/>
                  <w:sz w:val="18"/>
                  <w:szCs w:val="18"/>
                  <w:color w:val="215E9E"/>
                </w:rPr>
                <w:t>.</w:t>
              </w:r>
            </w:hyperlink>
          </w:p>
        </w:tc>
      </w:tr>
      <w:tr>
        <w:trPr>
          <w:trHeight w:val="243"/>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7580" w:type="dxa"/>
            <w:vAlign w:val="bottom"/>
          </w:tcPr>
          <w:p>
            <w:pPr>
              <w:ind w:left="140"/>
              <w:spacing w:after="0"/>
              <w:rPr>
                <w:sz w:val="20"/>
                <w:szCs w:val="20"/>
                <w:color w:val="auto"/>
              </w:rPr>
            </w:pPr>
            <w:r>
              <w:rPr>
                <w:rFonts w:ascii="Arial" w:cs="Arial" w:eastAsia="Arial" w:hAnsi="Arial"/>
                <w:sz w:val="18"/>
                <w:szCs w:val="18"/>
                <w:color w:val="auto"/>
              </w:rPr>
              <w:t>Consent of Loeb &amp; Loeb LLP (included in Exhibit 5.1).</w:t>
            </w:r>
          </w:p>
        </w:tc>
      </w:tr>
      <w:tr>
        <w:trPr>
          <w:trHeight w:val="40"/>
        </w:trPr>
        <w:tc>
          <w:tcPr>
            <w:tcW w:w="52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64"/>
        </w:trPr>
        <w:tc>
          <w:tcPr>
            <w:tcW w:w="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99.1*</w:t>
            </w:r>
          </w:p>
        </w:tc>
        <w:tc>
          <w:tcPr>
            <w:tcW w:w="7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Form of Nominating Committee Charter.</w:t>
            </w:r>
          </w:p>
        </w:tc>
      </w:tr>
      <w:tr>
        <w:trPr>
          <w:trHeight w:val="243"/>
        </w:trPr>
        <w:tc>
          <w:tcPr>
            <w:tcW w:w="520" w:type="dxa"/>
            <w:vAlign w:val="bottom"/>
          </w:tcPr>
          <w:p>
            <w:pPr>
              <w:spacing w:after="0"/>
              <w:rPr>
                <w:sz w:val="20"/>
                <w:szCs w:val="20"/>
                <w:color w:val="auto"/>
              </w:rPr>
            </w:pPr>
            <w:r>
              <w:rPr>
                <w:rFonts w:ascii="Arial" w:cs="Arial" w:eastAsia="Arial" w:hAnsi="Arial"/>
                <w:sz w:val="18"/>
                <w:szCs w:val="18"/>
                <w:color w:val="auto"/>
              </w:rPr>
              <w:t>99.2*</w:t>
            </w:r>
          </w:p>
        </w:tc>
        <w:tc>
          <w:tcPr>
            <w:tcW w:w="7580" w:type="dxa"/>
            <w:vAlign w:val="bottom"/>
          </w:tcPr>
          <w:p>
            <w:pPr>
              <w:ind w:left="140"/>
              <w:spacing w:after="0"/>
              <w:rPr>
                <w:sz w:val="20"/>
                <w:szCs w:val="20"/>
                <w:color w:val="auto"/>
              </w:rPr>
            </w:pPr>
            <w:r>
              <w:rPr>
                <w:rFonts w:ascii="Arial" w:cs="Arial" w:eastAsia="Arial" w:hAnsi="Arial"/>
                <w:sz w:val="18"/>
                <w:szCs w:val="18"/>
                <w:color w:val="auto"/>
              </w:rPr>
              <w:t>Form of Audit Committee Charter.</w:t>
            </w:r>
          </w:p>
        </w:tc>
      </w:tr>
      <w:tr>
        <w:trPr>
          <w:trHeight w:val="41"/>
        </w:trPr>
        <w:tc>
          <w:tcPr>
            <w:tcW w:w="52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64"/>
        </w:trPr>
        <w:tc>
          <w:tcPr>
            <w:tcW w:w="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99.3*</w:t>
            </w:r>
          </w:p>
        </w:tc>
        <w:tc>
          <w:tcPr>
            <w:tcW w:w="7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Form of Compensation Committee Charter.</w:t>
            </w:r>
          </w:p>
        </w:tc>
      </w:tr>
      <w:tr>
        <w:trPr>
          <w:trHeight w:val="243"/>
        </w:trPr>
        <w:tc>
          <w:tcPr>
            <w:tcW w:w="520" w:type="dxa"/>
            <w:vAlign w:val="bottom"/>
          </w:tcPr>
          <w:p>
            <w:pPr>
              <w:spacing w:after="0"/>
              <w:rPr>
                <w:sz w:val="20"/>
                <w:szCs w:val="20"/>
                <w:color w:val="auto"/>
              </w:rPr>
            </w:pPr>
            <w:r>
              <w:rPr>
                <w:rFonts w:ascii="Arial" w:cs="Arial" w:eastAsia="Arial" w:hAnsi="Arial"/>
                <w:sz w:val="18"/>
                <w:szCs w:val="18"/>
                <w:color w:val="auto"/>
              </w:rPr>
              <w:t>99.4</w:t>
            </w:r>
          </w:p>
        </w:tc>
        <w:tc>
          <w:tcPr>
            <w:tcW w:w="7580" w:type="dxa"/>
            <w:vAlign w:val="bottom"/>
          </w:tcPr>
          <w:p>
            <w:pPr>
              <w:ind w:left="14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Consent of Alex Weil.</w:t>
              </w:r>
            </w:hyperlink>
          </w:p>
        </w:tc>
      </w:tr>
      <w:tr>
        <w:trPr>
          <w:trHeight w:val="40"/>
        </w:trPr>
        <w:tc>
          <w:tcPr>
            <w:tcW w:w="52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64"/>
        </w:trPr>
        <w:tc>
          <w:tcPr>
            <w:tcW w:w="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99.5</w:t>
            </w:r>
          </w:p>
        </w:tc>
        <w:tc>
          <w:tcPr>
            <w:tcW w:w="7580" w:type="dxa"/>
            <w:vAlign w:val="bottom"/>
            <w:tcBorders>
              <w:bottom w:val="single" w:sz="8" w:color="CCEEFF"/>
            </w:tcBorders>
            <w:shd w:val="clear" w:color="auto" w:fill="CCEEFF"/>
          </w:tcPr>
          <w:p>
            <w:pPr>
              <w:ind w:left="140"/>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Consent of Woodrow H. Levin.</w:t>
              </w:r>
            </w:hyperlink>
          </w:p>
        </w:tc>
      </w:tr>
      <w:tr>
        <w:trPr>
          <w:trHeight w:val="243"/>
        </w:trPr>
        <w:tc>
          <w:tcPr>
            <w:tcW w:w="520" w:type="dxa"/>
            <w:vAlign w:val="bottom"/>
          </w:tcPr>
          <w:p>
            <w:pPr>
              <w:spacing w:after="0"/>
              <w:rPr>
                <w:sz w:val="20"/>
                <w:szCs w:val="20"/>
                <w:color w:val="auto"/>
              </w:rPr>
            </w:pPr>
            <w:r>
              <w:rPr>
                <w:rFonts w:ascii="Arial" w:cs="Arial" w:eastAsia="Arial" w:hAnsi="Arial"/>
                <w:sz w:val="18"/>
                <w:szCs w:val="18"/>
                <w:color w:val="auto"/>
              </w:rPr>
              <w:t>99.6</w:t>
            </w:r>
          </w:p>
        </w:tc>
        <w:tc>
          <w:tcPr>
            <w:tcW w:w="7580" w:type="dxa"/>
            <w:vAlign w:val="bottom"/>
          </w:tcPr>
          <w:p>
            <w:pPr>
              <w:ind w:left="140"/>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Consent of Julie Atkinson.</w:t>
              </w:r>
            </w:hyperlink>
          </w:p>
        </w:tc>
      </w:tr>
      <w:tr>
        <w:trPr>
          <w:trHeight w:val="41"/>
        </w:trPr>
        <w:tc>
          <w:tcPr>
            <w:tcW w:w="52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43"/>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99.7</w:t>
            </w:r>
          </w:p>
        </w:tc>
        <w:tc>
          <w:tcPr>
            <w:tcW w:w="7580" w:type="dxa"/>
            <w:vAlign w:val="bottom"/>
            <w:shd w:val="clear" w:color="auto" w:fill="CCEEFF"/>
          </w:tcPr>
          <w:p>
            <w:pPr>
              <w:ind w:left="140"/>
              <w:spacing w:after="0"/>
              <w:rPr>
                <w:rFonts w:ascii="Arial" w:cs="Arial" w:eastAsia="Arial" w:hAnsi="Arial"/>
                <w:sz w:val="18"/>
                <w:szCs w:val="18"/>
                <w:color w:val="0000EE"/>
              </w:rPr>
            </w:pPr>
            <w:hyperlink w:anchor="page155">
              <w:r>
                <w:rPr>
                  <w:rFonts w:ascii="Arial" w:cs="Arial" w:eastAsia="Arial" w:hAnsi="Arial"/>
                  <w:sz w:val="18"/>
                  <w:szCs w:val="18"/>
                  <w:u w:val="single" w:color="auto"/>
                  <w:color w:val="0000EE"/>
                </w:rPr>
                <w:t>Consent of Christian Ahrens</w:t>
              </w:r>
              <w:r>
                <w:rPr>
                  <w:rFonts w:ascii="Arial" w:cs="Arial" w:eastAsia="Arial" w:hAnsi="Arial"/>
                  <w:sz w:val="18"/>
                  <w:szCs w:val="18"/>
                  <w:color w:val="0000EE"/>
                </w:rPr>
                <w:t>.</w:t>
              </w:r>
            </w:hyperlink>
          </w:p>
        </w:tc>
      </w:tr>
      <w:tr>
        <w:trPr>
          <w:trHeight w:val="40"/>
        </w:trPr>
        <w:tc>
          <w:tcPr>
            <w:tcW w:w="520" w:type="dxa"/>
            <w:vAlign w:val="bottom"/>
            <w:shd w:val="clear" w:color="auto" w:fill="CCEEFF"/>
          </w:tcPr>
          <w:p>
            <w:pPr>
              <w:spacing w:after="0"/>
              <w:rPr>
                <w:sz w:val="3"/>
                <w:szCs w:val="3"/>
                <w:color w:val="auto"/>
              </w:rPr>
            </w:pPr>
          </w:p>
        </w:tc>
        <w:tc>
          <w:tcPr>
            <w:tcW w:w="758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be filed by amendment.</w:t>
      </w:r>
    </w:p>
    <w:p>
      <w:pPr>
        <w:sectPr>
          <w:pgSz w:w="11900" w:h="16838" w:orient="portrait"/>
          <w:cols w:equalWidth="0" w:num="1">
            <w:col w:w="9019"/>
          </w:cols>
          <w:pgMar w:left="1440" w:top="274" w:right="1440" w:bottom="1440" w:gutter="0" w:footer="0" w:header="0"/>
          <w:type w:val="continuous"/>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1" w:name="page132"/>
    <w:bookmarkEnd w:id="13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48" w:lineRule="exact"/>
        <w:rPr>
          <w:sz w:val="20"/>
          <w:szCs w:val="20"/>
          <w:color w:val="auto"/>
        </w:rPr>
      </w:pPr>
    </w:p>
    <w:p>
      <w:pPr>
        <w:jc w:val="both"/>
        <w:ind w:left="1320" w:right="479" w:hanging="434"/>
        <w:spacing w:after="0" w:line="286" w:lineRule="auto"/>
        <w:tabs>
          <w:tab w:leader="none" w:pos="1328"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97" w:lineRule="exact"/>
        <w:rPr>
          <w:rFonts w:ascii="Arial" w:cs="Arial" w:eastAsia="Arial" w:hAnsi="Arial"/>
          <w:sz w:val="17"/>
          <w:szCs w:val="17"/>
          <w:color w:val="auto"/>
        </w:rPr>
      </w:pPr>
    </w:p>
    <w:p>
      <w:pPr>
        <w:jc w:val="both"/>
        <w:ind w:left="1320" w:right="459" w:hanging="434"/>
        <w:spacing w:after="0" w:line="269" w:lineRule="auto"/>
        <w:tabs>
          <w:tab w:leader="none" w:pos="1281"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rFonts w:ascii="Arial" w:cs="Arial" w:eastAsia="Arial" w:hAnsi="Arial"/>
          <w:sz w:val="17"/>
          <w:szCs w:val="17"/>
          <w:color w:val="auto"/>
        </w:rPr>
      </w:pPr>
    </w:p>
    <w:p>
      <w:pPr>
        <w:ind w:left="1300" w:hanging="41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44" w:lineRule="exact"/>
        <w:rPr>
          <w:rFonts w:ascii="Arial" w:cs="Arial" w:eastAsia="Arial" w:hAnsi="Arial"/>
          <w:sz w:val="18"/>
          <w:szCs w:val="18"/>
          <w:color w:val="auto"/>
        </w:rPr>
      </w:pPr>
    </w:p>
    <w:p>
      <w:pPr>
        <w:jc w:val="both"/>
        <w:ind w:left="1760" w:right="459" w:hanging="442"/>
        <w:spacing w:after="0" w:line="269" w:lineRule="auto"/>
        <w:tabs>
          <w:tab w:leader="none" w:pos="1758" w:val="left"/>
        </w:tabs>
        <w:numPr>
          <w:ilvl w:val="1"/>
          <w:numId w:val="81"/>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1" w:lineRule="exact"/>
        <w:rPr>
          <w:rFonts w:ascii="Arial" w:cs="Arial" w:eastAsia="Arial" w:hAnsi="Arial"/>
          <w:sz w:val="17"/>
          <w:szCs w:val="17"/>
          <w:color w:val="auto"/>
        </w:rPr>
      </w:pPr>
    </w:p>
    <w:p>
      <w:pPr>
        <w:jc w:val="both"/>
        <w:ind w:left="1760" w:right="459" w:hanging="442"/>
        <w:spacing w:after="0" w:line="272" w:lineRule="auto"/>
        <w:tabs>
          <w:tab w:leader="none" w:pos="1734" w:val="left"/>
        </w:tabs>
        <w:numPr>
          <w:ilvl w:val="1"/>
          <w:numId w:val="81"/>
        </w:numPr>
        <w:rPr>
          <w:rFonts w:ascii="Arial" w:cs="Arial" w:eastAsia="Arial" w:hAnsi="Arial"/>
          <w:sz w:val="17"/>
          <w:szCs w:val="17"/>
          <w:color w:val="auto"/>
        </w:rPr>
      </w:pPr>
      <w:r>
        <w:rPr>
          <w:rFonts w:ascii="Arial" w:cs="Arial" w:eastAsia="Arial" w:hAnsi="Arial"/>
          <w:sz w:val="17"/>
          <w:szCs w:val="17"/>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9" w:lineRule="exact"/>
        <w:rPr>
          <w:rFonts w:ascii="Arial" w:cs="Arial" w:eastAsia="Arial" w:hAnsi="Arial"/>
          <w:sz w:val="17"/>
          <w:szCs w:val="17"/>
          <w:color w:val="auto"/>
        </w:rPr>
      </w:pPr>
    </w:p>
    <w:p>
      <w:pPr>
        <w:ind w:left="2180" w:right="479" w:hanging="430"/>
        <w:spacing w:after="0" w:line="277" w:lineRule="auto"/>
        <w:tabs>
          <w:tab w:leader="none" w:pos="2209" w:val="left"/>
        </w:tabs>
        <w:numPr>
          <w:ilvl w:val="2"/>
          <w:numId w:val="8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9" w:lineRule="exact"/>
        <w:rPr>
          <w:rFonts w:ascii="Arial" w:cs="Arial" w:eastAsia="Arial" w:hAnsi="Arial"/>
          <w:sz w:val="18"/>
          <w:szCs w:val="18"/>
          <w:color w:val="auto"/>
        </w:rPr>
      </w:pPr>
    </w:p>
    <w:p>
      <w:pPr>
        <w:ind w:left="2180" w:right="459" w:hanging="430"/>
        <w:spacing w:after="0" w:line="277" w:lineRule="auto"/>
        <w:tabs>
          <w:tab w:leader="none" w:pos="2240" w:val="left"/>
        </w:tabs>
        <w:numPr>
          <w:ilvl w:val="2"/>
          <w:numId w:val="8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102" w:lineRule="exact"/>
        <w:rPr>
          <w:rFonts w:ascii="Arial" w:cs="Arial" w:eastAsia="Arial" w:hAnsi="Arial"/>
          <w:sz w:val="18"/>
          <w:szCs w:val="18"/>
          <w:color w:val="auto"/>
        </w:rPr>
      </w:pPr>
    </w:p>
    <w:p>
      <w:pPr>
        <w:jc w:val="both"/>
        <w:ind w:left="2180" w:right="479" w:hanging="430"/>
        <w:spacing w:after="0" w:line="263" w:lineRule="auto"/>
        <w:tabs>
          <w:tab w:leader="none" w:pos="2241"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2180" w:right="479" w:hanging="430"/>
        <w:spacing w:after="0" w:line="277" w:lineRule="auto"/>
        <w:tabs>
          <w:tab w:leader="none" w:pos="2229" w:val="left"/>
        </w:tabs>
        <w:numPr>
          <w:ilvl w:val="2"/>
          <w:numId w:val="8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280" w:hanging="394"/>
        <w:spacing w:after="0"/>
        <w:tabs>
          <w:tab w:leader="none" w:pos="1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57" w:lineRule="exact"/>
        <w:rPr>
          <w:rFonts w:ascii="Arial" w:cs="Arial" w:eastAsia="Arial" w:hAnsi="Arial"/>
          <w:sz w:val="18"/>
          <w:szCs w:val="18"/>
          <w:color w:val="auto"/>
        </w:rPr>
      </w:pPr>
    </w:p>
    <w:p>
      <w:pPr>
        <w:jc w:val="both"/>
        <w:ind w:left="1760" w:right="459" w:hanging="442"/>
        <w:spacing w:after="0" w:line="275" w:lineRule="auto"/>
        <w:tabs>
          <w:tab w:leader="none" w:pos="1788" w:val="left"/>
        </w:tabs>
        <w:numPr>
          <w:ilvl w:val="1"/>
          <w:numId w:val="8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8" w:lineRule="exact"/>
        <w:rPr>
          <w:rFonts w:ascii="Arial" w:cs="Arial" w:eastAsia="Arial" w:hAnsi="Arial"/>
          <w:sz w:val="17"/>
          <w:szCs w:val="17"/>
          <w:color w:val="auto"/>
        </w:rPr>
      </w:pPr>
    </w:p>
    <w:p>
      <w:pPr>
        <w:jc w:val="both"/>
        <w:ind w:left="1760" w:right="459" w:hanging="442"/>
        <w:spacing w:after="0" w:line="279" w:lineRule="auto"/>
        <w:tabs>
          <w:tab w:leader="none" w:pos="1826" w:val="left"/>
        </w:tabs>
        <w:numPr>
          <w:ilvl w:val="1"/>
          <w:numId w:val="82"/>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on the 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day of December, 2020.</w:t>
      </w:r>
    </w:p>
    <w:p>
      <w:pPr>
        <w:spacing w:after="0" w:line="11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VENTOUX CCM ACQUISITION CORP.</w:t>
      </w:r>
    </w:p>
    <w:p>
      <w:pPr>
        <w:spacing w:after="0" w:line="189" w:lineRule="exact"/>
        <w:rPr>
          <w:sz w:val="20"/>
          <w:szCs w:val="20"/>
          <w:color w:val="auto"/>
        </w:rPr>
      </w:pPr>
    </w:p>
    <w:p>
      <w:pPr>
        <w:ind w:left="43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48895</wp:posOffset>
            </wp:positionV>
            <wp:extent cx="22720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70" w:lineRule="exact"/>
        <w:rPr>
          <w:sz w:val="20"/>
          <w:szCs w:val="20"/>
          <w:color w:val="auto"/>
        </w:rPr>
      </w:pPr>
    </w:p>
    <w:p>
      <w:pPr>
        <w:ind w:left="4340"/>
        <w:spacing w:after="0"/>
        <w:tabs>
          <w:tab w:leader="none" w:pos="4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Edward Scheetz</w:t>
      </w:r>
    </w:p>
    <w:p>
      <w:pPr>
        <w:spacing w:after="0" w:line="77" w:lineRule="exact"/>
        <w:rPr>
          <w:sz w:val="20"/>
          <w:szCs w:val="20"/>
          <w:color w:val="auto"/>
        </w:rPr>
      </w:pPr>
    </w:p>
    <w:p>
      <w:pPr>
        <w:ind w:left="4340"/>
        <w:spacing w:after="0"/>
        <w:tabs>
          <w:tab w:leader="none" w:pos="4960" w:val="left"/>
        </w:tabs>
        <w:rPr>
          <w:sz w:val="20"/>
          <w:szCs w:val="20"/>
          <w:color w:val="auto"/>
        </w:rPr>
      </w:pPr>
      <w:r>
        <w:rPr>
          <w:rFonts w:ascii="Arial" w:cs="Arial" w:eastAsia="Arial" w:hAnsi="Arial"/>
          <w:sz w:val="18"/>
          <w:szCs w:val="18"/>
          <w:color w:val="auto"/>
        </w:rPr>
        <w:t>Title:</w:t>
        <w:tab/>
        <w:t>Chairman and Chief Executive Officer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12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8"/>
                <w:szCs w:val="18"/>
                <w:color w:val="auto"/>
              </w:rPr>
            </w:pPr>
          </w:p>
        </w:tc>
        <w:tc>
          <w:tcPr>
            <w:tcW w:w="4240" w:type="dxa"/>
            <w:vAlign w:val="bottom"/>
            <w:gridSpan w:val="2"/>
          </w:tcPr>
          <w:p>
            <w:pPr>
              <w:ind w:left="1800"/>
              <w:spacing w:after="0"/>
              <w:rPr>
                <w:sz w:val="20"/>
                <w:szCs w:val="20"/>
                <w:color w:val="auto"/>
              </w:rPr>
            </w:pPr>
            <w:r>
              <w:rPr>
                <w:rFonts w:ascii="Arial" w:cs="Arial" w:eastAsia="Arial" w:hAnsi="Arial"/>
                <w:sz w:val="16"/>
                <w:szCs w:val="16"/>
                <w:b w:val="1"/>
                <w:bCs w:val="1"/>
                <w:color w:val="auto"/>
              </w:rPr>
              <w:t>Position</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47"/>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120" w:type="dxa"/>
            <w:vAlign w:val="bottom"/>
          </w:tcPr>
          <w:p>
            <w:pPr>
              <w:spacing w:after="0"/>
              <w:rPr>
                <w:sz w:val="20"/>
                <w:szCs w:val="20"/>
                <w:color w:val="auto"/>
              </w:rPr>
            </w:pPr>
            <w:r>
              <w:rPr>
                <w:rFonts w:ascii="Arial" w:cs="Arial" w:eastAsia="Arial" w:hAnsi="Arial"/>
                <w:sz w:val="18"/>
                <w:szCs w:val="18"/>
                <w:color w:val="auto"/>
              </w:rPr>
              <w:t>/s/ Edward Scheetz</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Chairman, Chief Executive Officer</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December 1,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434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Executive Officer) and Director</w:t>
            </w: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Edward Scheetz</w:t>
            </w:r>
          </w:p>
        </w:tc>
        <w:tc>
          <w:tcPr>
            <w:tcW w:w="4340" w:type="dxa"/>
            <w:vAlign w:val="bottom"/>
            <w:gridSpan w:val="3"/>
            <w:vMerge w:val="continue"/>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120" w:type="dxa"/>
            <w:vAlign w:val="bottom"/>
          </w:tcPr>
          <w:p>
            <w:pPr>
              <w:spacing w:after="0"/>
              <w:rPr>
                <w:sz w:val="20"/>
                <w:szCs w:val="20"/>
                <w:color w:val="auto"/>
              </w:rPr>
            </w:pPr>
            <w:r>
              <w:rPr>
                <w:rFonts w:ascii="Arial" w:cs="Arial" w:eastAsia="Arial" w:hAnsi="Arial"/>
                <w:sz w:val="18"/>
                <w:szCs w:val="18"/>
                <w:color w:val="auto"/>
              </w:rPr>
              <w:t>/s/ Matthew MacDonald</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December 1,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4340" w:type="dxa"/>
            <w:vAlign w:val="bottom"/>
            <w:gridSpan w:val="3"/>
            <w:vMerge w:val="restart"/>
          </w:tcPr>
          <w:p>
            <w:pPr>
              <w:ind w:left="100"/>
              <w:spacing w:after="0"/>
              <w:rPr>
                <w:sz w:val="20"/>
                <w:szCs w:val="20"/>
                <w:color w:val="auto"/>
              </w:rPr>
            </w:pPr>
            <w:r>
              <w:rPr>
                <w:rFonts w:ascii="Arial" w:cs="Arial" w:eastAsia="Arial" w:hAnsi="Arial"/>
                <w:sz w:val="18"/>
                <w:szCs w:val="18"/>
                <w:color w:val="auto"/>
                <w:w w:val="97"/>
              </w:rPr>
              <w:t>(Principal Financial and Accounting Officer), Secretary</w:t>
            </w: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20" w:type="dxa"/>
            <w:vAlign w:val="bottom"/>
          </w:tcPr>
          <w:p>
            <w:pPr>
              <w:spacing w:after="0" w:line="182" w:lineRule="exact"/>
              <w:rPr>
                <w:sz w:val="20"/>
                <w:szCs w:val="20"/>
                <w:color w:val="auto"/>
              </w:rPr>
            </w:pPr>
            <w:r>
              <w:rPr>
                <w:rFonts w:ascii="Arial" w:cs="Arial" w:eastAsia="Arial" w:hAnsi="Arial"/>
                <w:sz w:val="18"/>
                <w:szCs w:val="18"/>
                <w:color w:val="auto"/>
              </w:rPr>
              <w:t>Matthew MacDonald</w:t>
            </w:r>
          </w:p>
        </w:tc>
        <w:tc>
          <w:tcPr>
            <w:tcW w:w="4340" w:type="dxa"/>
            <w:vAlign w:val="bottom"/>
            <w:gridSpan w:val="3"/>
            <w:vMerge w:val="continue"/>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and Director</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120" w:type="dxa"/>
            <w:vAlign w:val="bottom"/>
          </w:tcPr>
          <w:p>
            <w:pPr>
              <w:spacing w:after="0"/>
              <w:rPr>
                <w:sz w:val="20"/>
                <w:szCs w:val="20"/>
                <w:color w:val="auto"/>
              </w:rPr>
            </w:pPr>
            <w:r>
              <w:rPr>
                <w:rFonts w:ascii="Arial" w:cs="Arial" w:eastAsia="Arial" w:hAnsi="Arial"/>
                <w:sz w:val="18"/>
                <w:szCs w:val="18"/>
                <w:color w:val="auto"/>
              </w:rPr>
              <w:t>/s/ Jonas Grossman</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December 1,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Jonas Grossman</w:t>
            </w:r>
          </w:p>
        </w:tc>
        <w:tc>
          <w:tcPr>
            <w:tcW w:w="1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2"/>
          </w:tcPr>
          <w:p>
            <w:pPr>
              <w:ind w:left="1680"/>
              <w:spacing w:after="0"/>
              <w:rPr>
                <w:sz w:val="20"/>
                <w:szCs w:val="20"/>
                <w:color w:val="auto"/>
              </w:rPr>
            </w:pPr>
            <w:r>
              <w:rPr>
                <w:rFonts w:ascii="Arial" w:cs="Arial" w:eastAsia="Arial" w:hAnsi="Arial"/>
                <w:sz w:val="18"/>
                <w:szCs w:val="18"/>
                <w:color w:val="auto"/>
              </w:rPr>
              <w:t>II-8</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65"/>
          <w:szCs w:val="65"/>
          <w:b w:val="1"/>
          <w:bCs w:val="1"/>
          <w:u w:val="single" w:color="auto"/>
          <w:color w:val="auto"/>
        </w:rPr>
        <w:t>Delaware</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First State</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I, JEFFREY W. BULLOCK, SECRETARY OF STATE OF THE STATE OF DELAWARE, DO HEREBY CERTIFY THE ATTACHED IS A TRUE AND CORRECT COPY OF THE CERTIFICATE OF INCORPORATION OF “CHARDAN GLOBAL ACQUISITION CORP.”, FILED IN THIS OFFICE ON THE TENTH DAY OF JULY, A.D. 2019, AT 1:18 O’ CLOCK P.M.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FILED COPY OF THIS CERTIFICATE HAS BEEN FORWARDED TO THE KENT COUNTY RECORDER OF DEEDS.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1249045</wp:posOffset>
            </wp:positionV>
            <wp:extent cx="600075" cy="5918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0075" cy="59182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837565</wp:posOffset>
            </wp:positionV>
            <wp:extent cx="1765935" cy="7289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6593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7508423  8100</w:t>
            </w:r>
          </w:p>
        </w:tc>
        <w:tc>
          <w:tcPr>
            <w:tcW w:w="3980" w:type="dxa"/>
            <w:vAlign w:val="bottom"/>
          </w:tcPr>
          <w:p>
            <w:pPr>
              <w:jc w:val="right"/>
              <w:spacing w:after="0"/>
              <w:rPr>
                <w:sz w:val="20"/>
                <w:szCs w:val="20"/>
                <w:color w:val="auto"/>
              </w:rPr>
            </w:pPr>
            <w:r>
              <w:rPr>
                <w:rFonts w:ascii="Arial" w:cs="Arial" w:eastAsia="Arial" w:hAnsi="Arial"/>
                <w:sz w:val="18"/>
                <w:szCs w:val="18"/>
                <w:color w:val="auto"/>
              </w:rPr>
              <w:t>Authentication: 203188161</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SR# 20195895622</w:t>
            </w:r>
          </w:p>
        </w:tc>
        <w:tc>
          <w:tcPr>
            <w:tcW w:w="3980" w:type="dxa"/>
            <w:vAlign w:val="bottom"/>
          </w:tcPr>
          <w:p>
            <w:pPr>
              <w:jc w:val="right"/>
              <w:spacing w:after="0"/>
              <w:rPr>
                <w:sz w:val="20"/>
                <w:szCs w:val="20"/>
                <w:color w:val="auto"/>
              </w:rPr>
            </w:pPr>
            <w:r>
              <w:rPr>
                <w:rFonts w:ascii="Arial" w:cs="Arial" w:eastAsia="Arial" w:hAnsi="Arial"/>
                <w:sz w:val="18"/>
                <w:szCs w:val="18"/>
                <w:color w:val="auto"/>
              </w:rPr>
              <w:t>Date: 07-10-19</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You may verify this certificate online at corp.delaware.gov/authver.shtml</w:t>
            </w:r>
          </w:p>
        </w:tc>
        <w:tc>
          <w:tcPr>
            <w:tcW w:w="3980" w:type="dxa"/>
            <w:vAlign w:val="bottom"/>
          </w:tcPr>
          <w:p>
            <w:pPr>
              <w:spacing w:after="0"/>
              <w:rPr>
                <w:sz w:val="20"/>
                <w:szCs w:val="20"/>
                <w:color w:val="auto"/>
              </w:rPr>
            </w:pPr>
          </w:p>
        </w:tc>
      </w:tr>
      <w:tr>
        <w:trPr>
          <w:trHeight w:val="439"/>
        </w:trPr>
        <w:tc>
          <w:tcPr>
            <w:tcW w:w="72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5" w:name="page136"/>
    <w:bookmarkEnd w:id="135"/>
    <w:p>
      <w:pPr>
        <w:jc w:val="center"/>
        <w:ind w:right="728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right="7280"/>
        <w:spacing w:after="0"/>
        <w:rPr>
          <w:sz w:val="20"/>
          <w:szCs w:val="20"/>
          <w:color w:val="auto"/>
        </w:rPr>
      </w:pPr>
      <w:r>
        <w:rPr>
          <w:rFonts w:ascii="Arial" w:cs="Arial" w:eastAsia="Arial" w:hAnsi="Arial"/>
          <w:sz w:val="18"/>
          <w:szCs w:val="18"/>
          <w:b w:val="1"/>
          <w:bCs w:val="1"/>
          <w:color w:val="auto"/>
        </w:rPr>
        <w:t>Secretary of State</w:t>
      </w:r>
    </w:p>
    <w:p>
      <w:pPr>
        <w:spacing w:after="0" w:line="9" w:lineRule="exact"/>
        <w:rPr>
          <w:sz w:val="20"/>
          <w:szCs w:val="20"/>
          <w:color w:val="auto"/>
        </w:rPr>
      </w:pPr>
    </w:p>
    <w:p>
      <w:pPr>
        <w:jc w:val="center"/>
        <w:ind w:right="7280"/>
        <w:spacing w:after="0"/>
        <w:rPr>
          <w:sz w:val="20"/>
          <w:szCs w:val="20"/>
          <w:color w:val="auto"/>
        </w:rPr>
      </w:pPr>
      <w:r>
        <w:rPr>
          <w:rFonts w:ascii="Arial" w:cs="Arial" w:eastAsia="Arial" w:hAnsi="Arial"/>
          <w:sz w:val="18"/>
          <w:szCs w:val="18"/>
          <w:b w:val="1"/>
          <w:bCs w:val="1"/>
          <w:color w:val="auto"/>
        </w:rPr>
        <w:t>Division of Corporations</w:t>
      </w:r>
    </w:p>
    <w:p>
      <w:pPr>
        <w:spacing w:after="0" w:line="9" w:lineRule="exact"/>
        <w:rPr>
          <w:sz w:val="20"/>
          <w:szCs w:val="20"/>
          <w:color w:val="auto"/>
        </w:rPr>
      </w:pPr>
    </w:p>
    <w:p>
      <w:pPr>
        <w:jc w:val="center"/>
        <w:ind w:right="7280"/>
        <w:spacing w:after="0"/>
        <w:rPr>
          <w:sz w:val="20"/>
          <w:szCs w:val="20"/>
          <w:color w:val="auto"/>
        </w:rPr>
      </w:pPr>
      <w:r>
        <w:rPr>
          <w:rFonts w:ascii="Arial" w:cs="Arial" w:eastAsia="Arial" w:hAnsi="Arial"/>
          <w:sz w:val="18"/>
          <w:szCs w:val="18"/>
          <w:b w:val="1"/>
          <w:bCs w:val="1"/>
          <w:color w:val="auto"/>
        </w:rPr>
        <w:t>Delivered 01:18 PM 07/10/2019</w:t>
      </w:r>
    </w:p>
    <w:p>
      <w:pPr>
        <w:spacing w:after="0" w:line="9" w:lineRule="exact"/>
        <w:rPr>
          <w:sz w:val="20"/>
          <w:szCs w:val="20"/>
          <w:color w:val="auto"/>
        </w:rPr>
      </w:pPr>
    </w:p>
    <w:p>
      <w:pPr>
        <w:jc w:val="center"/>
        <w:ind w:right="7280"/>
        <w:spacing w:after="0"/>
        <w:rPr>
          <w:sz w:val="20"/>
          <w:szCs w:val="20"/>
          <w:color w:val="auto"/>
        </w:rPr>
      </w:pPr>
      <w:r>
        <w:rPr>
          <w:rFonts w:ascii="Arial" w:cs="Arial" w:eastAsia="Arial" w:hAnsi="Arial"/>
          <w:sz w:val="18"/>
          <w:szCs w:val="18"/>
          <w:b w:val="1"/>
          <w:bCs w:val="1"/>
          <w:color w:val="auto"/>
        </w:rPr>
        <w:t>FILED 01:18 PM 07/10/2019</w:t>
      </w:r>
    </w:p>
    <w:p>
      <w:pPr>
        <w:spacing w:after="0" w:line="9" w:lineRule="exact"/>
        <w:rPr>
          <w:sz w:val="20"/>
          <w:szCs w:val="20"/>
          <w:color w:val="auto"/>
        </w:rPr>
      </w:pPr>
    </w:p>
    <w:p>
      <w:pPr>
        <w:jc w:val="center"/>
        <w:ind w:right="7300"/>
        <w:spacing w:after="0"/>
        <w:rPr>
          <w:sz w:val="20"/>
          <w:szCs w:val="20"/>
          <w:color w:val="auto"/>
        </w:rPr>
      </w:pPr>
      <w:r>
        <w:rPr>
          <w:rFonts w:ascii="Arial" w:cs="Arial" w:eastAsia="Arial" w:hAnsi="Arial"/>
          <w:sz w:val="18"/>
          <w:szCs w:val="18"/>
          <w:b w:val="1"/>
          <w:bCs w:val="1"/>
          <w:color w:val="auto"/>
        </w:rPr>
        <w:t>SR 20195895622 - File Number 7508423</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CHARDAN GLOBAL ACQUISITION CORP.</w:t>
      </w:r>
    </w:p>
    <w:p>
      <w:pPr>
        <w:spacing w:after="0" w:line="200" w:lineRule="exact"/>
        <w:rPr>
          <w:sz w:val="20"/>
          <w:szCs w:val="20"/>
          <w:color w:val="auto"/>
        </w:rPr>
      </w:pP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UNDERSIGNED, for the purpose of incorporating and organizing a corporation under the General Corporation Law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does hereby execute this Certificate of Incorporation and does hereby certify as follows:</w:t>
      </w:r>
    </w:p>
    <w:p>
      <w:pPr>
        <w:spacing w:after="0" w:line="207"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of the corporation is Chardan Global Acquisition Corp. (hereinafter called the “Corporation”).</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registered office of the Corporation is to be located at 28 Old Rudnick Lane, in the City of Dover, in the County of</w:t>
      </w:r>
      <w:r>
        <w:rPr>
          <w:rFonts w:ascii="Arial" w:cs="Arial" w:eastAsia="Arial" w:hAnsi="Arial"/>
          <w:sz w:val="18"/>
          <w:szCs w:val="18"/>
          <w:b w:val="1"/>
          <w:bCs w:val="1"/>
          <w:color w:val="auto"/>
        </w:rPr>
        <w:t xml:space="preserve"> </w:t>
      </w:r>
      <w:r>
        <w:rPr>
          <w:rFonts w:ascii="Arial" w:cs="Arial" w:eastAsia="Arial" w:hAnsi="Arial"/>
          <w:sz w:val="18"/>
          <w:szCs w:val="18"/>
          <w:color w:val="auto"/>
        </w:rPr>
        <w:t>Kent, Delaware 19901. The name of its registered agent at that address is Corp 1</w:t>
      </w:r>
      <w:r>
        <w:rPr>
          <w:rFonts w:ascii="Arial" w:cs="Arial" w:eastAsia="Arial" w:hAnsi="Arial"/>
          <w:sz w:val="18"/>
          <w:szCs w:val="18"/>
          <w:b w:val="1"/>
          <w:bCs w:val="1"/>
          <w:color w:val="auto"/>
        </w:rPr>
        <w:t>,</w:t>
      </w:r>
      <w:r>
        <w:rPr>
          <w:rFonts w:ascii="Arial" w:cs="Arial" w:eastAsia="Arial" w:hAnsi="Arial"/>
          <w:sz w:val="18"/>
          <w:szCs w:val="18"/>
          <w:color w:val="auto"/>
        </w:rPr>
        <w:t xml:space="preserve"> Inc.</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purpose of the Corporation is to engage in any lawful act or activity for which corporations may be organized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Corporation Law of Delaware.</w:t>
      </w:r>
    </w:p>
    <w:p>
      <w:pPr>
        <w:spacing w:after="0" w:line="162"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6"/>
          <w:szCs w:val="16"/>
          <w:b w:val="1"/>
          <w:bCs w:val="1"/>
          <w:color w:val="auto"/>
        </w:rPr>
        <w:t>FOURTH:</w:t>
      </w:r>
      <w:r>
        <w:rPr>
          <w:sz w:val="20"/>
          <w:szCs w:val="20"/>
          <w:color w:val="auto"/>
        </w:rPr>
        <w:tab/>
      </w:r>
      <w:r>
        <w:rPr>
          <w:rFonts w:ascii="Arial" w:cs="Arial" w:eastAsia="Arial" w:hAnsi="Arial"/>
          <w:sz w:val="16"/>
          <w:szCs w:val="16"/>
          <w:color w:val="auto"/>
        </w:rPr>
        <w:t>The name and mailing address of the incorporator is: Jaszick Maldonado, c/o Loeb &amp; Loeb LLP, 345 Park Avenue,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 NY 10154.</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The total number of shares which the Corporation shall have authority to issue is five million (5,000,000)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$0.0001 par value.</w:t>
      </w:r>
    </w:p>
    <w:p>
      <w:pPr>
        <w:spacing w:after="0" w:line="162"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SIXTH: </w:t>
      </w:r>
      <w:r>
        <w:rPr>
          <w:rFonts w:ascii="Arial" w:cs="Arial" w:eastAsia="Arial" w:hAnsi="Arial"/>
          <w:sz w:val="17"/>
          <w:szCs w:val="17"/>
          <w:color w:val="auto"/>
        </w:rPr>
        <w:t>A Director of the Corporation shall not be liable to the Corporation or its stockholders for monetary damages for breach of</w:t>
      </w:r>
      <w:r>
        <w:rPr>
          <w:rFonts w:ascii="Arial" w:cs="Arial" w:eastAsia="Arial" w:hAnsi="Arial"/>
          <w:sz w:val="17"/>
          <w:szCs w:val="17"/>
          <w:b w:val="1"/>
          <w:bCs w:val="1"/>
          <w:color w:val="auto"/>
        </w:rPr>
        <w:t xml:space="preserve"> </w:t>
      </w:r>
      <w:r>
        <w:rPr>
          <w:rFonts w:ascii="Arial" w:cs="Arial" w:eastAsia="Arial" w:hAnsi="Arial"/>
          <w:sz w:val="17"/>
          <w:szCs w:val="17"/>
          <w:color w:val="auto"/>
        </w:rPr>
        <w:t>fiduciary duty as a Director of the Corporation, except to the extent that exculpation from liability is not permitted under the General Corporation Law of the State of Delaware as in effect at the time such liability is determined. No amendment or repeal of this paragraph shall apply to or have any effect on the liability or alleged liability of any Director of the Corporation for or with respect to any acts or omissions of such Director occurring</w:t>
      </w:r>
    </w:p>
    <w:p>
      <w:pPr>
        <w:spacing w:after="0" w:line="16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b w:val="1"/>
          <w:bCs w:val="1"/>
          <w:color w:val="auto"/>
        </w:rPr>
        <w:t xml:space="preserve">SEVENTH: </w:t>
      </w:r>
      <w:r>
        <w:rPr>
          <w:rFonts w:ascii="Arial" w:cs="Arial" w:eastAsia="Arial" w:hAnsi="Arial"/>
          <w:sz w:val="17"/>
          <w:szCs w:val="17"/>
          <w:color w:val="auto"/>
        </w:rPr>
        <w:t>In furtherance and not in imitation of the powers conferred by statute, the Board of Directors of the Corporation is</w:t>
      </w:r>
      <w:r>
        <w:rPr>
          <w:rFonts w:ascii="Arial" w:cs="Arial" w:eastAsia="Arial" w:hAnsi="Arial"/>
          <w:sz w:val="17"/>
          <w:szCs w:val="17"/>
          <w:b w:val="1"/>
          <w:bCs w:val="1"/>
          <w:color w:val="auto"/>
        </w:rPr>
        <w:t xml:space="preserve"> </w:t>
      </w:r>
      <w:r>
        <w:rPr>
          <w:rFonts w:ascii="Arial" w:cs="Arial" w:eastAsia="Arial" w:hAnsi="Arial"/>
          <w:sz w:val="17"/>
          <w:szCs w:val="17"/>
          <w:color w:val="auto"/>
        </w:rPr>
        <w:t>expressly authorized to make, alter or repeal the By-Laws of the Corporation; provided, however, that no By-Laws hereafter adopted by the Board of Directors or stockholders shall invalidate any prior act of the Directors which would have been valid if such By-Laws had not been adopted.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16349128.1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208673-10001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firstLine="1296"/>
        <w:spacing w:after="0" w:line="287" w:lineRule="auto"/>
        <w:rPr>
          <w:sz w:val="20"/>
          <w:szCs w:val="20"/>
          <w:color w:val="auto"/>
        </w:rPr>
      </w:pPr>
      <w:r>
        <w:rPr>
          <w:rFonts w:ascii="Arial" w:cs="Arial" w:eastAsia="Arial" w:hAnsi="Arial"/>
          <w:sz w:val="16"/>
          <w:szCs w:val="16"/>
          <w:b w:val="1"/>
          <w:bCs w:val="1"/>
          <w:color w:val="auto"/>
        </w:rPr>
        <w:t xml:space="preserve">EIGHTH: </w:t>
      </w:r>
      <w:r>
        <w:rPr>
          <w:rFonts w:ascii="Arial" w:cs="Arial" w:eastAsia="Arial" w:hAnsi="Arial"/>
          <w:sz w:val="16"/>
          <w:szCs w:val="16"/>
          <w:color w:val="auto"/>
        </w:rPr>
        <w:t>The Corporation shall, to the maximum extent permitted from time to time under the law of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indemnify and upon request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Corporation or while a Director or officer is or was serving at the request of the Corporation as a director, officer, partner, trustee, employee or agent of any corporation, partnership, joint venture, trust or other enterprise , including service with respect to employee benefit plans, against expenses (including attorneys’ fees and expenses), judgments, fines, penalties and amounts paid in settlement incurred (and not otherwise recovered) in connection with the investigation, preparation to defend or defense of such action, suit, proceeding or claim; provided, however, that the foregoing shall not require the Corporation to indemnify or advance expenses to any person in connection with any action, suit, proceeding, claim or counterclaim initiated by or on behalf of such person. Such indemnification shall not be exclusive of other indemnification rights arising under any By-Law, agreement, vote of Directors or stockholders or otherwise and shall inure to the benefits of the heirs and legal representatives of such person. Any person seeking indemnification under this paragraph shall be deemed to have met the standard of conduct required for such indemnification unless the contrary shall be established. Any repeal or modification of the foregoing provisions of this paragraph shall not adversely affect any right or protection of a Director or officer of the Corporation with respect to any acts or omissions of such Director or officer occurring prior to such repeal or modification.</w:t>
      </w:r>
    </w:p>
    <w:p>
      <w:pPr>
        <w:spacing w:after="0" w:line="164"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b w:val="1"/>
          <w:bCs w:val="1"/>
          <w:color w:val="auto"/>
        </w:rPr>
        <w:t>NINTH:</w:t>
      </w:r>
      <w:r>
        <w:rPr>
          <w:sz w:val="20"/>
          <w:szCs w:val="20"/>
          <w:color w:val="auto"/>
        </w:rPr>
        <w:tab/>
      </w:r>
      <w:r>
        <w:rPr>
          <w:rFonts w:ascii="Arial" w:cs="Arial" w:eastAsia="Arial" w:hAnsi="Arial"/>
          <w:sz w:val="18"/>
          <w:szCs w:val="18"/>
          <w:color w:val="auto"/>
        </w:rPr>
        <w:t>In furtherance of and not in limitation of powers conferred by statute, it is further provided:</w:t>
      </w:r>
    </w:p>
    <w:p>
      <w:pPr>
        <w:spacing w:after="0" w:line="229" w:lineRule="exact"/>
        <w:rPr>
          <w:sz w:val="20"/>
          <w:szCs w:val="20"/>
          <w:color w:val="auto"/>
        </w:rPr>
      </w:pPr>
    </w:p>
    <w:p>
      <w:pPr>
        <w:ind w:left="1700" w:hanging="396"/>
        <w:spacing w:after="0"/>
        <w:tabs>
          <w:tab w:leader="none" w:pos="1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Election of Directors need not be by written ballot unless the By-Laws of the Corporation so provide.</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Meetings of stockholders may be held within or without the State of Delaware, as the By Laws may provide.</w:t>
      </w:r>
    </w:p>
    <w:p>
      <w:pPr>
        <w:spacing w:after="0" w:line="225" w:lineRule="exact"/>
        <w:rPr>
          <w:rFonts w:ascii="Arial" w:cs="Arial" w:eastAsia="Arial" w:hAnsi="Arial"/>
          <w:sz w:val="18"/>
          <w:szCs w:val="18"/>
          <w:color w:val="auto"/>
        </w:rPr>
      </w:pPr>
    </w:p>
    <w:p>
      <w:pPr>
        <w:ind w:right="20" w:firstLine="1304"/>
        <w:spacing w:after="0" w:line="277" w:lineRule="auto"/>
        <w:tabs>
          <w:tab w:leader="none" w:pos="174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the extent permitted by law, the books of the Corporation may be kept outside the State of Delaware at such place or places as may be designated from time to time by the Board of Directors or in the By-Laws of the Corporation.</w:t>
      </w:r>
    </w:p>
    <w:p>
      <w:pPr>
        <w:spacing w:after="0" w:line="16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TENTH: </w:t>
      </w:r>
      <w:r>
        <w:rPr>
          <w:rFonts w:ascii="Arial" w:cs="Arial" w:eastAsia="Arial" w:hAnsi="Arial"/>
          <w:sz w:val="18"/>
          <w:szCs w:val="18"/>
          <w:color w:val="auto"/>
        </w:rPr>
        <w:t>Except as otherwise provided herein, the Corporation reserves the right to amend, alter, change or repeal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this Certificate of Incorporation, in the manner now or hereafter prescribed by statute, and all rights conferred upon stockholders herein are granted subject to this reservation.</w:t>
      </w:r>
    </w:p>
    <w:p>
      <w:pPr>
        <w:spacing w:after="0" w:line="176"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being the incorporator herein before named, has executed this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July, 2019.</w:t>
      </w:r>
    </w:p>
    <w:p>
      <w:pPr>
        <w:spacing w:after="0" w:line="25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Jaszick Maldonado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Jaszick Maldonado, Incorporator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16349128.1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208673-10001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65"/>
          <w:szCs w:val="65"/>
          <w:b w:val="1"/>
          <w:bCs w:val="1"/>
          <w:u w:val="single" w:color="auto"/>
          <w:color w:val="auto"/>
        </w:rPr>
        <w:t>Delaware</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First State</w:t>
      </w:r>
    </w:p>
    <w:p>
      <w:pPr>
        <w:spacing w:after="0" w:line="200" w:lineRule="exact"/>
        <w:rPr>
          <w:sz w:val="20"/>
          <w:szCs w:val="20"/>
          <w:color w:val="auto"/>
        </w:rPr>
      </w:pPr>
    </w:p>
    <w:p>
      <w:pPr>
        <w:spacing w:after="0" w:line="222"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b w:val="1"/>
          <w:bCs w:val="1"/>
          <w:i w:val="1"/>
          <w:iCs w:val="1"/>
          <w:color w:val="auto"/>
        </w:rPr>
        <w:t>I, JEFFREY W. BULLOCK, SECRETARY OF STATE OF THE STATE OF DELAWARE, DO HEREBY CERTIFY THE ATTACHED IS A TRUE AND CORRECT COPY OF THE CERTIFICATE OF AMENDMENT OF “CHARDAN GLOBAL ACQUISITION CORP.”, CHANGING ITS NAME FROM “CHARDAN GLOBAL ACQUISITION CORP.” TO “CHARDAN INTERNATIONAL ACQUISITION CORP.”, FILED IN THIS OFFICE ON THE SEVENTEENTH DAY OF JULY, A.D. 2019, AT 2:29 O’ CLOCK P.M.</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A FILED COPY OF THIS CERTIFICATE HAS BEEN FORWARDED TO THE KENT COUNTY RECORDER OF DEEDS.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1249045</wp:posOffset>
            </wp:positionV>
            <wp:extent cx="600075" cy="5911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0075" cy="59118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837565</wp:posOffset>
            </wp:positionV>
            <wp:extent cx="1765935" cy="7289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6593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7508423  8100</w:t>
            </w:r>
          </w:p>
        </w:tc>
        <w:tc>
          <w:tcPr>
            <w:tcW w:w="3980" w:type="dxa"/>
            <w:vAlign w:val="bottom"/>
          </w:tcPr>
          <w:p>
            <w:pPr>
              <w:jc w:val="right"/>
              <w:spacing w:after="0"/>
              <w:rPr>
                <w:sz w:val="20"/>
                <w:szCs w:val="20"/>
                <w:color w:val="auto"/>
              </w:rPr>
            </w:pPr>
            <w:r>
              <w:rPr>
                <w:rFonts w:ascii="Arial" w:cs="Arial" w:eastAsia="Arial" w:hAnsi="Arial"/>
                <w:sz w:val="18"/>
                <w:szCs w:val="18"/>
                <w:color w:val="auto"/>
              </w:rPr>
              <w:t>Authentication: 203234906</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SR# 20196018120</w:t>
            </w:r>
          </w:p>
        </w:tc>
        <w:tc>
          <w:tcPr>
            <w:tcW w:w="3980" w:type="dxa"/>
            <w:vAlign w:val="bottom"/>
          </w:tcPr>
          <w:p>
            <w:pPr>
              <w:jc w:val="right"/>
              <w:spacing w:after="0"/>
              <w:rPr>
                <w:sz w:val="20"/>
                <w:szCs w:val="20"/>
                <w:color w:val="auto"/>
              </w:rPr>
            </w:pPr>
            <w:r>
              <w:rPr>
                <w:rFonts w:ascii="Arial" w:cs="Arial" w:eastAsia="Arial" w:hAnsi="Arial"/>
                <w:sz w:val="18"/>
                <w:szCs w:val="18"/>
                <w:color w:val="auto"/>
              </w:rPr>
              <w:t>Date: 07-17-19</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You may verify this certificate online at corp.delaware.gov/authver.shtml</w:t>
            </w:r>
          </w:p>
        </w:tc>
        <w:tc>
          <w:tcPr>
            <w:tcW w:w="3980" w:type="dxa"/>
            <w:vAlign w:val="bottom"/>
          </w:tcPr>
          <w:p>
            <w:pPr>
              <w:spacing w:after="0"/>
              <w:rPr>
                <w:sz w:val="20"/>
                <w:szCs w:val="20"/>
                <w:color w:val="auto"/>
              </w:rPr>
            </w:pPr>
          </w:p>
        </w:tc>
      </w:tr>
      <w:tr>
        <w:trPr>
          <w:trHeight w:val="439"/>
        </w:trPr>
        <w:tc>
          <w:tcPr>
            <w:tcW w:w="72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b w:val="1"/>
          <w:bCs w:val="1"/>
          <w:color w:val="auto"/>
        </w:rPr>
        <w:t>CERTIFICATE OF AMENDMENT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CHARDAN GLOBAL ACQUISITION CORP.</w:t>
      </w:r>
    </w:p>
    <w:p>
      <w:pPr>
        <w:spacing w:after="0" w:line="200" w:lineRule="exact"/>
        <w:rPr>
          <w:sz w:val="20"/>
          <w:szCs w:val="20"/>
          <w:color w:val="auto"/>
        </w:rPr>
      </w:pP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 Jonas Grossman, being the President of Chardan Global Acquisition Corp., a corporation existing under the laws of the State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(the “Corporation”), do hereby certify as follows:</w:t>
      </w:r>
    </w:p>
    <w:p>
      <w:pPr>
        <w:sectPr>
          <w:pgSz w:w="11900" w:h="16838" w:orient="portrait"/>
          <w:cols w:equalWidth="0" w:num="1">
            <w:col w:w="11240"/>
          </w:cols>
          <w:pgMar w:left="320" w:top="904" w:right="339" w:bottom="1440" w:gutter="0" w:footer="0" w:header="0"/>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FIRST.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name of the Corporation is: Chardan Global Acquisition Corp.</w:t>
      </w:r>
    </w:p>
    <w:p>
      <w:pPr>
        <w:spacing w:after="0" w:line="200" w:lineRule="exact"/>
        <w:rPr>
          <w:sz w:val="20"/>
          <w:szCs w:val="20"/>
          <w:color w:val="auto"/>
        </w:rPr>
      </w:pPr>
    </w:p>
    <w:p>
      <w:pPr>
        <w:sectPr>
          <w:pgSz w:w="11900" w:h="16838" w:orient="portrait"/>
          <w:cols w:equalWidth="0" w:num="2">
            <w:col w:w="1180" w:space="260"/>
            <w:col w:w="9800"/>
          </w:cols>
          <w:pgMar w:left="320" w:top="904" w:right="339" w:bottom="1440" w:gutter="0" w:footer="0" w:header="0"/>
          <w:type w:val="continuous"/>
        </w:sectPr>
      </w:pPr>
    </w:p>
    <w:p>
      <w:pPr>
        <w:spacing w:after="0" w:line="48"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7"/>
          <w:szCs w:val="17"/>
          <w:color w:val="auto"/>
        </w:rPr>
        <w:t>SECOND.</w:t>
      </w:r>
      <w:r>
        <w:rPr>
          <w:sz w:val="20"/>
          <w:szCs w:val="20"/>
          <w:color w:val="auto"/>
        </w:rPr>
        <w:tab/>
      </w:r>
      <w:r>
        <w:rPr>
          <w:rFonts w:ascii="Arial" w:cs="Arial" w:eastAsia="Arial" w:hAnsi="Arial"/>
          <w:sz w:val="17"/>
          <w:szCs w:val="17"/>
          <w:color w:val="auto"/>
        </w:rPr>
        <w:t>The original Certificate of Incorporation of the Corporation was filed with the Secretary of State of the State of Delaware (the</w:t>
      </w:r>
    </w:p>
    <w:p>
      <w:pPr>
        <w:sectPr>
          <w:pgSz w:w="11900" w:h="16838" w:orient="portrait"/>
          <w:cols w:equalWidth="0" w:num="1">
            <w:col w:w="11240"/>
          </w:cols>
          <w:pgMar w:left="320" w:top="904" w:right="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Secretary</w:t>
      </w:r>
      <w:r>
        <w:rPr>
          <w:rFonts w:ascii="Arial" w:cs="Arial" w:eastAsia="Arial" w:hAnsi="Arial"/>
          <w:sz w:val="18"/>
          <w:szCs w:val="18"/>
          <w:color w:val="auto"/>
        </w:rPr>
        <w:t>”) on July 10, 2019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THIRD. The Certificate of Incorporation is hereby amended by striking Article FIRST thereof in its entirety and substituting in lieu thereof a new Article FIRST, which shall read in its entirety as follows: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 Chardan International Acquisition Corp. (the “Corporation”)”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FOURTH. This Certificate of Amendment of Certificate of Incorporation has been duly adopted in accordance with the provisions of Section 242 of the Delaware General Corporation Law.</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WITNESS WHEREOF, the undersigned affirms that the statements made herein are true under the penalties of perjury, this 12th day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July, 2019.</w:t>
      </w:r>
    </w:p>
    <w:p>
      <w:pPr>
        <w:spacing w:after="0" w:line="200" w:lineRule="exact"/>
        <w:rPr>
          <w:sz w:val="20"/>
          <w:szCs w:val="20"/>
          <w:color w:val="auto"/>
        </w:rPr>
      </w:pPr>
    </w:p>
    <w:p>
      <w:pPr>
        <w:spacing w:after="0" w:line="22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6840" w:type="dxa"/>
            <w:vAlign w:val="bottom"/>
          </w:tcPr>
          <w:p>
            <w:pPr>
              <w:jc w:val="center"/>
              <w:ind w:left="2790"/>
              <w:spacing w:after="0"/>
              <w:rPr>
                <w:sz w:val="20"/>
                <w:szCs w:val="20"/>
                <w:color w:val="auto"/>
              </w:rPr>
            </w:pPr>
            <w:r>
              <w:rPr>
                <w:rFonts w:ascii="Arial" w:cs="Arial" w:eastAsia="Arial" w:hAnsi="Arial"/>
                <w:sz w:val="18"/>
                <w:szCs w:val="18"/>
                <w:b w:val="1"/>
                <w:bCs w:val="1"/>
                <w:color w:val="auto"/>
                <w:w w:val="90"/>
              </w:rPr>
              <w:t>State of Delaware</w:t>
            </w:r>
          </w:p>
        </w:tc>
      </w:tr>
      <w:tr>
        <w:trPr>
          <w:trHeight w:val="216"/>
        </w:trPr>
        <w:tc>
          <w:tcPr>
            <w:tcW w:w="4400" w:type="dxa"/>
            <w:vAlign w:val="bottom"/>
          </w:tcPr>
          <w:p>
            <w:pPr>
              <w:spacing w:after="0"/>
              <w:rPr>
                <w:sz w:val="18"/>
                <w:szCs w:val="18"/>
                <w:color w:val="auto"/>
              </w:rPr>
            </w:pPr>
          </w:p>
        </w:tc>
        <w:tc>
          <w:tcPr>
            <w:tcW w:w="6840" w:type="dxa"/>
            <w:vAlign w:val="bottom"/>
          </w:tcPr>
          <w:p>
            <w:pPr>
              <w:jc w:val="center"/>
              <w:ind w:left="2790"/>
              <w:spacing w:after="0"/>
              <w:rPr>
                <w:sz w:val="20"/>
                <w:szCs w:val="20"/>
                <w:color w:val="auto"/>
              </w:rPr>
            </w:pPr>
            <w:r>
              <w:rPr>
                <w:rFonts w:ascii="Arial" w:cs="Arial" w:eastAsia="Arial" w:hAnsi="Arial"/>
                <w:sz w:val="18"/>
                <w:szCs w:val="18"/>
                <w:b w:val="1"/>
                <w:bCs w:val="1"/>
                <w:color w:val="auto"/>
                <w:w w:val="88"/>
              </w:rPr>
              <w:t>Secretary of State</w:t>
            </w:r>
          </w:p>
        </w:tc>
      </w:tr>
      <w:tr>
        <w:trPr>
          <w:trHeight w:val="216"/>
        </w:trPr>
        <w:tc>
          <w:tcPr>
            <w:tcW w:w="4400" w:type="dxa"/>
            <w:vAlign w:val="bottom"/>
          </w:tcPr>
          <w:p>
            <w:pPr>
              <w:spacing w:after="0"/>
              <w:rPr>
                <w:sz w:val="18"/>
                <w:szCs w:val="18"/>
                <w:color w:val="auto"/>
              </w:rPr>
            </w:pPr>
          </w:p>
        </w:tc>
        <w:tc>
          <w:tcPr>
            <w:tcW w:w="6840" w:type="dxa"/>
            <w:vAlign w:val="bottom"/>
          </w:tcPr>
          <w:p>
            <w:pPr>
              <w:jc w:val="center"/>
              <w:ind w:left="2810"/>
              <w:spacing w:after="0"/>
              <w:rPr>
                <w:sz w:val="20"/>
                <w:szCs w:val="20"/>
                <w:color w:val="auto"/>
              </w:rPr>
            </w:pPr>
            <w:r>
              <w:rPr>
                <w:rFonts w:ascii="Arial" w:cs="Arial" w:eastAsia="Arial" w:hAnsi="Arial"/>
                <w:sz w:val="18"/>
                <w:szCs w:val="18"/>
                <w:b w:val="1"/>
                <w:bCs w:val="1"/>
                <w:color w:val="auto"/>
                <w:w w:val="90"/>
              </w:rPr>
              <w:t>Division of Corporations</w:t>
            </w:r>
          </w:p>
        </w:tc>
      </w:tr>
      <w:tr>
        <w:trPr>
          <w:trHeight w:val="216"/>
        </w:trPr>
        <w:tc>
          <w:tcPr>
            <w:tcW w:w="4400" w:type="dxa"/>
            <w:vAlign w:val="bottom"/>
          </w:tcPr>
          <w:p>
            <w:pPr>
              <w:spacing w:after="0"/>
              <w:rPr>
                <w:sz w:val="18"/>
                <w:szCs w:val="18"/>
                <w:color w:val="auto"/>
              </w:rPr>
            </w:pPr>
          </w:p>
        </w:tc>
        <w:tc>
          <w:tcPr>
            <w:tcW w:w="6840" w:type="dxa"/>
            <w:vAlign w:val="bottom"/>
          </w:tcPr>
          <w:p>
            <w:pPr>
              <w:jc w:val="center"/>
              <w:ind w:left="2770"/>
              <w:spacing w:after="0"/>
              <w:rPr>
                <w:sz w:val="20"/>
                <w:szCs w:val="20"/>
                <w:color w:val="auto"/>
              </w:rPr>
            </w:pPr>
            <w:r>
              <w:rPr>
                <w:rFonts w:ascii="Arial" w:cs="Arial" w:eastAsia="Arial" w:hAnsi="Arial"/>
                <w:sz w:val="18"/>
                <w:szCs w:val="18"/>
                <w:b w:val="1"/>
                <w:bCs w:val="1"/>
                <w:color w:val="auto"/>
                <w:w w:val="91"/>
              </w:rPr>
              <w:t>Delivered 02:29 PM 07/17/2019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17958661.1</w:t>
            </w:r>
          </w:p>
        </w:tc>
        <w:tc>
          <w:tcPr>
            <w:tcW w:w="6840" w:type="dxa"/>
            <w:vAlign w:val="bottom"/>
          </w:tcPr>
          <w:p>
            <w:pPr>
              <w:jc w:val="center"/>
              <w:ind w:left="2830"/>
              <w:spacing w:after="0"/>
              <w:rPr>
                <w:sz w:val="20"/>
                <w:szCs w:val="20"/>
                <w:color w:val="auto"/>
              </w:rPr>
            </w:pPr>
            <w:r>
              <w:rPr>
                <w:rFonts w:ascii="Arial" w:cs="Arial" w:eastAsia="Arial" w:hAnsi="Arial"/>
                <w:sz w:val="18"/>
                <w:szCs w:val="18"/>
                <w:b w:val="1"/>
                <w:bCs w:val="1"/>
                <w:color w:val="auto"/>
                <w:w w:val="95"/>
              </w:rPr>
              <w:t>FILED 02:29 PM 07/17/2019</w:t>
            </w:r>
          </w:p>
        </w:tc>
      </w:tr>
      <w:tr>
        <w:trPr>
          <w:trHeight w:val="234"/>
        </w:trPr>
        <w:tc>
          <w:tcPr>
            <w:tcW w:w="4400" w:type="dxa"/>
            <w:vAlign w:val="bottom"/>
          </w:tcPr>
          <w:p>
            <w:pPr>
              <w:spacing w:after="0"/>
              <w:rPr>
                <w:sz w:val="20"/>
                <w:szCs w:val="20"/>
                <w:color w:val="auto"/>
              </w:rPr>
            </w:pPr>
            <w:r>
              <w:rPr>
                <w:rFonts w:ascii="Arial" w:cs="Arial" w:eastAsia="Arial" w:hAnsi="Arial"/>
                <w:sz w:val="18"/>
                <w:szCs w:val="18"/>
                <w:color w:val="auto"/>
              </w:rPr>
              <w:t>230404-10001</w:t>
            </w:r>
          </w:p>
        </w:tc>
        <w:tc>
          <w:tcPr>
            <w:tcW w:w="6840" w:type="dxa"/>
            <w:vAlign w:val="bottom"/>
          </w:tcPr>
          <w:p>
            <w:pPr>
              <w:jc w:val="center"/>
              <w:ind w:left="2810"/>
              <w:spacing w:after="0"/>
              <w:rPr>
                <w:sz w:val="20"/>
                <w:szCs w:val="20"/>
                <w:color w:val="auto"/>
              </w:rPr>
            </w:pPr>
            <w:r>
              <w:rPr>
                <w:rFonts w:ascii="Arial" w:cs="Arial" w:eastAsia="Arial" w:hAnsi="Arial"/>
                <w:sz w:val="18"/>
                <w:szCs w:val="18"/>
                <w:b w:val="1"/>
                <w:bCs w:val="1"/>
                <w:color w:val="auto"/>
                <w:w w:val="91"/>
              </w:rPr>
              <w:t>SR 20196018120 - File Number 7508423</w:t>
            </w:r>
          </w:p>
        </w:tc>
      </w:tr>
      <w:tr>
        <w:trPr>
          <w:trHeight w:val="439"/>
        </w:trPr>
        <w:tc>
          <w:tcPr>
            <w:tcW w:w="440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65"/>
          <w:szCs w:val="65"/>
          <w:b w:val="1"/>
          <w:bCs w:val="1"/>
          <w:u w:val="single" w:color="auto"/>
          <w:color w:val="auto"/>
        </w:rPr>
        <w:t>Delaware</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First State</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I, JEFFREY W. BULLOCK, SECRETARY OF STATE OF THE STATE OF DELAWARE, DO HEREBY CERTIFY THE ATTACHED IS A TRUE AND CORRECT COPY OF THE CERTIFICATE OF AMENDMENT OF “CHARDAN INTERNATIONAL ACQUISITION CORP.”, CHANGING ITS NAME FROM “CHARDAN INTERNATIONAL ACQUISITION CORP.” TO “VENTOUX CCM ACQUISITION CORP.”, FILED IN THIS OFFICE ON THE TWENTY-NINTH DAY OF JULY, A.D. 2020, AT 12:46 O’ CLOCK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1224915</wp:posOffset>
            </wp:positionV>
            <wp:extent cx="600075" cy="5918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0075" cy="59182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813435</wp:posOffset>
            </wp:positionV>
            <wp:extent cx="1765935" cy="7283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6593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7508423  8100</w:t>
            </w:r>
          </w:p>
        </w:tc>
        <w:tc>
          <w:tcPr>
            <w:tcW w:w="3980" w:type="dxa"/>
            <w:vAlign w:val="bottom"/>
          </w:tcPr>
          <w:p>
            <w:pPr>
              <w:jc w:val="right"/>
              <w:spacing w:after="0"/>
              <w:rPr>
                <w:sz w:val="20"/>
                <w:szCs w:val="20"/>
                <w:color w:val="auto"/>
              </w:rPr>
            </w:pPr>
            <w:r>
              <w:rPr>
                <w:rFonts w:ascii="Arial" w:cs="Arial" w:eastAsia="Arial" w:hAnsi="Arial"/>
                <w:sz w:val="18"/>
                <w:szCs w:val="18"/>
                <w:color w:val="auto"/>
              </w:rPr>
              <w:t>Authentication: 203369049</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SR# 20206469560</w:t>
            </w:r>
          </w:p>
        </w:tc>
        <w:tc>
          <w:tcPr>
            <w:tcW w:w="3980" w:type="dxa"/>
            <w:vAlign w:val="bottom"/>
          </w:tcPr>
          <w:p>
            <w:pPr>
              <w:jc w:val="right"/>
              <w:spacing w:after="0"/>
              <w:rPr>
                <w:sz w:val="20"/>
                <w:szCs w:val="20"/>
                <w:color w:val="auto"/>
              </w:rPr>
            </w:pPr>
            <w:r>
              <w:rPr>
                <w:rFonts w:ascii="Arial" w:cs="Arial" w:eastAsia="Arial" w:hAnsi="Arial"/>
                <w:sz w:val="18"/>
                <w:szCs w:val="18"/>
                <w:color w:val="auto"/>
              </w:rPr>
              <w:t>Date: 07-29-20</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You may verify this certificate online at corp.delaware.gov/authver.shtml</w:t>
            </w:r>
          </w:p>
        </w:tc>
        <w:tc>
          <w:tcPr>
            <w:tcW w:w="3980" w:type="dxa"/>
            <w:vAlign w:val="bottom"/>
          </w:tcPr>
          <w:p>
            <w:pPr>
              <w:spacing w:after="0"/>
              <w:rPr>
                <w:sz w:val="20"/>
                <w:szCs w:val="20"/>
                <w:color w:val="auto"/>
              </w:rPr>
            </w:pPr>
          </w:p>
        </w:tc>
      </w:tr>
      <w:tr>
        <w:trPr>
          <w:trHeight w:val="439"/>
        </w:trPr>
        <w:tc>
          <w:tcPr>
            <w:tcW w:w="72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40" w:name="page141"/>
    <w:bookmarkEnd w:id="140"/>
    <w:p>
      <w:pPr>
        <w:jc w:val="center"/>
        <w:ind w:right="730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right="7280"/>
        <w:spacing w:after="0"/>
        <w:rPr>
          <w:sz w:val="20"/>
          <w:szCs w:val="20"/>
          <w:color w:val="auto"/>
        </w:rPr>
      </w:pPr>
      <w:r>
        <w:rPr>
          <w:rFonts w:ascii="Arial" w:cs="Arial" w:eastAsia="Arial" w:hAnsi="Arial"/>
          <w:sz w:val="18"/>
          <w:szCs w:val="18"/>
          <w:b w:val="1"/>
          <w:bCs w:val="1"/>
          <w:color w:val="auto"/>
        </w:rPr>
        <w:t>Secretary of State</w:t>
      </w:r>
    </w:p>
    <w:p>
      <w:pPr>
        <w:spacing w:after="0" w:line="9" w:lineRule="exact"/>
        <w:rPr>
          <w:sz w:val="20"/>
          <w:szCs w:val="20"/>
          <w:color w:val="auto"/>
        </w:rPr>
      </w:pPr>
    </w:p>
    <w:p>
      <w:pPr>
        <w:jc w:val="center"/>
        <w:ind w:right="7280"/>
        <w:spacing w:after="0"/>
        <w:rPr>
          <w:sz w:val="20"/>
          <w:szCs w:val="20"/>
          <w:color w:val="auto"/>
        </w:rPr>
      </w:pPr>
      <w:r>
        <w:rPr>
          <w:rFonts w:ascii="Arial" w:cs="Arial" w:eastAsia="Arial" w:hAnsi="Arial"/>
          <w:sz w:val="18"/>
          <w:szCs w:val="18"/>
          <w:b w:val="1"/>
          <w:bCs w:val="1"/>
          <w:color w:val="auto"/>
        </w:rPr>
        <w:t>Division of Corporations</w:t>
      </w:r>
    </w:p>
    <w:p>
      <w:pPr>
        <w:spacing w:after="0" w:line="9" w:lineRule="exact"/>
        <w:rPr>
          <w:sz w:val="20"/>
          <w:szCs w:val="20"/>
          <w:color w:val="auto"/>
        </w:rPr>
      </w:pPr>
    </w:p>
    <w:p>
      <w:pPr>
        <w:jc w:val="center"/>
        <w:ind w:right="7280"/>
        <w:spacing w:after="0"/>
        <w:rPr>
          <w:sz w:val="20"/>
          <w:szCs w:val="20"/>
          <w:color w:val="auto"/>
        </w:rPr>
      </w:pPr>
      <w:r>
        <w:rPr>
          <w:rFonts w:ascii="Arial" w:cs="Arial" w:eastAsia="Arial" w:hAnsi="Arial"/>
          <w:sz w:val="18"/>
          <w:szCs w:val="18"/>
          <w:b w:val="1"/>
          <w:bCs w:val="1"/>
          <w:color w:val="auto"/>
        </w:rPr>
        <w:t>Delivered 12:46 PM 07/29/2020</w:t>
      </w:r>
    </w:p>
    <w:p>
      <w:pPr>
        <w:spacing w:after="0" w:line="9" w:lineRule="exact"/>
        <w:rPr>
          <w:sz w:val="20"/>
          <w:szCs w:val="20"/>
          <w:color w:val="auto"/>
        </w:rPr>
      </w:pPr>
    </w:p>
    <w:p>
      <w:pPr>
        <w:jc w:val="center"/>
        <w:ind w:right="7280"/>
        <w:spacing w:after="0"/>
        <w:rPr>
          <w:sz w:val="20"/>
          <w:szCs w:val="20"/>
          <w:color w:val="auto"/>
        </w:rPr>
      </w:pPr>
      <w:r>
        <w:rPr>
          <w:rFonts w:ascii="Arial" w:cs="Arial" w:eastAsia="Arial" w:hAnsi="Arial"/>
          <w:sz w:val="18"/>
          <w:szCs w:val="18"/>
          <w:b w:val="1"/>
          <w:bCs w:val="1"/>
          <w:color w:val="auto"/>
        </w:rPr>
        <w:t>FILED 12:46 PM 07/29/2020</w:t>
      </w:r>
    </w:p>
    <w:p>
      <w:pPr>
        <w:spacing w:after="0" w:line="9" w:lineRule="exact"/>
        <w:rPr>
          <w:sz w:val="20"/>
          <w:szCs w:val="20"/>
          <w:color w:val="auto"/>
        </w:rPr>
      </w:pPr>
    </w:p>
    <w:p>
      <w:pPr>
        <w:jc w:val="center"/>
        <w:ind w:right="7280"/>
        <w:spacing w:after="0"/>
        <w:rPr>
          <w:sz w:val="20"/>
          <w:szCs w:val="20"/>
          <w:color w:val="auto"/>
        </w:rPr>
      </w:pPr>
      <w:r>
        <w:rPr>
          <w:rFonts w:ascii="Arial" w:cs="Arial" w:eastAsia="Arial" w:hAnsi="Arial"/>
          <w:sz w:val="18"/>
          <w:szCs w:val="18"/>
          <w:b w:val="1"/>
          <w:bCs w:val="1"/>
          <w:color w:val="auto"/>
        </w:rPr>
        <w:t>SR 20206469560 - File Number 7508423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CHARDAN INTERNATIONAL ACQUISITION CORP.</w:t>
      </w: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 Jonas Grossman, being the President of Chardan International Acquisition Corp., a corporation existing under the laws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do hereby certify as follows:</w:t>
      </w:r>
    </w:p>
    <w:p>
      <w:pPr>
        <w:spacing w:after="0" w:line="211"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FIRST.</w:t>
        <w:tab/>
        <w:t>The name of the Corporation is: Chardan International Acquisition Corp.</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SECOND. The original Certificate of Incorporation of the Corporation was filed with the Secretary of State of the State of Delaware (the “</w:t>
      </w:r>
      <w:r>
        <w:rPr>
          <w:rFonts w:ascii="Arial" w:cs="Arial" w:eastAsia="Arial" w:hAnsi="Arial"/>
          <w:sz w:val="18"/>
          <w:szCs w:val="18"/>
          <w:u w:val="single" w:color="auto"/>
          <w:color w:val="auto"/>
        </w:rPr>
        <w:t>Secretary</w:t>
      </w:r>
      <w:r>
        <w:rPr>
          <w:rFonts w:ascii="Arial" w:cs="Arial" w:eastAsia="Arial" w:hAnsi="Arial"/>
          <w:sz w:val="18"/>
          <w:szCs w:val="18"/>
          <w:color w:val="auto"/>
        </w:rPr>
        <w:t>”) on July 10, 2019 and thereafter amended by a Certificate of Amendment of Certificate of Incorporation on July 17, 2019 (as amended,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THIRD. The Certificate of Incorporation is hereby amended by striking Article FIRST thereof in its entirety and substituting in lieu thereof a new Article FIRST, which shall read in its entirety as follows: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 Ventoux CCM Acquisition Corp.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FOURTH. This Certificate of Amendment of Certificate of Incorporation has been duly adopted in accordance with the provisions of Section 242 of the Delaware General Corporation Law.</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WITNESS WHEREOF, the undersigned affirms that the statements made herein are true under the penalties of perjury, this 28th day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July, 2020.</w:t>
      </w:r>
    </w:p>
    <w:p>
      <w:pPr>
        <w:spacing w:after="0" w:line="200" w:lineRule="exact"/>
        <w:rPr>
          <w:sz w:val="20"/>
          <w:szCs w:val="20"/>
          <w:color w:val="auto"/>
        </w:rPr>
      </w:pPr>
    </w:p>
    <w:p>
      <w:pPr>
        <w:spacing w:after="0" w:line="22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19280169.1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233898-10001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3.5</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VENTOUX CCM ACQUISITION CORP.</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 A Delaware Corporation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VENTOUX CCM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registered office of the corporation shall be located in such place as may be provided from time to time in the Certificate of Incorporation.</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as the business of the corporation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STOCKHOLDERS</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the stockholders of the corporation shall be held wholly or partially by means of remote communication or at such place, within or without the State of Delaware, on such date and at such time as may be determined by the board of directors and as shall be designated in the notice of said meeting.</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stockholders for any purpose or purposes, unless otherwise prescribed by statute or by the Certificate of Incorporation, may be held wholly or partially by means of remote communication or at any place, within or without the State of Delaware, and may be called by resolution of the board of directors, or by the Chairman or the President.</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Notice and Purpose of Meetings</w:t>
      </w:r>
      <w:r>
        <w:rPr>
          <w:rFonts w:ascii="Arial" w:cs="Arial" w:eastAsia="Arial" w:hAnsi="Arial"/>
          <w:sz w:val="18"/>
          <w:szCs w:val="18"/>
          <w:color w:val="auto"/>
        </w:rPr>
        <w:t>. Written or printed notice of the meeting stating the place, day and hour of the meeting and, in case of a special meeting, stating the purpose or purposes for which the meeting is called, and in case of a meeting held by remote communication stating such means, shall be delivered not less than 10 nor more than 60 days before the date of the meeting, either personally, or by mail, or if prior consent has been received by a stockholder by electronic transmission, by or at the direction of the Chairman or the President, the Secretary, or the persons calling the meeting, to each stockholder of record entitled to vote at such meeting.</w:t>
      </w:r>
    </w:p>
    <w:p>
      <w:pPr>
        <w:spacing w:after="0" w:line="18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Quorum</w:t>
      </w:r>
      <w:r>
        <w:rPr>
          <w:rFonts w:ascii="Arial" w:cs="Arial" w:eastAsia="Arial" w:hAnsi="Arial"/>
          <w:sz w:val="17"/>
          <w:szCs w:val="17"/>
          <w:color w:val="auto"/>
        </w:rPr>
        <w:t>. The holders of a majority of the shares of capital stock issued and outstanding and entitled to vote, represented in person or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jc w:val="both"/>
        <w:ind w:firstLine="1296"/>
        <w:spacing w:after="0" w:line="25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Voting Process</w:t>
      </w:r>
      <w:r>
        <w:rPr>
          <w:rFonts w:ascii="Arial" w:cs="Arial" w:eastAsia="Arial" w:hAnsi="Arial"/>
          <w:sz w:val="18"/>
          <w:szCs w:val="18"/>
          <w:color w:val="auto"/>
        </w:rPr>
        <w:t>. If a quorum is present or represented, the affirmative vote of a majority of the shares of stock present or represented at the meeting, by ballot, proxy or electronic ballot, shall be the act of the stockholders unless the vote of a greater number of shares of stock is required by law, by the Certificate of Incorporation or by these by-laws. Each outstanding share of stock having voting power, shall be entitled to one vote on each matter submitted to a vote at a meeting of stockholders. A stockholder may vote either in person, by proxy executed in writing by the stockholder or by his duly authorized attorney-in-fact, or by an electronic ballot from which it can be determined that the ballot was authorized by a stockholder or proxyholder. The term, validity and enforceability of any proxy shall be determined in accordance with the General Corporation Law of the State of Delaware.</w:t>
      </w:r>
    </w:p>
    <w:p>
      <w:pPr>
        <w:spacing w:after="0" w:line="19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Written Consent of Stockholders Without a Meeting</w:t>
      </w:r>
      <w:r>
        <w:rPr>
          <w:rFonts w:ascii="Arial" w:cs="Arial" w:eastAsia="Arial" w:hAnsi="Arial"/>
          <w:sz w:val="18"/>
          <w:szCs w:val="18"/>
          <w:color w:val="auto"/>
        </w:rPr>
        <w:t>. Whenever the stockholders are required or permitted to take any action by vote, such action may be taken without a meeting, without prior notice and without a vote, if a written consent or electronic transmission, setting forth the action so taken, shall be signed or e-mailed by the holders of outstanding stock having not less than the minimum number of votes that would be necessary to authorize or take such action at a meeting called for such purpose.</w:t>
      </w:r>
    </w:p>
    <w:p>
      <w:pPr>
        <w:spacing w:after="0" w:line="18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Powers</w:t>
      </w:r>
      <w:r>
        <w:rPr>
          <w:rFonts w:ascii="Arial" w:cs="Arial" w:eastAsia="Arial" w:hAnsi="Arial"/>
          <w:sz w:val="16"/>
          <w:szCs w:val="16"/>
          <w:color w:val="auto"/>
        </w:rPr>
        <w:t>. The business affairs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 The board of directors may adopt such rules and regulations, not inconsistent with the Certificate of Incorporation or these by-laws or applicable laws, as it may deem proper for the conduct of its meetings and the management of the Corporation.</w:t>
      </w:r>
    </w:p>
    <w:p>
      <w:pPr>
        <w:spacing w:after="0" w:line="15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Qualifications, Term</w:t>
      </w:r>
      <w:r>
        <w:rPr>
          <w:rFonts w:ascii="Arial" w:cs="Arial" w:eastAsia="Arial" w:hAnsi="Arial"/>
          <w:sz w:val="18"/>
          <w:szCs w:val="18"/>
          <w:color w:val="auto"/>
        </w:rPr>
        <w:t>. The board of directors shall consist of one or more members. The number of directors shall be fixed by the board of directors and may thereafter be changed from time to time by resolution of the board of directors. Directors need not be residents of the State of Delaware nor stockholders of the corporation.</w:t>
      </w:r>
    </w:p>
    <w:p>
      <w:pPr>
        <w:spacing w:after="0" w:line="184"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Vacancies</w:t>
      </w:r>
      <w:r>
        <w:rPr>
          <w:rFonts w:ascii="Arial" w:cs="Arial" w:eastAsia="Arial" w:hAnsi="Arial"/>
          <w:sz w:val="16"/>
          <w:szCs w:val="16"/>
          <w:color w:val="auto"/>
        </w:rPr>
        <w:t>. Vacancies and newly created directorships resulting from any increase in the number of directors may be filled by a majority of the directors then in office, though less than a quorum, and the directors so chosen shall hold office until the next annual election and until their successors are duly elected and shall qualify. A vacancy created by the removal of a director by the stockholders may be filled by the stockholders.</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Place of Meetings</w:t>
      </w:r>
      <w:r>
        <w:rPr>
          <w:rFonts w:ascii="Arial" w:cs="Arial" w:eastAsia="Arial" w:hAnsi="Arial"/>
          <w:sz w:val="16"/>
          <w:szCs w:val="16"/>
          <w:color w:val="auto"/>
        </w:rPr>
        <w:t>. Meetings of the board of directors, regular or special, may be held either within or without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jc w:val="both"/>
        <w:ind w:firstLine="1296"/>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upon such notice, or without notice, and at such time and at such place as shall from time to time be determined by the board.</w:t>
      </w:r>
    </w:p>
    <w:p>
      <w:pPr>
        <w:spacing w:after="0" w:line="170"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the Chairman or the President or by the number of directors who then legally constitute a quorum. Notice of the time and place of all special meetings of the board of directors shall be orally or in writing, by telephone, including a voice messaging system or other system or technology designed to record and communicate messages, facsimile, telegraph or telex, or by electronic mail or other electronic means, during normal business hours, at least 24 hours before the date and time of the meeting. If notice is sent by U.S. mail, it shall be sent by first class mail, charges prepaid, at least three days before the date of the meeting.</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Notice; Waiver</w:t>
      </w:r>
      <w:r>
        <w:rPr>
          <w:rFonts w:ascii="Arial" w:cs="Arial" w:eastAsia="Arial" w:hAnsi="Arial"/>
          <w:sz w:val="18"/>
          <w:szCs w:val="18"/>
          <w:color w:val="auto"/>
        </w:rPr>
        <w:t>. Attendance of a director at any meeting shall constitute a waiver of notice of such meeting, except where a director attends for the express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87"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Quorum</w:t>
      </w:r>
      <w:r>
        <w:rPr>
          <w:rFonts w:ascii="Arial" w:cs="Arial" w:eastAsia="Arial" w:hAnsi="Arial"/>
          <w:sz w:val="16"/>
          <w:szCs w:val="16"/>
          <w:color w:val="auto"/>
        </w:rPr>
        <w:t>. A majority of the directors then in office shall constitute a quorum for the transaction of business unless a greater number is required by law, by the Certificate of Incorporation or by these by-laws. If a quorum shall not be present at any meeting of directors, the directors present thereat may adjourn the meeting from time to time, without notice other than announcement at the meeting, until a quorum shall be present.</w:t>
      </w:r>
    </w:p>
    <w:p>
      <w:pPr>
        <w:spacing w:after="0" w:line="14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Any action required or permitted to be taken at a meeting of the directors may be taken without a meeting if a consent in writing or by electronic transmission, setting forth the action so taken, shall be signed by all of the directors entitled to vote with respect to the subject matter thereof. In addition, meetings of the board may be held by means of conference telephone or voice communication as permitted by the General Corporation Law of the State of Delaware.</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Action</w:t>
      </w:r>
      <w:r>
        <w:rPr>
          <w:rFonts w:ascii="Arial" w:cs="Arial" w:eastAsia="Arial" w:hAnsi="Arial"/>
          <w:sz w:val="18"/>
          <w:szCs w:val="18"/>
          <w:color w:val="auto"/>
        </w:rPr>
        <w:t>. Except as otherwise provided by law or in the Certificate of Incorporation or these by-laws, if a quorum is present, the affirmative vote of a majority of the members of the board of directors will be required for any action.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Removal of Directors</w:t>
      </w:r>
      <w:r>
        <w:rPr>
          <w:rFonts w:ascii="Arial" w:cs="Arial" w:eastAsia="Arial" w:hAnsi="Arial"/>
          <w:sz w:val="16"/>
          <w:szCs w:val="16"/>
          <w:color w:val="auto"/>
        </w:rPr>
        <w:t>. Subject to any provisions of applicable law, any or all of the directors may be removed by vote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COMMITTEES</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Designation of Committees</w:t>
      </w:r>
      <w:r>
        <w:rPr>
          <w:rFonts w:ascii="Arial" w:cs="Arial" w:eastAsia="Arial" w:hAnsi="Arial"/>
          <w:sz w:val="18"/>
          <w:szCs w:val="18"/>
          <w:color w:val="auto"/>
        </w:rPr>
        <w:t>. The board of directors may, by resolution adopted by a majority of the whole board, designate one or more committees, each of which shall, except as otherwise prescribed by law, have such authority of the board of directors as shall be specified in the resolution of the board designating such committee. The board of directors shall have the power at any time to change the membership of, to fill all vacancies in and to discharge any such committee, either with or without cause.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both"/>
        <w:ind w:firstLine="1296"/>
        <w:spacing w:after="0" w:line="25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Procedure; Meetings; Quorum</w:t>
      </w:r>
      <w:r>
        <w:rPr>
          <w:rFonts w:ascii="Arial" w:cs="Arial" w:eastAsia="Arial" w:hAnsi="Arial"/>
          <w:sz w:val="18"/>
          <w:szCs w:val="18"/>
          <w:color w:val="auto"/>
        </w:rPr>
        <w:t>. Committee meetings, of which no notice shall be necessary, may be held at such times and places as shall be fixed by resolution adopted by a majority of the members thereof. So far as applicable, the provisions of Article III of these by-laws relating to notice, quorum and voting requirements applicable to meetings of the board of directors shall govern meetings of any committee of the board. Each committee of the board of directors shall keep written minutes of its proceedings and circulate summaries of such written minutes to the board of directors before or at the next meeting of the board.</w:t>
      </w:r>
    </w:p>
    <w:p>
      <w:pPr>
        <w:spacing w:after="0" w:line="18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w:t>
      </w:r>
      <w:r>
        <w:rPr>
          <w:rFonts w:ascii="Arial" w:cs="Arial" w:eastAsia="Arial" w:hAnsi="Arial"/>
          <w:sz w:val="16"/>
          <w:szCs w:val="16"/>
          <w:color w:val="auto"/>
        </w:rPr>
        <w:t>. The board of directors at its first meeting after each annual meeting of stockholders shall choose a Chief Executive Officer, a Secretary and a Treasurer, none of whom need be a member of the board. The board of directors may also choose a Chairman from among the directors, one or more Executive Vice Presidents, one or more Vice Presidents, Assistant Secretaries and Assistant Treasurers. The board of directors may appoint such other officers and agents as it shall deem necessary, who shall hold their offices for such terms and shall exercise such powers and perform such duties as shall be determined from time to time by the board of directors. More than two offices may be held by the same person.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Compensation</w:t>
      </w:r>
      <w:r>
        <w:rPr>
          <w:rFonts w:ascii="Arial" w:cs="Arial" w:eastAsia="Arial" w:hAnsi="Arial"/>
          <w:sz w:val="16"/>
          <w:szCs w:val="16"/>
          <w:color w:val="auto"/>
        </w:rPr>
        <w:t>. The salaries or other compensation of all officers of the corporation shall be fixed by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officer shall be prevented from receiving a salary or other compensation by reason of the fact that he is also a director.</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Term; Removal; Vacancy</w:t>
      </w:r>
      <w:r>
        <w:rPr>
          <w:rFonts w:ascii="Arial" w:cs="Arial" w:eastAsia="Arial" w:hAnsi="Arial"/>
          <w:sz w:val="18"/>
          <w:szCs w:val="18"/>
          <w:color w:val="auto"/>
        </w:rPr>
        <w:t>. The officers of the corporation shall hold office until their successors are chosen and qualify. Any officer may be removed at any time, with or without cause, by the affirmative vote of a majority of the whole board of directors. Any vacancy occurring in any office of the corporation shall be filled by the board of directors.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Chairman</w:t>
      </w:r>
      <w:r>
        <w:rPr>
          <w:rFonts w:ascii="Arial" w:cs="Arial" w:eastAsia="Arial" w:hAnsi="Arial"/>
          <w:sz w:val="18"/>
          <w:szCs w:val="18"/>
          <w:color w:val="auto"/>
        </w:rPr>
        <w:t>. The Chairman shall, if one be elected, preside at all meetings of the board of directors.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be the chief executive officer of the corporation, shall preside at all meetings of the stockholders and the board of directors in the absence of the Chairman, shall have general supervision over the business of the corporation and shall see that all directions and resolutions of the board of directors are carried into effect.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in the absence or disability of the Chief Executive Officer, perform the duties and exercise the powers of the Chief Executive Officer and shall perform such other duties and have such other powers as the board of directors may from time to time prescribe.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jc w:val="both"/>
        <w:ind w:firstLine="1296"/>
        <w:spacing w:after="0" w:line="25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Vice President</w:t>
      </w:r>
      <w:r>
        <w:rPr>
          <w:rFonts w:ascii="Arial" w:cs="Arial" w:eastAsia="Arial" w:hAnsi="Arial"/>
          <w:sz w:val="18"/>
          <w:szCs w:val="18"/>
          <w:color w:val="auto"/>
        </w:rPr>
        <w:t>. The Executive Vice Presidents shall, in the absence or disability of the President, perform the duties and exercise the powers of the President and shall perform such other duties and have such other powers as the board of directors may from time to time prescribe. If there shall be more than one Executive Vice President, the Executive Vice Presidents shall perform such duties and exercise such powers in the absence or disability of the President, in the order determined by the board of directors. The Vice Presidents shall, in the absence or disability of the President and of the Executive Vice Presidents, perform the duties and exercise the powers of the President and shall perform such other duties and have such other powers as the board of directors may from time to time prescribe. If there shall be more than one vice president, the vice presidents shall perform such duties and exercise such powers in the absence or disability of the President and of the Executive Vice President, in the order determined by the board of directors.</w:t>
      </w:r>
    </w:p>
    <w:p>
      <w:pPr>
        <w:spacing w:after="0" w:line="19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attend all meetings of the board of directors and all meetings of the stockholders and record all the proceedings of the meetings of the corporation and of the board of directors in a book to be kept for that purpose. He shall give, or cause to be given, notice of all meetings of the stockholders and special meetings of the board of directors, and shall perform such other duties as may be prescribed by the board of directors or President, under whose supervision he shall be. He shall have custody of the corporate seal of the corporation and he, or an assistant secretary, shall have the authority to affix the same to an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Assistant Secretary</w:t>
      </w:r>
      <w:r>
        <w:rPr>
          <w:rFonts w:ascii="Arial" w:cs="Arial" w:eastAsia="Arial" w:hAnsi="Arial"/>
          <w:sz w:val="17"/>
          <w:szCs w:val="17"/>
          <w:color w:val="auto"/>
        </w:rPr>
        <w:t>. The Assistant Secretary, if there shall be one, or if there shall be more than one, the assistant secretaries in the order determined by the board of directors, shall, in the absence or disability of the Secretary, perform the duties and exercise the powers of the Secretary and shall perform such other duties and have such powers as the board of directors may from time to time prescribe.</w:t>
      </w:r>
    </w:p>
    <w:p>
      <w:pPr>
        <w:spacing w:after="0" w:line="16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or Chief Financial Officer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of directors, taking proper vouchers for such disbursements, and shall render to the Chairman, the President and the board of directors, at its regular meetings, or when the board of directors so requires, an account of all of his transactions as Treasurer and of the financial condition of the corporation.</w:t>
      </w:r>
    </w:p>
    <w:p>
      <w:pPr>
        <w:spacing w:after="0" w:line="19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Assistant Treasurer</w:t>
      </w:r>
      <w:r>
        <w:rPr>
          <w:rFonts w:ascii="Arial" w:cs="Arial" w:eastAsia="Arial" w:hAnsi="Arial"/>
          <w:sz w:val="17"/>
          <w:szCs w:val="17"/>
          <w:color w:val="auto"/>
        </w:rPr>
        <w:t>. The Assistant Treasurer, if there shall be one, or, if there shall be more than one, the Assistant Treasurers in the order determined by the board of directors, shall, in the absence or disability of the Treasurer, perform the duties and exercise the powers of the Treasurer and shall perform such other duties and have such other powers as the board of directors may from time to time prescribe.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211"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Form</w:t>
      </w:r>
      <w:r>
        <w:rPr>
          <w:rFonts w:ascii="Arial" w:cs="Arial" w:eastAsia="Arial" w:hAnsi="Arial"/>
          <w:sz w:val="18"/>
          <w:szCs w:val="18"/>
          <w:color w:val="auto"/>
        </w:rPr>
        <w:t>. The shares of the capital stock of the corporation shall be represented by certificates in such form as shall be approved by the board of directors and shall be signed by the Chairman, the President, an Executive Vice President or a Vice President, and by the Treasurer or an assistant treasurer or the Secretary or an Assistant Secretary of the corporation, and may be sealed with the seal of the corporation or a facsimile thereof.</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Lost and Destroyed Certificates</w:t>
      </w:r>
      <w:r>
        <w:rPr>
          <w:rFonts w:ascii="Arial" w:cs="Arial" w:eastAsia="Arial" w:hAnsi="Arial"/>
          <w:sz w:val="18"/>
          <w:szCs w:val="18"/>
          <w:color w:val="auto"/>
        </w:rPr>
        <w:t>. The board of directors may direct a new certificate to be issued in place of any certificate theretofore issued by the corporation alleged to have been lost or destroyed. When authorizing such issue of a new certificate, the board of directors, in its discretion and as a condition precedent to the issuance thereof, may prescribe such terms and conditions as it deems expedient, and may require such indemnities as it deems adequate, to protect the corporation from any claim that may be made against it with respect to any such certificate alleged to have been lost or destroyed.</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Transfer of Shares</w:t>
      </w:r>
      <w:r>
        <w:rPr>
          <w:rFonts w:ascii="Arial" w:cs="Arial" w:eastAsia="Arial" w:hAnsi="Arial"/>
          <w:sz w:val="17"/>
          <w:szCs w:val="17"/>
          <w:color w:val="auto"/>
        </w:rPr>
        <w:t>. Upon surrender to the corporation or the transfer agent of the corporation of a certificate representing shares duly endorsed or accompanied by proper evidence of succession, assignment or authority to transfer, a new certificate shall be issued to the person entitled thereto, and the old certificate cancelled and the transaction recorded upon the books of the corporation.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SECTION 1. (a) The corporation shall indemnify, subject to the requirements of subsection (d) of this Section,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68" w:lineRule="exact"/>
        <w:rPr>
          <w:sz w:val="20"/>
          <w:szCs w:val="20"/>
          <w:color w:val="auto"/>
        </w:rPr>
      </w:pPr>
    </w:p>
    <w:p>
      <w:pPr>
        <w:jc w:val="both"/>
        <w:ind w:firstLine="1304"/>
        <w:spacing w:after="0" w:line="269" w:lineRule="auto"/>
        <w:tabs>
          <w:tab w:leader="none" w:pos="1555"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corporation shall indemnify, subject to the requirements of subsection (d) of this Section,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jc w:val="both"/>
        <w:ind w:firstLine="1304"/>
        <w:spacing w:after="0" w:line="286" w:lineRule="auto"/>
        <w:tabs>
          <w:tab w:leader="none" w:pos="1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the extent that a director, officer, employee or agent of the corporation has been successful on the merits or otherwise in defense of any action, suit or proceeding referred to in subsections (a) and (b) of this Section, or in defense of any claim, issue or matter therein, the corporation shall indemnify him against expenses (including attorneys' fees) actually and reasonably incurred by him in connection therewith.</w:t>
      </w:r>
    </w:p>
    <w:p>
      <w:pPr>
        <w:spacing w:after="0" w:line="165" w:lineRule="exact"/>
        <w:rPr>
          <w:rFonts w:ascii="Arial" w:cs="Arial" w:eastAsia="Arial" w:hAnsi="Arial"/>
          <w:sz w:val="17"/>
          <w:szCs w:val="17"/>
          <w:color w:val="auto"/>
        </w:rPr>
      </w:pPr>
    </w:p>
    <w:p>
      <w:pPr>
        <w:jc w:val="both"/>
        <w:ind w:firstLine="1304"/>
        <w:spacing w:after="0" w:line="255" w:lineRule="auto"/>
        <w:tabs>
          <w:tab w:leader="none" w:pos="1543"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indemnification under subsections (a) and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subsections (a) and (b) of this Section.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w:t>
      </w:r>
    </w:p>
    <w:p>
      <w:pPr>
        <w:spacing w:after="0" w:line="192" w:lineRule="exact"/>
        <w:rPr>
          <w:rFonts w:ascii="Arial" w:cs="Arial" w:eastAsia="Arial" w:hAnsi="Arial"/>
          <w:sz w:val="18"/>
          <w:szCs w:val="18"/>
          <w:color w:val="auto"/>
        </w:rPr>
      </w:pPr>
    </w:p>
    <w:p>
      <w:pPr>
        <w:jc w:val="both"/>
        <w:ind w:firstLine="1304"/>
        <w:spacing w:after="0" w:line="301" w:lineRule="auto"/>
        <w:tabs>
          <w:tab w:leader="none" w:pos="15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Expenses incurred by a director, officer, employee or agent in defending a civil or criminal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Section. Such expenses incurred by other employees and agents may be so paid upon such terms and conditions, if any, as the Board of Directors deems appropriate.</w:t>
      </w:r>
    </w:p>
    <w:p>
      <w:pPr>
        <w:spacing w:after="0" w:line="157" w:lineRule="exact"/>
        <w:rPr>
          <w:rFonts w:ascii="Arial" w:cs="Arial" w:eastAsia="Arial" w:hAnsi="Arial"/>
          <w:sz w:val="16"/>
          <w:szCs w:val="16"/>
          <w:color w:val="auto"/>
        </w:rPr>
      </w:pPr>
    </w:p>
    <w:p>
      <w:pPr>
        <w:jc w:val="both"/>
        <w:ind w:firstLine="1304"/>
        <w:spacing w:after="0" w:line="301" w:lineRule="auto"/>
        <w:tabs>
          <w:tab w:leader="none" w:pos="1524"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or granted pursuant to, the other subsections of this Section shall not limit the corporation from providing any other indemnification or advancement of expenses permitted by law nor shall they be deemed exclusive of any other rights to which a person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57" w:lineRule="exact"/>
        <w:rPr>
          <w:rFonts w:ascii="Arial" w:cs="Arial" w:eastAsia="Arial" w:hAnsi="Arial"/>
          <w:sz w:val="16"/>
          <w:szCs w:val="16"/>
          <w:color w:val="auto"/>
        </w:rPr>
      </w:pPr>
    </w:p>
    <w:p>
      <w:pPr>
        <w:jc w:val="both"/>
        <w:ind w:firstLine="1304"/>
        <w:spacing w:after="0" w:line="279" w:lineRule="auto"/>
        <w:tabs>
          <w:tab w:leader="none" w:pos="1552"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jc w:val="both"/>
        <w:ind w:firstLine="1304"/>
        <w:spacing w:after="0" w:line="293" w:lineRule="auto"/>
        <w:tabs>
          <w:tab w:leader="none" w:pos="1554" w:val="left"/>
        </w:tabs>
        <w:numPr>
          <w:ilvl w:val="0"/>
          <w:numId w:val="86"/>
        </w:numPr>
        <w:rPr>
          <w:rFonts w:ascii="Arial" w:cs="Arial" w:eastAsia="Arial" w:hAnsi="Arial"/>
          <w:sz w:val="16"/>
          <w:szCs w:val="16"/>
          <w:color w:val="auto"/>
        </w:rPr>
      </w:pPr>
      <w:r>
        <w:rPr>
          <w:rFonts w:ascii="Arial" w:cs="Arial" w:eastAsia="Arial" w:hAnsi="Arial"/>
          <w:sz w:val="16"/>
          <w:szCs w:val="16"/>
          <w:color w:val="auto"/>
        </w:rPr>
        <w:t>For the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64" w:lineRule="exact"/>
        <w:rPr>
          <w:rFonts w:ascii="Arial" w:cs="Arial" w:eastAsia="Arial" w:hAnsi="Arial"/>
          <w:sz w:val="16"/>
          <w:szCs w:val="16"/>
          <w:color w:val="auto"/>
        </w:rPr>
      </w:pPr>
    </w:p>
    <w:p>
      <w:pPr>
        <w:jc w:val="both"/>
        <w:ind w:firstLine="1304"/>
        <w:spacing w:after="0" w:line="273" w:lineRule="auto"/>
        <w:tabs>
          <w:tab w:leader="none" w:pos="1515" w:val="left"/>
        </w:tabs>
        <w:numPr>
          <w:ilvl w:val="0"/>
          <w:numId w:val="86"/>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any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77" w:lineRule="exact"/>
        <w:rPr>
          <w:rFonts w:ascii="Arial" w:cs="Arial" w:eastAsia="Arial" w:hAnsi="Arial"/>
          <w:sz w:val="17"/>
          <w:szCs w:val="17"/>
          <w:color w:val="auto"/>
        </w:rPr>
      </w:pPr>
    </w:p>
    <w:p>
      <w:pPr>
        <w:jc w:val="both"/>
        <w:ind w:firstLine="1304"/>
        <w:spacing w:after="0" w:line="263" w:lineRule="auto"/>
        <w:tabs>
          <w:tab w:leader="none" w:pos="151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by the Board of Directors, continue as to a person who has ceased to be a director, officer, employee or agent of the corporation and shall inure to the benefit of the heirs executors and administrators of such a person.</w:t>
      </w:r>
    </w:p>
    <w:p>
      <w:pPr>
        <w:spacing w:after="0" w:line="183" w:lineRule="exact"/>
        <w:rPr>
          <w:rFonts w:ascii="Arial" w:cs="Arial" w:eastAsia="Arial" w:hAnsi="Arial"/>
          <w:sz w:val="18"/>
          <w:szCs w:val="18"/>
          <w:color w:val="auto"/>
        </w:rPr>
      </w:pPr>
    </w:p>
    <w:p>
      <w:pPr>
        <w:ind w:firstLine="1304"/>
        <w:spacing w:after="0" w:line="342" w:lineRule="auto"/>
        <w:tabs>
          <w:tab w:leader="none" w:pos="1549"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officers and directors of the corporation, as individuals, shall not be liable until all funds of the corporation have been distributed, with the exception of the proceeds contained in a trust account, that is subject to the trust agreement to be entered into by the corporation.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the corporation shall be determined, and may be changed, by resolution of the board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Seal</w:t>
      </w:r>
      <w:r>
        <w:rPr>
          <w:rFonts w:ascii="Arial" w:cs="Arial" w:eastAsia="Arial" w:hAnsi="Arial"/>
          <w:sz w:val="17"/>
          <w:szCs w:val="17"/>
          <w:color w:val="auto"/>
        </w:rPr>
        <w:t>. The corporate seal shall have inscribed thereon the name of the corporation, the year of its organization and the words “Corporate Seal, Delaware.” The seal may be used by causing it or a facsimile thereof to be impressed or affixed or in any manner reproduced.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w:t>
      </w:r>
    </w:p>
    <w:p>
      <w:pPr>
        <w:spacing w:after="0" w:line="21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SECTION 1. These by-laws may be altered, amended, supplemented or repealed or new by-laws may be adopted (a) at any regular or special meeting of stockholders at which a quorum is present or represented, by the affirmative vote of the holders of a majority of the shares entitled to vote, provided notice of the proposed alteration, amendment or repeal be contained in the notice of such meeting, or (b) by a resolution adopted by a majority of the whole board of directors at any regular or special meeting of the board. The stockholders shall have authority to change or repeal any by-laws adopted by the directors.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2"/>
          <w:szCs w:val="22"/>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hereby consent to the use in this Registration Statement on Form S-1, of our report dated December 1, 2020, relating to the balance sheet of Ventoux CCM Acquisition Corp. as of December 31, 2019, and the related statements of operations, changes in stockholder’s equity and cash flows for the period from July 10, 2019 (inception) through December 31, 2019, and to the reference to our Firm under the caption “Experts” in the Prospectus.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 2020</w:t>
      </w:r>
    </w:p>
    <w:p>
      <w:pPr>
        <w:sectPr>
          <w:pgSz w:w="11900" w:h="16838" w:orient="portrait"/>
          <w:cols w:equalWidth="0" w:num="1">
            <w:col w:w="11240"/>
          </w:cols>
          <w:pgMar w:left="320" w:top="11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99.4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Ventoux CCM Acquisition Corp. intends to file a Registration Statement on Form S-1 (together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Alex Weil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 2020</w:t>
      </w:r>
    </w:p>
    <w:p>
      <w:pPr>
        <w:sectPr>
          <w:pgSz w:w="11900" w:h="16838" w:orient="portrait"/>
          <w:cols w:equalWidth="0" w:num="1">
            <w:col w:w="11240"/>
          </w:cols>
          <w:pgMar w:left="320" w:top="12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99.5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Ventoux CCM Acquisition Corp. intends to file a Registration Statement on Form S-1 (together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Woodrow H.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Woodrow H. Levin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 2020</w:t>
      </w:r>
    </w:p>
    <w:p>
      <w:pPr>
        <w:sectPr>
          <w:pgSz w:w="11900" w:h="16838" w:orient="portrait"/>
          <w:cols w:equalWidth="0" w:num="1">
            <w:col w:w="11240"/>
          </w:cols>
          <w:pgMar w:left="320" w:top="12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99.6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Ventoux CCM Acquisition Corp. intends to file a Registration Statement on Form S-1 (together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Julie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Julie Atkinson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 2020</w:t>
      </w:r>
    </w:p>
    <w:p>
      <w:pPr>
        <w:sectPr>
          <w:pgSz w:w="11900" w:h="16838" w:orient="portrait"/>
          <w:cols w:equalWidth="0" w:num="1">
            <w:col w:w="11240"/>
          </w:cols>
          <w:pgMar w:left="320" w:top="121"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99.7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Ventoux CCM Acquisition Corp. intends to file a Registration Statement on Form S-1 (together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Christian Ahrens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Christian Ahrens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1"/>
    </w:lvl>
  </w:abstractNum>
  <w:abstractNum w:abstractNumId="1">
    <w:nsid w:val="725A06FB"/>
    <w:multiLevelType w:val="hybridMultilevel"/>
    <w:lvl w:ilvl="0">
      <w:lvlJc w:val="left"/>
      <w:lvlText w:val="(%1)"/>
      <w:numFmt w:val="decimal"/>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1)"/>
      <w:numFmt w:val="upperLetter"/>
      <w:start w:val="1"/>
    </w:lvl>
  </w:abstractNum>
  <w:abstractNum w:abstractNumId="6">
    <w:nsid w:val="542289EC"/>
    <w:multiLevelType w:val="hybridMultilevel"/>
    <w:lvl w:ilvl="0">
      <w:lvlJc w:val="left"/>
      <w:lvlText w:val="(%1)"/>
      <w:numFmt w:val="decimal"/>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1)"/>
      <w:numFmt w:val="upperLetter"/>
      <w:start w:val="2"/>
    </w:lvl>
  </w:abstractNum>
  <w:abstractNum w:abstractNumId="9">
    <w:nsid w:val="7644A45C"/>
    <w:multiLevelType w:val="hybridMultilevel"/>
    <w:lvl w:ilvl="0">
      <w:lvlJc w:val="left"/>
      <w:lvlText w:val="(%1)"/>
      <w:numFmt w:val="lowerRoman"/>
      <w:start w:val="3"/>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1)"/>
      <w:numFmt w:val="decimal"/>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1)"/>
      <w:numFmt w:val="decimal"/>
      <w:start w:val="1"/>
    </w:lvl>
  </w:abstractNum>
  <w:abstractNum w:abstractNumId="21">
    <w:nsid w:val="374A3FE6"/>
    <w:multiLevelType w:val="hybridMultilevel"/>
    <w:lvl w:ilvl="0">
      <w:lvlJc w:val="left"/>
      <w:lvlText w:val="(%1)"/>
      <w:numFmt w:val="decimal"/>
      <w:start w:val="3"/>
    </w:lvl>
  </w:abstractNum>
  <w:abstractNum w:abstractNumId="22">
    <w:nsid w:val="4F4EF005"/>
    <w:multiLevelType w:val="hybridMultilevel"/>
    <w:lvl w:ilvl="0">
      <w:lvlJc w:val="left"/>
      <w:lvlText w:val="(%1)"/>
      <w:numFmt w:val="lowerRoman"/>
      <w:start w:val="3"/>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1)"/>
      <w:numFmt w:val="lowerRoman"/>
      <w:start w:val="2"/>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1)"/>
      <w:numFmt w:val="decimal"/>
      <w:start w:val="2"/>
    </w:lvl>
  </w:abstractNum>
  <w:abstractNum w:abstractNumId="39">
    <w:nsid w:val="77AE35EB"/>
    <w:multiLevelType w:val="hybridMultilevel"/>
    <w:lvl w:ilvl="0">
      <w:lvlJc w:val="left"/>
      <w:lvlText w:val="(%1)"/>
      <w:numFmt w:val="lowerRoman"/>
      <w:start w:val="3"/>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1)"/>
      <w:numFmt w:val="lowerLetter"/>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1)"/>
      <w:numFmt w:val="decimal"/>
      <w:start w:val="1"/>
    </w:lvl>
  </w:abstractNum>
  <w:abstractNum w:abstractNumId="55">
    <w:nsid w:val="799D0247"/>
    <w:multiLevelType w:val="hybridMultilevel"/>
    <w:lvl w:ilvl="0">
      <w:lvlJc w:val="left"/>
      <w:lvlText w:val="(%1)"/>
      <w:numFmt w:val="decimal"/>
      <w:start w:val="6"/>
    </w:lvl>
  </w:abstractNum>
  <w:abstractNum w:abstractNumId="56">
    <w:nsid w:val="6B94764"/>
    <w:multiLevelType w:val="hybridMultilevel"/>
    <w:lvl w:ilvl="0">
      <w:lvlJc w:val="left"/>
      <w:lvlText w:val="(%1)"/>
      <w:numFmt w:val="lowerLetter"/>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1)"/>
      <w:numFmt w:val="decimal"/>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1"/>
      <w:numFmt w:val="decimal"/>
      <w:start w:val="431"/>
    </w:lvl>
  </w:abstractNum>
  <w:abstractNum w:abstractNumId="66">
    <w:nsid w:val="BF72B14"/>
    <w:multiLevelType w:val="hybridMultilevel"/>
    <w:lvl w:ilvl="0">
      <w:lvlJc w:val="left"/>
      <w:lvlText w:val="(%1)"/>
      <w:numFmt w:val="decimal"/>
      <w:start w:val="1"/>
    </w:lvl>
  </w:abstractNum>
  <w:abstractNum w:abstractNumId="67">
    <w:nsid w:val="11447B73"/>
    <w:multiLevelType w:val="hybridMultilevel"/>
    <w:lvl w:ilvl="0">
      <w:lvlJc w:val="left"/>
      <w:lvlText w:val="(%1)"/>
      <w:numFmt w:val="decimal"/>
      <w:start w:val="1"/>
    </w:lvl>
  </w:abstractNum>
  <w:abstractNum w:abstractNumId="68">
    <w:nsid w:val="42963E5A"/>
    <w:multiLevelType w:val="hybridMultilevel"/>
    <w:lvl w:ilvl="0">
      <w:lvlJc w:val="left"/>
      <w:lvlText w:val="(%1)"/>
      <w:numFmt w:val="decimal"/>
      <w:start w:val="1"/>
    </w:lvl>
  </w:abstractNum>
  <w:abstractNum w:abstractNumId="69">
    <w:nsid w:val="A0382C5"/>
    <w:multiLevelType w:val="hybridMultilevel"/>
    <w:lvl w:ilvl="0">
      <w:lvlJc w:val="left"/>
      <w:lvlText w:val="(%1)"/>
      <w:numFmt w:val="lowerRoman"/>
      <w:start w:val="1"/>
    </w:lvl>
  </w:abstractNum>
  <w:abstractNum w:abstractNumId="70">
    <w:nsid w:val="8F2B15E"/>
    <w:multiLevelType w:val="hybridMultilevel"/>
    <w:lvl w:ilvl="0">
      <w:lvlJc w:val="left"/>
      <w:lvlText w:val="(%1)"/>
      <w:numFmt w:val="lowerRoman"/>
      <w:start w:val="3"/>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1)"/>
      <w:numFmt w:val="lowerLetter"/>
      <w:start w:val="1"/>
    </w:lvl>
  </w:abstractNum>
  <w:abstractNum w:abstractNumId="74">
    <w:nsid w:val="4962813B"/>
    <w:multiLevelType w:val="hybridMultilevel"/>
    <w:lvl w:ilvl="0">
      <w:lvlJc w:val="left"/>
      <w:lvlText w:val="(%1)"/>
      <w:numFmt w:val="lowerLetter"/>
      <w:start w:val="3"/>
    </w:lvl>
    <w:lvl w:ilvl="1">
      <w:lvlJc w:val="left"/>
      <w:lvlText w:val="(%2)"/>
      <w:numFmt w:val="lowerLetter"/>
      <w:start w:val="1"/>
    </w:lvl>
  </w:abstractNum>
  <w:abstractNum w:abstractNumId="75">
    <w:nsid w:val="60B6DF70"/>
    <w:multiLevelType w:val="hybridMultilevel"/>
    <w:lvl w:ilvl="0">
      <w:lvlJc w:val="left"/>
      <w:lvlText w:val="(%1)"/>
      <w:numFmt w:val="lowerLetter"/>
      <w:start w:val="10"/>
    </w:lvl>
  </w:abstractNum>
  <w:abstractNum w:abstractNumId="76">
    <w:nsid w:val="6A5EE64"/>
    <w:multiLevelType w:val="hybridMultilevel"/>
    <w:lvl w:ilvl="0">
      <w:lvlJc w:val="left"/>
      <w:lvlText w:val="•"/>
      <w:numFmt w:val="bullet"/>
      <w:start w:val="1"/>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1)"/>
      <w:numFmt w:val="lowerLetter"/>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1">
    <w:nsid w:val="100F59DC"/>
    <w:multiLevelType w:val="hybridMultilevel"/>
    <w:lvl w:ilvl="0">
      <w:lvlJc w:val="left"/>
      <w:lvlText w:val="(%1)"/>
      <w:numFmt w:val="lowerLetter"/>
      <w:start w:val="4"/>
    </w:lvl>
    <w:lvl w:ilvl="1">
      <w:lvlJc w:val="left"/>
      <w:lvlText w:val="(%2)"/>
      <w:numFmt w:val="decimal"/>
      <w:start w:val="1"/>
    </w:lvl>
  </w:abstractNum>
  <w:abstractNum w:abstractNumId="82">
    <w:nsid w:val="7FB7E0AA"/>
    <w:multiLevelType w:val="hybridMultilevel"/>
    <w:lvl w:ilvl="0">
      <w:lvlJc w:val="left"/>
      <w:lvlText w:val="%1."/>
      <w:numFmt w:val="decimal"/>
      <w:start w:val="1"/>
    </w:lvl>
  </w:abstractNum>
  <w:abstractNum w:abstractNumId="83">
    <w:nsid w:val="6EB5BD4"/>
    <w:multiLevelType w:val="hybridMultilevel"/>
    <w:lvl w:ilvl="0">
      <w:lvlJc w:val="left"/>
      <w:lvlText w:val="(%1)"/>
      <w:numFmt w:val="lowerLetter"/>
      <w:start w:val="2"/>
    </w:lvl>
  </w:abstractNum>
  <w:abstractNum w:abstractNumId="84">
    <w:nsid w:val="6F6DD9AC"/>
    <w:multiLevelType w:val="hybridMultilevel"/>
    <w:lvl w:ilvl="0">
      <w:lvlJc w:val="left"/>
      <w:lvlText w:val="(%1)"/>
      <w:numFmt w:val="lowerLetter"/>
      <w:start w:val="3"/>
    </w:lvl>
  </w:abstractNum>
  <w:abstractNum w:abstractNumId="85">
    <w:nsid w:val="94211F2"/>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2020-12-01T11:27:43Z</dcterms:created>
  <dcterms:modified xsi:type="dcterms:W3CDTF">2020-12-01T11:27:43Z</dcterms:modified>
</cp:coreProperties>
</file>