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Suri Rajat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Presto Automation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09/23/2022</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CARLOS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94070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09/21/2022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10,000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2,234,703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25, 2022, the Issuer (f/k/a Ventoux CCM Acquisition Corp.) entered into amended and restated subscription agreements with certain investors (the "PIPE Investors") pursuant to which the PIPE Investors agreed to purchase shares of the Issuer's common stock for $10.00 per share concurrently with the consummation of the Business Combination (as defined below). As one of the PIPE Investors, on September 21, 2022, the reporting person acquired 10,000 shares of the Issuer's common stock for $10.00 per share. This transaction was inadvertnetly omitted from the transactions reported on the Reporting Person's Form 4 originally filed on September 23, 2022 (the "Original Form 4").</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received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as reported on the Original Form 4.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Stephen Perry, as attorney-  </w:t>
      </w:r>
      <w:r>
        <w:rPr>
          <w:rFonts w:ascii="Times New Roman" w:cs="Times New Roman" w:eastAsia="Times New Roman" w:hAnsi="Times New Roman"/>
          <w:sz w:val="34"/>
          <w:szCs w:val="34"/>
          <w:color w:val="0000FF"/>
          <w:vertAlign w:val="subscript"/>
        </w:rPr>
        <w:t>10/03/2022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5017"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2022-10-03T17:38:04Z</dcterms:created>
  <dcterms:modified xsi:type="dcterms:W3CDTF">2022-10-03T17:38:04Z</dcterms:modified>
</cp:coreProperties>
</file>