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700" w:type="dxa"/>
        <w:tblCellMar>
          <w:top w:w="0" w:type="dxa"/>
          <w:left w:w="0" w:type="dxa"/>
          <w:bottom w:w="0" w:type="dxa"/>
          <w:right w:w="0" w:type="dxa"/>
        </w:tblCellMar>
      </w:tblPr>
      <w:tr>
        <w:trPr>
          <w:trHeight w:val="232"/>
        </w:trPr>
        <w:tc>
          <w:tcPr>
            <w:tcW w:w="61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3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160" w:type="dxa"/>
            <w:vAlign w:val="bottom"/>
          </w:tcPr>
          <w:p>
            <w:pPr>
              <w:jc w:val="center"/>
              <w:ind w:right="1590"/>
              <w:spacing w:after="0" w:line="194" w:lineRule="exact"/>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3400" w:type="dxa"/>
            <w:vAlign w:val="bottom"/>
            <w:tcBorders>
              <w:left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SEC FILE NUMBER</w:t>
            </w:r>
          </w:p>
        </w:tc>
        <w:tc>
          <w:tcPr>
            <w:tcW w:w="0" w:type="dxa"/>
            <w:vAlign w:val="bottom"/>
          </w:tcPr>
          <w:p>
            <w:pPr>
              <w:spacing w:after="0"/>
              <w:rPr>
                <w:sz w:val="1"/>
                <w:szCs w:val="1"/>
                <w:color w:val="auto"/>
              </w:rPr>
            </w:pPr>
          </w:p>
        </w:tc>
      </w:tr>
      <w:tr>
        <w:trPr>
          <w:trHeight w:val="245"/>
        </w:trPr>
        <w:tc>
          <w:tcPr>
            <w:tcW w:w="61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3400" w:type="dxa"/>
            <w:vAlign w:val="bottom"/>
            <w:tcBorders>
              <w:left w:val="single" w:sz="8" w:color="auto"/>
              <w:bottom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0" w:type="dxa"/>
            <w:vAlign w:val="bottom"/>
          </w:tcPr>
          <w:p>
            <w:pPr>
              <w:spacing w:after="0"/>
              <w:rPr>
                <w:sz w:val="1"/>
                <w:szCs w:val="1"/>
                <w:color w:val="auto"/>
              </w:rPr>
            </w:pPr>
          </w:p>
        </w:tc>
      </w:tr>
      <w:tr>
        <w:trPr>
          <w:trHeight w:val="223"/>
        </w:trPr>
        <w:tc>
          <w:tcPr>
            <w:tcW w:w="6160" w:type="dxa"/>
            <w:vAlign w:val="bottom"/>
            <w:vMerge w:val="restart"/>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rPr>
              <w:t>FORM 12b-25</w:t>
            </w:r>
          </w:p>
        </w:tc>
        <w:tc>
          <w:tcPr>
            <w:tcW w:w="3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160" w:type="dxa"/>
            <w:vAlign w:val="bottom"/>
            <w:vMerge w:val="continue"/>
          </w:tcPr>
          <w:p>
            <w:pPr>
              <w:spacing w:after="0"/>
              <w:rPr>
                <w:sz w:val="17"/>
                <w:szCs w:val="17"/>
                <w:color w:val="auto"/>
              </w:rPr>
            </w:pPr>
          </w:p>
        </w:tc>
        <w:tc>
          <w:tcPr>
            <w:tcW w:w="340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CUSIP NUMBER</w:t>
            </w:r>
          </w:p>
        </w:tc>
        <w:tc>
          <w:tcPr>
            <w:tcW w:w="0" w:type="dxa"/>
            <w:vAlign w:val="bottom"/>
          </w:tcPr>
          <w:p>
            <w:pPr>
              <w:spacing w:after="0"/>
              <w:rPr>
                <w:sz w:val="1"/>
                <w:szCs w:val="1"/>
                <w:color w:val="auto"/>
              </w:rPr>
            </w:pPr>
          </w:p>
        </w:tc>
      </w:tr>
      <w:tr>
        <w:trPr>
          <w:trHeight w:val="241"/>
        </w:trPr>
        <w:tc>
          <w:tcPr>
            <w:tcW w:w="6160" w:type="dxa"/>
            <w:vAlign w:val="bottom"/>
            <w:vMerge w:val="restart"/>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74113T105</w:t>
            </w:r>
          </w:p>
        </w:tc>
        <w:tc>
          <w:tcPr>
            <w:tcW w:w="0" w:type="dxa"/>
            <w:vAlign w:val="bottom"/>
          </w:tcPr>
          <w:p>
            <w:pPr>
              <w:spacing w:after="0"/>
              <w:rPr>
                <w:sz w:val="1"/>
                <w:szCs w:val="1"/>
                <w:color w:val="auto"/>
              </w:rPr>
            </w:pPr>
          </w:p>
        </w:tc>
      </w:tr>
      <w:tr>
        <w:trPr>
          <w:trHeight w:val="203"/>
        </w:trPr>
        <w:tc>
          <w:tcPr>
            <w:tcW w:w="6160" w:type="dxa"/>
            <w:vAlign w:val="bottom"/>
            <w:vMerge w:val="continue"/>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61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00"/>
        <w:spacing w:after="0" w:line="207" w:lineRule="exact"/>
        <w:tabs>
          <w:tab w:leader="none" w:pos="1680" w:val="left"/>
        </w:tabs>
        <w:rPr>
          <w:sz w:val="20"/>
          <w:szCs w:val="20"/>
          <w:color w:val="auto"/>
        </w:rPr>
      </w:pPr>
      <w:r>
        <w:rPr>
          <w:rFonts w:ascii="Times New Roman" w:cs="Times New Roman" w:eastAsia="Times New Roman" w:hAnsi="Times New Roman"/>
          <w:sz w:val="18"/>
          <w:szCs w:val="18"/>
          <w:color w:val="auto"/>
        </w:rPr>
        <w:t>(Check One):</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10-K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20-F</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11-K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10-Q</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10-D</w:t>
      </w:r>
    </w:p>
    <w:p>
      <w:pPr>
        <w:spacing w:after="0" w:line="63" w:lineRule="exact"/>
        <w:rPr>
          <w:sz w:val="24"/>
          <w:szCs w:val="24"/>
          <w:color w:val="auto"/>
        </w:rPr>
      </w:pPr>
    </w:p>
    <w:p>
      <w:pPr>
        <w:ind w:left="1900" w:hanging="205"/>
        <w:spacing w:after="0" w:line="207" w:lineRule="exact"/>
        <w:tabs>
          <w:tab w:leader="none" w:pos="1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p>
      <w:pPr>
        <w:spacing w:after="0" w:line="212"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color w:val="auto"/>
        </w:rPr>
        <w:t>For Period Ended: March 31, 2024</w:t>
      </w:r>
    </w:p>
    <w:p>
      <w:pPr>
        <w:spacing w:after="0" w:line="22" w:lineRule="exact"/>
        <w:rPr>
          <w:sz w:val="24"/>
          <w:szCs w:val="24"/>
          <w:color w:val="auto"/>
        </w:rPr>
      </w:pPr>
    </w:p>
    <w:p>
      <w:pPr>
        <w:ind w:left="1900" w:hanging="205"/>
        <w:spacing w:after="0"/>
        <w:tabs>
          <w:tab w:leader="none" w:pos="1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1900" w:hanging="205"/>
        <w:spacing w:after="0"/>
        <w:tabs>
          <w:tab w:leader="none" w:pos="1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900" w:hanging="205"/>
        <w:spacing w:after="0"/>
        <w:tabs>
          <w:tab w:leader="none" w:pos="1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700" w:right="7020" w:hanging="5"/>
        <w:spacing w:after="0" w:line="288" w:lineRule="auto"/>
        <w:tabs>
          <w:tab w:leader="none" w:pos="1907"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on Form 10-Q For the Transition Period Ended:</w:t>
      </w:r>
    </w:p>
    <w:p>
      <w:pPr>
        <w:spacing w:after="0" w:line="168"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0" w:lineRule="exact"/>
        <w:rPr>
          <w:sz w:val="24"/>
          <w:szCs w:val="24"/>
          <w:color w:val="auto"/>
        </w:rPr>
      </w:pPr>
    </w:p>
    <w:p>
      <w:pPr>
        <w:spacing w:after="0" w:line="2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San Carlos, California 94070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73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364" w:lineRule="exact"/>
        <w:rPr>
          <w:sz w:val="20"/>
          <w:szCs w:val="20"/>
          <w:color w:val="auto"/>
        </w:rPr>
      </w:pPr>
    </w:p>
    <w:p>
      <w:pPr>
        <w:ind w:left="920" w:hanging="418"/>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130" w:lineRule="exact"/>
        <w:rPr>
          <w:rFonts w:ascii="Times New Roman" w:cs="Times New Roman" w:eastAsia="Times New Roman" w:hAnsi="Times New Roman"/>
          <w:sz w:val="18"/>
          <w:szCs w:val="18"/>
          <w:color w:val="auto"/>
        </w:rPr>
      </w:pPr>
    </w:p>
    <w:p>
      <w:pPr>
        <w:ind w:left="920" w:hanging="423"/>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27" w:lineRule="exact"/>
        <w:rPr>
          <w:rFonts w:ascii="Times New Roman" w:cs="Times New Roman" w:eastAsia="Times New Roman" w:hAnsi="Times New Roman"/>
          <w:sz w:val="18"/>
          <w:szCs w:val="18"/>
          <w:color w:val="auto"/>
        </w:rPr>
      </w:pPr>
    </w:p>
    <w:p>
      <w:pPr>
        <w:ind w:left="920" w:right="400" w:hanging="806"/>
        <w:spacing w:after="0" w:line="200" w:lineRule="auto"/>
        <w:tabs>
          <w:tab w:leader="none" w:pos="920" w:val="left"/>
        </w:tabs>
        <w:numPr>
          <w:ilvl w:val="0"/>
          <w:numId w:val="3"/>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06" w:lineRule="exact"/>
        <w:rPr>
          <w:rFonts w:ascii="MS PGothic" w:cs="MS PGothic" w:eastAsia="MS PGothic" w:hAnsi="MS PGothic"/>
          <w:sz w:val="36"/>
          <w:szCs w:val="36"/>
          <w:color w:val="auto"/>
          <w:vertAlign w:val="subscript"/>
        </w:rPr>
      </w:pPr>
    </w:p>
    <w:p>
      <w:pPr>
        <w:ind w:left="920" w:hanging="418"/>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Presto Automation Inc. (“Presto” or the “Company”) has determined that it will not be able to file its Quarterly Report on Form 10-Q for the quarterly period ended March 31, 2024 (the “Quarterly Report”) within the prescribed time period as it is still finalizing its financial results and preparing the according disclosures and will need the time from the extension to seek to do so.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plans to file the Quarterly Report within the five-day extension period provided for under Rule 12b-25.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Stanley Mbugua</w:t>
            </w:r>
          </w:p>
        </w:tc>
        <w:tc>
          <w:tcPr>
            <w:tcW w:w="26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(650)</w:t>
            </w:r>
          </w:p>
        </w:tc>
        <w:tc>
          <w:tcPr>
            <w:tcW w:w="620" w:type="dxa"/>
            <w:vAlign w:val="bottom"/>
          </w:tcPr>
          <w:p>
            <w:pPr>
              <w:spacing w:after="0"/>
              <w:rPr>
                <w:sz w:val="20"/>
                <w:szCs w:val="20"/>
                <w:color w:val="auto"/>
              </w:rPr>
            </w:pPr>
          </w:p>
        </w:tc>
        <w:tc>
          <w:tcPr>
            <w:tcW w:w="40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817-9012</w:t>
            </w:r>
          </w:p>
        </w:tc>
        <w:tc>
          <w:tcPr>
            <w:tcW w:w="0" w:type="dxa"/>
            <w:vAlign w:val="bottom"/>
          </w:tcPr>
          <w:p>
            <w:pPr>
              <w:spacing w:after="0"/>
              <w:rPr>
                <w:sz w:val="1"/>
                <w:szCs w:val="1"/>
                <w:color w:val="auto"/>
              </w:rPr>
            </w:pPr>
          </w:p>
        </w:tc>
      </w:tr>
      <w:tr>
        <w:trPr>
          <w:trHeight w:val="27"/>
        </w:trPr>
        <w:tc>
          <w:tcPr>
            <w:tcW w:w="3320" w:type="dxa"/>
            <w:vAlign w:val="bottom"/>
            <w:tcBorders>
              <w:bottom w:val="single" w:sz="8" w:color="auto"/>
            </w:tcBorders>
          </w:tcPr>
          <w:p>
            <w:pPr>
              <w:spacing w:after="0"/>
              <w:rPr>
                <w:sz w:val="2"/>
                <w:szCs w:val="2"/>
                <w:color w:val="auto"/>
              </w:rPr>
            </w:pPr>
          </w:p>
        </w:tc>
        <w:tc>
          <w:tcPr>
            <w:tcW w:w="620" w:type="dxa"/>
            <w:vAlign w:val="bottom"/>
            <w:vMerge w:val="restart"/>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620" w:type="dxa"/>
            <w:vAlign w:val="bottom"/>
            <w:vMerge w:val="restart"/>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620" w:type="dxa"/>
            <w:vAlign w:val="bottom"/>
            <w:vMerge w:val="continue"/>
          </w:tcPr>
          <w:p>
            <w:pPr>
              <w:spacing w:after="0"/>
              <w:rPr>
                <w:sz w:val="19"/>
                <w:szCs w:val="19"/>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620" w:type="dxa"/>
            <w:vAlign w:val="bottom"/>
            <w:vMerge w:val="continue"/>
          </w:tcPr>
          <w:p>
            <w:pPr>
              <w:spacing w:after="0"/>
              <w:rPr>
                <w:sz w:val="19"/>
                <w:szCs w:val="19"/>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220" w:hanging="215"/>
        <w:spacing w:after="0" w:line="232" w:lineRule="exact"/>
        <w:rPr>
          <w:sz w:val="20"/>
          <w:szCs w:val="20"/>
          <w:color w:val="auto"/>
        </w:rPr>
      </w:pPr>
      <w:r>
        <w:rPr>
          <w:rFonts w:ascii="Times New Roman" w:cs="Times New Roman" w:eastAsia="Times New Roman" w:hAnsi="Times New Roman"/>
          <w:sz w:val="18"/>
          <w:szCs w:val="18"/>
          <w:color w:val="auto"/>
        </w:rPr>
        <w:t xml:space="preserve">(2)Have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0"/>
          <w:szCs w:val="20"/>
          <w:color w:val="auto"/>
        </w:rPr>
      </w:pPr>
    </w:p>
    <w:p>
      <w:pPr>
        <w:jc w:val="both"/>
        <w:ind w:left="220" w:right="20" w:hanging="215"/>
        <w:spacing w:after="0" w:line="239" w:lineRule="exact"/>
        <w:rPr>
          <w:sz w:val="20"/>
          <w:szCs w:val="20"/>
          <w:color w:val="auto"/>
        </w:rPr>
      </w:pPr>
      <w:r>
        <w:rPr>
          <w:rFonts w:ascii="Times New Roman" w:cs="Times New Roman" w:eastAsia="Times New Roman" w:hAnsi="Times New Roman"/>
          <w:sz w:val="18"/>
          <w:szCs w:val="18"/>
          <w:color w:val="auto"/>
        </w:rPr>
        <w:t xml:space="preserve">(3)Is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Total revenue for the three months ended March 31, 2024 is expected to be $4.5 million, as compared to $6.6 million for the three months ended March 31, 2023. Platform revenue for the three months ended March 31, 2024 is expected to be $2.2 million, as compared to $3.1 million for the three months ended March 31, 2023. Transaction revenue for the three months ended March 31, 2024 is expected to be $2.3 million, as compared to $3.5 million for the three months ended March 31, 2023.</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Total revenue for the nine months ended March 31, 2024 is expected to be $14.2 million, as compared to $21.3 million for the nine months ended March 31, 2023. Platform revenue for the nine months ended March 31, 2024 is expected to be $6.4 million, as compared to $11.6 million for the nine months ended March 31, 2023. Transaction revenue for the nine months ended March 31, 2024 is expected to be $7.8 million, as compared to $9.7 million for the nine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400"/>
        <w:spacing w:after="0" w:line="282" w:lineRule="auto"/>
        <w:rPr>
          <w:sz w:val="20"/>
          <w:szCs w:val="20"/>
          <w:color w:val="auto"/>
        </w:rPr>
      </w:pPr>
      <w:r>
        <w:rPr>
          <w:rFonts w:ascii="Times New Roman" w:cs="Times New Roman" w:eastAsia="Times New Roman" w:hAnsi="Times New Roman"/>
          <w:sz w:val="18"/>
          <w:szCs w:val="18"/>
          <w:color w:val="auto"/>
        </w:rPr>
        <w:t>The foregoing financial results are preliminary, have not been reviewed or audited, and are subject to change in connection with the completion of the reporting process and preparation of the Company’s financial statements. Actual results could vary significantly from the foregoing.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in this Form 12b-25 may be considered forward-looking statements, including statements with respect to the Company’s expectations with respect to the results of operations for the three and nine months ended March 31, 2024. Forward-looking statements generally relate to future events and can be identified by terminology such as “may,” “should,” “could,” “might,” “plan,” “possible,” “strive,” “budget,” “expect,” “intend,” “will,” “estimate,” “believe,” “predict,” “potential,” “pursue,” “aim,” “goal,” “mission,” “anticipate” or “continue,”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the Company and its management, are inherently uncertain. Factors that may cause actual results to differ materially from current expectations include, but are not limited to, the Company’s actual results may differ materially from those anticipated in these forward-looking statements as a result of certain risks and other factors, which could include the risks and uncertainties set forth in the sections entitled “Risk Factors” and “Cautionary Statement Regarding Forward-Looking Statements and Risk Factor Summary” in the Company’s Annual Report</w:t>
      </w:r>
    </w:p>
    <w:p>
      <w:pPr>
        <w:spacing w:after="0" w:line="5"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on Form 10-K for the fiscal year ended June 30, 2023, and other documents filed by the Company from time to time with the SEC. Forward-looking statements speak only as of the date they are made. Readers are cautioned not to put undue reliance on forward-looking statements, and the Company assumes no obligation and does not intend to update or revise these forward-looking statements other than as required by applicable law. The Company does not give any assurance that it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16, 2024</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Stanley Mbugua</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Stanley Mbugua</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2)"/>
      <w:numFmt w:val="lowerLetter"/>
      <w:start w:val="1"/>
    </w:lvl>
  </w:abstractNum>
  <w:abstractNum w:abstractNumId="3">
    <w:nsid w:val="238E1F29"/>
    <w:multiLevelType w:val="hybridMultilevel"/>
    <w:lvl w:ilvl="0">
      <w:lvlJc w:val="left"/>
      <w:lvlText w:val="☒"/>
      <w:numFmt w:val="bullet"/>
      <w:start w:val="1"/>
    </w:lvl>
    <w:lvl w:ilvl="1">
      <w:lvlJc w:val="left"/>
      <w:lvlText w:val="(%2)"/>
      <w:numFmt w:val="lowerLetter"/>
      <w:start w:val="3"/>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2024-05-16T10:53:57Z</dcterms:created>
  <dcterms:modified xsi:type="dcterms:W3CDTF">2024-05-16T10:53:57Z</dcterms:modified>
</cp:coreProperties>
</file>