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Gupta Krishna 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1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PRESTO AUTOMATION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985 INDUSTRIAL ROAD</w:t>
            </w: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8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10/03/2022</w:t>
      </w:r>
    </w:p>
    <w:p>
      <w:pPr>
        <w:spacing w:after="0" w:line="364" w:lineRule="exact"/>
        <w:rPr>
          <w:sz w:val="24"/>
          <w:szCs w:val="24"/>
          <w:color w:val="auto"/>
        </w:rPr>
      </w:pPr>
    </w:p>
    <w:p>
      <w:pPr>
        <w:ind w:right="480" w:firstLine="9"/>
        <w:spacing w:after="0" w:line="252"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60" w:right="34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60"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79" w:lineRule="exact"/>
        <w:rPr>
          <w:sz w:val="24"/>
          <w:szCs w:val="24"/>
          <w:color w:val="auto"/>
        </w:rPr>
      </w:pPr>
    </w:p>
    <w:p>
      <w:pPr>
        <w:sectPr>
          <w:pgSz w:w="11900" w:h="16838"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2"/>
              </w:rPr>
              <w:t>1,200,000</w:t>
            </w:r>
            <w:r>
              <w:rPr>
                <w:rFonts w:ascii="Times New Roman" w:cs="Times New Roman" w:eastAsia="Times New Roman" w:hAnsi="Times New Roman"/>
                <w:sz w:val="25"/>
                <w:szCs w:val="25"/>
                <w:color w:val="008000"/>
                <w:w w:val="92"/>
                <w:vertAlign w:val="superscript"/>
              </w:rPr>
              <w:t>(1)</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96"/>
              </w:rPr>
              <w:t>D</w:t>
            </w:r>
          </w:p>
        </w:tc>
        <w:tc>
          <w:tcPr>
            <w:tcW w:w="3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239,399</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 L.P.</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3,608,384</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 L.P.</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71"/>
              <w:spacing w:after="0"/>
              <w:rPr>
                <w:sz w:val="20"/>
                <w:szCs w:val="20"/>
                <w:color w:val="auto"/>
              </w:rPr>
            </w:pPr>
            <w:r>
              <w:rPr>
                <w:rFonts w:ascii="Times New Roman" w:cs="Times New Roman" w:eastAsia="Times New Roman" w:hAnsi="Times New Roman"/>
                <w:sz w:val="20"/>
                <w:szCs w:val="20"/>
                <w:color w:val="0000FF"/>
                <w:w w:val="97"/>
              </w:rPr>
              <w:t>8,225,642</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By Romulus Capital III, L.P.</w:t>
            </w:r>
            <w:r>
              <w:rPr>
                <w:rFonts w:ascii="Times New Roman" w:cs="Times New Roman" w:eastAsia="Times New Roman" w:hAnsi="Times New Roman"/>
                <w:sz w:val="25"/>
                <w:szCs w:val="25"/>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159,209</w:t>
            </w:r>
          </w:p>
        </w:tc>
        <w:tc>
          <w:tcPr>
            <w:tcW w:w="820" w:type="dxa"/>
            <w:vAlign w:val="bottom"/>
          </w:tcPr>
          <w:p>
            <w:pPr>
              <w:spacing w:after="0"/>
              <w:rPr>
                <w:sz w:val="24"/>
                <w:szCs w:val="24"/>
                <w:color w:val="auto"/>
              </w:rPr>
            </w:pPr>
          </w:p>
        </w:tc>
        <w:tc>
          <w:tcPr>
            <w:tcW w:w="740" w:type="dxa"/>
            <w:vAlign w:val="bottom"/>
            <w:gridSpan w:val="2"/>
            <w:vMerge w:val="restart"/>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Romulus ELC B3 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7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rPr>
              <w:t>Opportunity, L.P.</w:t>
            </w:r>
            <w:r>
              <w:rPr>
                <w:rFonts w:ascii="Times New Roman" w:cs="Times New Roman" w:eastAsia="Times New Roman" w:hAnsi="Times New Roman"/>
                <w:sz w:val="25"/>
                <w:szCs w:val="25"/>
                <w:color w:val="008000"/>
                <w:vertAlign w:val="superscript"/>
              </w:rPr>
              <w:t>(5)</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vMerge w:val="restart"/>
          </w:tcPr>
          <w:p>
            <w:pPr>
              <w:jc w:val="center"/>
              <w:ind w:left="251"/>
              <w:spacing w:after="0"/>
              <w:rPr>
                <w:sz w:val="20"/>
                <w:szCs w:val="20"/>
                <w:color w:val="auto"/>
              </w:rPr>
            </w:pPr>
            <w:r>
              <w:rPr>
                <w:rFonts w:ascii="Times New Roman" w:cs="Times New Roman" w:eastAsia="Times New Roman" w:hAnsi="Times New Roman"/>
                <w:sz w:val="20"/>
                <w:szCs w:val="20"/>
                <w:color w:val="0000FF"/>
                <w:w w:val="98"/>
              </w:rPr>
              <w:t>638,076</w:t>
            </w:r>
          </w:p>
        </w:tc>
        <w:tc>
          <w:tcPr>
            <w:tcW w:w="820" w:type="dxa"/>
            <w:vAlign w:val="bottom"/>
          </w:tcPr>
          <w:p>
            <w:pPr>
              <w:spacing w:after="0"/>
              <w:rPr>
                <w:sz w:val="24"/>
                <w:szCs w:val="24"/>
                <w:color w:val="auto"/>
              </w:rPr>
            </w:pPr>
          </w:p>
        </w:tc>
        <w:tc>
          <w:tcPr>
            <w:tcW w:w="740" w:type="dxa"/>
            <w:vAlign w:val="bottom"/>
            <w:gridSpan w:val="2"/>
            <w:vMerge w:val="restart"/>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Zaffran Special Opportunities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gridSpan w:val="2"/>
            <w:vMerge w:val="continue"/>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jc w:val="center"/>
              <w:ind w:left="251"/>
              <w:spacing w:after="0"/>
              <w:rPr>
                <w:sz w:val="20"/>
                <w:szCs w:val="20"/>
                <w:color w:val="auto"/>
              </w:rPr>
            </w:pPr>
            <w:r>
              <w:rPr>
                <w:rFonts w:ascii="Times New Roman" w:cs="Times New Roman" w:eastAsia="Times New Roman" w:hAnsi="Times New Roman"/>
                <w:sz w:val="20"/>
                <w:szCs w:val="20"/>
                <w:color w:val="0000FF"/>
                <w:w w:val="98"/>
              </w:rPr>
              <w:t>279,680</w:t>
            </w: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525"/>
              <w:spacing w:after="0"/>
              <w:rPr>
                <w:sz w:val="20"/>
                <w:szCs w:val="20"/>
                <w:color w:val="auto"/>
              </w:rPr>
            </w:pPr>
            <w:r>
              <w:rPr>
                <w:rFonts w:ascii="Times New Roman" w:cs="Times New Roman" w:eastAsia="Times New Roman" w:hAnsi="Times New Roman"/>
                <w:sz w:val="20"/>
                <w:szCs w:val="20"/>
                <w:color w:val="0000FF"/>
                <w:w w:val="89"/>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By KKG Enterprises LLC</w:t>
            </w:r>
            <w:r>
              <w:rPr>
                <w:rFonts w:ascii="Times New Roman" w:cs="Times New Roman" w:eastAsia="Times New Roman" w:hAnsi="Times New Roman"/>
                <w:sz w:val="25"/>
                <w:szCs w:val="25"/>
                <w:color w:val="008000"/>
                <w:vertAlign w:val="superscript"/>
              </w:rPr>
              <w:t>(7)</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6"/>
          </w:tcPr>
          <w:p>
            <w:pPr>
              <w:jc w:val="center"/>
              <w:ind w:right="45"/>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jc w:val="cente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4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Security</w:t>
            </w:r>
          </w:p>
        </w:tc>
        <w:tc>
          <w:tcPr>
            <w:tcW w:w="320" w:type="dxa"/>
            <w:vAlign w:val="bottom"/>
          </w:tcPr>
          <w:p>
            <w:pPr>
              <w:spacing w:after="0"/>
              <w:rPr>
                <w:sz w:val="14"/>
                <w:szCs w:val="14"/>
                <w:color w:val="auto"/>
              </w:rPr>
            </w:pP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2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70,052</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 L.P.</w:t>
            </w:r>
            <w:r>
              <w:rPr>
                <w:rFonts w:ascii="Times New Roman" w:cs="Times New Roman" w:eastAsia="Times New Roman" w:hAnsi="Times New Roman"/>
                <w:sz w:val="25"/>
                <w:szCs w:val="25"/>
                <w:color w:val="008000"/>
                <w:vertAlign w:val="superscript"/>
              </w:rPr>
              <w:t>(2)</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1,055,865</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Capital II, L.P.</w:t>
            </w:r>
            <w:r>
              <w:rPr>
                <w:rFonts w:ascii="Times New Roman" w:cs="Times New Roman" w:eastAsia="Times New Roman" w:hAnsi="Times New Roman"/>
                <w:sz w:val="25"/>
                <w:szCs w:val="25"/>
                <w:color w:val="008000"/>
                <w:vertAlign w:val="superscript"/>
              </w:rPr>
              <w:t>(3)</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2,322,335</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4"/>
                <w:szCs w:val="24"/>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w w:val="97"/>
              </w:rPr>
              <w:t>Capital III, L.P.</w:t>
            </w:r>
            <w:r>
              <w:rPr>
                <w:rFonts w:ascii="Times New Roman" w:cs="Times New Roman" w:eastAsia="Times New Roman" w:hAnsi="Times New Roman"/>
                <w:sz w:val="25"/>
                <w:szCs w:val="25"/>
                <w:color w:val="008000"/>
                <w:w w:val="97"/>
                <w:vertAlign w:val="superscript"/>
              </w:rPr>
              <w:t>(4)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Romulus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46,587</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ELC B3 Special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Opportunity, L.P.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3"/>
                <w:szCs w:val="13"/>
                <w:color w:val="008000"/>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By Zaffran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11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186,710</w:t>
            </w:r>
          </w:p>
        </w:tc>
        <w:tc>
          <w:tcPr>
            <w:tcW w:w="7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008000"/>
              </w:rPr>
              <w:t>(8)</w:t>
            </w:r>
          </w:p>
        </w:tc>
        <w:tc>
          <w:tcPr>
            <w:tcW w:w="320" w:type="dxa"/>
            <w:vAlign w:val="bottom"/>
          </w:tcPr>
          <w:p>
            <w:pPr>
              <w:spacing w:after="0"/>
              <w:rPr>
                <w:sz w:val="20"/>
                <w:szCs w:val="20"/>
                <w:color w:val="auto"/>
              </w:rPr>
            </w:pP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rPr>
              <w:t>Special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Opportunities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4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(6)</w:t>
      </w:r>
    </w:p>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775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77546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2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2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KKG</w:t>
            </w:r>
          </w:p>
        </w:tc>
        <w:tc>
          <w:tcPr>
            <w:tcW w:w="0" w:type="dxa"/>
            <w:vAlign w:val="bottom"/>
          </w:tcPr>
          <w:p>
            <w:pPr>
              <w:spacing w:after="0"/>
              <w:rPr>
                <w:sz w:val="1"/>
                <w:szCs w:val="1"/>
                <w:color w:val="auto"/>
              </w:rPr>
            </w:pPr>
          </w:p>
        </w:tc>
      </w:tr>
      <w:tr>
        <w:trPr>
          <w:trHeight w:val="240"/>
        </w:trPr>
        <w:tc>
          <w:tcPr>
            <w:tcW w:w="28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Earn-Out Shares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(8)</w:t>
            </w: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3"/>
                <w:szCs w:val="13"/>
                <w:color w:val="008000"/>
              </w:rPr>
              <w:t>(8)</w:t>
            </w:r>
          </w:p>
        </w:tc>
        <w:tc>
          <w:tcPr>
            <w:tcW w:w="16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20"/>
                <w:szCs w:val="20"/>
                <w:color w:val="0000FF"/>
              </w:rPr>
              <w:t>80,000</w:t>
            </w:r>
          </w:p>
        </w:tc>
        <w:tc>
          <w:tcPr>
            <w:tcW w:w="1000" w:type="dxa"/>
            <w:vAlign w:val="bottom"/>
          </w:tcPr>
          <w:p>
            <w:pPr>
              <w:ind w:left="440"/>
              <w:spacing w:after="0"/>
              <w:rPr>
                <w:sz w:val="20"/>
                <w:szCs w:val="20"/>
                <w:color w:val="auto"/>
              </w:rPr>
            </w:pPr>
            <w:r>
              <w:rPr>
                <w:rFonts w:ascii="Times New Roman" w:cs="Times New Roman" w:eastAsia="Times New Roman" w:hAnsi="Times New Roman"/>
                <w:sz w:val="13"/>
                <w:szCs w:val="13"/>
                <w:color w:val="008000"/>
              </w:rPr>
              <w:t>(8)</w:t>
            </w:r>
          </w:p>
        </w:tc>
        <w:tc>
          <w:tcPr>
            <w:tcW w:w="920" w:type="dxa"/>
            <w:vAlign w:val="bottom"/>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Enterprises</w:t>
            </w:r>
          </w:p>
        </w:tc>
        <w:tc>
          <w:tcPr>
            <w:tcW w:w="0" w:type="dxa"/>
            <w:vAlign w:val="bottom"/>
          </w:tcPr>
          <w:p>
            <w:pPr>
              <w:spacing w:after="0"/>
              <w:rPr>
                <w:sz w:val="1"/>
                <w:szCs w:val="1"/>
                <w:color w:val="auto"/>
              </w:rPr>
            </w:pPr>
          </w:p>
        </w:tc>
      </w:tr>
      <w:tr>
        <w:trPr>
          <w:trHeight w:val="341"/>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(7)</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20" w:right="8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a grant of restricted stock units ("RSUs"). Each RSU represents a contingent right to receive one share of the Issuer's common stock, $0.0001 par value per share (the "Common Stock"). The RSUs shall vest as follows 33.33% of the RSUs shall vest on September 30, 2022, an additional 56.67% shall vest in equal monthly installments on the last day of each month during the subsequent 23-month period, and the remaining 10% shall vest on September 21, 2025, subject to the Reporting Person's continued service on each such vesting date.</w:t>
      </w:r>
    </w:p>
    <w:p>
      <w:pPr>
        <w:spacing w:after="0" w:line="33"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 L.P. ("Romulus I"). Palatine Hill Ventures GP LLC ("Palatine Hill") is the general partner of Romulus I. The Reporting Person is one of two managing members of Palatine Hill,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 as amended (the "Exchange Act").</w:t>
      </w:r>
    </w:p>
    <w:p>
      <w:pPr>
        <w:spacing w:after="0" w:line="33"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 L.P. ("Romulus II"). Romulus Capital Partners II, LLC ("Romulus II GP") is the general partner of Romulus II.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Capital III, L.P. ("Romulus III"). Romulus II GP is the general partner of Romulus III.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Romulus ELC B3 Special Opportunity, L.P. ("Romulus ELC"). Romulus II GP is the general partner of Romulus ELC. The Reporting Person is one of two managing members of Romulus II GP,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33"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Zaffran Special Opportunities LLC ("Zaffran"). The Reporting Person is the sole general partner of Zaffran,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KKG Enterprises LLC ("KKG Enterprises"). The Reporting Person is the sole managing member of KKG Enterprises, and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Exchange Act.</w:t>
      </w:r>
    </w:p>
    <w:p>
      <w:pPr>
        <w:spacing w:after="0" w:line="29" w:lineRule="exact"/>
        <w:rPr>
          <w:rFonts w:ascii="Times New Roman" w:cs="Times New Roman" w:eastAsia="Times New Roman" w:hAnsi="Times New Roman"/>
          <w:sz w:val="15"/>
          <w:szCs w:val="15"/>
          <w:color w:val="008000"/>
        </w:rPr>
      </w:pPr>
    </w:p>
    <w:p>
      <w:pPr>
        <w:ind w:left="20" w:right="40" w:firstLine="5"/>
        <w:spacing w:after="0" w:line="239" w:lineRule="auto"/>
        <w:tabs>
          <w:tab w:leader="none" w:pos="17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Earn-Out Share represents a contingent right to receive one share of Common Stock. The Earn-Out Shares shall vest and be released upon the satisfaction of certain share price vesting conditions as follows: one-half of the Earn-Out Shares will be issued if the volume weighted average price ("VWAP") of the Issuer's Common Stock equals or exceeds $12.50 over 20 trading days within any 30 trading day period on or before September 21, 2025, and one-half will be issued if the VWAP of the Issuer's Common Stock equals or exceeds $15.00 over 20 trading days within any 30 trading day period on or before September 21, 2027.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right="560"/>
        <w:spacing w:after="0" w:line="259" w:lineRule="auto"/>
        <w:rPr>
          <w:sz w:val="20"/>
          <w:szCs w:val="20"/>
          <w:color w:val="auto"/>
        </w:rPr>
      </w:pPr>
      <w:r>
        <w:rPr>
          <w:rFonts w:ascii="Times New Roman" w:cs="Times New Roman" w:eastAsia="Times New Roman" w:hAnsi="Times New Roman"/>
          <w:sz w:val="15"/>
          <w:szCs w:val="15"/>
          <w:color w:val="008000"/>
        </w:rPr>
        <w:t>This Amendment on Form 3/A amends and restates the Form 3 originally filed by the Reporting Person on October 3, 2022 in its entirety to correct the number of shares of Common Stock owned by each of Romulus I, Romulus II, Romulus III, Romulus ELC and Zaffran.</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Krishna K. Gupta</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11/28/2022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44971"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2022-11-28T15:50:55Z</dcterms:created>
  <dcterms:modified xsi:type="dcterms:W3CDTF">2022-11-28T15:50:55Z</dcterms:modified>
</cp:coreProperties>
</file>